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332FAA" w:rsidRPr="001A07C8" w:rsidRDefault="00332FAA" w:rsidP="00332FAA">
      <w:pPr>
        <w:spacing w:after="0" w:line="240" w:lineRule="auto"/>
        <w:jc w:val="center"/>
        <w:rPr>
          <w:rFonts w:ascii="Times New Roman" w:hAnsi="Times New Roman"/>
          <w:sz w:val="28"/>
          <w:szCs w:val="28"/>
        </w:rPr>
      </w:pPr>
      <w:bookmarkStart w:id="0" w:name="OLE_LINK23"/>
      <w:bookmarkStart w:id="1" w:name="OLE_LINK24"/>
      <w:r w:rsidRPr="001A07C8">
        <w:rPr>
          <w:rFonts w:ascii="Times New Roman" w:hAnsi="Times New Roman"/>
          <w:sz w:val="28"/>
          <w:szCs w:val="28"/>
        </w:rPr>
        <w:t xml:space="preserve">EVALUATION OF HEAVY METAL CONTAMINATION LEVELS OF BALOK RIVER SEDIMENTS IN PAHANG, MALAYSIA BASED </w:t>
      </w:r>
    </w:p>
    <w:p w:rsidR="00332FAA" w:rsidRPr="001A07C8" w:rsidRDefault="00332FAA" w:rsidP="00332FAA">
      <w:pPr>
        <w:spacing w:after="0" w:line="240" w:lineRule="auto"/>
        <w:jc w:val="center"/>
        <w:rPr>
          <w:rFonts w:ascii="Times New Roman" w:hAnsi="Times New Roman"/>
          <w:sz w:val="28"/>
          <w:szCs w:val="28"/>
        </w:rPr>
      </w:pPr>
      <w:r w:rsidRPr="001A07C8">
        <w:rPr>
          <w:rFonts w:ascii="Times New Roman" w:hAnsi="Times New Roman"/>
          <w:sz w:val="28"/>
          <w:szCs w:val="28"/>
        </w:rPr>
        <w:t xml:space="preserve">ON GEOACCUMULATION INDEX AND SUPPORTED </w:t>
      </w:r>
    </w:p>
    <w:p w:rsidR="00332FAA" w:rsidRPr="001A07C8" w:rsidRDefault="00332FAA" w:rsidP="00332FAA">
      <w:pPr>
        <w:spacing w:after="0" w:line="240" w:lineRule="auto"/>
        <w:jc w:val="center"/>
        <w:rPr>
          <w:rFonts w:ascii="Times New Roman" w:hAnsi="Times New Roman"/>
          <w:sz w:val="28"/>
          <w:szCs w:val="28"/>
        </w:rPr>
      </w:pPr>
      <w:r w:rsidRPr="001A07C8">
        <w:rPr>
          <w:rFonts w:ascii="Times New Roman" w:hAnsi="Times New Roman"/>
          <w:sz w:val="28"/>
          <w:szCs w:val="28"/>
        </w:rPr>
        <w:t>WITH ENRICHMENT FACTOR</w:t>
      </w:r>
    </w:p>
    <w:bookmarkEnd w:id="0"/>
    <w:bookmarkEnd w:id="1"/>
    <w:p w:rsidR="006768E9" w:rsidRPr="00802DCC" w:rsidRDefault="006768E9" w:rsidP="00332FAA">
      <w:pPr>
        <w:spacing w:after="0" w:line="240" w:lineRule="auto"/>
        <w:jc w:val="center"/>
        <w:rPr>
          <w:rFonts w:ascii="Times New Roman" w:hAnsi="Times New Roman"/>
          <w:noProof/>
          <w:sz w:val="24"/>
          <w:szCs w:val="24"/>
          <w:lang w:bidi="ar-SA"/>
        </w:rPr>
      </w:pPr>
    </w:p>
    <w:p w:rsidR="00332FAA" w:rsidRPr="001A07C8" w:rsidRDefault="00332FAA" w:rsidP="00332FAA">
      <w:pPr>
        <w:pStyle w:val="MediumGrid21"/>
        <w:jc w:val="center"/>
        <w:rPr>
          <w:rFonts w:ascii="Times New Roman" w:hAnsi="Times New Roman"/>
          <w:noProof/>
          <w:sz w:val="24"/>
          <w:szCs w:val="24"/>
          <w:lang w:val="en-GB"/>
        </w:rPr>
      </w:pPr>
      <w:r w:rsidRPr="001A07C8">
        <w:rPr>
          <w:rFonts w:ascii="Times New Roman" w:hAnsi="Times New Roman"/>
          <w:noProof/>
          <w:sz w:val="24"/>
          <w:szCs w:val="24"/>
          <w:lang w:val="en-GB"/>
        </w:rPr>
        <w:t>(Penilaian Paras Pencemaran Logam Berat Terhadap Sedimen Sungai Balok di Pahang, Malaysia Berdasarkan Kepada Indeks Geo-akumulasi dan Di Sokong oleh Faktor Pengkayaan)</w:t>
      </w:r>
    </w:p>
    <w:p w:rsidR="006768E9" w:rsidRPr="00802DCC" w:rsidRDefault="006768E9" w:rsidP="00332FAA">
      <w:pPr>
        <w:spacing w:after="0" w:line="240" w:lineRule="auto"/>
        <w:jc w:val="center"/>
        <w:rPr>
          <w:rFonts w:ascii="Times New Roman" w:hAnsi="Times New Roman"/>
          <w:noProof/>
          <w:sz w:val="20"/>
          <w:szCs w:val="20"/>
          <w:lang w:bidi="ar-SA"/>
        </w:rPr>
      </w:pPr>
    </w:p>
    <w:p w:rsidR="00332FAA" w:rsidRPr="00DB05FA" w:rsidRDefault="00332FAA" w:rsidP="00332FAA">
      <w:pPr>
        <w:pStyle w:val="MediumGrid21"/>
        <w:jc w:val="center"/>
        <w:rPr>
          <w:rFonts w:ascii="Times New Roman" w:hAnsi="Times New Roman"/>
          <w:noProof/>
          <w:sz w:val="20"/>
          <w:szCs w:val="20"/>
          <w:vertAlign w:val="superscript"/>
          <w:lang w:val="en-GB"/>
        </w:rPr>
      </w:pPr>
      <w:r w:rsidRPr="00DB05FA">
        <w:rPr>
          <w:rFonts w:ascii="Times New Roman" w:hAnsi="Times New Roman"/>
          <w:noProof/>
          <w:sz w:val="20"/>
          <w:szCs w:val="20"/>
          <w:lang w:val="en-GB"/>
        </w:rPr>
        <w:t>Mohd Zahari Abdullah</w:t>
      </w:r>
      <w:r w:rsidRPr="00DB05FA">
        <w:rPr>
          <w:rFonts w:ascii="Times New Roman" w:hAnsi="Times New Roman"/>
          <w:noProof/>
          <w:sz w:val="20"/>
          <w:szCs w:val="20"/>
          <w:vertAlign w:val="superscript"/>
          <w:lang w:val="en-GB"/>
        </w:rPr>
        <w:t>1</w:t>
      </w:r>
      <w:r w:rsidRPr="00332FAA">
        <w:rPr>
          <w:rFonts w:ascii="Times New Roman" w:hAnsi="Times New Roman"/>
          <w:noProof/>
          <w:sz w:val="20"/>
          <w:szCs w:val="20"/>
          <w:lang w:val="en-GB"/>
        </w:rPr>
        <w:t>*</w:t>
      </w:r>
      <w:r w:rsidRPr="00DB05FA">
        <w:rPr>
          <w:rFonts w:ascii="Times New Roman" w:hAnsi="Times New Roman"/>
          <w:noProof/>
          <w:sz w:val="20"/>
          <w:szCs w:val="20"/>
          <w:lang w:val="en-GB"/>
        </w:rPr>
        <w:t>, Nur Rashidah Abd Manap</w:t>
      </w:r>
      <w:r w:rsidRPr="00DB05FA">
        <w:rPr>
          <w:rFonts w:ascii="Times New Roman" w:hAnsi="Times New Roman"/>
          <w:noProof/>
          <w:sz w:val="20"/>
          <w:szCs w:val="20"/>
          <w:vertAlign w:val="superscript"/>
          <w:lang w:val="en-GB"/>
        </w:rPr>
        <w:t>1</w:t>
      </w:r>
      <w:r w:rsidRPr="00DB05FA">
        <w:rPr>
          <w:rFonts w:ascii="Times New Roman" w:hAnsi="Times New Roman"/>
          <w:noProof/>
          <w:sz w:val="20"/>
          <w:szCs w:val="20"/>
          <w:lang w:val="en-GB"/>
        </w:rPr>
        <w:t>, Ahmad Saat</w:t>
      </w:r>
      <w:r w:rsidRPr="00DB05FA">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Zaini Hamzah</w:t>
      </w:r>
      <w:r w:rsidRPr="00BB3481">
        <w:rPr>
          <w:rFonts w:ascii="Times New Roman" w:hAnsi="Times New Roman"/>
          <w:noProof/>
          <w:sz w:val="20"/>
          <w:szCs w:val="20"/>
          <w:vertAlign w:val="superscript"/>
          <w:lang w:val="en-GB"/>
        </w:rPr>
        <w:t>2</w:t>
      </w:r>
      <w:r w:rsidRPr="00DB05FA">
        <w:rPr>
          <w:rFonts w:ascii="Times New Roman" w:hAnsi="Times New Roman"/>
          <w:noProof/>
          <w:sz w:val="20"/>
          <w:szCs w:val="20"/>
          <w:lang w:val="en-GB"/>
        </w:rPr>
        <w:t>, Mohd Tahir Abas</w:t>
      </w:r>
      <w:r w:rsidRPr="00DB05FA">
        <w:rPr>
          <w:rFonts w:ascii="Times New Roman" w:hAnsi="Times New Roman"/>
          <w:noProof/>
          <w:sz w:val="20"/>
          <w:szCs w:val="20"/>
          <w:vertAlign w:val="superscript"/>
          <w:lang w:val="en-GB"/>
        </w:rPr>
        <w:t>1</w:t>
      </w:r>
    </w:p>
    <w:p w:rsidR="006768E9" w:rsidRPr="00802DCC" w:rsidRDefault="006768E9" w:rsidP="00332FAA">
      <w:pPr>
        <w:spacing w:after="0" w:line="240" w:lineRule="auto"/>
        <w:jc w:val="center"/>
        <w:rPr>
          <w:rFonts w:ascii="Times New Roman" w:hAnsi="Times New Roman"/>
          <w:noProof/>
          <w:sz w:val="18"/>
          <w:szCs w:val="18"/>
          <w:lang w:bidi="ar-SA"/>
        </w:rPr>
      </w:pPr>
    </w:p>
    <w:p w:rsidR="00332FAA" w:rsidRDefault="00332FAA" w:rsidP="00332FAA">
      <w:pPr>
        <w:pStyle w:val="MediumGrid21"/>
        <w:jc w:val="center"/>
        <w:rPr>
          <w:rFonts w:ascii="Times New Roman" w:hAnsi="Times New Roman"/>
          <w:i/>
          <w:noProof/>
          <w:sz w:val="18"/>
          <w:szCs w:val="18"/>
          <w:lang w:val="en-GB"/>
        </w:rPr>
      </w:pPr>
      <w:r w:rsidRPr="00BB3481">
        <w:rPr>
          <w:rFonts w:ascii="Times New Roman" w:hAnsi="Times New Roman"/>
          <w:i/>
          <w:noProof/>
          <w:sz w:val="18"/>
          <w:szCs w:val="18"/>
          <w:vertAlign w:val="superscript"/>
          <w:lang w:val="en-GB"/>
        </w:rPr>
        <w:t>1</w:t>
      </w:r>
      <w:r w:rsidR="00F11E73">
        <w:rPr>
          <w:rFonts w:ascii="Times New Roman" w:hAnsi="Times New Roman"/>
          <w:i/>
          <w:noProof/>
          <w:sz w:val="18"/>
          <w:szCs w:val="18"/>
          <w:lang w:val="en-GB"/>
        </w:rPr>
        <w:t>Faculty of A</w:t>
      </w:r>
      <w:r w:rsidRPr="00BB3481">
        <w:rPr>
          <w:rFonts w:ascii="Times New Roman" w:hAnsi="Times New Roman"/>
          <w:i/>
          <w:noProof/>
          <w:sz w:val="18"/>
          <w:szCs w:val="18"/>
          <w:lang w:val="en-GB"/>
        </w:rPr>
        <w:t xml:space="preserve">pplied Sciences, </w:t>
      </w:r>
    </w:p>
    <w:p w:rsidR="00332FAA" w:rsidRPr="00BB3481" w:rsidRDefault="00332FAA" w:rsidP="00332FAA">
      <w:pPr>
        <w:pStyle w:val="MediumGrid21"/>
        <w:jc w:val="center"/>
        <w:rPr>
          <w:rFonts w:ascii="Times New Roman" w:hAnsi="Times New Roman"/>
          <w:i/>
          <w:noProof/>
          <w:sz w:val="18"/>
          <w:szCs w:val="18"/>
          <w:lang w:val="en-GB"/>
        </w:rPr>
      </w:pPr>
      <w:r w:rsidRPr="00BB3481">
        <w:rPr>
          <w:rFonts w:ascii="Times New Roman" w:hAnsi="Times New Roman"/>
          <w:i/>
          <w:noProof/>
          <w:sz w:val="18"/>
          <w:szCs w:val="18"/>
          <w:lang w:val="en-GB"/>
        </w:rPr>
        <w:t>Universiti Teknologi MARA Pahang</w:t>
      </w:r>
      <w:r w:rsidRPr="00BB3481">
        <w:rPr>
          <w:i/>
          <w:noProof/>
          <w:sz w:val="18"/>
          <w:szCs w:val="18"/>
          <w:lang w:val="en-GB"/>
        </w:rPr>
        <w:t>,</w:t>
      </w:r>
      <w:r w:rsidRPr="00BB3481">
        <w:rPr>
          <w:rFonts w:ascii="Times New Roman" w:hAnsi="Times New Roman"/>
          <w:i/>
          <w:noProof/>
          <w:sz w:val="18"/>
          <w:szCs w:val="18"/>
          <w:lang w:val="en-GB"/>
        </w:rPr>
        <w:t>26400 Bandar Tun Razak Jengka, Pahang, Malaysia</w:t>
      </w:r>
    </w:p>
    <w:p w:rsidR="00332FAA" w:rsidRDefault="00332FAA" w:rsidP="00332FAA">
      <w:pPr>
        <w:pStyle w:val="NoSpacing"/>
        <w:jc w:val="center"/>
        <w:rPr>
          <w:rFonts w:ascii="Times New Roman" w:hAnsi="Times New Roman"/>
          <w:i/>
          <w:noProof/>
          <w:sz w:val="18"/>
          <w:szCs w:val="18"/>
          <w:lang w:val="en-GB"/>
        </w:rPr>
      </w:pPr>
      <w:r>
        <w:rPr>
          <w:rFonts w:ascii="Times New Roman" w:hAnsi="Times New Roman"/>
          <w:i/>
          <w:noProof/>
          <w:sz w:val="18"/>
          <w:szCs w:val="18"/>
          <w:vertAlign w:val="superscript"/>
          <w:lang w:val="en-GB"/>
        </w:rPr>
        <w:t>2</w:t>
      </w:r>
      <w:r w:rsidRPr="00BB3481">
        <w:rPr>
          <w:rFonts w:ascii="Times New Roman" w:hAnsi="Times New Roman"/>
          <w:i/>
          <w:noProof/>
          <w:sz w:val="18"/>
          <w:szCs w:val="18"/>
          <w:lang w:val="en-GB"/>
        </w:rPr>
        <w:t xml:space="preserve">Faculty of Applied Sciences, </w:t>
      </w:r>
    </w:p>
    <w:p w:rsidR="00332FAA" w:rsidRDefault="00332FAA" w:rsidP="00332FAA">
      <w:pPr>
        <w:pStyle w:val="NoSpacing"/>
        <w:jc w:val="center"/>
        <w:rPr>
          <w:rFonts w:ascii="Times New Roman" w:hAnsi="Times New Roman"/>
          <w:i/>
          <w:sz w:val="18"/>
          <w:szCs w:val="18"/>
        </w:rPr>
      </w:pPr>
      <w:r w:rsidRPr="00BB3481">
        <w:rPr>
          <w:rFonts w:ascii="Times New Roman" w:hAnsi="Times New Roman"/>
          <w:i/>
          <w:sz w:val="18"/>
          <w:szCs w:val="18"/>
        </w:rPr>
        <w:t>Universiti</w:t>
      </w:r>
      <w:r>
        <w:rPr>
          <w:rFonts w:ascii="Times New Roman" w:hAnsi="Times New Roman"/>
          <w:i/>
          <w:sz w:val="18"/>
          <w:szCs w:val="18"/>
        </w:rPr>
        <w:t xml:space="preserve"> </w:t>
      </w:r>
      <w:r w:rsidRPr="00BB3481">
        <w:rPr>
          <w:rFonts w:ascii="Times New Roman" w:hAnsi="Times New Roman"/>
          <w:i/>
          <w:sz w:val="18"/>
          <w:szCs w:val="18"/>
        </w:rPr>
        <w:t>Teknologi MARA, 40450 Shah Alam, Selangor, Malaysia</w:t>
      </w:r>
    </w:p>
    <w:p w:rsidR="006768E9" w:rsidRPr="00802DCC" w:rsidRDefault="006768E9" w:rsidP="00332FAA">
      <w:pPr>
        <w:spacing w:after="0" w:line="240" w:lineRule="auto"/>
        <w:rPr>
          <w:rFonts w:ascii="Times New Roman" w:hAnsi="Times New Roman"/>
          <w:noProof/>
          <w:sz w:val="18"/>
          <w:szCs w:val="18"/>
          <w:lang w:bidi="ar-SA"/>
        </w:rPr>
      </w:pPr>
    </w:p>
    <w:p w:rsidR="006768E9" w:rsidRPr="00332FAA" w:rsidRDefault="006768E9" w:rsidP="00332FAA">
      <w:pPr>
        <w:pStyle w:val="MediumGrid21"/>
        <w:jc w:val="center"/>
        <w:rPr>
          <w:rFonts w:ascii="Times New Roman" w:hAnsi="Times New Roman"/>
          <w:i/>
          <w:sz w:val="18"/>
          <w:szCs w:val="18"/>
          <w:lang w:val="en-GB"/>
        </w:rPr>
      </w:pPr>
      <w:r w:rsidRPr="00802DCC">
        <w:rPr>
          <w:rFonts w:ascii="Times New Roman" w:hAnsi="Times New Roman"/>
          <w:i/>
          <w:noProof/>
          <w:sz w:val="18"/>
          <w:szCs w:val="18"/>
        </w:rPr>
        <w:t>*Corresponding author:</w:t>
      </w:r>
      <w:r w:rsidR="00136AC1">
        <w:rPr>
          <w:rFonts w:ascii="Times New Roman" w:hAnsi="Times New Roman"/>
          <w:i/>
          <w:noProof/>
          <w:sz w:val="18"/>
          <w:szCs w:val="18"/>
        </w:rPr>
        <w:t xml:space="preserve"> </w:t>
      </w:r>
      <w:r w:rsidR="00332FAA" w:rsidRPr="00332FAA">
        <w:rPr>
          <w:rFonts w:ascii="Times New Roman" w:hAnsi="Times New Roman"/>
          <w:i/>
          <w:sz w:val="18"/>
          <w:szCs w:val="18"/>
          <w:lang w:val="en-GB"/>
        </w:rPr>
        <w:t>umizah@pahang.uitm.edu.my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92FA8">
        <w:rPr>
          <w:rFonts w:ascii="Times New Roman" w:hAnsi="Times New Roman"/>
          <w:noProof/>
          <w:sz w:val="18"/>
          <w:szCs w:val="18"/>
          <w:lang w:bidi="ar-SA"/>
        </w:rPr>
        <w:t>23 November 2014</w:t>
      </w:r>
      <w:bookmarkStart w:id="2" w:name="_GoBack"/>
      <w:bookmarkEnd w:id="2"/>
      <w:r w:rsidRPr="00E41EE7">
        <w:rPr>
          <w:rFonts w:ascii="Times New Roman" w:hAnsi="Times New Roman"/>
          <w:noProof/>
          <w:sz w:val="18"/>
          <w:szCs w:val="18"/>
          <w:lang w:bidi="ar-SA"/>
        </w:rPr>
        <w:t>; Accepted:</w:t>
      </w:r>
      <w:r w:rsidR="00332FAA">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332FAA" w:rsidRPr="006500B6" w:rsidRDefault="00332FAA" w:rsidP="00332FAA">
      <w:pPr>
        <w:pStyle w:val="MediumGrid21"/>
        <w:jc w:val="both"/>
        <w:rPr>
          <w:rFonts w:ascii="Times New Roman" w:hAnsi="Times New Roman"/>
          <w:sz w:val="18"/>
          <w:szCs w:val="18"/>
        </w:rPr>
      </w:pPr>
      <w:bookmarkStart w:id="3" w:name="OLE_LINK1"/>
      <w:bookmarkStart w:id="4" w:name="OLE_LINK56"/>
      <w:bookmarkStart w:id="5" w:name="OLE_LINK57"/>
      <w:r w:rsidRPr="006500B6">
        <w:rPr>
          <w:rFonts w:ascii="Times New Roman" w:hAnsi="Times New Roman"/>
          <w:sz w:val="18"/>
          <w:szCs w:val="18"/>
        </w:rPr>
        <w:t>This study was conducted in order to assess the level of metal pollution in river sediment samples, which indirectly representing the general quality of the Balok River. The samples of river sediment have been collected at nine sampling stations from the particular river. The total content of Cd, Co, Cr, Cu, Fe, Mn, Ni, Pb, V and Zn were measured using inductively coupled plasma optical emission spectrometer (ICP-OES) after an acid extraction. The mean concentrations (mg/kg) were found at 0.49, 16.16, 42.93, 24.31, 2734.69, 155.61, 16.04, 29.31, 50.71 and 159.40 for the respective metals. The assessment of the river quality was done based on the information showed by the enrichment factor (EF) and geoaccumulation index (I</w:t>
      </w:r>
      <w:r w:rsidRPr="006500B6">
        <w:rPr>
          <w:rFonts w:ascii="Times New Roman" w:hAnsi="Times New Roman"/>
          <w:sz w:val="18"/>
          <w:szCs w:val="18"/>
          <w:vertAlign w:val="subscript"/>
        </w:rPr>
        <w:t>geo</w:t>
      </w:r>
      <w:r w:rsidRPr="006500B6">
        <w:rPr>
          <w:rFonts w:ascii="Times New Roman" w:hAnsi="Times New Roman"/>
          <w:sz w:val="18"/>
          <w:szCs w:val="18"/>
        </w:rPr>
        <w:t>). Analysis of the I</w:t>
      </w:r>
      <w:r w:rsidRPr="006500B6">
        <w:rPr>
          <w:rFonts w:ascii="Times New Roman" w:hAnsi="Times New Roman"/>
          <w:sz w:val="18"/>
          <w:szCs w:val="18"/>
          <w:vertAlign w:val="subscript"/>
        </w:rPr>
        <w:t>geo</w:t>
      </w:r>
      <w:r w:rsidRPr="006500B6">
        <w:rPr>
          <w:rFonts w:ascii="Times New Roman" w:hAnsi="Times New Roman"/>
          <w:sz w:val="18"/>
          <w:szCs w:val="18"/>
        </w:rPr>
        <w:t xml:space="preserve"> indexes clearly indicate that most of the sediment samples analyzed in this study contained the selected heavy metals in the levels of unpolluted to moderately pollute. Based on the low EF values recorded in this study, </w:t>
      </w:r>
      <w:bookmarkEnd w:id="3"/>
      <w:bookmarkEnd w:id="4"/>
      <w:bookmarkEnd w:id="5"/>
      <w:r w:rsidRPr="006500B6">
        <w:rPr>
          <w:rFonts w:ascii="Times New Roman" w:hAnsi="Times New Roman"/>
          <w:sz w:val="18"/>
          <w:szCs w:val="18"/>
        </w:rPr>
        <w:t xml:space="preserve">it can be concluded that the Balok River sediments is not significantly contaminated with the studied heavy metals. </w:t>
      </w:r>
    </w:p>
    <w:p w:rsidR="00332FAA" w:rsidRPr="00332FAA" w:rsidRDefault="00332FAA" w:rsidP="00332FAA">
      <w:pPr>
        <w:pStyle w:val="MediumGrid21"/>
        <w:jc w:val="both"/>
        <w:rPr>
          <w:rFonts w:ascii="Times New Roman" w:hAnsi="Times New Roman"/>
          <w:sz w:val="18"/>
          <w:szCs w:val="18"/>
        </w:rPr>
      </w:pPr>
    </w:p>
    <w:p w:rsidR="00332FAA" w:rsidRPr="00D21413" w:rsidRDefault="00332FAA" w:rsidP="00332FAA">
      <w:pPr>
        <w:pStyle w:val="MediumGrid21"/>
        <w:rPr>
          <w:rStyle w:val="Hyperlink"/>
          <w:rFonts w:ascii="Times New Roman" w:hAnsi="Times New Roman"/>
          <w:color w:val="auto"/>
          <w:sz w:val="18"/>
          <w:szCs w:val="18"/>
          <w:u w:val="none"/>
        </w:rPr>
      </w:pPr>
      <w:r w:rsidRPr="00D21413">
        <w:rPr>
          <w:rStyle w:val="Hyperlink"/>
          <w:rFonts w:ascii="Times New Roman" w:hAnsi="Times New Roman"/>
          <w:b/>
          <w:color w:val="auto"/>
          <w:sz w:val="18"/>
          <w:szCs w:val="18"/>
          <w:u w:val="none"/>
        </w:rPr>
        <w:t>Keywords</w:t>
      </w:r>
      <w:r w:rsidRPr="00D21413">
        <w:rPr>
          <w:rStyle w:val="Hyperlink"/>
          <w:rFonts w:ascii="Times New Roman" w:hAnsi="Times New Roman"/>
          <w:color w:val="auto"/>
          <w:sz w:val="18"/>
          <w:szCs w:val="18"/>
          <w:u w:val="none"/>
        </w:rPr>
        <w:t>: sediment, acid extraction, e</w:t>
      </w:r>
      <w:r w:rsidR="00D21413" w:rsidRPr="00D21413">
        <w:rPr>
          <w:rStyle w:val="Hyperlink"/>
          <w:rFonts w:ascii="Times New Roman" w:hAnsi="Times New Roman"/>
          <w:color w:val="auto"/>
          <w:sz w:val="18"/>
          <w:szCs w:val="18"/>
          <w:u w:val="none"/>
        </w:rPr>
        <w:t xml:space="preserve">nrichment factor (EF), </w:t>
      </w:r>
      <w:r w:rsidRPr="00D21413">
        <w:rPr>
          <w:rFonts w:ascii="Times New Roman" w:hAnsi="Times New Roman"/>
          <w:sz w:val="18"/>
          <w:szCs w:val="18"/>
          <w:lang w:val="en-GB"/>
        </w:rPr>
        <w:t xml:space="preserve">Geo-Accumulation Index </w:t>
      </w:r>
      <w:r w:rsidRPr="00D21413">
        <w:rPr>
          <w:rStyle w:val="Hyperlink"/>
          <w:rFonts w:ascii="Times New Roman" w:hAnsi="Times New Roman"/>
          <w:color w:val="auto"/>
          <w:sz w:val="18"/>
          <w:szCs w:val="18"/>
          <w:u w:val="none"/>
        </w:rPr>
        <w:t>(I</w:t>
      </w:r>
      <w:r w:rsidRPr="00D21413">
        <w:rPr>
          <w:rStyle w:val="Hyperlink"/>
          <w:rFonts w:ascii="Times New Roman" w:hAnsi="Times New Roman"/>
          <w:color w:val="auto"/>
          <w:sz w:val="18"/>
          <w:szCs w:val="18"/>
          <w:u w:val="none"/>
          <w:vertAlign w:val="subscript"/>
        </w:rPr>
        <w:t>geo</w:t>
      </w:r>
      <w:r w:rsidRPr="00D21413">
        <w:rPr>
          <w:rStyle w:val="Hyperlink"/>
          <w:rFonts w:ascii="Times New Roman" w:hAnsi="Times New Roman"/>
          <w:color w:val="auto"/>
          <w:sz w:val="18"/>
          <w:szCs w:val="18"/>
          <w:u w:val="none"/>
        </w:rPr>
        <w:t>), heavy metals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332FAA" w:rsidRPr="006500B6" w:rsidRDefault="00332FAA" w:rsidP="00332FAA">
      <w:pPr>
        <w:pStyle w:val="MediumGrid21"/>
        <w:jc w:val="both"/>
        <w:rPr>
          <w:rFonts w:ascii="Times New Roman" w:hAnsi="Times New Roman"/>
          <w:sz w:val="18"/>
          <w:szCs w:val="20"/>
        </w:rPr>
      </w:pPr>
      <w:r w:rsidRPr="00332FAA">
        <w:rPr>
          <w:rStyle w:val="Hyperlink"/>
          <w:rFonts w:ascii="Times New Roman" w:hAnsi="Times New Roman"/>
          <w:color w:val="auto"/>
          <w:sz w:val="18"/>
          <w:szCs w:val="20"/>
          <w:u w:val="none"/>
        </w:rPr>
        <w:t xml:space="preserve">Kajian ini dijalankan untuk menilai tahap pencemaran logam di dalam sampel sedimen sungai, yang secara tak langsung secara umum akan mengambarkan kualiti Sungai Balok. Sampel-sampel sedimen sungai telah diambil di sembilan tapak persampelan daripada sungai tersebut. Jumlah kandungan Cd, Co, Cr, Cu, Fe, Mn, Ni, Pb, V dan Zn telah diukur menggunakan plasma gandingan teraruh – spectrometer emisi optik (ICP-OES). Nilai kepekatan purata (mg/kg) bagi setiap logam yang dikaji adalah 0.49, 16.16, 42.93, 24.31, 2734.69, 155.61, 16.04, 29.31, 50.71 dan 159.40 bagi masing-masing logam. Penilaian kualiti sungai telah dilakukan berdasarkan kepada maklumat yang diberikan oleh faktor pengkayaan (EF) dan indeks geo-pengumpulan </w:t>
      </w:r>
      <w:r w:rsidR="00D21413">
        <w:rPr>
          <w:rStyle w:val="Hyperlink"/>
          <w:rFonts w:ascii="Times New Roman" w:hAnsi="Times New Roman"/>
          <w:color w:val="auto"/>
          <w:sz w:val="18"/>
          <w:szCs w:val="20"/>
          <w:u w:val="none"/>
        </w:rPr>
        <w:t>(</w:t>
      </w:r>
      <w:r w:rsidRPr="006500B6">
        <w:rPr>
          <w:rFonts w:ascii="Times New Roman" w:hAnsi="Times New Roman"/>
          <w:sz w:val="18"/>
          <w:szCs w:val="20"/>
        </w:rPr>
        <w:t>I</w:t>
      </w:r>
      <w:r w:rsidRPr="006500B6">
        <w:rPr>
          <w:rFonts w:ascii="Times New Roman" w:hAnsi="Times New Roman"/>
          <w:sz w:val="18"/>
          <w:szCs w:val="20"/>
          <w:vertAlign w:val="subscript"/>
        </w:rPr>
        <w:t>geo</w:t>
      </w:r>
      <w:r w:rsidRPr="006500B6">
        <w:rPr>
          <w:rFonts w:ascii="Times New Roman" w:hAnsi="Times New Roman"/>
          <w:sz w:val="18"/>
          <w:szCs w:val="20"/>
        </w:rPr>
        <w:t>). Analisis terhadap indeks Igeo jelas menunjukkan bahawa kebanyakkan sampel sedimen yang dianalisis mengandungi kandungan logam berat pada paras tidak tercemar sehingga sederhana tercemar. Berdasarkan kepada nilai-nilai EF yang rendah direkodkan dalam kajian ini, maka boleh disimpulkan bahawa sedimen Sungai Balok tidak dicemari secara ketara dengan logam dikaji.</w:t>
      </w:r>
    </w:p>
    <w:p w:rsidR="00332FAA" w:rsidRDefault="00332FAA" w:rsidP="00332FAA">
      <w:pPr>
        <w:pStyle w:val="MediumGrid21"/>
        <w:jc w:val="both"/>
        <w:rPr>
          <w:rFonts w:ascii="Times New Roman" w:hAnsi="Times New Roman"/>
          <w:sz w:val="20"/>
          <w:szCs w:val="20"/>
        </w:rPr>
      </w:pPr>
    </w:p>
    <w:p w:rsidR="00332FAA" w:rsidRPr="00C24D89" w:rsidRDefault="00332FAA" w:rsidP="00332FAA">
      <w:pPr>
        <w:pStyle w:val="MediumGrid21"/>
        <w:jc w:val="both"/>
        <w:rPr>
          <w:rStyle w:val="Hyperlink"/>
          <w:rFonts w:ascii="Times New Roman" w:hAnsi="Times New Roman"/>
          <w:sz w:val="18"/>
          <w:szCs w:val="18"/>
        </w:rPr>
      </w:pPr>
      <w:r w:rsidRPr="00C24D89">
        <w:rPr>
          <w:rFonts w:ascii="Times New Roman" w:hAnsi="Times New Roman"/>
          <w:b/>
          <w:sz w:val="18"/>
          <w:szCs w:val="18"/>
        </w:rPr>
        <w:t>Kata kunci</w:t>
      </w:r>
      <w:r>
        <w:rPr>
          <w:rFonts w:ascii="Times New Roman" w:hAnsi="Times New Roman"/>
          <w:sz w:val="18"/>
          <w:szCs w:val="18"/>
        </w:rPr>
        <w:t xml:space="preserve"> : sedimen, pencernaan berasid, f</w:t>
      </w:r>
      <w:r w:rsidRPr="00C24D89">
        <w:rPr>
          <w:rFonts w:ascii="Times New Roman" w:hAnsi="Times New Roman"/>
          <w:sz w:val="18"/>
          <w:szCs w:val="18"/>
        </w:rPr>
        <w:t>aktor pengkayaan (EF), Indeks Geo-akumulasi (I</w:t>
      </w:r>
      <w:r w:rsidRPr="00C24D89">
        <w:rPr>
          <w:rFonts w:ascii="Times New Roman" w:hAnsi="Times New Roman"/>
          <w:sz w:val="16"/>
          <w:szCs w:val="16"/>
        </w:rPr>
        <w:t>geo</w:t>
      </w:r>
      <w:r>
        <w:rPr>
          <w:rFonts w:ascii="Times New Roman" w:hAnsi="Times New Roman"/>
          <w:sz w:val="18"/>
          <w:szCs w:val="18"/>
        </w:rPr>
        <w:t xml:space="preserve">), logam </w:t>
      </w:r>
      <w:r w:rsidRPr="00C24D89">
        <w:rPr>
          <w:rFonts w:ascii="Times New Roman" w:hAnsi="Times New Roman"/>
          <w:sz w:val="18"/>
          <w:szCs w:val="18"/>
        </w:rPr>
        <w:t>berat</w:t>
      </w:r>
    </w:p>
    <w:p w:rsidR="006768E9" w:rsidRPr="00332FAA" w:rsidRDefault="006768E9" w:rsidP="006B1068">
      <w:pPr>
        <w:spacing w:after="0" w:line="240" w:lineRule="auto"/>
        <w:jc w:val="center"/>
        <w:rPr>
          <w:rFonts w:ascii="Times New Roman" w:hAnsi="Times New Roman"/>
          <w:noProof/>
          <w:sz w:val="20"/>
          <w:szCs w:val="20"/>
          <w:lang w:bidi="ar-SA"/>
        </w:rPr>
      </w:pPr>
    </w:p>
    <w:p w:rsidR="00E41EE7" w:rsidRDefault="00E41EE7" w:rsidP="006B1068">
      <w:pPr>
        <w:spacing w:after="0" w:line="240" w:lineRule="auto"/>
        <w:jc w:val="center"/>
        <w:rPr>
          <w:rFonts w:ascii="Times New Roman" w:hAnsi="Times New Roman"/>
          <w:noProof/>
          <w:sz w:val="20"/>
          <w:szCs w:val="20"/>
          <w:lang w:bidi="ar-SA"/>
        </w:rPr>
      </w:pPr>
    </w:p>
    <w:p w:rsidR="00525F3F" w:rsidRDefault="00525F3F" w:rsidP="006B1068">
      <w:pPr>
        <w:spacing w:after="0" w:line="240" w:lineRule="auto"/>
        <w:jc w:val="center"/>
        <w:rPr>
          <w:rFonts w:ascii="Times New Roman" w:hAnsi="Times New Roman"/>
          <w:noProof/>
          <w:sz w:val="20"/>
          <w:szCs w:val="20"/>
          <w:lang w:bidi="ar-SA"/>
        </w:rPr>
      </w:pPr>
    </w:p>
    <w:p w:rsidR="00525F3F" w:rsidRPr="00531BCF" w:rsidRDefault="00525F3F"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525F3F" w:rsidRPr="00061075" w:rsidRDefault="00525F3F" w:rsidP="00525F3F">
      <w:pPr>
        <w:pStyle w:val="MediumGrid21"/>
        <w:jc w:val="both"/>
        <w:rPr>
          <w:rFonts w:ascii="Times New Roman" w:hAnsi="Times New Roman"/>
          <w:bCs/>
          <w:sz w:val="20"/>
          <w:szCs w:val="20"/>
        </w:rPr>
      </w:pPr>
      <w:bookmarkStart w:id="6" w:name="OLE_LINK6"/>
      <w:bookmarkStart w:id="7" w:name="OLE_LINK7"/>
      <w:bookmarkStart w:id="8" w:name="OLE_LINK8"/>
      <w:r w:rsidRPr="00061075">
        <w:rPr>
          <w:rFonts w:ascii="Times New Roman" w:eastAsia="Times New Roman" w:hAnsi="Times New Roman"/>
          <w:sz w:val="20"/>
          <w:szCs w:val="20"/>
        </w:rPr>
        <w:t xml:space="preserve">River sediments are a major carrier of heavy metals in an aquatic environment. Sediments are mixture of several components of mineral species and represent the ultimate sink of heavy metals discharged into environment [1]. Chemical leaching of bedrocks, water drainage basins and runoff from river banks are the primary sources of heavy metals in river sediment [2]. Disposal of industrial wastes and applications of biocides for pest are the other anthropogenic sources of metals for river sediment [3]. Heavy metals are categorized as a serious pollutant for an aquatic life because of their toxicity and persistence in the environment [4]. </w:t>
      </w:r>
      <w:r w:rsidRPr="00061075">
        <w:rPr>
          <w:rFonts w:ascii="Times New Roman" w:hAnsi="Times New Roman"/>
          <w:sz w:val="20"/>
          <w:szCs w:val="20"/>
        </w:rPr>
        <w:t xml:space="preserve">Some of the metal pollutants have cancer-causing properties and poisonous than the latter can cause environmental and health problems to human and animals [5]. </w:t>
      </w:r>
      <w:r w:rsidRPr="00061075">
        <w:rPr>
          <w:rFonts w:ascii="Times New Roman" w:eastAsia="Times New Roman" w:hAnsi="Times New Roman"/>
          <w:sz w:val="20"/>
          <w:szCs w:val="20"/>
        </w:rPr>
        <w:t xml:space="preserve">In general, the metal pollutants considered as non-biodegradable materials and usually it is difficult to remove these pollutants from the water system [6]. When enter the environment, metals will distributed between the aqueous phase and the suspended sediments during their transport. Hence, water sediment is regarded as the potential reservoir for metals and plays an important role in adsorption of dissolved heavy metals [7]. Polluted sediments also can act as the important sources of heavy metals, imparting them into the water and reduced water quality [8]. Metal concentration in river sediment can be regarded as a good indicator of the river contamination. </w:t>
      </w:r>
      <w:r w:rsidRPr="00061075">
        <w:rPr>
          <w:rFonts w:ascii="Times New Roman" w:hAnsi="Times New Roman"/>
          <w:sz w:val="20"/>
          <w:szCs w:val="20"/>
        </w:rPr>
        <w:t xml:space="preserve">A Gebeng industrial area is considered as one of the most developed industrial sites in Kuantan, Pahang. </w:t>
      </w:r>
      <w:bookmarkStart w:id="9" w:name="OLE_LINK9"/>
      <w:bookmarkStart w:id="10" w:name="OLE_LINK10"/>
      <w:bookmarkStart w:id="11" w:name="OLE_LINK11"/>
      <w:bookmarkStart w:id="12" w:name="OLE_LINK12"/>
      <w:bookmarkEnd w:id="6"/>
      <w:bookmarkEnd w:id="7"/>
      <w:bookmarkEnd w:id="8"/>
      <w:r w:rsidRPr="00061075">
        <w:rPr>
          <w:rFonts w:ascii="Times New Roman" w:eastAsia="Times New Roman" w:hAnsi="Times New Roman"/>
          <w:sz w:val="20"/>
          <w:szCs w:val="20"/>
        </w:rPr>
        <w:t xml:space="preserve">Since 1970s the area has increased its industrial activities. The area is actively involved in various types of activities including petrochemical, multifarious industries and the latest rare-earth processing plant. The wastes produced from this industrial area are believed indirectly discharged into the adjacent river. Balok River is one of the several rivers in Kuantan that adjacent to the Gebeng industrial estate. </w:t>
      </w:r>
      <w:r w:rsidRPr="00061075">
        <w:rPr>
          <w:rFonts w:ascii="Times New Roman" w:hAnsi="Times New Roman"/>
          <w:sz w:val="20"/>
          <w:szCs w:val="20"/>
        </w:rPr>
        <w:t>B</w:t>
      </w:r>
      <w:r>
        <w:rPr>
          <w:rFonts w:ascii="Times New Roman" w:hAnsi="Times New Roman"/>
          <w:sz w:val="20"/>
          <w:szCs w:val="20"/>
        </w:rPr>
        <w:t xml:space="preserve">alok River originates as </w:t>
      </w:r>
      <w:r w:rsidRPr="00061075">
        <w:rPr>
          <w:rFonts w:ascii="Times New Roman" w:hAnsi="Times New Roman"/>
          <w:sz w:val="20"/>
          <w:szCs w:val="20"/>
        </w:rPr>
        <w:t>Batang Panjang</w:t>
      </w:r>
      <w:r>
        <w:rPr>
          <w:rFonts w:ascii="Times New Roman" w:hAnsi="Times New Roman"/>
          <w:sz w:val="20"/>
          <w:szCs w:val="20"/>
        </w:rPr>
        <w:t xml:space="preserve"> River</w:t>
      </w:r>
      <w:r w:rsidRPr="00061075">
        <w:rPr>
          <w:rFonts w:ascii="Times New Roman" w:hAnsi="Times New Roman"/>
          <w:sz w:val="20"/>
          <w:szCs w:val="20"/>
        </w:rPr>
        <w:t xml:space="preserve"> from the hill to the northwest of Gebeng Industrial area and generally serves the western catchment of this industrial area. The industrial site is within the Balok River catchment and thus all discharges from the industrial site will enter this river system. Balok River flows along the western boundary of Gebeng industrial area to the south before its confluence into the coastal waters of the South China Sea. The primary source of pollution into this river is the drainage discharge from the Gebeng Industrial area along the river channel. This study was conducted in order to </w:t>
      </w:r>
      <w:r>
        <w:rPr>
          <w:rFonts w:ascii="Times New Roman" w:hAnsi="Times New Roman"/>
          <w:sz w:val="20"/>
          <w:szCs w:val="20"/>
        </w:rPr>
        <w:t>measure</w:t>
      </w:r>
      <w:r w:rsidRPr="00061075">
        <w:rPr>
          <w:rFonts w:ascii="Times New Roman" w:hAnsi="Times New Roman"/>
          <w:sz w:val="20"/>
          <w:szCs w:val="20"/>
        </w:rPr>
        <w:t xml:space="preserve"> the concentration level</w:t>
      </w:r>
      <w:r>
        <w:rPr>
          <w:rFonts w:ascii="Times New Roman" w:hAnsi="Times New Roman"/>
          <w:sz w:val="20"/>
          <w:szCs w:val="20"/>
        </w:rPr>
        <w:t>s of</w:t>
      </w:r>
      <w:r w:rsidRPr="00061075">
        <w:rPr>
          <w:rFonts w:ascii="Times New Roman" w:hAnsi="Times New Roman"/>
          <w:sz w:val="20"/>
          <w:szCs w:val="20"/>
        </w:rPr>
        <w:t xml:space="preserve"> the selected </w:t>
      </w:r>
      <w:r>
        <w:rPr>
          <w:rFonts w:ascii="Times New Roman" w:hAnsi="Times New Roman"/>
          <w:sz w:val="20"/>
          <w:szCs w:val="20"/>
        </w:rPr>
        <w:t xml:space="preserve">heavy </w:t>
      </w:r>
      <w:r w:rsidRPr="00061075">
        <w:rPr>
          <w:rFonts w:ascii="Times New Roman" w:hAnsi="Times New Roman"/>
          <w:sz w:val="20"/>
          <w:szCs w:val="20"/>
        </w:rPr>
        <w:t xml:space="preserve">metals in Balok River sediment and to evaluate the pollution status of the river sediment based on geoaccumulation index and </w:t>
      </w:r>
      <w:r>
        <w:rPr>
          <w:rFonts w:ascii="Times New Roman" w:hAnsi="Times New Roman"/>
          <w:sz w:val="20"/>
          <w:szCs w:val="20"/>
        </w:rPr>
        <w:t>enrichment factor.</w:t>
      </w:r>
    </w:p>
    <w:bookmarkEnd w:id="9"/>
    <w:bookmarkEnd w:id="10"/>
    <w:bookmarkEnd w:id="11"/>
    <w:bookmarkEnd w:id="12"/>
    <w:p w:rsidR="006768E9" w:rsidRPr="00802DCC" w:rsidRDefault="006768E9" w:rsidP="00525F3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525F3F" w:rsidRPr="00061075" w:rsidRDefault="00525F3F" w:rsidP="00525F3F">
      <w:pPr>
        <w:pStyle w:val="MediumGrid21"/>
        <w:jc w:val="both"/>
        <w:rPr>
          <w:rFonts w:ascii="Times New Roman" w:hAnsi="Times New Roman"/>
          <w:b/>
          <w:sz w:val="20"/>
          <w:szCs w:val="20"/>
        </w:rPr>
      </w:pPr>
      <w:r>
        <w:rPr>
          <w:rFonts w:ascii="Times New Roman" w:hAnsi="Times New Roman"/>
          <w:b/>
          <w:sz w:val="20"/>
          <w:szCs w:val="20"/>
        </w:rPr>
        <w:t>Sampling Location and Sample C</w:t>
      </w:r>
      <w:r w:rsidRPr="00061075">
        <w:rPr>
          <w:rFonts w:ascii="Times New Roman" w:hAnsi="Times New Roman"/>
          <w:b/>
          <w:sz w:val="20"/>
          <w:szCs w:val="20"/>
        </w:rPr>
        <w:t>ollection</w:t>
      </w:r>
    </w:p>
    <w:p w:rsidR="00525F3F" w:rsidRPr="00061075" w:rsidRDefault="00525F3F" w:rsidP="00525F3F">
      <w:pPr>
        <w:pStyle w:val="MediumGrid21"/>
        <w:jc w:val="both"/>
        <w:rPr>
          <w:rFonts w:ascii="Times New Roman" w:hAnsi="Times New Roman"/>
          <w:sz w:val="20"/>
          <w:szCs w:val="20"/>
        </w:rPr>
      </w:pPr>
      <w:bookmarkStart w:id="13" w:name="OLE_LINK13"/>
      <w:bookmarkStart w:id="14" w:name="OLE_LINK14"/>
      <w:bookmarkStart w:id="15" w:name="OLE_LINK15"/>
      <w:r w:rsidRPr="00061075">
        <w:rPr>
          <w:rFonts w:ascii="Times New Roman" w:hAnsi="Times New Roman"/>
          <w:sz w:val="20"/>
          <w:szCs w:val="20"/>
        </w:rPr>
        <w:t xml:space="preserve">The sediment samples were collected at nine sampling stations along the Balok River which located close to the commercial beach area in Kuantan, eastern part of peninsular Malaysia. Figure 1 shows the nine selected sampling stations along the Balok River. The river flows pass through the wide industrial facilities which include steel industries, palm oil mills and pipe coating and others. The Global positioning System (GPS) was utilized to determine the actual coordinate of the sampling stations and to reconfirm the location of stations during the subsequent sampling periods. The </w:t>
      </w:r>
      <w:r>
        <w:rPr>
          <w:rFonts w:ascii="Times New Roman" w:hAnsi="Times New Roman"/>
          <w:sz w:val="20"/>
          <w:szCs w:val="20"/>
        </w:rPr>
        <w:t>Ponar t</w:t>
      </w:r>
      <w:r w:rsidRPr="00061075">
        <w:rPr>
          <w:rFonts w:ascii="Times New Roman" w:hAnsi="Times New Roman"/>
          <w:sz w:val="20"/>
          <w:szCs w:val="20"/>
        </w:rPr>
        <w:t xml:space="preserve">ype grad sampler </w:t>
      </w:r>
      <w:r>
        <w:rPr>
          <w:rFonts w:ascii="Times New Roman" w:hAnsi="Times New Roman"/>
          <w:sz w:val="20"/>
          <w:szCs w:val="20"/>
        </w:rPr>
        <w:t xml:space="preserve">was </w:t>
      </w:r>
      <w:r w:rsidRPr="00061075">
        <w:rPr>
          <w:rFonts w:ascii="Times New Roman" w:hAnsi="Times New Roman"/>
          <w:sz w:val="20"/>
          <w:szCs w:val="20"/>
        </w:rPr>
        <w:t>used in this study to collect river sediment at about 20 cm deep core. The sediment samples were then kept in a cleaned polyvinyl plastic container to avoid any contamination and transported to the laboratory for further treatment and analysis.</w:t>
      </w:r>
      <w:bookmarkEnd w:id="13"/>
      <w:bookmarkEnd w:id="14"/>
      <w:bookmarkEnd w:id="15"/>
      <w:r w:rsidRPr="00061075">
        <w:rPr>
          <w:rFonts w:ascii="Times New Roman" w:hAnsi="Times New Roman"/>
          <w:sz w:val="20"/>
          <w:szCs w:val="20"/>
        </w:rPr>
        <w:t xml:space="preserve"> The sediment samples were taken along the river within a 5 km long where the distance between sampling sites is 500 m. The sediment sample has also been collected from the remote area of Janda Baik in Bentong as a control. The control sample has been treated and analyzed in the same manner as the real sediment samples. </w:t>
      </w:r>
    </w:p>
    <w:p w:rsidR="00525F3F" w:rsidRDefault="00525F3F" w:rsidP="00525F3F">
      <w:pPr>
        <w:pStyle w:val="MediumGrid21"/>
        <w:jc w:val="both"/>
        <w:rPr>
          <w:rFonts w:ascii="Times New Roman" w:hAnsi="Times New Roman"/>
          <w:sz w:val="20"/>
          <w:szCs w:val="20"/>
        </w:rPr>
      </w:pPr>
    </w:p>
    <w:p w:rsidR="00525F3F" w:rsidRPr="00061075" w:rsidRDefault="00525F3F" w:rsidP="00525F3F">
      <w:pPr>
        <w:pStyle w:val="MediumGrid21"/>
        <w:rPr>
          <w:rFonts w:ascii="Times New Roman" w:hAnsi="Times New Roman"/>
          <w:b/>
          <w:sz w:val="20"/>
          <w:szCs w:val="20"/>
        </w:rPr>
      </w:pPr>
      <w:r w:rsidRPr="00061075">
        <w:rPr>
          <w:rFonts w:ascii="Times New Roman" w:hAnsi="Times New Roman"/>
          <w:b/>
          <w:sz w:val="20"/>
          <w:szCs w:val="20"/>
        </w:rPr>
        <w:t xml:space="preserve">Samples </w:t>
      </w:r>
      <w:r>
        <w:rPr>
          <w:rFonts w:ascii="Times New Roman" w:hAnsi="Times New Roman"/>
          <w:b/>
          <w:sz w:val="20"/>
          <w:szCs w:val="20"/>
        </w:rPr>
        <w:t>Treatment a</w:t>
      </w:r>
      <w:r w:rsidRPr="00061075">
        <w:rPr>
          <w:rFonts w:ascii="Times New Roman" w:hAnsi="Times New Roman"/>
          <w:b/>
          <w:sz w:val="20"/>
          <w:szCs w:val="20"/>
        </w:rPr>
        <w:t>nd Analysis</w:t>
      </w:r>
    </w:p>
    <w:p w:rsidR="00525F3F" w:rsidRDefault="00525F3F" w:rsidP="00525F3F">
      <w:pPr>
        <w:pStyle w:val="MediumGrid21"/>
        <w:jc w:val="both"/>
        <w:rPr>
          <w:rFonts w:ascii="Times New Roman" w:hAnsi="Times New Roman"/>
          <w:sz w:val="20"/>
          <w:szCs w:val="20"/>
        </w:rPr>
      </w:pPr>
      <w:r w:rsidRPr="009F7F69">
        <w:rPr>
          <w:rFonts w:ascii="Times New Roman" w:hAnsi="Times New Roman"/>
          <w:sz w:val="20"/>
          <w:szCs w:val="20"/>
        </w:rPr>
        <w:t>The sediment samples were oven-dried at 100°C, ground with a mortar and sieved. All the laboratory apparatuses were soaked in 10% HNO</w:t>
      </w:r>
      <w:r w:rsidRPr="009F7F69">
        <w:rPr>
          <w:rFonts w:ascii="Times New Roman" w:hAnsi="Times New Roman"/>
          <w:sz w:val="20"/>
          <w:szCs w:val="20"/>
          <w:vertAlign w:val="subscript"/>
        </w:rPr>
        <w:t>3</w:t>
      </w:r>
      <w:r w:rsidRPr="009F7F69">
        <w:rPr>
          <w:rFonts w:ascii="Times New Roman" w:hAnsi="Times New Roman"/>
          <w:sz w:val="20"/>
          <w:szCs w:val="20"/>
        </w:rPr>
        <w:t xml:space="preserve"> (v/v) overnight and rinsed with de-ionized water before being used. A 0.5g sample of the sieved sediment was digested with HNO</w:t>
      </w:r>
      <w:r w:rsidRPr="009F7F69">
        <w:rPr>
          <w:rFonts w:ascii="Times New Roman" w:hAnsi="Times New Roman"/>
          <w:sz w:val="20"/>
          <w:szCs w:val="20"/>
          <w:vertAlign w:val="subscript"/>
        </w:rPr>
        <w:t>3</w:t>
      </w:r>
      <w:r w:rsidRPr="009F7F69">
        <w:rPr>
          <w:rFonts w:ascii="Times New Roman" w:hAnsi="Times New Roman"/>
          <w:sz w:val="20"/>
          <w:szCs w:val="20"/>
        </w:rPr>
        <w:t>, HCl and H</w:t>
      </w:r>
      <w:r w:rsidRPr="009F7F69">
        <w:rPr>
          <w:rFonts w:ascii="Times New Roman" w:hAnsi="Times New Roman"/>
          <w:sz w:val="20"/>
          <w:szCs w:val="20"/>
          <w:vertAlign w:val="subscript"/>
        </w:rPr>
        <w:t>2</w:t>
      </w:r>
      <w:r w:rsidRPr="009F7F69">
        <w:rPr>
          <w:rFonts w:ascii="Times New Roman" w:hAnsi="Times New Roman"/>
          <w:sz w:val="20"/>
          <w:szCs w:val="20"/>
        </w:rPr>
        <w:t>O</w:t>
      </w:r>
      <w:r w:rsidRPr="009F7F69">
        <w:rPr>
          <w:rFonts w:ascii="Times New Roman" w:hAnsi="Times New Roman"/>
          <w:sz w:val="20"/>
          <w:szCs w:val="20"/>
          <w:vertAlign w:val="subscript"/>
        </w:rPr>
        <w:t xml:space="preserve">2 </w:t>
      </w:r>
      <w:r w:rsidRPr="009F7F69">
        <w:rPr>
          <w:rFonts w:ascii="Times New Roman" w:hAnsi="Times New Roman"/>
          <w:sz w:val="20"/>
          <w:szCs w:val="20"/>
        </w:rPr>
        <w:t>in the sealed PTFE vessels using the Milestone Ethos 1 microwave oven. Ten heavy metals (Cd, Co, Cr, Cu, Fe, Mn, Ni, Pb, V and Zn) were quantified by inductively coupled plasma optical emission spectrometer (Perkin Elmer Optima 5300DV ICP-OES). All the sediment samples were analyzed in triplicate including the blank sample to reduce the uncertainty reading of the concentration measurement. The sample of the certified reference material (European Reference Material ERM</w:t>
      </w:r>
      <w:r w:rsidRPr="009F7F69">
        <w:rPr>
          <w:rFonts w:ascii="Times New Roman" w:hAnsi="Times New Roman"/>
          <w:sz w:val="20"/>
          <w:szCs w:val="20"/>
          <w:vertAlign w:val="superscript"/>
        </w:rPr>
        <w:t>®</w:t>
      </w:r>
      <w:r w:rsidRPr="009F7F69">
        <w:rPr>
          <w:rFonts w:ascii="Times New Roman" w:hAnsi="Times New Roman"/>
          <w:sz w:val="20"/>
          <w:szCs w:val="20"/>
        </w:rPr>
        <w:t>-CC141) was analyzed to confirm the accuracy of the analytical method used in this study. The percent recovery obtained for all studied metals were as follows: Cd (80%), Cu (104.80%), Mn (100.80%), Ni (94.90%), Pb (118.01%) and Zn (121.60%).</w:t>
      </w:r>
    </w:p>
    <w:p w:rsidR="00525F3F" w:rsidRDefault="00525F3F" w:rsidP="00525F3F">
      <w:pPr>
        <w:pStyle w:val="MediumGrid21"/>
        <w:jc w:val="both"/>
        <w:rPr>
          <w:rFonts w:ascii="Times New Roman" w:hAnsi="Times New Roman"/>
          <w:sz w:val="20"/>
          <w:szCs w:val="20"/>
        </w:rPr>
      </w:pPr>
    </w:p>
    <w:p w:rsidR="00525F3F" w:rsidRPr="009F7F69" w:rsidRDefault="00525F3F" w:rsidP="00525F3F">
      <w:pPr>
        <w:pStyle w:val="MediumGrid21"/>
        <w:jc w:val="both"/>
        <w:rPr>
          <w:rFonts w:ascii="Times New Roman" w:hAnsi="Times New Roman"/>
          <w:sz w:val="20"/>
          <w:szCs w:val="20"/>
        </w:rPr>
      </w:pPr>
    </w:p>
    <w:p w:rsidR="00525F3F" w:rsidRDefault="00525F3F" w:rsidP="00525F3F">
      <w:pPr>
        <w:spacing w:line="240" w:lineRule="auto"/>
        <w:jc w:val="center"/>
        <w:rPr>
          <w:rFonts w:ascii="Times New Roman" w:hAnsi="Times New Roman"/>
        </w:rPr>
      </w:pPr>
      <w:r>
        <w:rPr>
          <w:rFonts w:ascii="Times New Roman" w:hAnsi="Times New Roman"/>
          <w:noProof/>
          <w:lang w:bidi="ar-SA"/>
        </w:rPr>
        <w:drawing>
          <wp:inline distT="0" distB="0" distL="0" distR="0">
            <wp:extent cx="3476625" cy="1962150"/>
            <wp:effectExtent l="0" t="0" r="9525" b="0"/>
            <wp:docPr id="3" name="Picture 3" descr="C:\Users\Public\Documents\pre-monsoon (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pre-monsoon (stati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76625" cy="1962150"/>
                    </a:xfrm>
                    <a:prstGeom prst="rect">
                      <a:avLst/>
                    </a:prstGeom>
                    <a:noFill/>
                    <a:ln>
                      <a:noFill/>
                    </a:ln>
                  </pic:spPr>
                </pic:pic>
              </a:graphicData>
            </a:graphic>
          </wp:inline>
        </w:drawing>
      </w:r>
    </w:p>
    <w:p w:rsidR="00525F3F" w:rsidRDefault="00525F3F" w:rsidP="00525F3F">
      <w:pPr>
        <w:pStyle w:val="MediumGrid21"/>
        <w:jc w:val="center"/>
        <w:rPr>
          <w:rFonts w:ascii="Times New Roman" w:hAnsi="Times New Roman"/>
          <w:sz w:val="20"/>
          <w:szCs w:val="20"/>
        </w:rPr>
      </w:pPr>
      <w:r w:rsidRPr="00061075">
        <w:rPr>
          <w:rFonts w:ascii="Times New Roman" w:hAnsi="Times New Roman"/>
          <w:sz w:val="20"/>
          <w:szCs w:val="20"/>
        </w:rPr>
        <w:t>Figure</w:t>
      </w:r>
      <w:r>
        <w:rPr>
          <w:rFonts w:ascii="Times New Roman" w:hAnsi="Times New Roman"/>
          <w:sz w:val="20"/>
          <w:szCs w:val="20"/>
        </w:rPr>
        <w:t xml:space="preserve"> 1.  </w:t>
      </w:r>
      <w:r w:rsidRPr="00061075">
        <w:rPr>
          <w:rFonts w:ascii="Times New Roman" w:hAnsi="Times New Roman"/>
          <w:sz w:val="20"/>
          <w:szCs w:val="20"/>
        </w:rPr>
        <w:t>The study area showing all the nine sampling locations along the Balok River</w:t>
      </w:r>
    </w:p>
    <w:p w:rsidR="00525F3F" w:rsidRPr="00061075" w:rsidRDefault="00525F3F" w:rsidP="00525F3F">
      <w:pPr>
        <w:pStyle w:val="MediumGrid21"/>
        <w:jc w:val="center"/>
        <w:rPr>
          <w:rFonts w:ascii="Times New Roman" w:hAnsi="Times New Roman"/>
          <w:sz w:val="20"/>
          <w:szCs w:val="20"/>
        </w:rPr>
      </w:pPr>
    </w:p>
    <w:p w:rsidR="006768E9" w:rsidRPr="00802DCC" w:rsidRDefault="006768E9" w:rsidP="00525F3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525F3F" w:rsidRPr="009F7F69" w:rsidRDefault="00525F3F" w:rsidP="00525F3F">
      <w:pPr>
        <w:pStyle w:val="MediumGrid21"/>
        <w:jc w:val="both"/>
        <w:rPr>
          <w:rFonts w:ascii="Times New Roman" w:hAnsi="Times New Roman"/>
          <w:b/>
          <w:sz w:val="20"/>
          <w:szCs w:val="20"/>
        </w:rPr>
      </w:pPr>
      <w:r>
        <w:rPr>
          <w:rFonts w:ascii="Times New Roman" w:hAnsi="Times New Roman"/>
          <w:b/>
          <w:sz w:val="20"/>
          <w:szCs w:val="20"/>
        </w:rPr>
        <w:t>Heavy Metal Concentrations</w:t>
      </w:r>
    </w:p>
    <w:p w:rsidR="00525F3F" w:rsidRDefault="00525F3F" w:rsidP="00525F3F">
      <w:pPr>
        <w:pStyle w:val="MediumGrid21"/>
        <w:jc w:val="both"/>
        <w:rPr>
          <w:rFonts w:ascii="Times New Roman" w:hAnsi="Times New Roman"/>
          <w:sz w:val="20"/>
          <w:szCs w:val="20"/>
        </w:rPr>
      </w:pPr>
      <w:bookmarkStart w:id="16" w:name="OLE_LINK19"/>
      <w:bookmarkStart w:id="17" w:name="OLE_LINK20"/>
      <w:r w:rsidRPr="009F7F69">
        <w:rPr>
          <w:rFonts w:ascii="Times New Roman" w:hAnsi="Times New Roman"/>
          <w:sz w:val="20"/>
          <w:szCs w:val="20"/>
        </w:rPr>
        <w:t xml:space="preserve">Table 1 represents the total concentrations of the selected metals </w:t>
      </w:r>
      <w:r>
        <w:rPr>
          <w:rFonts w:ascii="Times New Roman" w:hAnsi="Times New Roman"/>
          <w:sz w:val="20"/>
          <w:szCs w:val="20"/>
        </w:rPr>
        <w:t>measured</w:t>
      </w:r>
      <w:r w:rsidRPr="009F7F69">
        <w:rPr>
          <w:rFonts w:ascii="Times New Roman" w:hAnsi="Times New Roman"/>
          <w:sz w:val="20"/>
          <w:szCs w:val="20"/>
        </w:rPr>
        <w:t xml:space="preserve"> in the studied sediments. Based on the mean values of the metal concentrations, the metals follows in the following order, from the highest to the lowest; Fe &gt; Zn &gt; Mn &gt; V &gt; Cr &gt; Pb &gt; Cu &gt; Ni &gt;</w:t>
      </w:r>
      <w:r>
        <w:rPr>
          <w:rFonts w:ascii="Times New Roman" w:hAnsi="Times New Roman"/>
          <w:sz w:val="20"/>
          <w:szCs w:val="20"/>
        </w:rPr>
        <w:t xml:space="preserve"> Co &gt;</w:t>
      </w:r>
      <w:r w:rsidRPr="009F7F69">
        <w:rPr>
          <w:rFonts w:ascii="Times New Roman" w:hAnsi="Times New Roman"/>
          <w:sz w:val="20"/>
          <w:szCs w:val="20"/>
        </w:rPr>
        <w:t xml:space="preserve"> Cd. The data clearly indicate that Fe and Zn are </w:t>
      </w:r>
      <w:r>
        <w:rPr>
          <w:rFonts w:ascii="Times New Roman" w:hAnsi="Times New Roman"/>
          <w:sz w:val="20"/>
          <w:szCs w:val="20"/>
        </w:rPr>
        <w:t>the two elements that domina</w:t>
      </w:r>
      <w:r w:rsidRPr="009F7F69">
        <w:rPr>
          <w:rFonts w:ascii="Times New Roman" w:hAnsi="Times New Roman"/>
          <w:sz w:val="20"/>
          <w:szCs w:val="20"/>
        </w:rPr>
        <w:t>t</w:t>
      </w:r>
      <w:r>
        <w:rPr>
          <w:rFonts w:ascii="Times New Roman" w:hAnsi="Times New Roman"/>
          <w:sz w:val="20"/>
          <w:szCs w:val="20"/>
        </w:rPr>
        <w:t>ed</w:t>
      </w:r>
      <w:r w:rsidRPr="009F7F69">
        <w:rPr>
          <w:rFonts w:ascii="Times New Roman" w:hAnsi="Times New Roman"/>
          <w:sz w:val="20"/>
          <w:szCs w:val="20"/>
        </w:rPr>
        <w:t xml:space="preserve"> in the surface sediment samples of the Balok River. </w:t>
      </w:r>
      <w:r>
        <w:rPr>
          <w:rFonts w:ascii="Times New Roman" w:hAnsi="Times New Roman"/>
          <w:sz w:val="20"/>
          <w:szCs w:val="20"/>
        </w:rPr>
        <w:t xml:space="preserve">The existence of these two metals in river sediment could be related to the natural origin [9]. </w:t>
      </w:r>
      <w:r w:rsidRPr="009F7F69">
        <w:rPr>
          <w:rFonts w:ascii="Times New Roman" w:hAnsi="Times New Roman"/>
          <w:sz w:val="20"/>
          <w:szCs w:val="20"/>
        </w:rPr>
        <w:t>Anthropogenic related elements, V, Cr, Pb and Ni show</w:t>
      </w:r>
      <w:r>
        <w:rPr>
          <w:rFonts w:ascii="Times New Roman" w:hAnsi="Times New Roman"/>
          <w:sz w:val="20"/>
          <w:szCs w:val="20"/>
        </w:rPr>
        <w:t>ed</w:t>
      </w:r>
      <w:r w:rsidRPr="009F7F69">
        <w:rPr>
          <w:rFonts w:ascii="Times New Roman" w:hAnsi="Times New Roman"/>
          <w:sz w:val="20"/>
          <w:szCs w:val="20"/>
        </w:rPr>
        <w:t xml:space="preserve"> a lower concentration than the lithogenic related elements, Fe and Zn. </w:t>
      </w:r>
      <w:r>
        <w:rPr>
          <w:rFonts w:ascii="Times New Roman" w:hAnsi="Times New Roman"/>
          <w:sz w:val="20"/>
          <w:szCs w:val="20"/>
        </w:rPr>
        <w:t xml:space="preserve">Meanwhile, </w:t>
      </w:r>
      <w:r w:rsidRPr="009F7F69">
        <w:rPr>
          <w:rFonts w:ascii="Times New Roman" w:hAnsi="Times New Roman"/>
          <w:sz w:val="20"/>
          <w:szCs w:val="20"/>
        </w:rPr>
        <w:t xml:space="preserve">Co and Cd are the two </w:t>
      </w:r>
      <w:r>
        <w:rPr>
          <w:rFonts w:ascii="Times New Roman" w:hAnsi="Times New Roman"/>
          <w:sz w:val="20"/>
          <w:szCs w:val="20"/>
        </w:rPr>
        <w:t xml:space="preserve">metals </w:t>
      </w:r>
      <w:r w:rsidRPr="009F7F69">
        <w:rPr>
          <w:rFonts w:ascii="Times New Roman" w:hAnsi="Times New Roman"/>
          <w:sz w:val="20"/>
          <w:szCs w:val="20"/>
        </w:rPr>
        <w:t>that</w:t>
      </w:r>
      <w:r>
        <w:rPr>
          <w:rFonts w:ascii="Times New Roman" w:hAnsi="Times New Roman"/>
          <w:sz w:val="20"/>
          <w:szCs w:val="20"/>
        </w:rPr>
        <w:t xml:space="preserve"> were observed</w:t>
      </w:r>
      <w:r w:rsidRPr="009F7F69">
        <w:rPr>
          <w:rFonts w:ascii="Times New Roman" w:hAnsi="Times New Roman"/>
          <w:sz w:val="20"/>
          <w:szCs w:val="20"/>
        </w:rPr>
        <w:t xml:space="preserve"> in the lowest mean concentration</w:t>
      </w:r>
      <w:r>
        <w:rPr>
          <w:rFonts w:ascii="Times New Roman" w:hAnsi="Times New Roman"/>
          <w:sz w:val="20"/>
          <w:szCs w:val="20"/>
        </w:rPr>
        <w:t>.</w:t>
      </w:r>
      <w:r w:rsidRPr="009F7F69">
        <w:rPr>
          <w:rFonts w:ascii="Times New Roman" w:hAnsi="Times New Roman"/>
          <w:sz w:val="20"/>
          <w:szCs w:val="20"/>
        </w:rPr>
        <w:t xml:space="preserve"> </w:t>
      </w: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r>
        <w:rPr>
          <w:rFonts w:ascii="Times New Roman" w:hAnsi="Times New Roman"/>
          <w:sz w:val="20"/>
          <w:szCs w:val="20"/>
        </w:rPr>
        <w:t>In general</w:t>
      </w:r>
      <w:r w:rsidRPr="009F7F69">
        <w:rPr>
          <w:rFonts w:ascii="Times New Roman" w:hAnsi="Times New Roman"/>
          <w:sz w:val="20"/>
          <w:szCs w:val="20"/>
        </w:rPr>
        <w:t xml:space="preserve">, the metal contents of the sediment samples </w:t>
      </w:r>
      <w:r>
        <w:rPr>
          <w:rFonts w:ascii="Times New Roman" w:hAnsi="Times New Roman"/>
          <w:sz w:val="20"/>
          <w:szCs w:val="20"/>
        </w:rPr>
        <w:t>were</w:t>
      </w:r>
      <w:r w:rsidRPr="009F7F69">
        <w:rPr>
          <w:rFonts w:ascii="Times New Roman" w:hAnsi="Times New Roman"/>
          <w:sz w:val="20"/>
          <w:szCs w:val="20"/>
        </w:rPr>
        <w:t xml:space="preserve"> </w:t>
      </w:r>
      <w:r>
        <w:rPr>
          <w:rFonts w:ascii="Times New Roman" w:hAnsi="Times New Roman"/>
          <w:sz w:val="20"/>
          <w:szCs w:val="20"/>
        </w:rPr>
        <w:t xml:space="preserve">significantly </w:t>
      </w:r>
      <w:r w:rsidRPr="009F7F69">
        <w:rPr>
          <w:rFonts w:ascii="Times New Roman" w:hAnsi="Times New Roman"/>
          <w:sz w:val="20"/>
          <w:szCs w:val="20"/>
        </w:rPr>
        <w:t xml:space="preserve">higher compared to the background </w:t>
      </w:r>
      <w:r>
        <w:rPr>
          <w:rFonts w:ascii="Times New Roman" w:hAnsi="Times New Roman"/>
          <w:sz w:val="20"/>
          <w:szCs w:val="20"/>
        </w:rPr>
        <w:t>concentration</w:t>
      </w:r>
      <w:r w:rsidRPr="009F7F69">
        <w:rPr>
          <w:rFonts w:ascii="Times New Roman" w:hAnsi="Times New Roman"/>
          <w:sz w:val="20"/>
          <w:szCs w:val="20"/>
        </w:rPr>
        <w:t xml:space="preserve">. This indirectly </w:t>
      </w:r>
      <w:r>
        <w:rPr>
          <w:rFonts w:ascii="Times New Roman" w:hAnsi="Times New Roman"/>
          <w:sz w:val="20"/>
          <w:szCs w:val="20"/>
        </w:rPr>
        <w:t xml:space="preserve">indicates the influence </w:t>
      </w:r>
      <w:r w:rsidRPr="009F7F69">
        <w:rPr>
          <w:rFonts w:ascii="Times New Roman" w:hAnsi="Times New Roman"/>
          <w:sz w:val="20"/>
          <w:szCs w:val="20"/>
        </w:rPr>
        <w:t>of the</w:t>
      </w:r>
      <w:r>
        <w:rPr>
          <w:rFonts w:ascii="Times New Roman" w:hAnsi="Times New Roman"/>
          <w:sz w:val="20"/>
          <w:szCs w:val="20"/>
        </w:rPr>
        <w:t xml:space="preserve"> contribution of anthropogenic</w:t>
      </w:r>
      <w:r w:rsidRPr="009F7F69">
        <w:rPr>
          <w:rFonts w:ascii="Times New Roman" w:hAnsi="Times New Roman"/>
          <w:sz w:val="20"/>
          <w:szCs w:val="20"/>
        </w:rPr>
        <w:t xml:space="preserve"> activities </w:t>
      </w:r>
      <w:r>
        <w:rPr>
          <w:rFonts w:ascii="Times New Roman" w:hAnsi="Times New Roman"/>
          <w:sz w:val="20"/>
          <w:szCs w:val="20"/>
        </w:rPr>
        <w:t>to the elevation of the metal contents to</w:t>
      </w:r>
      <w:r w:rsidRPr="009F7F69">
        <w:rPr>
          <w:rFonts w:ascii="Times New Roman" w:hAnsi="Times New Roman"/>
          <w:sz w:val="20"/>
          <w:szCs w:val="20"/>
        </w:rPr>
        <w:t xml:space="preserve"> this particular river. The concentrations</w:t>
      </w:r>
      <w:r>
        <w:rPr>
          <w:rFonts w:ascii="Times New Roman" w:hAnsi="Times New Roman"/>
          <w:sz w:val="20"/>
          <w:szCs w:val="20"/>
        </w:rPr>
        <w:t xml:space="preserve"> of all elements were measured in </w:t>
      </w:r>
      <w:r w:rsidRPr="009F7F69">
        <w:rPr>
          <w:rFonts w:ascii="Times New Roman" w:hAnsi="Times New Roman"/>
          <w:sz w:val="20"/>
          <w:szCs w:val="20"/>
        </w:rPr>
        <w:t xml:space="preserve">low percent </w:t>
      </w:r>
      <w:r>
        <w:rPr>
          <w:rFonts w:ascii="Times New Roman" w:hAnsi="Times New Roman"/>
          <w:sz w:val="20"/>
          <w:szCs w:val="20"/>
        </w:rPr>
        <w:t xml:space="preserve">of </w:t>
      </w:r>
      <w:r w:rsidRPr="009F7F69">
        <w:rPr>
          <w:rFonts w:ascii="Times New Roman" w:hAnsi="Times New Roman"/>
          <w:sz w:val="20"/>
          <w:szCs w:val="20"/>
        </w:rPr>
        <w:t>standard deviation except for Co and Pb which</w:t>
      </w:r>
      <w:r>
        <w:rPr>
          <w:rFonts w:ascii="Times New Roman" w:hAnsi="Times New Roman"/>
          <w:sz w:val="20"/>
          <w:szCs w:val="20"/>
        </w:rPr>
        <w:t xml:space="preserve"> were</w:t>
      </w:r>
      <w:r w:rsidRPr="009F7F69">
        <w:rPr>
          <w:rFonts w:ascii="Times New Roman" w:hAnsi="Times New Roman"/>
          <w:sz w:val="20"/>
          <w:szCs w:val="20"/>
        </w:rPr>
        <w:t xml:space="preserve"> measured with</w:t>
      </w:r>
      <w:r>
        <w:rPr>
          <w:rFonts w:ascii="Times New Roman" w:hAnsi="Times New Roman"/>
          <w:sz w:val="20"/>
          <w:szCs w:val="20"/>
        </w:rPr>
        <w:t xml:space="preserve"> 78.7</w:t>
      </w:r>
      <w:r w:rsidRPr="009F7F69">
        <w:rPr>
          <w:rFonts w:ascii="Times New Roman" w:hAnsi="Times New Roman"/>
          <w:sz w:val="20"/>
          <w:szCs w:val="20"/>
        </w:rPr>
        <w:t xml:space="preserve"> and 54.5 % </w:t>
      </w:r>
      <w:r>
        <w:rPr>
          <w:rFonts w:ascii="Times New Roman" w:hAnsi="Times New Roman"/>
          <w:sz w:val="20"/>
          <w:szCs w:val="20"/>
        </w:rPr>
        <w:t xml:space="preserve">deviation </w:t>
      </w:r>
      <w:r w:rsidRPr="009F7F69">
        <w:rPr>
          <w:rFonts w:ascii="Times New Roman" w:hAnsi="Times New Roman"/>
          <w:sz w:val="20"/>
          <w:szCs w:val="20"/>
        </w:rPr>
        <w:t xml:space="preserve">respectively. The high </w:t>
      </w:r>
      <w:r>
        <w:rPr>
          <w:rFonts w:ascii="Times New Roman" w:hAnsi="Times New Roman"/>
          <w:sz w:val="20"/>
          <w:szCs w:val="20"/>
        </w:rPr>
        <w:t>value</w:t>
      </w:r>
      <w:r w:rsidRPr="009F7F69">
        <w:rPr>
          <w:rFonts w:ascii="Times New Roman" w:hAnsi="Times New Roman"/>
          <w:sz w:val="20"/>
          <w:szCs w:val="20"/>
        </w:rPr>
        <w:t xml:space="preserve"> of standard deviation </w:t>
      </w:r>
      <w:r>
        <w:rPr>
          <w:rFonts w:ascii="Times New Roman" w:hAnsi="Times New Roman"/>
          <w:sz w:val="20"/>
          <w:szCs w:val="20"/>
        </w:rPr>
        <w:t>would indicate</w:t>
      </w:r>
      <w:r w:rsidRPr="009F7F69">
        <w:rPr>
          <w:rFonts w:ascii="Times New Roman" w:hAnsi="Times New Roman"/>
          <w:sz w:val="20"/>
          <w:szCs w:val="20"/>
        </w:rPr>
        <w:t xml:space="preserve"> a strong skewness </w:t>
      </w:r>
      <w:r>
        <w:rPr>
          <w:rFonts w:ascii="Times New Roman" w:hAnsi="Times New Roman"/>
          <w:sz w:val="20"/>
          <w:szCs w:val="20"/>
        </w:rPr>
        <w:t xml:space="preserve">of the concentration of </w:t>
      </w:r>
      <w:r w:rsidRPr="009F7F69">
        <w:rPr>
          <w:rFonts w:ascii="Times New Roman" w:hAnsi="Times New Roman"/>
          <w:sz w:val="20"/>
          <w:szCs w:val="20"/>
        </w:rPr>
        <w:t>these t</w:t>
      </w:r>
      <w:r>
        <w:rPr>
          <w:rFonts w:ascii="Times New Roman" w:hAnsi="Times New Roman"/>
          <w:sz w:val="20"/>
          <w:szCs w:val="20"/>
        </w:rPr>
        <w:t>wo elements among the nine sampling stations. The reason for the</w:t>
      </w:r>
      <w:r w:rsidRPr="009F7F69">
        <w:rPr>
          <w:rFonts w:ascii="Times New Roman" w:hAnsi="Times New Roman"/>
          <w:sz w:val="20"/>
          <w:szCs w:val="20"/>
        </w:rPr>
        <w:t xml:space="preserve"> strong skewness </w:t>
      </w:r>
      <w:r>
        <w:rPr>
          <w:rFonts w:ascii="Times New Roman" w:hAnsi="Times New Roman"/>
          <w:sz w:val="20"/>
          <w:szCs w:val="20"/>
        </w:rPr>
        <w:t xml:space="preserve">could be </w:t>
      </w:r>
      <w:r w:rsidRPr="009F7F69">
        <w:rPr>
          <w:rFonts w:ascii="Times New Roman" w:hAnsi="Times New Roman"/>
          <w:sz w:val="20"/>
          <w:szCs w:val="20"/>
        </w:rPr>
        <w:t>e</w:t>
      </w:r>
      <w:r>
        <w:rPr>
          <w:rFonts w:ascii="Times New Roman" w:hAnsi="Times New Roman"/>
          <w:sz w:val="20"/>
          <w:szCs w:val="20"/>
        </w:rPr>
        <w:t>xplained by a high concentration of the two metals that was recorded at</w:t>
      </w:r>
      <w:r w:rsidRPr="009F7F69">
        <w:rPr>
          <w:rFonts w:ascii="Times New Roman" w:hAnsi="Times New Roman"/>
          <w:sz w:val="20"/>
          <w:szCs w:val="20"/>
        </w:rPr>
        <w:t xml:space="preserve"> </w:t>
      </w:r>
      <w:r>
        <w:rPr>
          <w:rFonts w:ascii="Times New Roman" w:hAnsi="Times New Roman"/>
          <w:sz w:val="20"/>
          <w:szCs w:val="20"/>
        </w:rPr>
        <w:t>St9</w:t>
      </w:r>
      <w:r w:rsidRPr="009F7F69">
        <w:rPr>
          <w:rFonts w:ascii="Times New Roman" w:hAnsi="Times New Roman"/>
          <w:sz w:val="20"/>
          <w:szCs w:val="20"/>
        </w:rPr>
        <w:t xml:space="preserve"> </w:t>
      </w:r>
      <w:r>
        <w:rPr>
          <w:rFonts w:ascii="Times New Roman" w:hAnsi="Times New Roman"/>
          <w:sz w:val="20"/>
          <w:szCs w:val="20"/>
        </w:rPr>
        <w:t>with 48.4 and 70.8 mg/kg for</w:t>
      </w:r>
      <w:r w:rsidRPr="009F7F69">
        <w:rPr>
          <w:rFonts w:ascii="Times New Roman" w:hAnsi="Times New Roman"/>
          <w:sz w:val="20"/>
          <w:szCs w:val="20"/>
        </w:rPr>
        <w:t xml:space="preserve"> Co and Pb respectively.</w:t>
      </w:r>
    </w:p>
    <w:p w:rsidR="00525F3F" w:rsidRDefault="00525F3F" w:rsidP="00525F3F">
      <w:pPr>
        <w:pStyle w:val="MediumGrid21"/>
        <w:jc w:val="both"/>
        <w:rPr>
          <w:rFonts w:ascii="Times New Roman" w:hAnsi="Times New Roman"/>
          <w:sz w:val="20"/>
          <w:szCs w:val="20"/>
        </w:rPr>
      </w:pPr>
    </w:p>
    <w:p w:rsidR="00525F3F" w:rsidRPr="003421A1" w:rsidRDefault="00525F3F" w:rsidP="00525F3F">
      <w:pPr>
        <w:pStyle w:val="MediumGrid21"/>
        <w:jc w:val="both"/>
        <w:rPr>
          <w:rFonts w:ascii="Times New Roman" w:hAnsi="Times New Roman"/>
          <w:b/>
          <w:sz w:val="20"/>
          <w:szCs w:val="20"/>
        </w:rPr>
      </w:pPr>
      <w:r>
        <w:rPr>
          <w:rFonts w:ascii="Times New Roman" w:hAnsi="Times New Roman"/>
          <w:b/>
          <w:sz w:val="20"/>
          <w:szCs w:val="20"/>
        </w:rPr>
        <w:t>Inter-element R</w:t>
      </w:r>
      <w:r w:rsidRPr="003421A1">
        <w:rPr>
          <w:rFonts w:ascii="Times New Roman" w:hAnsi="Times New Roman"/>
          <w:b/>
          <w:sz w:val="20"/>
          <w:szCs w:val="20"/>
        </w:rPr>
        <w:t xml:space="preserve">elationships </w:t>
      </w:r>
    </w:p>
    <w:p w:rsidR="00525F3F" w:rsidRDefault="00525F3F" w:rsidP="00525F3F">
      <w:pPr>
        <w:pStyle w:val="MediumGrid21"/>
        <w:jc w:val="both"/>
        <w:rPr>
          <w:rFonts w:ascii="Times New Roman" w:hAnsi="Times New Roman"/>
          <w:sz w:val="20"/>
          <w:szCs w:val="20"/>
        </w:rPr>
      </w:pPr>
      <w:r w:rsidRPr="009C21B5">
        <w:rPr>
          <w:rFonts w:ascii="Times New Roman" w:hAnsi="Times New Roman"/>
          <w:sz w:val="20"/>
          <w:szCs w:val="20"/>
        </w:rPr>
        <w:t xml:space="preserve">Inter-element relationships data are useful to obtain the interesting information on element sources and </w:t>
      </w:r>
      <w:r>
        <w:rPr>
          <w:rFonts w:ascii="Times New Roman" w:hAnsi="Times New Roman"/>
          <w:sz w:val="20"/>
          <w:szCs w:val="20"/>
        </w:rPr>
        <w:t xml:space="preserve">its </w:t>
      </w:r>
      <w:r w:rsidRPr="009C21B5">
        <w:rPr>
          <w:rFonts w:ascii="Times New Roman" w:hAnsi="Times New Roman"/>
          <w:sz w:val="20"/>
          <w:szCs w:val="20"/>
        </w:rPr>
        <w:t xml:space="preserve">pathways </w:t>
      </w:r>
      <w:r>
        <w:rPr>
          <w:rFonts w:ascii="Times New Roman" w:hAnsi="Times New Roman"/>
          <w:sz w:val="20"/>
          <w:szCs w:val="20"/>
        </w:rPr>
        <w:t xml:space="preserve">[10]. </w:t>
      </w:r>
      <w:r w:rsidRPr="009C21B5">
        <w:rPr>
          <w:rFonts w:ascii="Times New Roman" w:hAnsi="Times New Roman"/>
          <w:sz w:val="20"/>
          <w:szCs w:val="20"/>
        </w:rPr>
        <w:t xml:space="preserve">The inter-relationship of the </w:t>
      </w:r>
      <w:r>
        <w:rPr>
          <w:rFonts w:ascii="Times New Roman" w:hAnsi="Times New Roman"/>
          <w:sz w:val="20"/>
          <w:szCs w:val="20"/>
        </w:rPr>
        <w:t>metals</w:t>
      </w:r>
      <w:r w:rsidRPr="009C21B5">
        <w:rPr>
          <w:rFonts w:ascii="Times New Roman" w:hAnsi="Times New Roman"/>
          <w:sz w:val="20"/>
          <w:szCs w:val="20"/>
        </w:rPr>
        <w:t xml:space="preserve"> </w:t>
      </w:r>
      <w:r>
        <w:rPr>
          <w:rFonts w:ascii="Times New Roman" w:hAnsi="Times New Roman"/>
          <w:sz w:val="20"/>
          <w:szCs w:val="20"/>
        </w:rPr>
        <w:t>obtained in this study</w:t>
      </w:r>
      <w:r w:rsidRPr="009C21B5">
        <w:rPr>
          <w:rFonts w:ascii="Times New Roman" w:hAnsi="Times New Roman"/>
          <w:sz w:val="20"/>
          <w:szCs w:val="20"/>
        </w:rPr>
        <w:t xml:space="preserve"> </w:t>
      </w:r>
      <w:r>
        <w:rPr>
          <w:rFonts w:ascii="Times New Roman" w:hAnsi="Times New Roman"/>
          <w:sz w:val="20"/>
          <w:szCs w:val="20"/>
        </w:rPr>
        <w:t>is</w:t>
      </w:r>
      <w:r w:rsidRPr="009C21B5">
        <w:rPr>
          <w:rFonts w:ascii="Times New Roman" w:hAnsi="Times New Roman"/>
          <w:sz w:val="20"/>
          <w:szCs w:val="20"/>
        </w:rPr>
        <w:t xml:space="preserve"> shown in Table 2. The inter-relationship data</w:t>
      </w:r>
      <w:r>
        <w:rPr>
          <w:rFonts w:ascii="Times New Roman" w:hAnsi="Times New Roman"/>
          <w:sz w:val="20"/>
          <w:szCs w:val="20"/>
        </w:rPr>
        <w:t xml:space="preserve"> clearly</w:t>
      </w:r>
      <w:r w:rsidRPr="009C21B5">
        <w:rPr>
          <w:rFonts w:ascii="Times New Roman" w:hAnsi="Times New Roman"/>
          <w:sz w:val="20"/>
          <w:szCs w:val="20"/>
        </w:rPr>
        <w:t xml:space="preserve"> </w:t>
      </w:r>
      <w:r>
        <w:rPr>
          <w:rFonts w:ascii="Times New Roman" w:hAnsi="Times New Roman"/>
          <w:sz w:val="20"/>
          <w:szCs w:val="20"/>
        </w:rPr>
        <w:t>indicate that</w:t>
      </w:r>
      <w:r w:rsidRPr="009C21B5">
        <w:rPr>
          <w:rFonts w:ascii="Times New Roman" w:hAnsi="Times New Roman"/>
          <w:sz w:val="20"/>
          <w:szCs w:val="20"/>
        </w:rPr>
        <w:t xml:space="preserve"> Fe was significantly correlated with </w:t>
      </w:r>
      <w:r>
        <w:rPr>
          <w:rFonts w:ascii="Times New Roman" w:hAnsi="Times New Roman"/>
          <w:sz w:val="20"/>
          <w:szCs w:val="20"/>
        </w:rPr>
        <w:t xml:space="preserve">the metals of </w:t>
      </w:r>
      <w:r w:rsidRPr="009C21B5">
        <w:rPr>
          <w:rFonts w:ascii="Times New Roman" w:hAnsi="Times New Roman"/>
          <w:sz w:val="20"/>
          <w:szCs w:val="20"/>
        </w:rPr>
        <w:t xml:space="preserve">Zn, Co, Pb and Cu. Fe is more readily deposited element and its silicate, carbonate and hydroxide are less soluble compared to the other metals </w:t>
      </w:r>
      <w:r>
        <w:rPr>
          <w:rFonts w:ascii="Times New Roman" w:hAnsi="Times New Roman"/>
          <w:sz w:val="20"/>
          <w:szCs w:val="20"/>
        </w:rPr>
        <w:t xml:space="preserve">[11]. </w:t>
      </w:r>
      <w:r w:rsidRPr="009C21B5">
        <w:rPr>
          <w:rFonts w:ascii="Times New Roman" w:hAnsi="Times New Roman"/>
          <w:sz w:val="20"/>
          <w:szCs w:val="20"/>
        </w:rPr>
        <w:t xml:space="preserve">Fe is considered as among the major components of the earth’s crust and accumulation in sediment is the result of long-term exposure. This </w:t>
      </w:r>
      <w:r>
        <w:rPr>
          <w:rFonts w:ascii="Times New Roman" w:hAnsi="Times New Roman"/>
          <w:sz w:val="20"/>
          <w:szCs w:val="20"/>
        </w:rPr>
        <w:t>strongly</w:t>
      </w:r>
      <w:r w:rsidRPr="009C21B5">
        <w:rPr>
          <w:rFonts w:ascii="Times New Roman" w:hAnsi="Times New Roman"/>
          <w:sz w:val="20"/>
          <w:szCs w:val="20"/>
        </w:rPr>
        <w:t xml:space="preserve"> suggests that the existences of the five elements in the river sediment </w:t>
      </w:r>
      <w:r>
        <w:rPr>
          <w:rFonts w:ascii="Times New Roman" w:hAnsi="Times New Roman"/>
          <w:sz w:val="20"/>
          <w:szCs w:val="20"/>
        </w:rPr>
        <w:t>were</w:t>
      </w:r>
      <w:r w:rsidRPr="009C21B5">
        <w:rPr>
          <w:rFonts w:ascii="Times New Roman" w:hAnsi="Times New Roman"/>
          <w:sz w:val="20"/>
          <w:szCs w:val="20"/>
        </w:rPr>
        <w:t xml:space="preserve"> controlled by the “natural factor” of the lithogenic process during weathering progress of natural parent materials such as rocks and soils. </w:t>
      </w: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Default="00525F3F" w:rsidP="00525F3F">
      <w:pPr>
        <w:pStyle w:val="MediumGrid21"/>
        <w:jc w:val="both"/>
        <w:rPr>
          <w:rFonts w:ascii="Times New Roman" w:hAnsi="Times New Roman"/>
          <w:sz w:val="20"/>
          <w:szCs w:val="20"/>
        </w:rPr>
      </w:pPr>
    </w:p>
    <w:p w:rsidR="00525F3F" w:rsidRPr="009F7F69" w:rsidRDefault="00525F3F" w:rsidP="00525F3F">
      <w:pPr>
        <w:pStyle w:val="MediumGrid21"/>
        <w:jc w:val="both"/>
        <w:rPr>
          <w:rFonts w:ascii="Times New Roman" w:hAnsi="Times New Roman"/>
          <w:sz w:val="20"/>
          <w:szCs w:val="20"/>
        </w:rPr>
      </w:pPr>
    </w:p>
    <w:bookmarkEnd w:id="16"/>
    <w:bookmarkEnd w:id="17"/>
    <w:p w:rsidR="00525F3F" w:rsidRPr="003421A1" w:rsidRDefault="00525F3F" w:rsidP="00525F3F">
      <w:pPr>
        <w:pStyle w:val="MediumGrid21"/>
        <w:spacing w:after="120"/>
        <w:jc w:val="center"/>
        <w:rPr>
          <w:rFonts w:ascii="Times New Roman" w:hAnsi="Times New Roman"/>
          <w:sz w:val="20"/>
          <w:szCs w:val="20"/>
        </w:rPr>
      </w:pPr>
      <w:r w:rsidRPr="00CB60FC">
        <w:rPr>
          <w:rFonts w:ascii="Times New Roman" w:hAnsi="Times New Roman"/>
          <w:sz w:val="20"/>
          <w:szCs w:val="20"/>
        </w:rPr>
        <w:lastRenderedPageBreak/>
        <w:t>Table 1</w:t>
      </w:r>
      <w:r>
        <w:rPr>
          <w:rFonts w:ascii="Times New Roman" w:hAnsi="Times New Roman"/>
          <w:sz w:val="20"/>
          <w:szCs w:val="20"/>
        </w:rPr>
        <w:t xml:space="preserve">.  </w:t>
      </w:r>
      <w:r w:rsidRPr="003421A1">
        <w:rPr>
          <w:rFonts w:ascii="Times New Roman" w:hAnsi="Times New Roman"/>
          <w:sz w:val="20"/>
          <w:szCs w:val="20"/>
        </w:rPr>
        <w:t>Concentration of heavy metals measured at nine sampling stations throughout the river</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1347"/>
        <w:gridCol w:w="774"/>
        <w:gridCol w:w="773"/>
        <w:gridCol w:w="773"/>
        <w:gridCol w:w="773"/>
        <w:gridCol w:w="970"/>
        <w:gridCol w:w="905"/>
        <w:gridCol w:w="773"/>
        <w:gridCol w:w="773"/>
        <w:gridCol w:w="773"/>
        <w:gridCol w:w="913"/>
      </w:tblGrid>
      <w:tr w:rsidR="00525F3F" w:rsidRPr="00525F3F" w:rsidTr="00525F3F">
        <w:trPr>
          <w:trHeight w:val="367"/>
          <w:jc w:val="center"/>
        </w:trPr>
        <w:tc>
          <w:tcPr>
            <w:tcW w:w="705" w:type="pct"/>
            <w:tcBorders>
              <w:top w:val="single" w:sz="4" w:space="0" w:color="auto"/>
              <w:left w:val="nil"/>
              <w:bottom w:val="nil"/>
              <w:right w:val="nil"/>
            </w:tcBorders>
            <w:shd w:val="clear" w:color="auto" w:fill="auto"/>
          </w:tcPr>
          <w:p w:rsidR="00525F3F" w:rsidRPr="00525F3F" w:rsidRDefault="00525F3F" w:rsidP="00525F3F">
            <w:pPr>
              <w:pStyle w:val="MediumGrid21"/>
              <w:spacing w:before="60"/>
              <w:rPr>
                <w:rFonts w:ascii="Times New Roman" w:hAnsi="Times New Roman"/>
                <w:b/>
                <w:bCs/>
                <w:sz w:val="20"/>
                <w:szCs w:val="20"/>
              </w:rPr>
            </w:pPr>
            <w:r w:rsidRPr="00525F3F">
              <w:rPr>
                <w:rFonts w:ascii="Times New Roman" w:hAnsi="Times New Roman"/>
                <w:b/>
                <w:bCs/>
                <w:sz w:val="20"/>
                <w:szCs w:val="20"/>
              </w:rPr>
              <w:t>Sampling Point</w:t>
            </w:r>
          </w:p>
        </w:tc>
        <w:tc>
          <w:tcPr>
            <w:tcW w:w="4295" w:type="pct"/>
            <w:gridSpan w:val="10"/>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jc w:val="center"/>
              <w:rPr>
                <w:rFonts w:ascii="Times New Roman" w:hAnsi="Times New Roman"/>
                <w:b/>
                <w:bCs/>
                <w:sz w:val="20"/>
                <w:szCs w:val="20"/>
              </w:rPr>
            </w:pPr>
            <w:r w:rsidRPr="00525F3F">
              <w:rPr>
                <w:rFonts w:ascii="Times New Roman" w:hAnsi="Times New Roman"/>
                <w:b/>
                <w:bCs/>
                <w:sz w:val="20"/>
                <w:szCs w:val="20"/>
              </w:rPr>
              <w:t>Element (mg/kg dry weight)</w:t>
            </w:r>
          </w:p>
        </w:tc>
      </w:tr>
      <w:tr w:rsidR="00525F3F" w:rsidRPr="00525F3F" w:rsidTr="00525F3F">
        <w:trPr>
          <w:trHeight w:val="367"/>
          <w:jc w:val="center"/>
        </w:trPr>
        <w:tc>
          <w:tcPr>
            <w:tcW w:w="705" w:type="pct"/>
            <w:tcBorders>
              <w:top w:val="nil"/>
              <w:bottom w:val="single" w:sz="4" w:space="0" w:color="auto"/>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Cd</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Co</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Cr</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Cu</w:t>
            </w:r>
          </w:p>
        </w:tc>
        <w:tc>
          <w:tcPr>
            <w:tcW w:w="508"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Fe</w:t>
            </w:r>
          </w:p>
        </w:tc>
        <w:tc>
          <w:tcPr>
            <w:tcW w:w="474"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Mn</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Ni</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Pb</w:t>
            </w:r>
          </w:p>
        </w:tc>
        <w:tc>
          <w:tcPr>
            <w:tcW w:w="405"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V</w:t>
            </w:r>
          </w:p>
        </w:tc>
        <w:tc>
          <w:tcPr>
            <w:tcW w:w="478" w:type="pct"/>
            <w:tcBorders>
              <w:bottom w:val="single" w:sz="4" w:space="0" w:color="auto"/>
            </w:tcBorders>
            <w:shd w:val="clear" w:color="auto" w:fill="auto"/>
          </w:tcPr>
          <w:p w:rsidR="00525F3F" w:rsidRPr="00525F3F" w:rsidRDefault="00525F3F" w:rsidP="00AC6995">
            <w:pPr>
              <w:spacing w:after="0" w:line="240" w:lineRule="auto"/>
              <w:rPr>
                <w:rFonts w:ascii="Times New Roman" w:hAnsi="Times New Roman"/>
                <w:b/>
                <w:color w:val="000000"/>
                <w:sz w:val="20"/>
                <w:szCs w:val="20"/>
              </w:rPr>
            </w:pPr>
            <w:r w:rsidRPr="00525F3F">
              <w:rPr>
                <w:rFonts w:ascii="Times New Roman" w:hAnsi="Times New Roman"/>
                <w:b/>
                <w:color w:val="000000"/>
                <w:sz w:val="20"/>
                <w:szCs w:val="20"/>
              </w:rPr>
              <w:t>Zn</w:t>
            </w:r>
          </w:p>
        </w:tc>
      </w:tr>
      <w:tr w:rsidR="00525F3F" w:rsidRPr="00525F3F" w:rsidTr="00525F3F">
        <w:trPr>
          <w:trHeight w:val="120"/>
          <w:jc w:val="center"/>
        </w:trPr>
        <w:tc>
          <w:tcPr>
            <w:tcW w:w="7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508"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74"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05"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478" w:type="pct"/>
            <w:tcBorders>
              <w:top w:val="single" w:sz="4" w:space="0" w:color="auto"/>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r>
      <w:tr w:rsidR="00525F3F" w:rsidRPr="00525F3F" w:rsidTr="00525F3F">
        <w:trPr>
          <w:jc w:val="center"/>
        </w:trPr>
        <w:tc>
          <w:tcPr>
            <w:tcW w:w="705" w:type="pct"/>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St1</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6.0</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33.8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10.6</w:t>
            </w:r>
          </w:p>
        </w:tc>
        <w:tc>
          <w:tcPr>
            <w:tcW w:w="50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32244</w:t>
            </w:r>
          </w:p>
        </w:tc>
        <w:tc>
          <w:tcPr>
            <w:tcW w:w="474"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72.0</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12.8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18.0</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40.4</w:t>
            </w:r>
          </w:p>
        </w:tc>
        <w:tc>
          <w:tcPr>
            <w:tcW w:w="47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67.0</w:t>
            </w:r>
          </w:p>
        </w:tc>
      </w:tr>
      <w:tr w:rsidR="00525F3F" w:rsidRPr="00525F3F" w:rsidTr="00525F3F">
        <w:trPr>
          <w:jc w:val="center"/>
        </w:trPr>
        <w:tc>
          <w:tcPr>
            <w:tcW w:w="7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St2</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8.4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46.4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26.4</w:t>
            </w:r>
          </w:p>
        </w:tc>
        <w:tc>
          <w:tcPr>
            <w:tcW w:w="50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41940</w:t>
            </w:r>
          </w:p>
        </w:tc>
        <w:tc>
          <w:tcPr>
            <w:tcW w:w="474"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102.0</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15.4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45.8</w:t>
            </w:r>
          </w:p>
        </w:tc>
        <w:tc>
          <w:tcPr>
            <w:tcW w:w="47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139.8</w:t>
            </w:r>
          </w:p>
        </w:tc>
      </w:tr>
      <w:tr w:rsidR="00525F3F" w:rsidRPr="00525F3F" w:rsidTr="00525F3F">
        <w:trPr>
          <w:jc w:val="center"/>
        </w:trPr>
        <w:tc>
          <w:tcPr>
            <w:tcW w:w="705" w:type="pct"/>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St3</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12.8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59.2</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27.2</w:t>
            </w:r>
          </w:p>
        </w:tc>
        <w:tc>
          <w:tcPr>
            <w:tcW w:w="50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53736</w:t>
            </w:r>
          </w:p>
        </w:tc>
        <w:tc>
          <w:tcPr>
            <w:tcW w:w="474"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184.4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22.2</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31.2</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70.2</w:t>
            </w:r>
          </w:p>
        </w:tc>
        <w:tc>
          <w:tcPr>
            <w:tcW w:w="47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197.2</w:t>
            </w:r>
          </w:p>
        </w:tc>
      </w:tr>
      <w:tr w:rsidR="00525F3F" w:rsidRPr="00525F3F" w:rsidTr="00525F3F">
        <w:trPr>
          <w:jc w:val="center"/>
        </w:trPr>
        <w:tc>
          <w:tcPr>
            <w:tcW w:w="7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11.8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54.8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28.4</w:t>
            </w:r>
          </w:p>
        </w:tc>
        <w:tc>
          <w:tcPr>
            <w:tcW w:w="50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50424</w:t>
            </w:r>
          </w:p>
        </w:tc>
        <w:tc>
          <w:tcPr>
            <w:tcW w:w="474"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115.8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18.6</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22.4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56.2</w:t>
            </w:r>
          </w:p>
        </w:tc>
        <w:tc>
          <w:tcPr>
            <w:tcW w:w="47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186.8</w:t>
            </w:r>
          </w:p>
        </w:tc>
      </w:tr>
      <w:tr w:rsidR="00525F3F" w:rsidRPr="00525F3F" w:rsidTr="00525F3F">
        <w:trPr>
          <w:jc w:val="center"/>
        </w:trPr>
        <w:tc>
          <w:tcPr>
            <w:tcW w:w="705" w:type="pct"/>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St5</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13.4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44.8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24.2</w:t>
            </w:r>
          </w:p>
        </w:tc>
        <w:tc>
          <w:tcPr>
            <w:tcW w:w="50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47964</w:t>
            </w:r>
          </w:p>
        </w:tc>
        <w:tc>
          <w:tcPr>
            <w:tcW w:w="474"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144.0</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16.6</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23.8</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54.0</w:t>
            </w:r>
          </w:p>
        </w:tc>
        <w:tc>
          <w:tcPr>
            <w:tcW w:w="47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176.0</w:t>
            </w:r>
          </w:p>
        </w:tc>
      </w:tr>
      <w:tr w:rsidR="00525F3F" w:rsidRPr="00525F3F" w:rsidTr="00525F3F">
        <w:trPr>
          <w:jc w:val="center"/>
        </w:trPr>
        <w:tc>
          <w:tcPr>
            <w:tcW w:w="7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St6</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0.6</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13.4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49.8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23.2</w:t>
            </w:r>
          </w:p>
        </w:tc>
        <w:tc>
          <w:tcPr>
            <w:tcW w:w="50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53400</w:t>
            </w:r>
          </w:p>
        </w:tc>
        <w:tc>
          <w:tcPr>
            <w:tcW w:w="474"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185.8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18.2</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26.8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64.4</w:t>
            </w:r>
          </w:p>
        </w:tc>
        <w:tc>
          <w:tcPr>
            <w:tcW w:w="47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184.8</w:t>
            </w:r>
          </w:p>
        </w:tc>
      </w:tr>
      <w:tr w:rsidR="00525F3F" w:rsidRPr="00525F3F" w:rsidTr="00525F3F">
        <w:trPr>
          <w:jc w:val="center"/>
        </w:trPr>
        <w:tc>
          <w:tcPr>
            <w:tcW w:w="705" w:type="pct"/>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St7</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20.4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45.6</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26.2</w:t>
            </w:r>
          </w:p>
        </w:tc>
        <w:tc>
          <w:tcPr>
            <w:tcW w:w="50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38448</w:t>
            </w:r>
          </w:p>
        </w:tc>
        <w:tc>
          <w:tcPr>
            <w:tcW w:w="474"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243.4</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18.0</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34.2</w:t>
            </w:r>
          </w:p>
        </w:tc>
        <w:tc>
          <w:tcPr>
            <w:tcW w:w="405"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64.0</w:t>
            </w:r>
          </w:p>
        </w:tc>
        <w:tc>
          <w:tcPr>
            <w:tcW w:w="478" w:type="pct"/>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172.2</w:t>
            </w:r>
          </w:p>
        </w:tc>
      </w:tr>
      <w:tr w:rsidR="00525F3F" w:rsidRPr="00525F3F" w:rsidTr="00525F3F">
        <w:trPr>
          <w:jc w:val="center"/>
        </w:trPr>
        <w:tc>
          <w:tcPr>
            <w:tcW w:w="7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10.8</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28.6</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11.0</w:t>
            </w:r>
          </w:p>
        </w:tc>
        <w:tc>
          <w:tcPr>
            <w:tcW w:w="50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37992</w:t>
            </w:r>
          </w:p>
        </w:tc>
        <w:tc>
          <w:tcPr>
            <w:tcW w:w="474"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184.2</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12.4</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18.2</w:t>
            </w:r>
          </w:p>
        </w:tc>
        <w:tc>
          <w:tcPr>
            <w:tcW w:w="405"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36.8</w:t>
            </w:r>
          </w:p>
        </w:tc>
        <w:tc>
          <w:tcPr>
            <w:tcW w:w="478" w:type="pct"/>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140.2</w:t>
            </w:r>
          </w:p>
        </w:tc>
      </w:tr>
      <w:tr w:rsidR="00525F3F" w:rsidRPr="00525F3F" w:rsidTr="00525F3F">
        <w:trPr>
          <w:jc w:val="center"/>
        </w:trPr>
        <w:tc>
          <w:tcPr>
            <w:tcW w:w="7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St9</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0.6</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48.4</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23.4</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41.6</w:t>
            </w:r>
          </w:p>
        </w:tc>
        <w:tc>
          <w:tcPr>
            <w:tcW w:w="508"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67104</w:t>
            </w:r>
          </w:p>
        </w:tc>
        <w:tc>
          <w:tcPr>
            <w:tcW w:w="474"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171.6</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10.2</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70.8</w:t>
            </w:r>
          </w:p>
        </w:tc>
        <w:tc>
          <w:tcPr>
            <w:tcW w:w="405"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24.6</w:t>
            </w:r>
          </w:p>
        </w:tc>
        <w:tc>
          <w:tcPr>
            <w:tcW w:w="478" w:type="pct"/>
            <w:tcBorders>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170.6</w:t>
            </w:r>
          </w:p>
        </w:tc>
      </w:tr>
      <w:tr w:rsidR="00525F3F" w:rsidRPr="00525F3F" w:rsidTr="00525F3F">
        <w:trPr>
          <w:jc w:val="center"/>
        </w:trPr>
        <w:tc>
          <w:tcPr>
            <w:tcW w:w="7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Mean</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0.5</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16.2</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42.9</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24.3</w:t>
            </w:r>
          </w:p>
        </w:tc>
        <w:tc>
          <w:tcPr>
            <w:tcW w:w="508"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47028</w:t>
            </w:r>
          </w:p>
        </w:tc>
        <w:tc>
          <w:tcPr>
            <w:tcW w:w="474"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155.9</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16.0</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29.3</w:t>
            </w:r>
          </w:p>
        </w:tc>
        <w:tc>
          <w:tcPr>
            <w:tcW w:w="405"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50.7</w:t>
            </w:r>
          </w:p>
        </w:tc>
        <w:tc>
          <w:tcPr>
            <w:tcW w:w="478" w:type="pct"/>
            <w:tcBorders>
              <w:top w:val="nil"/>
              <w:left w:val="nil"/>
              <w:bottom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159.4</w:t>
            </w:r>
          </w:p>
        </w:tc>
      </w:tr>
      <w:tr w:rsidR="00525F3F" w:rsidRPr="00525F3F" w:rsidTr="00525F3F">
        <w:trPr>
          <w:jc w:val="center"/>
        </w:trPr>
        <w:tc>
          <w:tcPr>
            <w:tcW w:w="7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 STD</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29.7</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78.7</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27.9</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38.4</w:t>
            </w:r>
          </w:p>
        </w:tc>
        <w:tc>
          <w:tcPr>
            <w:tcW w:w="508"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23</w:t>
            </w:r>
          </w:p>
        </w:tc>
        <w:tc>
          <w:tcPr>
            <w:tcW w:w="474"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33.7</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33.5</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54.5</w:t>
            </w:r>
          </w:p>
        </w:tc>
        <w:tc>
          <w:tcPr>
            <w:tcW w:w="405"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36.2</w:t>
            </w:r>
          </w:p>
        </w:tc>
        <w:tc>
          <w:tcPr>
            <w:tcW w:w="478" w:type="pct"/>
            <w:tcBorders>
              <w:top w:val="nil"/>
              <w:bottom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34.1</w:t>
            </w:r>
          </w:p>
        </w:tc>
      </w:tr>
      <w:tr w:rsidR="00525F3F" w:rsidRPr="00525F3F" w:rsidTr="00525F3F">
        <w:trPr>
          <w:jc w:val="center"/>
        </w:trPr>
        <w:tc>
          <w:tcPr>
            <w:tcW w:w="7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Control</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0.2</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4.8</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14.0</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9.8</w:t>
            </w:r>
          </w:p>
        </w:tc>
        <w:tc>
          <w:tcPr>
            <w:tcW w:w="508"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29388</w:t>
            </w:r>
          </w:p>
        </w:tc>
        <w:tc>
          <w:tcPr>
            <w:tcW w:w="474"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57.0</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6.2</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5.0</w:t>
            </w:r>
          </w:p>
        </w:tc>
        <w:tc>
          <w:tcPr>
            <w:tcW w:w="405"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38.8</w:t>
            </w:r>
          </w:p>
        </w:tc>
        <w:tc>
          <w:tcPr>
            <w:tcW w:w="478" w:type="pct"/>
            <w:tcBorders>
              <w:top w:val="nil"/>
              <w:left w:val="nil"/>
              <w:bottom w:val="single" w:sz="4" w:space="0" w:color="auto"/>
              <w:right w:val="nil"/>
            </w:tcBorders>
            <w:shd w:val="clear" w:color="auto" w:fill="auto"/>
          </w:tcPr>
          <w:p w:rsidR="00525F3F" w:rsidRPr="00525F3F" w:rsidRDefault="00525F3F" w:rsidP="00525F3F">
            <w:pPr>
              <w:spacing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 xml:space="preserve">  36.0</w:t>
            </w:r>
          </w:p>
        </w:tc>
      </w:tr>
    </w:tbl>
    <w:p w:rsidR="00525F3F" w:rsidRDefault="00525F3F" w:rsidP="00525F3F">
      <w:pPr>
        <w:pStyle w:val="MediumGrid21"/>
        <w:jc w:val="both"/>
        <w:rPr>
          <w:rFonts w:ascii="Times New Roman" w:hAnsi="Times New Roman"/>
          <w:b/>
          <w:sz w:val="20"/>
          <w:szCs w:val="20"/>
        </w:rPr>
      </w:pPr>
    </w:p>
    <w:p w:rsidR="00525F3F" w:rsidRPr="009C21B5" w:rsidRDefault="00525F3F" w:rsidP="00525F3F">
      <w:pPr>
        <w:pStyle w:val="MediumGrid21"/>
        <w:jc w:val="both"/>
        <w:rPr>
          <w:rFonts w:ascii="Times New Roman" w:hAnsi="Times New Roman"/>
          <w:sz w:val="20"/>
          <w:szCs w:val="20"/>
        </w:rPr>
      </w:pPr>
      <w:bookmarkStart w:id="18" w:name="OLE_LINK21"/>
      <w:bookmarkStart w:id="19" w:name="OLE_LINK22"/>
    </w:p>
    <w:bookmarkEnd w:id="18"/>
    <w:bookmarkEnd w:id="19"/>
    <w:p w:rsidR="00525F3F" w:rsidRPr="00CC045C" w:rsidRDefault="00525F3F" w:rsidP="00525F3F">
      <w:pPr>
        <w:pStyle w:val="MediumGrid21"/>
        <w:spacing w:after="120"/>
        <w:jc w:val="center"/>
        <w:rPr>
          <w:rFonts w:ascii="Times New Roman" w:hAnsi="Times New Roman"/>
          <w:sz w:val="20"/>
          <w:szCs w:val="20"/>
        </w:rPr>
      </w:pPr>
      <w:r w:rsidRPr="00CB60FC">
        <w:rPr>
          <w:rFonts w:ascii="Times New Roman" w:hAnsi="Times New Roman"/>
          <w:sz w:val="20"/>
          <w:szCs w:val="20"/>
        </w:rPr>
        <w:t>Table 2</w:t>
      </w:r>
      <w:r>
        <w:rPr>
          <w:rFonts w:ascii="Times New Roman" w:hAnsi="Times New Roman"/>
          <w:sz w:val="20"/>
          <w:szCs w:val="20"/>
        </w:rPr>
        <w:t xml:space="preserve">.  </w:t>
      </w:r>
      <w:r w:rsidRPr="00CC045C">
        <w:rPr>
          <w:rFonts w:ascii="Times New Roman" w:hAnsi="Times New Roman"/>
          <w:sz w:val="20"/>
          <w:szCs w:val="20"/>
        </w:rPr>
        <w:t>Pearson’s correlation matrix for the heavy metal concentration in Black River sediments</w:t>
      </w:r>
    </w:p>
    <w:tbl>
      <w:tblPr>
        <w:tblW w:w="0" w:type="auto"/>
        <w:tblBorders>
          <w:top w:val="single" w:sz="8" w:space="0" w:color="000000"/>
          <w:bottom w:val="single" w:sz="8" w:space="0" w:color="000000"/>
        </w:tblBorders>
        <w:tblLook w:val="04A0" w:firstRow="1" w:lastRow="0" w:firstColumn="1" w:lastColumn="0" w:noHBand="0" w:noVBand="1"/>
      </w:tblPr>
      <w:tblGrid>
        <w:gridCol w:w="825"/>
        <w:gridCol w:w="873"/>
        <w:gridCol w:w="873"/>
        <w:gridCol w:w="872"/>
        <w:gridCol w:w="872"/>
        <w:gridCol w:w="872"/>
        <w:gridCol w:w="872"/>
        <w:gridCol w:w="872"/>
        <w:gridCol w:w="872"/>
        <w:gridCol w:w="872"/>
        <w:gridCol w:w="872"/>
      </w:tblGrid>
      <w:tr w:rsidR="00525F3F" w:rsidRPr="00525F3F" w:rsidTr="00AC6995">
        <w:tc>
          <w:tcPr>
            <w:tcW w:w="828" w:type="dxa"/>
            <w:tcBorders>
              <w:top w:val="single" w:sz="8" w:space="0" w:color="000000"/>
              <w:left w:val="nil"/>
              <w:bottom w:val="single" w:sz="8" w:space="0" w:color="000000"/>
              <w:right w:val="nil"/>
            </w:tcBorders>
            <w:shd w:val="clear" w:color="auto" w:fill="auto"/>
          </w:tcPr>
          <w:p w:rsidR="00525F3F" w:rsidRPr="00525F3F" w:rsidRDefault="00525F3F" w:rsidP="00AC6995">
            <w:pPr>
              <w:pStyle w:val="MediumGrid21"/>
              <w:rPr>
                <w:rFonts w:ascii="Times New Roman" w:hAnsi="Times New Roman"/>
                <w:b/>
                <w:bCs/>
                <w:color w:val="000000"/>
                <w:sz w:val="20"/>
                <w:szCs w:val="20"/>
              </w:rPr>
            </w:pPr>
          </w:p>
        </w:tc>
        <w:tc>
          <w:tcPr>
            <w:tcW w:w="874"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Cd</w:t>
            </w:r>
          </w:p>
        </w:tc>
        <w:tc>
          <w:tcPr>
            <w:tcW w:w="874"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Co</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Cr</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Cu</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Fe</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Mn</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Ni</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Pb</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V</w:t>
            </w:r>
          </w:p>
        </w:tc>
        <w:tc>
          <w:tcPr>
            <w:tcW w:w="875" w:type="dxa"/>
            <w:tcBorders>
              <w:top w:val="single" w:sz="8" w:space="0" w:color="000000"/>
              <w:left w:val="nil"/>
              <w:bottom w:val="single" w:sz="8" w:space="0" w:color="000000"/>
              <w:right w:val="nil"/>
            </w:tcBorders>
            <w:shd w:val="clear" w:color="auto" w:fill="auto"/>
          </w:tcPr>
          <w:p w:rsidR="00525F3F" w:rsidRPr="00525F3F" w:rsidRDefault="00525F3F" w:rsidP="00525F3F">
            <w:pPr>
              <w:pStyle w:val="MediumGrid21"/>
              <w:spacing w:before="60" w:after="60"/>
              <w:rPr>
                <w:rFonts w:ascii="Times New Roman" w:hAnsi="Times New Roman"/>
                <w:b/>
                <w:bCs/>
                <w:color w:val="000000"/>
                <w:sz w:val="20"/>
                <w:szCs w:val="20"/>
              </w:rPr>
            </w:pPr>
            <w:r w:rsidRPr="00525F3F">
              <w:rPr>
                <w:rFonts w:ascii="Times New Roman" w:hAnsi="Times New Roman"/>
                <w:b/>
                <w:bCs/>
                <w:color w:val="000000"/>
                <w:sz w:val="20"/>
                <w:szCs w:val="20"/>
              </w:rPr>
              <w:t>Zn</w:t>
            </w:r>
          </w:p>
        </w:tc>
      </w:tr>
      <w:tr w:rsidR="00525F3F" w:rsidRPr="00525F3F" w:rsidTr="00AC6995">
        <w:tc>
          <w:tcPr>
            <w:tcW w:w="828"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Cd</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4"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AC6995">
            <w:pPr>
              <w:spacing w:after="0" w:line="240" w:lineRule="auto"/>
              <w:jc w:val="both"/>
              <w:rPr>
                <w:rFonts w:ascii="Times New Roman" w:hAnsi="Times New Roman"/>
                <w:color w:val="000000"/>
                <w:sz w:val="20"/>
                <w:szCs w:val="20"/>
              </w:rPr>
            </w:pPr>
          </w:p>
        </w:tc>
      </w:tr>
      <w:tr w:rsidR="00525F3F" w:rsidRPr="00525F3F" w:rsidTr="00AC6995">
        <w:tc>
          <w:tcPr>
            <w:tcW w:w="828" w:type="dxa"/>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Co</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0.124</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Cr</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-0.445</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-0.498</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Cu</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-0.207</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0.774</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0.088</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Fe</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-0.051</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0.733</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0.026</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0.844</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Mn</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-0.400</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0.379</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0.054</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0.251</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0.237</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Ni</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-0.469</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-0.426</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0.966</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0.072</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0.045</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0.264</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Pb</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0.170</w:t>
            </w:r>
          </w:p>
        </w:tc>
        <w:tc>
          <w:tcPr>
            <w:tcW w:w="874" w:type="dxa"/>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0.985</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-0.410</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0.796</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0.768</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0.376</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-0.329</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c>
          <w:tcPr>
            <w:tcW w:w="875" w:type="dxa"/>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V</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-0.380</w:t>
            </w:r>
          </w:p>
        </w:tc>
        <w:tc>
          <w:tcPr>
            <w:tcW w:w="874"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-0.463</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0.911</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-0.042</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-0.075</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0.349</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0.965</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-0.376</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c>
          <w:tcPr>
            <w:tcW w:w="875" w:type="dxa"/>
            <w:tcBorders>
              <w:left w:val="nil"/>
              <w:right w:val="nil"/>
            </w:tcBorders>
            <w:shd w:val="clear" w:color="auto" w:fill="auto"/>
          </w:tcPr>
          <w:p w:rsidR="00525F3F" w:rsidRPr="00525F3F" w:rsidRDefault="00525F3F" w:rsidP="00525F3F">
            <w:pPr>
              <w:spacing w:before="60" w:after="0" w:line="240" w:lineRule="auto"/>
              <w:jc w:val="both"/>
              <w:rPr>
                <w:rFonts w:ascii="Times New Roman" w:hAnsi="Times New Roman"/>
                <w:color w:val="000000"/>
                <w:sz w:val="20"/>
                <w:szCs w:val="20"/>
              </w:rPr>
            </w:pPr>
          </w:p>
        </w:tc>
      </w:tr>
      <w:tr w:rsidR="00525F3F" w:rsidRPr="00525F3F" w:rsidTr="00AC6995">
        <w:tc>
          <w:tcPr>
            <w:tcW w:w="828" w:type="dxa"/>
            <w:shd w:val="clear" w:color="auto" w:fill="auto"/>
          </w:tcPr>
          <w:p w:rsidR="00525F3F" w:rsidRPr="00525F3F" w:rsidRDefault="00525F3F" w:rsidP="00525F3F">
            <w:pPr>
              <w:spacing w:before="60" w:after="60" w:line="240" w:lineRule="auto"/>
              <w:jc w:val="both"/>
              <w:rPr>
                <w:rFonts w:ascii="Times New Roman" w:hAnsi="Times New Roman"/>
                <w:b/>
                <w:bCs/>
                <w:color w:val="000000"/>
                <w:sz w:val="20"/>
                <w:szCs w:val="20"/>
              </w:rPr>
            </w:pPr>
            <w:r w:rsidRPr="00525F3F">
              <w:rPr>
                <w:rFonts w:ascii="Times New Roman" w:hAnsi="Times New Roman"/>
                <w:bCs/>
                <w:color w:val="000000"/>
                <w:sz w:val="20"/>
                <w:szCs w:val="20"/>
              </w:rPr>
              <w:t>Zn</w:t>
            </w:r>
          </w:p>
        </w:tc>
        <w:tc>
          <w:tcPr>
            <w:tcW w:w="874"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-0.640</w:t>
            </w:r>
          </w:p>
        </w:tc>
        <w:tc>
          <w:tcPr>
            <w:tcW w:w="874"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0.308</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0.528</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0.635</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0.674</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b/>
                <w:color w:val="000000"/>
                <w:sz w:val="20"/>
                <w:szCs w:val="20"/>
              </w:rPr>
            </w:pPr>
            <w:r w:rsidRPr="00525F3F">
              <w:rPr>
                <w:rFonts w:ascii="Times New Roman" w:hAnsi="Times New Roman"/>
                <w:b/>
                <w:color w:val="000000"/>
                <w:sz w:val="20"/>
                <w:szCs w:val="20"/>
              </w:rPr>
              <w:t>0.603</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0.596</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0.327</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0.521</w:t>
            </w:r>
          </w:p>
        </w:tc>
        <w:tc>
          <w:tcPr>
            <w:tcW w:w="875" w:type="dxa"/>
            <w:shd w:val="clear" w:color="auto" w:fill="auto"/>
          </w:tcPr>
          <w:p w:rsidR="00525F3F" w:rsidRPr="00525F3F" w:rsidRDefault="00525F3F" w:rsidP="00525F3F">
            <w:pPr>
              <w:spacing w:before="60" w:after="60" w:line="240" w:lineRule="auto"/>
              <w:jc w:val="both"/>
              <w:rPr>
                <w:rFonts w:ascii="Times New Roman" w:hAnsi="Times New Roman"/>
                <w:color w:val="000000"/>
                <w:sz w:val="20"/>
                <w:szCs w:val="20"/>
              </w:rPr>
            </w:pPr>
            <w:r w:rsidRPr="00525F3F">
              <w:rPr>
                <w:rFonts w:ascii="Times New Roman" w:hAnsi="Times New Roman"/>
                <w:color w:val="000000"/>
                <w:sz w:val="20"/>
                <w:szCs w:val="20"/>
              </w:rPr>
              <w:t>1.000</w:t>
            </w:r>
          </w:p>
        </w:tc>
      </w:tr>
    </w:tbl>
    <w:p w:rsidR="00525F3F" w:rsidRDefault="00525F3F" w:rsidP="00525F3F">
      <w:pPr>
        <w:autoSpaceDE w:val="0"/>
        <w:autoSpaceDN w:val="0"/>
        <w:adjustRightInd w:val="0"/>
        <w:spacing w:after="0" w:line="240" w:lineRule="auto"/>
        <w:rPr>
          <w:rFonts w:ascii="Times-Roman" w:hAnsi="Times-Roman" w:cs="Times-Roman"/>
          <w:sz w:val="20"/>
          <w:szCs w:val="20"/>
        </w:rPr>
      </w:pPr>
    </w:p>
    <w:p w:rsidR="00525F3F" w:rsidRDefault="00525F3F" w:rsidP="00525F3F">
      <w:pPr>
        <w:autoSpaceDE w:val="0"/>
        <w:autoSpaceDN w:val="0"/>
        <w:adjustRightInd w:val="0"/>
        <w:spacing w:after="0" w:line="240" w:lineRule="auto"/>
        <w:rPr>
          <w:rFonts w:ascii="Times-Roman" w:hAnsi="Times-Roman" w:cs="Times-Roman"/>
          <w:sz w:val="20"/>
          <w:szCs w:val="20"/>
        </w:rPr>
      </w:pPr>
    </w:p>
    <w:p w:rsidR="00525F3F" w:rsidRDefault="00525F3F" w:rsidP="00525F3F">
      <w:pPr>
        <w:pStyle w:val="MediumGrid21"/>
        <w:jc w:val="both"/>
        <w:rPr>
          <w:rFonts w:ascii="Times New Roman" w:hAnsi="Times New Roman"/>
          <w:sz w:val="20"/>
          <w:szCs w:val="20"/>
        </w:rPr>
      </w:pPr>
      <w:r w:rsidRPr="009C21B5">
        <w:rPr>
          <w:rFonts w:ascii="Times New Roman" w:hAnsi="Times New Roman"/>
          <w:sz w:val="20"/>
          <w:szCs w:val="20"/>
        </w:rPr>
        <w:t>Meanwhile, the low inter-relationships</w:t>
      </w:r>
      <w:r>
        <w:rPr>
          <w:rFonts w:ascii="Times New Roman" w:hAnsi="Times New Roman"/>
          <w:sz w:val="20"/>
          <w:szCs w:val="20"/>
        </w:rPr>
        <w:t xml:space="preserve"> of Fe with the metals </w:t>
      </w:r>
      <w:r w:rsidRPr="009C21B5">
        <w:rPr>
          <w:rFonts w:ascii="Times New Roman" w:hAnsi="Times New Roman"/>
          <w:sz w:val="20"/>
          <w:szCs w:val="20"/>
        </w:rPr>
        <w:t xml:space="preserve">of Cd, Cr, V, Pb and Ni indirectly suggest that the </w:t>
      </w:r>
      <w:r>
        <w:rPr>
          <w:rFonts w:ascii="Times New Roman" w:hAnsi="Times New Roman"/>
          <w:sz w:val="20"/>
          <w:szCs w:val="20"/>
        </w:rPr>
        <w:t>existence</w:t>
      </w:r>
      <w:r w:rsidRPr="009C21B5">
        <w:rPr>
          <w:rFonts w:ascii="Times New Roman" w:hAnsi="Times New Roman"/>
          <w:sz w:val="20"/>
          <w:szCs w:val="20"/>
        </w:rPr>
        <w:t xml:space="preserve"> of Cd, Cr, V, Pb an</w:t>
      </w:r>
      <w:r>
        <w:rPr>
          <w:rFonts w:ascii="Times New Roman" w:hAnsi="Times New Roman"/>
          <w:sz w:val="20"/>
          <w:szCs w:val="20"/>
        </w:rPr>
        <w:t>d Ni in the sediment samples is</w:t>
      </w:r>
      <w:r w:rsidRPr="009C21B5">
        <w:rPr>
          <w:rFonts w:ascii="Times New Roman" w:hAnsi="Times New Roman"/>
          <w:sz w:val="20"/>
          <w:szCs w:val="20"/>
        </w:rPr>
        <w:t xml:space="preserve"> dominated by the anthropogenic factors. </w:t>
      </w:r>
      <w:r>
        <w:rPr>
          <w:rFonts w:ascii="Times New Roman" w:hAnsi="Times New Roman"/>
          <w:sz w:val="20"/>
          <w:szCs w:val="20"/>
        </w:rPr>
        <w:t>The high</w:t>
      </w:r>
      <w:r w:rsidRPr="009C21B5">
        <w:rPr>
          <w:rFonts w:ascii="Times New Roman" w:hAnsi="Times New Roman"/>
          <w:sz w:val="20"/>
          <w:szCs w:val="20"/>
        </w:rPr>
        <w:t xml:space="preserve"> correlation</w:t>
      </w:r>
      <w:r>
        <w:rPr>
          <w:rFonts w:ascii="Times New Roman" w:hAnsi="Times New Roman"/>
          <w:sz w:val="20"/>
          <w:szCs w:val="20"/>
        </w:rPr>
        <w:t>s</w:t>
      </w:r>
      <w:r w:rsidRPr="009C21B5">
        <w:rPr>
          <w:rFonts w:ascii="Times New Roman" w:hAnsi="Times New Roman"/>
          <w:sz w:val="20"/>
          <w:szCs w:val="20"/>
        </w:rPr>
        <w:t xml:space="preserve"> </w:t>
      </w:r>
      <w:r>
        <w:rPr>
          <w:rFonts w:ascii="Times New Roman" w:hAnsi="Times New Roman"/>
          <w:sz w:val="20"/>
          <w:szCs w:val="20"/>
        </w:rPr>
        <w:t xml:space="preserve">were </w:t>
      </w:r>
      <w:r w:rsidRPr="009C21B5">
        <w:rPr>
          <w:rFonts w:ascii="Times New Roman" w:hAnsi="Times New Roman"/>
          <w:sz w:val="20"/>
          <w:szCs w:val="20"/>
        </w:rPr>
        <w:t>ob</w:t>
      </w:r>
      <w:r>
        <w:rPr>
          <w:rFonts w:ascii="Times New Roman" w:hAnsi="Times New Roman"/>
          <w:sz w:val="20"/>
          <w:szCs w:val="20"/>
        </w:rPr>
        <w:t>served for</w:t>
      </w:r>
      <w:r w:rsidRPr="009C21B5">
        <w:rPr>
          <w:rFonts w:ascii="Times New Roman" w:hAnsi="Times New Roman"/>
          <w:sz w:val="20"/>
          <w:szCs w:val="20"/>
        </w:rPr>
        <w:t xml:space="preserve"> the pairs of Pb/Co, Ni/Cr, V/Cr and Ni/V</w:t>
      </w:r>
      <w:r>
        <w:rPr>
          <w:rFonts w:ascii="Times New Roman" w:hAnsi="Times New Roman"/>
          <w:sz w:val="20"/>
          <w:szCs w:val="20"/>
        </w:rPr>
        <w:t xml:space="preserve"> for their existence in the sediment samples</w:t>
      </w:r>
      <w:r w:rsidRPr="009C21B5">
        <w:rPr>
          <w:rFonts w:ascii="Times New Roman" w:hAnsi="Times New Roman"/>
          <w:sz w:val="20"/>
          <w:szCs w:val="20"/>
        </w:rPr>
        <w:t xml:space="preserve">. </w:t>
      </w:r>
      <w:r>
        <w:rPr>
          <w:rFonts w:ascii="Times New Roman" w:hAnsi="Times New Roman"/>
          <w:sz w:val="20"/>
          <w:szCs w:val="20"/>
        </w:rPr>
        <w:t>This would strongly suggest that all of the metals</w:t>
      </w:r>
      <w:r w:rsidRPr="009C21B5">
        <w:rPr>
          <w:rFonts w:ascii="Times New Roman" w:hAnsi="Times New Roman"/>
          <w:sz w:val="20"/>
          <w:szCs w:val="20"/>
        </w:rPr>
        <w:t xml:space="preserve"> were possibly originated from the same sou</w:t>
      </w:r>
      <w:r>
        <w:rPr>
          <w:rFonts w:ascii="Times New Roman" w:hAnsi="Times New Roman"/>
          <w:sz w:val="20"/>
          <w:szCs w:val="20"/>
        </w:rPr>
        <w:t>rces. On the other hand, Cd did</w:t>
      </w:r>
      <w:r w:rsidRPr="009C21B5">
        <w:rPr>
          <w:rFonts w:ascii="Times New Roman" w:hAnsi="Times New Roman"/>
          <w:sz w:val="20"/>
          <w:szCs w:val="20"/>
        </w:rPr>
        <w:t xml:space="preserve"> not show</w:t>
      </w:r>
      <w:r>
        <w:rPr>
          <w:rFonts w:ascii="Times New Roman" w:hAnsi="Times New Roman"/>
          <w:sz w:val="20"/>
          <w:szCs w:val="20"/>
        </w:rPr>
        <w:t xml:space="preserve"> a</w:t>
      </w:r>
      <w:r w:rsidRPr="009C21B5">
        <w:rPr>
          <w:rFonts w:ascii="Times New Roman" w:hAnsi="Times New Roman"/>
          <w:sz w:val="20"/>
          <w:szCs w:val="20"/>
        </w:rPr>
        <w:t xml:space="preserve"> strong correlation with all </w:t>
      </w:r>
      <w:r>
        <w:rPr>
          <w:rFonts w:ascii="Times New Roman" w:hAnsi="Times New Roman"/>
          <w:sz w:val="20"/>
          <w:szCs w:val="20"/>
        </w:rPr>
        <w:t xml:space="preserve">of </w:t>
      </w:r>
      <w:r w:rsidRPr="009C21B5">
        <w:rPr>
          <w:rFonts w:ascii="Times New Roman" w:hAnsi="Times New Roman"/>
          <w:sz w:val="20"/>
          <w:szCs w:val="20"/>
        </w:rPr>
        <w:t xml:space="preserve">the others </w:t>
      </w:r>
      <w:r>
        <w:rPr>
          <w:rFonts w:ascii="Times New Roman" w:hAnsi="Times New Roman"/>
          <w:sz w:val="20"/>
          <w:szCs w:val="20"/>
        </w:rPr>
        <w:t xml:space="preserve">metals </w:t>
      </w:r>
      <w:r w:rsidRPr="009C21B5">
        <w:rPr>
          <w:rFonts w:ascii="Times New Roman" w:hAnsi="Times New Roman"/>
          <w:sz w:val="20"/>
          <w:szCs w:val="20"/>
        </w:rPr>
        <w:t xml:space="preserve">as well as Mn, indicating that their existences in the sediment samples were not contributed by the same contributor. </w:t>
      </w:r>
    </w:p>
    <w:p w:rsidR="00525F3F" w:rsidRDefault="00525F3F" w:rsidP="00525F3F">
      <w:pPr>
        <w:autoSpaceDE w:val="0"/>
        <w:autoSpaceDN w:val="0"/>
        <w:adjustRightInd w:val="0"/>
        <w:spacing w:after="0" w:line="240" w:lineRule="auto"/>
        <w:jc w:val="both"/>
        <w:rPr>
          <w:rFonts w:ascii="Times New Roman" w:hAnsi="Times New Roman"/>
          <w:b/>
          <w:sz w:val="20"/>
          <w:szCs w:val="20"/>
        </w:rPr>
      </w:pPr>
    </w:p>
    <w:p w:rsidR="00525F3F" w:rsidRDefault="00525F3F" w:rsidP="00525F3F">
      <w:pPr>
        <w:autoSpaceDE w:val="0"/>
        <w:autoSpaceDN w:val="0"/>
        <w:adjustRightInd w:val="0"/>
        <w:spacing w:after="0" w:line="240" w:lineRule="auto"/>
        <w:jc w:val="both"/>
        <w:rPr>
          <w:rFonts w:ascii="Times New Roman" w:hAnsi="Times New Roman"/>
          <w:sz w:val="20"/>
          <w:szCs w:val="20"/>
        </w:rPr>
      </w:pPr>
      <w:r>
        <w:rPr>
          <w:rFonts w:ascii="Times New Roman" w:hAnsi="Times New Roman"/>
          <w:b/>
          <w:sz w:val="20"/>
          <w:szCs w:val="20"/>
        </w:rPr>
        <w:t>P</w:t>
      </w:r>
      <w:r w:rsidRPr="003421A1">
        <w:rPr>
          <w:rFonts w:ascii="Times New Roman" w:hAnsi="Times New Roman"/>
          <w:b/>
          <w:sz w:val="20"/>
          <w:szCs w:val="20"/>
        </w:rPr>
        <w:t>rincipal component analysis (PCA)</w:t>
      </w:r>
    </w:p>
    <w:p w:rsidR="00525F3F" w:rsidRPr="00ED1AE1" w:rsidRDefault="00525F3F" w:rsidP="00525F3F">
      <w:pPr>
        <w:autoSpaceDE w:val="0"/>
        <w:autoSpaceDN w:val="0"/>
        <w:adjustRightInd w:val="0"/>
        <w:spacing w:after="0" w:line="240" w:lineRule="auto"/>
        <w:jc w:val="both"/>
        <w:rPr>
          <w:rFonts w:ascii="Times New Roman" w:hAnsi="Times New Roman"/>
          <w:sz w:val="20"/>
          <w:szCs w:val="20"/>
        </w:rPr>
      </w:pPr>
      <w:r w:rsidRPr="00ED1AE1">
        <w:rPr>
          <w:rFonts w:ascii="Times New Roman" w:hAnsi="Times New Roman"/>
          <w:sz w:val="20"/>
          <w:szCs w:val="20"/>
        </w:rPr>
        <w:t xml:space="preserve">Multivariate statistical analysis was applied to identify </w:t>
      </w:r>
      <w:r>
        <w:rPr>
          <w:rFonts w:ascii="Times New Roman" w:hAnsi="Times New Roman"/>
          <w:sz w:val="20"/>
          <w:szCs w:val="20"/>
        </w:rPr>
        <w:t xml:space="preserve">the </w:t>
      </w:r>
      <w:r w:rsidRPr="00ED1AE1">
        <w:rPr>
          <w:rFonts w:ascii="Times New Roman" w:hAnsi="Times New Roman"/>
          <w:sz w:val="20"/>
          <w:szCs w:val="20"/>
        </w:rPr>
        <w:t xml:space="preserve">possible pollution sources, as well as to reveal the elemental composition of such possible sources. In this study, </w:t>
      </w:r>
      <w:r>
        <w:rPr>
          <w:rFonts w:ascii="Times New Roman" w:hAnsi="Times New Roman"/>
          <w:sz w:val="20"/>
          <w:szCs w:val="20"/>
        </w:rPr>
        <w:t xml:space="preserve">the calculation of </w:t>
      </w:r>
      <w:r w:rsidRPr="00ED1AE1">
        <w:rPr>
          <w:rFonts w:ascii="Times New Roman" w:hAnsi="Times New Roman"/>
          <w:sz w:val="20"/>
          <w:szCs w:val="20"/>
        </w:rPr>
        <w:t xml:space="preserve">PCA was carried out </w:t>
      </w:r>
      <w:r>
        <w:rPr>
          <w:rFonts w:ascii="Times New Roman" w:hAnsi="Times New Roman"/>
          <w:sz w:val="20"/>
          <w:szCs w:val="20"/>
        </w:rPr>
        <w:t xml:space="preserve">based </w:t>
      </w:r>
      <w:r w:rsidRPr="00ED1AE1">
        <w:rPr>
          <w:rFonts w:ascii="Times New Roman" w:hAnsi="Times New Roman"/>
          <w:sz w:val="20"/>
          <w:szCs w:val="20"/>
        </w:rPr>
        <w:t xml:space="preserve">on the concentration data </w:t>
      </w:r>
      <w:r>
        <w:rPr>
          <w:rFonts w:ascii="Times New Roman" w:hAnsi="Times New Roman"/>
          <w:sz w:val="20"/>
          <w:szCs w:val="20"/>
        </w:rPr>
        <w:t>of</w:t>
      </w:r>
      <w:r w:rsidRPr="00ED1AE1">
        <w:rPr>
          <w:rFonts w:ascii="Times New Roman" w:hAnsi="Times New Roman"/>
          <w:sz w:val="20"/>
          <w:szCs w:val="20"/>
        </w:rPr>
        <w:t xml:space="preserve"> the</w:t>
      </w:r>
      <w:r>
        <w:rPr>
          <w:rFonts w:ascii="Times New Roman" w:hAnsi="Times New Roman"/>
          <w:sz w:val="20"/>
          <w:szCs w:val="20"/>
        </w:rPr>
        <w:t xml:space="preserve"> 10</w:t>
      </w:r>
      <w:r w:rsidRPr="00ED1AE1">
        <w:rPr>
          <w:rFonts w:ascii="Times New Roman" w:hAnsi="Times New Roman"/>
          <w:sz w:val="20"/>
          <w:szCs w:val="20"/>
        </w:rPr>
        <w:t xml:space="preserve"> metals in sediment samples. Principal component analysis, PCA was applied to quantitatively evaluate the clustering behavior of the metal concentration data. This particular statistical analysis was used in order to draw out a small number of latent factors for analyzing the relationship between the heavy metals, hence, reducing the original data </w:t>
      </w:r>
      <w:r>
        <w:rPr>
          <w:rFonts w:ascii="Times New Roman" w:hAnsi="Times New Roman"/>
          <w:sz w:val="20"/>
          <w:szCs w:val="20"/>
        </w:rPr>
        <w:t xml:space="preserve">[12]. </w:t>
      </w:r>
      <w:r w:rsidRPr="00ED1AE1">
        <w:rPr>
          <w:rFonts w:ascii="Times New Roman" w:hAnsi="Times New Roman"/>
          <w:sz w:val="20"/>
          <w:szCs w:val="20"/>
        </w:rPr>
        <w:t xml:space="preserve">The outcomes of the PCA statistical analysis are used to characterize </w:t>
      </w:r>
      <w:r w:rsidRPr="00ED1AE1">
        <w:rPr>
          <w:rFonts w:ascii="Times New Roman" w:hAnsi="Times New Roman"/>
          <w:sz w:val="20"/>
          <w:szCs w:val="20"/>
        </w:rPr>
        <w:lastRenderedPageBreak/>
        <w:t xml:space="preserve">the possible different pollutant sources that may contribute some amount of heavy metals to the river. Table 3 shows the summarized </w:t>
      </w:r>
      <w:r>
        <w:rPr>
          <w:rFonts w:ascii="Times New Roman" w:hAnsi="Times New Roman"/>
          <w:sz w:val="20"/>
          <w:szCs w:val="20"/>
        </w:rPr>
        <w:t>information</w:t>
      </w:r>
      <w:r w:rsidRPr="00ED1AE1">
        <w:rPr>
          <w:rFonts w:ascii="Times New Roman" w:hAnsi="Times New Roman"/>
          <w:sz w:val="20"/>
          <w:szCs w:val="20"/>
        </w:rPr>
        <w:t xml:space="preserve"> obtained after the </w:t>
      </w:r>
      <w:r>
        <w:rPr>
          <w:rFonts w:ascii="Times New Roman" w:hAnsi="Times New Roman"/>
          <w:sz w:val="20"/>
          <w:szCs w:val="20"/>
        </w:rPr>
        <w:t xml:space="preserve">data of the </w:t>
      </w:r>
      <w:r w:rsidRPr="00ED1AE1">
        <w:rPr>
          <w:rFonts w:ascii="Times New Roman" w:hAnsi="Times New Roman"/>
          <w:sz w:val="20"/>
          <w:szCs w:val="20"/>
        </w:rPr>
        <w:t xml:space="preserve">metal concentration </w:t>
      </w:r>
      <w:r>
        <w:rPr>
          <w:rFonts w:ascii="Times New Roman" w:hAnsi="Times New Roman"/>
          <w:sz w:val="20"/>
          <w:szCs w:val="20"/>
        </w:rPr>
        <w:t xml:space="preserve">were </w:t>
      </w:r>
      <w:r w:rsidRPr="00ED1AE1">
        <w:rPr>
          <w:rFonts w:ascii="Times New Roman" w:hAnsi="Times New Roman"/>
          <w:sz w:val="20"/>
          <w:szCs w:val="20"/>
        </w:rPr>
        <w:t xml:space="preserve">treated with the PCA analysis.  </w:t>
      </w:r>
    </w:p>
    <w:p w:rsidR="00525F3F" w:rsidRDefault="00525F3F" w:rsidP="00525F3F">
      <w:pPr>
        <w:autoSpaceDE w:val="0"/>
        <w:autoSpaceDN w:val="0"/>
        <w:adjustRightInd w:val="0"/>
        <w:spacing w:after="0" w:line="240" w:lineRule="auto"/>
        <w:jc w:val="both"/>
        <w:rPr>
          <w:rFonts w:ascii="Times New Roman" w:hAnsi="Times New Roman"/>
          <w:sz w:val="20"/>
          <w:szCs w:val="20"/>
        </w:rPr>
      </w:pPr>
    </w:p>
    <w:p w:rsidR="00525F3F" w:rsidRPr="00ED1AE1" w:rsidRDefault="00525F3F" w:rsidP="00525F3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treatment of PCA analysis has successfully extracted </w:t>
      </w:r>
      <w:r w:rsidRPr="00ED1AE1">
        <w:rPr>
          <w:rFonts w:ascii="Times New Roman" w:hAnsi="Times New Roman"/>
          <w:sz w:val="20"/>
          <w:szCs w:val="20"/>
        </w:rPr>
        <w:t xml:space="preserve">two component factors, PC1 and PC2 from </w:t>
      </w:r>
      <w:r>
        <w:rPr>
          <w:rFonts w:ascii="Times New Roman" w:hAnsi="Times New Roman"/>
          <w:sz w:val="20"/>
          <w:szCs w:val="20"/>
        </w:rPr>
        <w:t xml:space="preserve">the </w:t>
      </w:r>
      <w:r w:rsidRPr="00ED1AE1">
        <w:rPr>
          <w:rFonts w:ascii="Times New Roman" w:hAnsi="Times New Roman"/>
          <w:sz w:val="20"/>
          <w:szCs w:val="20"/>
        </w:rPr>
        <w:t>10 variables</w:t>
      </w:r>
      <w:r>
        <w:rPr>
          <w:rFonts w:ascii="Times New Roman" w:hAnsi="Times New Roman"/>
          <w:sz w:val="20"/>
          <w:szCs w:val="20"/>
        </w:rPr>
        <w:t>. The PCA analysis was done based on</w:t>
      </w:r>
      <w:r w:rsidRPr="00ED1AE1">
        <w:rPr>
          <w:rFonts w:ascii="Times New Roman" w:hAnsi="Times New Roman"/>
          <w:sz w:val="20"/>
          <w:szCs w:val="20"/>
        </w:rPr>
        <w:t xml:space="preserve"> the criterion of an eigenvalue of one. The cumulative variance of the two factors explained 80.54% of the examined data. The factor 1 (PC1), extracted 40.85% of the total variance of the studied data set has a large factor loading for metals, Pb, Co, Cu, and Fe in the group. All metals in PC1 showed almost equally high factor loading except for Mn. The average concentrations of these elements all exceeded their background values. These metals, especially Cu and Mn are usually related to the excess application of fungicides or pesticides </w:t>
      </w:r>
      <w:r>
        <w:rPr>
          <w:rFonts w:ascii="Times New Roman" w:hAnsi="Times New Roman"/>
          <w:sz w:val="20"/>
          <w:szCs w:val="20"/>
        </w:rPr>
        <w:t xml:space="preserve">[13,14]. </w:t>
      </w:r>
      <w:r w:rsidRPr="00ED1AE1">
        <w:rPr>
          <w:rFonts w:ascii="Times New Roman" w:hAnsi="Times New Roman"/>
          <w:sz w:val="20"/>
          <w:szCs w:val="20"/>
        </w:rPr>
        <w:t xml:space="preserve">But with the present of Pb and Fe in the </w:t>
      </w:r>
      <w:r>
        <w:rPr>
          <w:rFonts w:ascii="Times New Roman" w:hAnsi="Times New Roman"/>
          <w:sz w:val="20"/>
          <w:szCs w:val="20"/>
        </w:rPr>
        <w:t xml:space="preserve">same PC </w:t>
      </w:r>
      <w:r w:rsidRPr="00ED1AE1">
        <w:rPr>
          <w:rFonts w:ascii="Times New Roman" w:hAnsi="Times New Roman"/>
          <w:sz w:val="20"/>
          <w:szCs w:val="20"/>
        </w:rPr>
        <w:t xml:space="preserve">group, the </w:t>
      </w:r>
      <w:r>
        <w:rPr>
          <w:rFonts w:ascii="Times New Roman" w:hAnsi="Times New Roman"/>
          <w:sz w:val="20"/>
          <w:szCs w:val="20"/>
        </w:rPr>
        <w:t xml:space="preserve">existence of metals in the sediment </w:t>
      </w:r>
      <w:r w:rsidRPr="00ED1AE1">
        <w:rPr>
          <w:rFonts w:ascii="Times New Roman" w:hAnsi="Times New Roman"/>
          <w:sz w:val="20"/>
          <w:szCs w:val="20"/>
        </w:rPr>
        <w:t xml:space="preserve">could </w:t>
      </w:r>
      <w:r>
        <w:rPr>
          <w:rFonts w:ascii="Times New Roman" w:hAnsi="Times New Roman"/>
          <w:sz w:val="20"/>
          <w:szCs w:val="20"/>
        </w:rPr>
        <w:t>be related to</w:t>
      </w:r>
      <w:r w:rsidRPr="00ED1AE1">
        <w:rPr>
          <w:rFonts w:ascii="Times New Roman" w:hAnsi="Times New Roman"/>
          <w:sz w:val="20"/>
          <w:szCs w:val="20"/>
        </w:rPr>
        <w:t xml:space="preserve"> the anthropogenic origin. Based on the surrounding environment of the study area, it is possible to assume </w:t>
      </w:r>
      <w:r>
        <w:rPr>
          <w:rFonts w:ascii="Times New Roman" w:hAnsi="Times New Roman"/>
          <w:sz w:val="20"/>
          <w:szCs w:val="20"/>
        </w:rPr>
        <w:t xml:space="preserve">that the existences of Pb and Fe in sediment were strongly associated </w:t>
      </w:r>
      <w:r w:rsidRPr="00ED1AE1">
        <w:rPr>
          <w:rFonts w:ascii="Times New Roman" w:hAnsi="Times New Roman"/>
          <w:sz w:val="20"/>
          <w:szCs w:val="20"/>
        </w:rPr>
        <w:t xml:space="preserve">to be “agrochemical” inputs and the local fisheries activities.  </w:t>
      </w:r>
    </w:p>
    <w:p w:rsidR="00525F3F" w:rsidRDefault="00525F3F" w:rsidP="00525F3F">
      <w:pPr>
        <w:autoSpaceDE w:val="0"/>
        <w:autoSpaceDN w:val="0"/>
        <w:adjustRightInd w:val="0"/>
        <w:spacing w:after="0" w:line="240" w:lineRule="auto"/>
        <w:jc w:val="both"/>
        <w:rPr>
          <w:rFonts w:ascii="Times New Roman" w:hAnsi="Times New Roman"/>
          <w:color w:val="FF0000"/>
          <w:sz w:val="20"/>
          <w:szCs w:val="20"/>
        </w:rPr>
      </w:pPr>
    </w:p>
    <w:p w:rsidR="00525F3F" w:rsidRPr="00525F3F" w:rsidRDefault="00525F3F" w:rsidP="00525F3F">
      <w:pPr>
        <w:autoSpaceDE w:val="0"/>
        <w:autoSpaceDN w:val="0"/>
        <w:adjustRightInd w:val="0"/>
        <w:spacing w:after="0" w:line="240" w:lineRule="auto"/>
        <w:jc w:val="both"/>
        <w:rPr>
          <w:rFonts w:ascii="Times New Roman" w:hAnsi="Times New Roman"/>
          <w:color w:val="FF0000"/>
          <w:sz w:val="20"/>
          <w:szCs w:val="20"/>
        </w:rPr>
      </w:pPr>
    </w:p>
    <w:p w:rsidR="00525F3F" w:rsidRPr="00C7006F" w:rsidRDefault="00525F3F" w:rsidP="00525F3F">
      <w:pPr>
        <w:pStyle w:val="MediumGrid21"/>
        <w:spacing w:after="120"/>
        <w:jc w:val="center"/>
        <w:rPr>
          <w:rFonts w:ascii="Times New Roman" w:hAnsi="Times New Roman"/>
          <w:sz w:val="20"/>
          <w:szCs w:val="20"/>
        </w:rPr>
      </w:pPr>
      <w:r w:rsidRPr="00CB60FC">
        <w:rPr>
          <w:rFonts w:ascii="Times New Roman" w:hAnsi="Times New Roman"/>
          <w:sz w:val="20"/>
          <w:szCs w:val="20"/>
        </w:rPr>
        <w:t>Table 3</w:t>
      </w:r>
      <w:r>
        <w:rPr>
          <w:rFonts w:ascii="Times New Roman" w:hAnsi="Times New Roman"/>
          <w:sz w:val="20"/>
          <w:szCs w:val="20"/>
        </w:rPr>
        <w:t xml:space="preserve">.  </w:t>
      </w:r>
      <w:r w:rsidRPr="00C7006F">
        <w:rPr>
          <w:rFonts w:ascii="Times New Roman" w:hAnsi="Times New Roman"/>
          <w:sz w:val="20"/>
          <w:szCs w:val="20"/>
        </w:rPr>
        <w:t>actor loading of the selected metals in sediment</w:t>
      </w:r>
    </w:p>
    <w:tbl>
      <w:tblPr>
        <w:tblW w:w="0" w:type="auto"/>
        <w:tblBorders>
          <w:top w:val="single" w:sz="8" w:space="0" w:color="000000"/>
          <w:bottom w:val="single" w:sz="8" w:space="0" w:color="000000"/>
        </w:tblBorders>
        <w:tblLook w:val="04A0" w:firstRow="1" w:lastRow="0" w:firstColumn="1" w:lastColumn="0" w:noHBand="0" w:noVBand="1"/>
      </w:tblPr>
      <w:tblGrid>
        <w:gridCol w:w="2214"/>
        <w:gridCol w:w="2214"/>
        <w:gridCol w:w="2214"/>
        <w:gridCol w:w="2214"/>
      </w:tblGrid>
      <w:tr w:rsidR="00525F3F" w:rsidRPr="00BD714F" w:rsidTr="00AC6995">
        <w:tc>
          <w:tcPr>
            <w:tcW w:w="2214" w:type="dxa"/>
            <w:vMerge w:val="restart"/>
            <w:tcBorders>
              <w:top w:val="single" w:sz="8" w:space="0" w:color="000000"/>
              <w:left w:val="nil"/>
              <w:bottom w:val="single" w:sz="8" w:space="0" w:color="000000"/>
              <w:right w:val="nil"/>
            </w:tcBorders>
            <w:shd w:val="clear" w:color="auto" w:fill="auto"/>
          </w:tcPr>
          <w:p w:rsidR="00525F3F" w:rsidRPr="00BD714F" w:rsidRDefault="00525F3F" w:rsidP="00AC6995">
            <w:pPr>
              <w:pStyle w:val="MediumGrid21"/>
              <w:rPr>
                <w:rFonts w:ascii="Times New Roman" w:hAnsi="Times New Roman"/>
                <w:b/>
                <w:bCs/>
                <w:color w:val="000000"/>
                <w:sz w:val="20"/>
                <w:szCs w:val="20"/>
              </w:rPr>
            </w:pPr>
          </w:p>
          <w:p w:rsidR="00525F3F" w:rsidRPr="00BD714F" w:rsidRDefault="00525F3F" w:rsidP="00AC6995">
            <w:pPr>
              <w:pStyle w:val="MediumGrid21"/>
              <w:rPr>
                <w:rFonts w:ascii="Times New Roman" w:hAnsi="Times New Roman"/>
                <w:b/>
                <w:bCs/>
                <w:color w:val="000000"/>
                <w:sz w:val="20"/>
                <w:szCs w:val="20"/>
              </w:rPr>
            </w:pPr>
            <w:r w:rsidRPr="00BD714F">
              <w:rPr>
                <w:rFonts w:ascii="Times New Roman" w:hAnsi="Times New Roman"/>
                <w:b/>
                <w:bCs/>
                <w:color w:val="000000"/>
                <w:sz w:val="20"/>
                <w:szCs w:val="20"/>
              </w:rPr>
              <w:t>Elements</w:t>
            </w:r>
          </w:p>
        </w:tc>
        <w:tc>
          <w:tcPr>
            <w:tcW w:w="4428" w:type="dxa"/>
            <w:gridSpan w:val="2"/>
            <w:tcBorders>
              <w:top w:val="single" w:sz="8" w:space="0" w:color="000000"/>
              <w:left w:val="nil"/>
              <w:bottom w:val="single" w:sz="8" w:space="0" w:color="000000"/>
              <w:right w:val="nil"/>
            </w:tcBorders>
            <w:shd w:val="clear" w:color="auto" w:fill="auto"/>
          </w:tcPr>
          <w:p w:rsidR="00525F3F" w:rsidRPr="00BD714F" w:rsidRDefault="00525F3F" w:rsidP="00525F3F">
            <w:pPr>
              <w:pStyle w:val="MediumGrid21"/>
              <w:spacing w:before="60"/>
              <w:jc w:val="center"/>
              <w:rPr>
                <w:rFonts w:ascii="Times New Roman" w:hAnsi="Times New Roman"/>
                <w:b/>
                <w:bCs/>
                <w:color w:val="000000"/>
                <w:sz w:val="20"/>
                <w:szCs w:val="20"/>
              </w:rPr>
            </w:pPr>
            <w:r w:rsidRPr="00BD714F">
              <w:rPr>
                <w:rFonts w:ascii="Times New Roman" w:hAnsi="Times New Roman"/>
                <w:b/>
                <w:bCs/>
                <w:color w:val="000000"/>
                <w:sz w:val="20"/>
                <w:szCs w:val="20"/>
              </w:rPr>
              <w:t>Component</w:t>
            </w:r>
          </w:p>
        </w:tc>
        <w:tc>
          <w:tcPr>
            <w:tcW w:w="2214" w:type="dxa"/>
            <w:vMerge w:val="restart"/>
            <w:tcBorders>
              <w:top w:val="single" w:sz="8" w:space="0" w:color="000000"/>
              <w:left w:val="nil"/>
              <w:bottom w:val="single" w:sz="8" w:space="0" w:color="000000"/>
              <w:right w:val="nil"/>
            </w:tcBorders>
            <w:shd w:val="clear" w:color="auto" w:fill="auto"/>
          </w:tcPr>
          <w:p w:rsidR="00525F3F" w:rsidRPr="00BD714F" w:rsidRDefault="00525F3F" w:rsidP="00AC6995">
            <w:pPr>
              <w:pStyle w:val="MediumGrid21"/>
              <w:rPr>
                <w:rFonts w:ascii="Times New Roman" w:hAnsi="Times New Roman"/>
                <w:b/>
                <w:bCs/>
                <w:color w:val="000000"/>
                <w:sz w:val="20"/>
                <w:szCs w:val="20"/>
              </w:rPr>
            </w:pPr>
          </w:p>
          <w:p w:rsidR="00525F3F" w:rsidRPr="00BD714F" w:rsidRDefault="00525F3F" w:rsidP="00AC6995">
            <w:pPr>
              <w:pStyle w:val="MediumGrid21"/>
              <w:jc w:val="center"/>
              <w:rPr>
                <w:rFonts w:ascii="Times New Roman" w:hAnsi="Times New Roman"/>
                <w:b/>
                <w:bCs/>
                <w:color w:val="000000"/>
                <w:sz w:val="20"/>
                <w:szCs w:val="20"/>
              </w:rPr>
            </w:pPr>
            <w:r w:rsidRPr="00BD714F">
              <w:rPr>
                <w:rFonts w:ascii="Times New Roman" w:hAnsi="Times New Roman"/>
                <w:b/>
                <w:bCs/>
                <w:color w:val="000000"/>
                <w:sz w:val="20"/>
                <w:szCs w:val="20"/>
              </w:rPr>
              <w:t>Communalities</w:t>
            </w:r>
          </w:p>
        </w:tc>
      </w:tr>
      <w:tr w:rsidR="00525F3F" w:rsidRPr="00BD714F" w:rsidTr="00AC6995">
        <w:tc>
          <w:tcPr>
            <w:tcW w:w="2214" w:type="dxa"/>
            <w:vMerge/>
            <w:tcBorders>
              <w:left w:val="nil"/>
              <w:bottom w:val="single" w:sz="4" w:space="0" w:color="auto"/>
              <w:right w:val="nil"/>
            </w:tcBorders>
            <w:shd w:val="clear" w:color="auto" w:fill="auto"/>
          </w:tcPr>
          <w:p w:rsidR="00525F3F" w:rsidRPr="00BD714F" w:rsidRDefault="00525F3F" w:rsidP="00AC6995">
            <w:pPr>
              <w:spacing w:after="0" w:line="240" w:lineRule="auto"/>
              <w:jc w:val="both"/>
              <w:rPr>
                <w:rFonts w:ascii="Times New Roman" w:hAnsi="Times New Roman"/>
                <w:b/>
                <w:bCs/>
                <w:color w:val="000000"/>
                <w:sz w:val="20"/>
                <w:szCs w:val="20"/>
              </w:rPr>
            </w:pPr>
          </w:p>
        </w:tc>
        <w:tc>
          <w:tcPr>
            <w:tcW w:w="2214" w:type="dxa"/>
            <w:tcBorders>
              <w:left w:val="nil"/>
              <w:bottom w:val="single" w:sz="4" w:space="0" w:color="auto"/>
              <w:right w:val="nil"/>
            </w:tcBorders>
            <w:shd w:val="clear" w:color="auto" w:fill="auto"/>
          </w:tcPr>
          <w:p w:rsidR="00525F3F" w:rsidRPr="00BD714F" w:rsidRDefault="00525F3F" w:rsidP="00525F3F">
            <w:pPr>
              <w:spacing w:after="6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Factor 1, PC1</w:t>
            </w:r>
          </w:p>
        </w:tc>
        <w:tc>
          <w:tcPr>
            <w:tcW w:w="2214" w:type="dxa"/>
            <w:tcBorders>
              <w:left w:val="nil"/>
              <w:bottom w:val="single" w:sz="4" w:space="0" w:color="auto"/>
              <w:right w:val="nil"/>
            </w:tcBorders>
            <w:shd w:val="clear" w:color="auto" w:fill="auto"/>
          </w:tcPr>
          <w:p w:rsidR="00525F3F" w:rsidRPr="00BD714F" w:rsidRDefault="00525F3F" w:rsidP="00525F3F">
            <w:pPr>
              <w:spacing w:after="6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Factor 2, PC2</w:t>
            </w:r>
          </w:p>
        </w:tc>
        <w:tc>
          <w:tcPr>
            <w:tcW w:w="2214" w:type="dxa"/>
            <w:vMerge/>
            <w:tcBorders>
              <w:left w:val="nil"/>
              <w:bottom w:val="single" w:sz="4" w:space="0" w:color="auto"/>
              <w:right w:val="nil"/>
            </w:tcBorders>
            <w:shd w:val="clear" w:color="auto" w:fill="auto"/>
          </w:tcPr>
          <w:p w:rsidR="00525F3F" w:rsidRPr="00BD714F" w:rsidRDefault="00525F3F" w:rsidP="00AC6995">
            <w:pPr>
              <w:spacing w:after="0" w:line="240" w:lineRule="auto"/>
              <w:jc w:val="center"/>
              <w:rPr>
                <w:rFonts w:ascii="Times New Roman" w:hAnsi="Times New Roman"/>
                <w:color w:val="000000"/>
                <w:sz w:val="20"/>
                <w:szCs w:val="20"/>
              </w:rPr>
            </w:pPr>
          </w:p>
        </w:tc>
      </w:tr>
      <w:tr w:rsidR="00525F3F" w:rsidRPr="00BD714F" w:rsidTr="00AC6995">
        <w:tc>
          <w:tcPr>
            <w:tcW w:w="2214" w:type="dxa"/>
            <w:tcBorders>
              <w:top w:val="single" w:sz="4" w:space="0" w:color="auto"/>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Pb</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0.922</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-0.314</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0.948</w:t>
            </w:r>
          </w:p>
        </w:tc>
      </w:tr>
      <w:tr w:rsidR="00525F3F" w:rsidRPr="00BD714F" w:rsidTr="00AC6995">
        <w:tc>
          <w:tcPr>
            <w:tcW w:w="2214" w:type="dxa"/>
            <w:tcBorders>
              <w:left w:val="nil"/>
              <w:right w:val="nil"/>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Co</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0.915</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-0.375</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0.978</w:t>
            </w:r>
          </w:p>
        </w:tc>
      </w:tr>
      <w:tr w:rsidR="00525F3F" w:rsidRPr="00BD714F" w:rsidTr="00AC6995">
        <w:tc>
          <w:tcPr>
            <w:tcW w:w="2214" w:type="dxa"/>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Cu</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0.905</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0.124</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0.834</w:t>
            </w:r>
          </w:p>
        </w:tc>
      </w:tr>
      <w:tr w:rsidR="00525F3F" w:rsidRPr="00BD714F" w:rsidTr="00AC6995">
        <w:tc>
          <w:tcPr>
            <w:tcW w:w="2214" w:type="dxa"/>
            <w:tcBorders>
              <w:left w:val="nil"/>
              <w:right w:val="nil"/>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Fe</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0.891</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-0.149</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0.800</w:t>
            </w:r>
          </w:p>
        </w:tc>
      </w:tr>
      <w:tr w:rsidR="00525F3F" w:rsidRPr="00BD714F" w:rsidTr="00AC6995">
        <w:tc>
          <w:tcPr>
            <w:tcW w:w="2214" w:type="dxa"/>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Mn</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0.499</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0.379</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0.393</w:t>
            </w:r>
          </w:p>
        </w:tc>
      </w:tr>
      <w:tr w:rsidR="00525F3F" w:rsidRPr="00BD714F" w:rsidTr="00AC6995">
        <w:tc>
          <w:tcPr>
            <w:tcW w:w="2214" w:type="dxa"/>
            <w:tcBorders>
              <w:left w:val="nil"/>
              <w:right w:val="nil"/>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Ni</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0.126</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0.965</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0.937</w:t>
            </w:r>
          </w:p>
        </w:tc>
      </w:tr>
      <w:tr w:rsidR="00525F3F" w:rsidRPr="00BD714F" w:rsidTr="00AC6995">
        <w:tc>
          <w:tcPr>
            <w:tcW w:w="2214" w:type="dxa"/>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V</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-0.153</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0.932</w:t>
            </w:r>
          </w:p>
        </w:tc>
        <w:tc>
          <w:tcPr>
            <w:tcW w:w="2214" w:type="dxa"/>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0.892</w:t>
            </w:r>
          </w:p>
        </w:tc>
      </w:tr>
      <w:tr w:rsidR="00525F3F" w:rsidRPr="00BD714F" w:rsidTr="00AC6995">
        <w:tc>
          <w:tcPr>
            <w:tcW w:w="2214" w:type="dxa"/>
            <w:tcBorders>
              <w:left w:val="nil"/>
              <w:right w:val="nil"/>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Cr</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-0.150</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0.928</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0.884</w:t>
            </w:r>
          </w:p>
        </w:tc>
      </w:tr>
      <w:tr w:rsidR="00525F3F" w:rsidRPr="00BD714F" w:rsidTr="00AC6995">
        <w:tc>
          <w:tcPr>
            <w:tcW w:w="2214" w:type="dxa"/>
            <w:tcBorders>
              <w:bottom w:val="nil"/>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Zn</w:t>
            </w:r>
          </w:p>
        </w:tc>
        <w:tc>
          <w:tcPr>
            <w:tcW w:w="2214" w:type="dxa"/>
            <w:tcBorders>
              <w:bottom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0.652</w:t>
            </w:r>
          </w:p>
        </w:tc>
        <w:tc>
          <w:tcPr>
            <w:tcW w:w="2214" w:type="dxa"/>
            <w:tcBorders>
              <w:bottom w:val="nil"/>
            </w:tcBorders>
            <w:shd w:val="clear" w:color="auto" w:fill="auto"/>
          </w:tcPr>
          <w:p w:rsidR="00525F3F" w:rsidRPr="00BD714F" w:rsidRDefault="00525F3F" w:rsidP="00BD714F">
            <w:pPr>
              <w:spacing w:before="60" w:after="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0.715</w:t>
            </w:r>
          </w:p>
        </w:tc>
        <w:tc>
          <w:tcPr>
            <w:tcW w:w="2214" w:type="dxa"/>
            <w:tcBorders>
              <w:bottom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0.936</w:t>
            </w:r>
          </w:p>
        </w:tc>
      </w:tr>
      <w:tr w:rsidR="00525F3F" w:rsidRPr="00BD714F" w:rsidTr="00AC6995">
        <w:tc>
          <w:tcPr>
            <w:tcW w:w="2214" w:type="dxa"/>
            <w:tcBorders>
              <w:top w:val="nil"/>
              <w:left w:val="nil"/>
              <w:bottom w:val="single" w:sz="4" w:space="0" w:color="auto"/>
              <w:right w:val="nil"/>
            </w:tcBorders>
            <w:shd w:val="clear" w:color="auto" w:fill="auto"/>
          </w:tcPr>
          <w:p w:rsidR="00525F3F" w:rsidRPr="00BD714F" w:rsidRDefault="00525F3F" w:rsidP="00BD714F">
            <w:pPr>
              <w:spacing w:before="60" w:after="6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Cd</w:t>
            </w:r>
          </w:p>
        </w:tc>
        <w:tc>
          <w:tcPr>
            <w:tcW w:w="2214" w:type="dxa"/>
            <w:tcBorders>
              <w:top w:val="nil"/>
              <w:left w:val="nil"/>
              <w:bottom w:val="single" w:sz="4" w:space="0" w:color="auto"/>
              <w:right w:val="nil"/>
            </w:tcBorders>
            <w:shd w:val="clear" w:color="auto" w:fill="auto"/>
          </w:tcPr>
          <w:p w:rsidR="00525F3F" w:rsidRPr="00BD714F" w:rsidRDefault="00525F3F" w:rsidP="00BD714F">
            <w:pPr>
              <w:spacing w:before="60" w:after="60" w:line="240" w:lineRule="auto"/>
              <w:jc w:val="center"/>
              <w:rPr>
                <w:rFonts w:ascii="Times New Roman" w:hAnsi="Times New Roman"/>
                <w:color w:val="000000"/>
                <w:sz w:val="20"/>
                <w:szCs w:val="20"/>
              </w:rPr>
            </w:pPr>
            <w:r w:rsidRPr="00BD714F">
              <w:rPr>
                <w:rFonts w:ascii="Times New Roman" w:hAnsi="Times New Roman"/>
                <w:color w:val="000000"/>
                <w:sz w:val="20"/>
                <w:szCs w:val="20"/>
              </w:rPr>
              <w:t>-0.149</w:t>
            </w:r>
          </w:p>
        </w:tc>
        <w:tc>
          <w:tcPr>
            <w:tcW w:w="2214" w:type="dxa"/>
            <w:tcBorders>
              <w:top w:val="nil"/>
              <w:left w:val="nil"/>
              <w:bottom w:val="single" w:sz="4" w:space="0" w:color="auto"/>
              <w:right w:val="nil"/>
            </w:tcBorders>
            <w:shd w:val="clear" w:color="auto" w:fill="auto"/>
          </w:tcPr>
          <w:p w:rsidR="00525F3F" w:rsidRPr="00BD714F" w:rsidRDefault="00525F3F" w:rsidP="00BD714F">
            <w:pPr>
              <w:spacing w:before="60" w:after="60" w:line="240" w:lineRule="auto"/>
              <w:jc w:val="center"/>
              <w:rPr>
                <w:rFonts w:ascii="Times New Roman" w:hAnsi="Times New Roman"/>
                <w:b/>
                <w:color w:val="000000"/>
                <w:sz w:val="20"/>
                <w:szCs w:val="20"/>
              </w:rPr>
            </w:pPr>
            <w:r w:rsidRPr="00BD714F">
              <w:rPr>
                <w:rFonts w:ascii="Times New Roman" w:hAnsi="Times New Roman"/>
                <w:b/>
                <w:color w:val="000000"/>
                <w:sz w:val="20"/>
                <w:szCs w:val="20"/>
              </w:rPr>
              <w:t>-0.654</w:t>
            </w:r>
          </w:p>
        </w:tc>
        <w:tc>
          <w:tcPr>
            <w:tcW w:w="2214" w:type="dxa"/>
            <w:tcBorders>
              <w:top w:val="nil"/>
              <w:left w:val="nil"/>
              <w:bottom w:val="single" w:sz="4" w:space="0" w:color="auto"/>
              <w:right w:val="nil"/>
            </w:tcBorders>
            <w:shd w:val="clear" w:color="auto" w:fill="auto"/>
          </w:tcPr>
          <w:p w:rsidR="00525F3F" w:rsidRPr="00BD714F" w:rsidRDefault="00525F3F" w:rsidP="00BD714F">
            <w:pPr>
              <w:spacing w:before="60" w:after="60" w:line="240" w:lineRule="auto"/>
              <w:jc w:val="center"/>
              <w:rPr>
                <w:rFonts w:ascii="Times New Roman" w:hAnsi="Times New Roman"/>
                <w:color w:val="000000"/>
                <w:sz w:val="20"/>
                <w:szCs w:val="20"/>
              </w:rPr>
            </w:pPr>
            <w:r w:rsidRPr="00BD714F">
              <w:rPr>
                <w:rFonts w:ascii="Times New Roman" w:hAnsi="Times New Roman"/>
                <w:color w:val="000000"/>
                <w:sz w:val="20"/>
                <w:szCs w:val="20"/>
              </w:rPr>
              <w:t>0.450</w:t>
            </w:r>
          </w:p>
        </w:tc>
      </w:tr>
      <w:tr w:rsidR="00525F3F" w:rsidRPr="00BD714F" w:rsidTr="00AC6995">
        <w:tc>
          <w:tcPr>
            <w:tcW w:w="2214" w:type="dxa"/>
            <w:tcBorders>
              <w:top w:val="single" w:sz="4" w:space="0" w:color="auto"/>
            </w:tcBorders>
            <w:shd w:val="clear" w:color="auto" w:fill="auto"/>
          </w:tcPr>
          <w:p w:rsidR="00525F3F" w:rsidRPr="00BD714F" w:rsidRDefault="00525F3F" w:rsidP="00BD714F">
            <w:pPr>
              <w:spacing w:before="60" w:after="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Eigenvalue</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4.085</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3.969</w:t>
            </w:r>
          </w:p>
        </w:tc>
        <w:tc>
          <w:tcPr>
            <w:tcW w:w="2214" w:type="dxa"/>
            <w:tcBorders>
              <w:top w:val="single" w:sz="4" w:space="0" w:color="auto"/>
            </w:tcBorders>
            <w:shd w:val="clear" w:color="auto" w:fill="auto"/>
          </w:tcPr>
          <w:p w:rsidR="00525F3F" w:rsidRPr="00BD714F" w:rsidRDefault="00525F3F" w:rsidP="00BD714F">
            <w:pPr>
              <w:spacing w:before="60" w:after="0" w:line="240" w:lineRule="auto"/>
              <w:jc w:val="both"/>
              <w:rPr>
                <w:rFonts w:ascii="Times New Roman" w:hAnsi="Times New Roman"/>
                <w:color w:val="000000"/>
                <w:sz w:val="20"/>
                <w:szCs w:val="20"/>
              </w:rPr>
            </w:pPr>
          </w:p>
        </w:tc>
      </w:tr>
      <w:tr w:rsidR="00525F3F" w:rsidRPr="00BD714F" w:rsidTr="00AC6995">
        <w:tc>
          <w:tcPr>
            <w:tcW w:w="2214" w:type="dxa"/>
            <w:tcBorders>
              <w:left w:val="nil"/>
              <w:right w:val="nil"/>
            </w:tcBorders>
            <w:shd w:val="clear" w:color="auto" w:fill="auto"/>
          </w:tcPr>
          <w:p w:rsidR="00525F3F" w:rsidRPr="00BD714F" w:rsidRDefault="00525F3F" w:rsidP="00BD714F">
            <w:pPr>
              <w:spacing w:before="60" w:after="0" w:line="240" w:lineRule="auto"/>
              <w:rPr>
                <w:rFonts w:ascii="Times New Roman" w:hAnsi="Times New Roman"/>
                <w:b/>
                <w:bCs/>
                <w:color w:val="000000"/>
                <w:sz w:val="20"/>
                <w:szCs w:val="20"/>
              </w:rPr>
            </w:pPr>
            <w:r w:rsidRPr="00BD714F">
              <w:rPr>
                <w:rFonts w:ascii="Times New Roman" w:hAnsi="Times New Roman"/>
                <w:bCs/>
                <w:color w:val="000000"/>
                <w:sz w:val="20"/>
                <w:szCs w:val="20"/>
              </w:rPr>
              <w:t>% of variance explained</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40.85</w:t>
            </w:r>
          </w:p>
        </w:tc>
        <w:tc>
          <w:tcPr>
            <w:tcW w:w="2214" w:type="dxa"/>
            <w:tcBorders>
              <w:left w:val="nil"/>
              <w:right w:val="nil"/>
            </w:tcBorders>
            <w:shd w:val="clear" w:color="auto" w:fill="auto"/>
          </w:tcPr>
          <w:p w:rsidR="00525F3F" w:rsidRPr="00BD714F" w:rsidRDefault="00525F3F" w:rsidP="00BD714F">
            <w:pPr>
              <w:spacing w:before="60" w:after="0" w:line="240" w:lineRule="auto"/>
              <w:jc w:val="center"/>
              <w:rPr>
                <w:rFonts w:ascii="Times New Roman" w:hAnsi="Times New Roman"/>
                <w:color w:val="000000"/>
                <w:sz w:val="20"/>
                <w:szCs w:val="20"/>
              </w:rPr>
            </w:pPr>
            <w:r w:rsidRPr="00BD714F">
              <w:rPr>
                <w:rFonts w:ascii="Times New Roman" w:hAnsi="Times New Roman"/>
                <w:color w:val="000000"/>
                <w:sz w:val="20"/>
                <w:szCs w:val="20"/>
              </w:rPr>
              <w:t>39.69</w:t>
            </w:r>
          </w:p>
        </w:tc>
        <w:tc>
          <w:tcPr>
            <w:tcW w:w="2214" w:type="dxa"/>
            <w:tcBorders>
              <w:left w:val="nil"/>
              <w:right w:val="nil"/>
            </w:tcBorders>
            <w:shd w:val="clear" w:color="auto" w:fill="auto"/>
          </w:tcPr>
          <w:p w:rsidR="00525F3F" w:rsidRPr="00BD714F" w:rsidRDefault="00525F3F" w:rsidP="00BD714F">
            <w:pPr>
              <w:spacing w:before="60" w:after="0" w:line="240" w:lineRule="auto"/>
              <w:jc w:val="both"/>
              <w:rPr>
                <w:rFonts w:ascii="Times New Roman" w:hAnsi="Times New Roman"/>
                <w:color w:val="000000"/>
                <w:sz w:val="20"/>
                <w:szCs w:val="20"/>
              </w:rPr>
            </w:pPr>
          </w:p>
        </w:tc>
      </w:tr>
      <w:tr w:rsidR="00525F3F" w:rsidRPr="00BD714F" w:rsidTr="00AC6995">
        <w:tc>
          <w:tcPr>
            <w:tcW w:w="2214" w:type="dxa"/>
            <w:shd w:val="clear" w:color="auto" w:fill="auto"/>
          </w:tcPr>
          <w:p w:rsidR="00525F3F" w:rsidRPr="00BD714F" w:rsidRDefault="00525F3F" w:rsidP="00BD714F">
            <w:pPr>
              <w:spacing w:before="60" w:after="60" w:line="240" w:lineRule="auto"/>
              <w:jc w:val="both"/>
              <w:rPr>
                <w:rFonts w:ascii="Times New Roman" w:hAnsi="Times New Roman"/>
                <w:b/>
                <w:bCs/>
                <w:color w:val="000000"/>
                <w:sz w:val="20"/>
                <w:szCs w:val="20"/>
              </w:rPr>
            </w:pPr>
            <w:r w:rsidRPr="00BD714F">
              <w:rPr>
                <w:rFonts w:ascii="Times New Roman" w:hAnsi="Times New Roman"/>
                <w:bCs/>
                <w:color w:val="000000"/>
                <w:sz w:val="20"/>
                <w:szCs w:val="20"/>
              </w:rPr>
              <w:t>% cumulative</w:t>
            </w:r>
          </w:p>
        </w:tc>
        <w:tc>
          <w:tcPr>
            <w:tcW w:w="2214" w:type="dxa"/>
            <w:shd w:val="clear" w:color="auto" w:fill="auto"/>
          </w:tcPr>
          <w:p w:rsidR="00525F3F" w:rsidRPr="00BD714F" w:rsidRDefault="00525F3F" w:rsidP="00BD714F">
            <w:pPr>
              <w:spacing w:before="60" w:after="60" w:line="240" w:lineRule="auto"/>
              <w:jc w:val="center"/>
              <w:rPr>
                <w:rFonts w:ascii="Times New Roman" w:hAnsi="Times New Roman"/>
                <w:color w:val="000000"/>
                <w:sz w:val="20"/>
                <w:szCs w:val="20"/>
              </w:rPr>
            </w:pPr>
            <w:r w:rsidRPr="00BD714F">
              <w:rPr>
                <w:rFonts w:ascii="Times New Roman" w:hAnsi="Times New Roman"/>
                <w:color w:val="000000"/>
                <w:sz w:val="20"/>
                <w:szCs w:val="20"/>
              </w:rPr>
              <w:t>40.85</w:t>
            </w:r>
          </w:p>
        </w:tc>
        <w:tc>
          <w:tcPr>
            <w:tcW w:w="2214" w:type="dxa"/>
            <w:shd w:val="clear" w:color="auto" w:fill="auto"/>
          </w:tcPr>
          <w:p w:rsidR="00525F3F" w:rsidRPr="00BD714F" w:rsidRDefault="00525F3F" w:rsidP="00BD714F">
            <w:pPr>
              <w:spacing w:before="60" w:after="60" w:line="240" w:lineRule="auto"/>
              <w:jc w:val="center"/>
              <w:rPr>
                <w:rFonts w:ascii="Times New Roman" w:hAnsi="Times New Roman"/>
                <w:color w:val="000000"/>
                <w:sz w:val="20"/>
                <w:szCs w:val="20"/>
              </w:rPr>
            </w:pPr>
            <w:r w:rsidRPr="00BD714F">
              <w:rPr>
                <w:rFonts w:ascii="Times New Roman" w:hAnsi="Times New Roman"/>
                <w:color w:val="000000"/>
                <w:sz w:val="20"/>
                <w:szCs w:val="20"/>
              </w:rPr>
              <w:t>80.54</w:t>
            </w:r>
          </w:p>
        </w:tc>
        <w:tc>
          <w:tcPr>
            <w:tcW w:w="2214" w:type="dxa"/>
            <w:shd w:val="clear" w:color="auto" w:fill="auto"/>
          </w:tcPr>
          <w:p w:rsidR="00525F3F" w:rsidRPr="00BD714F" w:rsidRDefault="00525F3F" w:rsidP="00BD714F">
            <w:pPr>
              <w:spacing w:before="60" w:after="0" w:line="240" w:lineRule="auto"/>
              <w:jc w:val="both"/>
              <w:rPr>
                <w:rFonts w:ascii="Times New Roman" w:hAnsi="Times New Roman"/>
                <w:color w:val="000000"/>
                <w:sz w:val="20"/>
                <w:szCs w:val="20"/>
              </w:rPr>
            </w:pPr>
          </w:p>
        </w:tc>
      </w:tr>
    </w:tbl>
    <w:p w:rsidR="00525F3F" w:rsidRDefault="00525F3F" w:rsidP="00525F3F">
      <w:pPr>
        <w:autoSpaceDE w:val="0"/>
        <w:autoSpaceDN w:val="0"/>
        <w:adjustRightInd w:val="0"/>
        <w:spacing w:after="0" w:line="240" w:lineRule="auto"/>
        <w:jc w:val="both"/>
        <w:rPr>
          <w:rFonts w:ascii="Times New Roman" w:hAnsi="Times New Roman"/>
          <w:sz w:val="20"/>
          <w:szCs w:val="20"/>
        </w:rPr>
      </w:pPr>
      <w:bookmarkStart w:id="20" w:name="OLE_LINK25"/>
      <w:bookmarkStart w:id="21" w:name="OLE_LINK26"/>
      <w:bookmarkStart w:id="22" w:name="OLE_LINK27"/>
      <w:bookmarkStart w:id="23" w:name="OLE_LINK30"/>
      <w:bookmarkStart w:id="24" w:name="OLE_LINK33"/>
    </w:p>
    <w:p w:rsidR="00BD714F" w:rsidRDefault="00BD714F" w:rsidP="00525F3F">
      <w:pPr>
        <w:autoSpaceDE w:val="0"/>
        <w:autoSpaceDN w:val="0"/>
        <w:adjustRightInd w:val="0"/>
        <w:spacing w:after="0" w:line="240" w:lineRule="auto"/>
        <w:jc w:val="both"/>
        <w:rPr>
          <w:rFonts w:ascii="Times New Roman" w:hAnsi="Times New Roman"/>
          <w:sz w:val="20"/>
          <w:szCs w:val="20"/>
        </w:rPr>
      </w:pPr>
    </w:p>
    <w:p w:rsidR="00525F3F" w:rsidRPr="00ED1AE1" w:rsidRDefault="00525F3F" w:rsidP="00525F3F">
      <w:pPr>
        <w:autoSpaceDE w:val="0"/>
        <w:autoSpaceDN w:val="0"/>
        <w:adjustRightInd w:val="0"/>
        <w:spacing w:after="0" w:line="240" w:lineRule="auto"/>
        <w:jc w:val="both"/>
        <w:rPr>
          <w:rFonts w:ascii="Times New Roman" w:hAnsi="Times New Roman"/>
          <w:sz w:val="20"/>
          <w:szCs w:val="20"/>
        </w:rPr>
      </w:pPr>
      <w:r w:rsidRPr="00ED1AE1">
        <w:rPr>
          <w:rFonts w:ascii="Times New Roman" w:hAnsi="Times New Roman"/>
          <w:sz w:val="20"/>
          <w:szCs w:val="20"/>
        </w:rPr>
        <w:t>Factor two (PC2), which accounts 39.69 % of the total variance, has a high positive loading for Ni, V, Cr, and Zn. Meanwhile, Cd has a negative loading in the group. Ni, V and Cr which recorded nearly the equal factor loading</w:t>
      </w:r>
      <w:r>
        <w:rPr>
          <w:rFonts w:ascii="Times New Roman" w:hAnsi="Times New Roman"/>
          <w:sz w:val="20"/>
          <w:szCs w:val="20"/>
        </w:rPr>
        <w:t xml:space="preserve"> in the group </w:t>
      </w:r>
      <w:r w:rsidRPr="00ED1AE1">
        <w:rPr>
          <w:rFonts w:ascii="Times New Roman" w:hAnsi="Times New Roman"/>
          <w:sz w:val="20"/>
          <w:szCs w:val="20"/>
        </w:rPr>
        <w:t xml:space="preserve">with 0.965, 0.932 and 0.928 respectively, strongly suggest the influenced of the anthropogenic factors.  The elements of Ni and V normally associated with the power plants and any combustion-related activities. Some of the elements were also released from the plant facilities in the liquid form and flow out to the adjoining water system with factory waste water. The high concentration of these elements within the study area could be reflected in the fishing activities and the occurrence of the oil spill from the nearby boat jetty. </w:t>
      </w:r>
    </w:p>
    <w:p w:rsidR="00525F3F" w:rsidRPr="00ED1AE1" w:rsidRDefault="00525F3F" w:rsidP="00525F3F">
      <w:pPr>
        <w:autoSpaceDE w:val="0"/>
        <w:autoSpaceDN w:val="0"/>
        <w:adjustRightInd w:val="0"/>
        <w:spacing w:after="0" w:line="240" w:lineRule="auto"/>
        <w:ind w:firstLine="720"/>
        <w:jc w:val="both"/>
        <w:rPr>
          <w:rFonts w:ascii="Times New Roman" w:hAnsi="Times New Roman"/>
          <w:sz w:val="20"/>
          <w:szCs w:val="20"/>
        </w:rPr>
      </w:pPr>
    </w:p>
    <w:bookmarkEnd w:id="20"/>
    <w:bookmarkEnd w:id="21"/>
    <w:bookmarkEnd w:id="22"/>
    <w:bookmarkEnd w:id="23"/>
    <w:bookmarkEnd w:id="24"/>
    <w:p w:rsidR="00525F3F" w:rsidRPr="00C7006F" w:rsidRDefault="00525F3F" w:rsidP="00525F3F">
      <w:pPr>
        <w:pStyle w:val="MediumGrid21"/>
        <w:jc w:val="both"/>
        <w:rPr>
          <w:rFonts w:ascii="Times New Roman" w:hAnsi="Times New Roman"/>
          <w:b/>
          <w:sz w:val="20"/>
          <w:szCs w:val="20"/>
          <w:lang w:val="en-GB"/>
        </w:rPr>
      </w:pPr>
      <w:r w:rsidRPr="00C7006F">
        <w:rPr>
          <w:rFonts w:ascii="Times New Roman" w:hAnsi="Times New Roman"/>
          <w:b/>
          <w:sz w:val="20"/>
          <w:szCs w:val="20"/>
          <w:lang w:val="en-GB"/>
        </w:rPr>
        <w:t>Enrichment Factor</w:t>
      </w:r>
    </w:p>
    <w:p w:rsidR="00525F3F" w:rsidRDefault="00525F3F" w:rsidP="00525F3F">
      <w:pPr>
        <w:pStyle w:val="MediumGrid21"/>
        <w:jc w:val="both"/>
        <w:rPr>
          <w:rFonts w:ascii="Times New Roman" w:hAnsi="Times New Roman"/>
          <w:sz w:val="20"/>
          <w:szCs w:val="20"/>
          <w:lang w:val="en-GB"/>
        </w:rPr>
      </w:pPr>
      <w:bookmarkStart w:id="25" w:name="OLE_LINK31"/>
      <w:bookmarkStart w:id="26" w:name="OLE_LINK32"/>
      <w:r w:rsidRPr="00C7006F">
        <w:rPr>
          <w:rFonts w:ascii="Times New Roman" w:hAnsi="Times New Roman"/>
          <w:sz w:val="20"/>
          <w:szCs w:val="20"/>
          <w:lang w:val="en-GB"/>
        </w:rPr>
        <w:t xml:space="preserve">The total concentrations of the studied pollutants do not represent the real level of pollution emanating from natural or anthropogenic sources </w:t>
      </w:r>
      <w:r>
        <w:rPr>
          <w:rFonts w:ascii="Times New Roman" w:hAnsi="Times New Roman"/>
          <w:sz w:val="20"/>
          <w:szCs w:val="20"/>
          <w:lang w:val="en-GB"/>
        </w:rPr>
        <w:t xml:space="preserve">[15]. </w:t>
      </w:r>
      <w:r w:rsidRPr="00C7006F">
        <w:rPr>
          <w:rFonts w:ascii="Times New Roman" w:hAnsi="Times New Roman"/>
          <w:sz w:val="20"/>
          <w:szCs w:val="20"/>
          <w:lang w:val="en-GB"/>
        </w:rPr>
        <w:t xml:space="preserve">The application of the statistical analysis, Enrichment Factor (EF) could provide a rough idea of the anthropogenic impact on river sediment pollution </w:t>
      </w:r>
      <w:r>
        <w:rPr>
          <w:rFonts w:ascii="Times New Roman" w:hAnsi="Times New Roman"/>
          <w:sz w:val="20"/>
          <w:szCs w:val="20"/>
          <w:lang w:val="en-GB"/>
        </w:rPr>
        <w:t xml:space="preserve">[16]. </w:t>
      </w:r>
      <w:r w:rsidRPr="00C7006F">
        <w:rPr>
          <w:rFonts w:ascii="Times New Roman" w:hAnsi="Times New Roman"/>
          <w:sz w:val="20"/>
          <w:szCs w:val="20"/>
          <w:lang w:val="en-GB"/>
        </w:rPr>
        <w:t xml:space="preserve">The EF calculation enables to reduce the metal variability associated with variations in mud/sand ratios. The EF statistical analysis normalizes the measured heavy metals concentration with respect to a sample reference metal such as Fe and Al </w:t>
      </w:r>
      <w:r>
        <w:rPr>
          <w:rFonts w:ascii="Times New Roman" w:hAnsi="Times New Roman"/>
          <w:sz w:val="20"/>
          <w:szCs w:val="20"/>
          <w:lang w:val="en-GB"/>
        </w:rPr>
        <w:t>[</w:t>
      </w:r>
      <w:r w:rsidRPr="00CB60FC">
        <w:rPr>
          <w:rFonts w:ascii="Times New Roman" w:hAnsi="Times New Roman"/>
          <w:sz w:val="20"/>
          <w:szCs w:val="20"/>
          <w:lang w:val="en-GB"/>
        </w:rPr>
        <w:t>17].</w:t>
      </w:r>
      <w:r>
        <w:rPr>
          <w:rFonts w:ascii="Times New Roman" w:hAnsi="Times New Roman"/>
          <w:color w:val="FF0000"/>
          <w:sz w:val="20"/>
          <w:szCs w:val="20"/>
          <w:lang w:val="en-GB"/>
        </w:rPr>
        <w:t xml:space="preserve"> </w:t>
      </w:r>
      <w:r w:rsidRPr="00C7006F">
        <w:rPr>
          <w:rFonts w:ascii="Times New Roman" w:hAnsi="Times New Roman"/>
          <w:sz w:val="20"/>
          <w:szCs w:val="20"/>
          <w:lang w:val="en-GB"/>
        </w:rPr>
        <w:t>In this study, i</w:t>
      </w:r>
      <w:r w:rsidRPr="00C7006F">
        <w:rPr>
          <w:rStyle w:val="null"/>
          <w:rFonts w:ascii="Times New Roman" w:hAnsi="Times New Roman"/>
          <w:sz w:val="20"/>
          <w:szCs w:val="20"/>
        </w:rPr>
        <w:t xml:space="preserve">ron (Fe) has been selected as the element of reference in the calculation the enrichment factor </w:t>
      </w:r>
      <w:r>
        <w:rPr>
          <w:rStyle w:val="null"/>
          <w:rFonts w:ascii="Times New Roman" w:hAnsi="Times New Roman"/>
          <w:sz w:val="20"/>
          <w:szCs w:val="20"/>
        </w:rPr>
        <w:t>index.</w:t>
      </w:r>
      <w:r w:rsidRPr="00C7006F">
        <w:rPr>
          <w:rStyle w:val="null"/>
          <w:rFonts w:ascii="Times New Roman" w:hAnsi="Times New Roman"/>
          <w:sz w:val="20"/>
          <w:szCs w:val="20"/>
        </w:rPr>
        <w:t xml:space="preserve"> The assumption was </w:t>
      </w:r>
      <w:r w:rsidRPr="00C7006F">
        <w:rPr>
          <w:rStyle w:val="null"/>
          <w:rFonts w:ascii="Times New Roman" w:hAnsi="Times New Roman"/>
          <w:sz w:val="20"/>
          <w:szCs w:val="20"/>
        </w:rPr>
        <w:lastRenderedPageBreak/>
        <w:t>made that the association or influence of anthropogenic sources to the atmosphere is insignificant or unimportant</w:t>
      </w:r>
      <w:r w:rsidRPr="00C7006F">
        <w:rPr>
          <w:rStyle w:val="null"/>
          <w:rFonts w:ascii="Times New Roman" w:hAnsi="Times New Roman"/>
          <w:color w:val="17365D"/>
          <w:sz w:val="20"/>
          <w:szCs w:val="20"/>
        </w:rPr>
        <w:t xml:space="preserve">. </w:t>
      </w:r>
      <w:r w:rsidRPr="00C7006F">
        <w:rPr>
          <w:rFonts w:ascii="Times New Roman" w:hAnsi="Times New Roman"/>
          <w:sz w:val="20"/>
          <w:szCs w:val="20"/>
          <w:lang w:val="en-GB"/>
        </w:rPr>
        <w:t>The EF</w:t>
      </w:r>
      <w:r>
        <w:rPr>
          <w:rFonts w:ascii="Times New Roman" w:hAnsi="Times New Roman"/>
          <w:sz w:val="20"/>
          <w:szCs w:val="20"/>
          <w:lang w:val="en-GB"/>
        </w:rPr>
        <w:t xml:space="preserve"> value was</w:t>
      </w:r>
      <w:r w:rsidRPr="00C7006F">
        <w:rPr>
          <w:rFonts w:ascii="Times New Roman" w:hAnsi="Times New Roman"/>
          <w:sz w:val="20"/>
          <w:szCs w:val="20"/>
          <w:lang w:val="en-GB"/>
        </w:rPr>
        <w:t xml:space="preserve"> </w:t>
      </w:r>
      <w:r>
        <w:rPr>
          <w:rFonts w:ascii="Times New Roman" w:hAnsi="Times New Roman"/>
          <w:sz w:val="20"/>
          <w:szCs w:val="20"/>
          <w:lang w:val="en-GB"/>
        </w:rPr>
        <w:t>calculated</w:t>
      </w:r>
      <w:r w:rsidRPr="00C7006F">
        <w:rPr>
          <w:rFonts w:ascii="Times New Roman" w:hAnsi="Times New Roman"/>
          <w:sz w:val="20"/>
          <w:szCs w:val="20"/>
          <w:lang w:val="en-GB"/>
        </w:rPr>
        <w:t xml:space="preserve"> as </w:t>
      </w:r>
      <w:r>
        <w:rPr>
          <w:rFonts w:ascii="Times New Roman" w:hAnsi="Times New Roman"/>
          <w:sz w:val="20"/>
          <w:szCs w:val="20"/>
          <w:lang w:val="en-GB"/>
        </w:rPr>
        <w:t>equation 1 below[18]</w:t>
      </w:r>
      <w:r w:rsidRPr="00C7006F">
        <w:rPr>
          <w:rFonts w:ascii="Times New Roman" w:hAnsi="Times New Roman"/>
          <w:sz w:val="20"/>
          <w:szCs w:val="20"/>
          <w:lang w:val="en-GB"/>
        </w:rPr>
        <w:t>:</w:t>
      </w:r>
    </w:p>
    <w:p w:rsidR="00525F3F" w:rsidRPr="00C7006F" w:rsidRDefault="00525F3F" w:rsidP="00525F3F">
      <w:pPr>
        <w:pStyle w:val="MediumGrid21"/>
        <w:jc w:val="both"/>
        <w:rPr>
          <w:rFonts w:ascii="Times New Roman" w:hAnsi="Times New Roman"/>
          <w:sz w:val="20"/>
          <w:szCs w:val="20"/>
          <w:lang w:val="en-GB"/>
        </w:rPr>
      </w:pPr>
    </w:p>
    <w:bookmarkEnd w:id="25"/>
    <w:bookmarkEnd w:id="26"/>
    <w:p w:rsidR="00525F3F" w:rsidRPr="00BD714F" w:rsidRDefault="00525F3F" w:rsidP="00BD714F">
      <w:pPr>
        <w:spacing w:line="360" w:lineRule="auto"/>
        <w:ind w:firstLine="720"/>
        <w:rPr>
          <w:sz w:val="20"/>
          <w:szCs w:val="20"/>
        </w:rPr>
      </w:pPr>
      <w:r w:rsidRPr="00BD714F">
        <w:rPr>
          <w:sz w:val="20"/>
          <w:szCs w:val="20"/>
        </w:rPr>
        <w:t>EF = [M</w:t>
      </w:r>
      <w:r w:rsidRPr="00BD714F">
        <w:rPr>
          <w:sz w:val="20"/>
          <w:szCs w:val="20"/>
          <w:vertAlign w:val="subscript"/>
        </w:rPr>
        <w:t>sample</w:t>
      </w:r>
      <w:r w:rsidRPr="00BD714F">
        <w:rPr>
          <w:sz w:val="20"/>
          <w:szCs w:val="20"/>
        </w:rPr>
        <w:t>/ Fe</w:t>
      </w:r>
      <w:r w:rsidRPr="00BD714F">
        <w:rPr>
          <w:sz w:val="20"/>
          <w:szCs w:val="20"/>
          <w:vertAlign w:val="subscript"/>
        </w:rPr>
        <w:t>sample</w:t>
      </w:r>
      <w:r w:rsidRPr="00BD714F">
        <w:rPr>
          <w:sz w:val="20"/>
          <w:szCs w:val="20"/>
        </w:rPr>
        <w:t>] / [ M</w:t>
      </w:r>
      <w:r w:rsidRPr="00BD714F">
        <w:rPr>
          <w:sz w:val="20"/>
          <w:szCs w:val="20"/>
          <w:vertAlign w:val="subscript"/>
        </w:rPr>
        <w:t>baseline</w:t>
      </w:r>
      <w:r w:rsidRPr="00BD714F">
        <w:rPr>
          <w:sz w:val="20"/>
          <w:szCs w:val="20"/>
        </w:rPr>
        <w:t>/ Fe</w:t>
      </w:r>
      <w:r w:rsidRPr="00BD714F">
        <w:rPr>
          <w:sz w:val="20"/>
          <w:szCs w:val="20"/>
          <w:vertAlign w:val="subscript"/>
        </w:rPr>
        <w:t>baseline</w:t>
      </w:r>
      <w:r w:rsidRPr="00BD714F">
        <w:rPr>
          <w:sz w:val="20"/>
          <w:szCs w:val="20"/>
        </w:rPr>
        <w:t xml:space="preserve">] </w:t>
      </w:r>
      <w:r w:rsidRPr="00BD714F">
        <w:rPr>
          <w:sz w:val="20"/>
          <w:szCs w:val="20"/>
        </w:rPr>
        <w:tab/>
      </w:r>
      <w:r w:rsidRPr="00BD714F">
        <w:rPr>
          <w:sz w:val="20"/>
          <w:szCs w:val="20"/>
        </w:rPr>
        <w:tab/>
      </w:r>
      <w:r w:rsidRPr="00BD714F">
        <w:rPr>
          <w:sz w:val="20"/>
          <w:szCs w:val="20"/>
        </w:rPr>
        <w:tab/>
      </w:r>
      <w:r w:rsidRPr="00BD714F">
        <w:rPr>
          <w:sz w:val="20"/>
          <w:szCs w:val="20"/>
        </w:rPr>
        <w:tab/>
      </w:r>
      <w:r w:rsidRPr="00BD714F">
        <w:rPr>
          <w:sz w:val="20"/>
          <w:szCs w:val="20"/>
        </w:rPr>
        <w:tab/>
      </w:r>
      <w:r w:rsidRPr="00BD714F">
        <w:rPr>
          <w:sz w:val="20"/>
          <w:szCs w:val="20"/>
        </w:rPr>
        <w:tab/>
        <w:t xml:space="preserve"> </w:t>
      </w:r>
      <w:r w:rsidR="00BD714F" w:rsidRPr="00BD714F">
        <w:rPr>
          <w:sz w:val="20"/>
          <w:szCs w:val="20"/>
        </w:rPr>
        <w:t xml:space="preserve">      </w:t>
      </w:r>
      <w:r w:rsidRPr="00BD714F">
        <w:rPr>
          <w:sz w:val="20"/>
          <w:szCs w:val="20"/>
        </w:rPr>
        <w:t xml:space="preserve">  (1)                                                                              </w:t>
      </w:r>
    </w:p>
    <w:p w:rsidR="00525F3F" w:rsidRDefault="00525F3F" w:rsidP="00525F3F">
      <w:pPr>
        <w:spacing w:line="240" w:lineRule="auto"/>
        <w:jc w:val="both"/>
        <w:rPr>
          <w:rFonts w:ascii="Times New Roman" w:hAnsi="Times New Roman"/>
          <w:sz w:val="20"/>
          <w:szCs w:val="20"/>
        </w:rPr>
      </w:pPr>
      <w:bookmarkStart w:id="27" w:name="OLE_LINK28"/>
      <w:bookmarkStart w:id="28" w:name="OLE_LINK29"/>
      <w:r w:rsidRPr="00ED1AE1">
        <w:rPr>
          <w:rFonts w:ascii="Times New Roman" w:hAnsi="Times New Roman"/>
          <w:sz w:val="20"/>
          <w:szCs w:val="20"/>
        </w:rPr>
        <w:t>M</w:t>
      </w:r>
      <w:r w:rsidRPr="00ED1AE1">
        <w:rPr>
          <w:rFonts w:ascii="Times New Roman" w:hAnsi="Times New Roman"/>
          <w:sz w:val="20"/>
          <w:szCs w:val="20"/>
          <w:vertAlign w:val="subscript"/>
        </w:rPr>
        <w:t xml:space="preserve">Sample </w:t>
      </w:r>
      <w:r w:rsidRPr="00ED1AE1">
        <w:rPr>
          <w:rFonts w:ascii="Times New Roman" w:hAnsi="Times New Roman"/>
          <w:sz w:val="20"/>
          <w:szCs w:val="20"/>
        </w:rPr>
        <w:t>indicates the concentration of heavy metal in the sediment sample. Fe</w:t>
      </w:r>
      <w:r w:rsidRPr="00ED1AE1">
        <w:rPr>
          <w:rFonts w:ascii="Times New Roman" w:hAnsi="Times New Roman"/>
          <w:sz w:val="20"/>
          <w:szCs w:val="20"/>
          <w:vertAlign w:val="subscript"/>
        </w:rPr>
        <w:t>sample</w:t>
      </w:r>
      <w:r w:rsidRPr="00ED1AE1">
        <w:rPr>
          <w:rFonts w:ascii="Times New Roman" w:hAnsi="Times New Roman"/>
          <w:sz w:val="20"/>
          <w:szCs w:val="20"/>
        </w:rPr>
        <w:t xml:space="preserve"> is the concentration of the reference metal in the sample, M</w:t>
      </w:r>
      <w:r w:rsidRPr="00ED1AE1">
        <w:rPr>
          <w:rFonts w:ascii="Times New Roman" w:hAnsi="Times New Roman"/>
          <w:sz w:val="20"/>
          <w:szCs w:val="20"/>
          <w:vertAlign w:val="subscript"/>
        </w:rPr>
        <w:t xml:space="preserve">Baseline </w:t>
      </w:r>
      <w:r w:rsidRPr="00ED1AE1">
        <w:rPr>
          <w:rFonts w:ascii="Times New Roman" w:hAnsi="Times New Roman"/>
          <w:sz w:val="20"/>
          <w:szCs w:val="20"/>
        </w:rPr>
        <w:t>is the concentration of heavy metal in a control sample and Fe</w:t>
      </w:r>
      <w:r w:rsidRPr="00ED1AE1">
        <w:rPr>
          <w:rFonts w:ascii="Times New Roman" w:hAnsi="Times New Roman"/>
          <w:sz w:val="20"/>
          <w:szCs w:val="20"/>
          <w:vertAlign w:val="subscript"/>
        </w:rPr>
        <w:t>Baseline</w:t>
      </w:r>
      <w:r w:rsidRPr="00ED1AE1">
        <w:rPr>
          <w:rFonts w:ascii="Times New Roman" w:hAnsi="Times New Roman"/>
          <w:sz w:val="20"/>
          <w:szCs w:val="20"/>
        </w:rPr>
        <w:t xml:space="preserve"> is the concentration of the reference metal in a control sample. In this study, the control sample was collected in the remote area which considerably out of any possible industrial contaminants influences.</w:t>
      </w:r>
    </w:p>
    <w:p w:rsidR="00BD714F" w:rsidRPr="00ED1AE1" w:rsidRDefault="00BD714F" w:rsidP="00BD714F">
      <w:pPr>
        <w:spacing w:after="0" w:line="240" w:lineRule="auto"/>
        <w:jc w:val="both"/>
        <w:rPr>
          <w:rFonts w:ascii="Times New Roman" w:hAnsi="Times New Roman"/>
          <w:sz w:val="20"/>
          <w:szCs w:val="20"/>
        </w:rPr>
      </w:pPr>
    </w:p>
    <w:p w:rsidR="00525F3F" w:rsidRPr="00C7006F" w:rsidRDefault="00525F3F" w:rsidP="00BD714F">
      <w:pPr>
        <w:pStyle w:val="MediumGrid21"/>
        <w:spacing w:after="120"/>
        <w:jc w:val="center"/>
        <w:rPr>
          <w:rFonts w:ascii="Times New Roman" w:hAnsi="Times New Roman"/>
          <w:sz w:val="20"/>
          <w:szCs w:val="20"/>
          <w:lang w:val="en-GB"/>
        </w:rPr>
      </w:pPr>
      <w:bookmarkStart w:id="29" w:name="OLE_LINK34"/>
      <w:bookmarkStart w:id="30" w:name="OLE_LINK35"/>
      <w:bookmarkStart w:id="31" w:name="OLE_LINK36"/>
      <w:bookmarkEnd w:id="27"/>
      <w:bookmarkEnd w:id="28"/>
      <w:r w:rsidRPr="00F81EF1">
        <w:rPr>
          <w:rFonts w:ascii="Times New Roman" w:hAnsi="Times New Roman"/>
          <w:sz w:val="20"/>
          <w:szCs w:val="20"/>
          <w:lang w:val="en-GB"/>
        </w:rPr>
        <w:t>Table 4</w:t>
      </w:r>
      <w:r>
        <w:rPr>
          <w:rFonts w:ascii="Times New Roman" w:hAnsi="Times New Roman"/>
          <w:sz w:val="20"/>
          <w:szCs w:val="20"/>
          <w:lang w:val="en-GB"/>
        </w:rPr>
        <w:t xml:space="preserve">. </w:t>
      </w:r>
      <w:r w:rsidR="00BD714F">
        <w:rPr>
          <w:rFonts w:ascii="Times New Roman" w:hAnsi="Times New Roman"/>
          <w:sz w:val="20"/>
          <w:szCs w:val="20"/>
          <w:lang w:val="en-GB"/>
        </w:rPr>
        <w:t xml:space="preserve"> </w:t>
      </w:r>
      <w:r w:rsidRPr="00C7006F">
        <w:rPr>
          <w:rFonts w:ascii="Times New Roman" w:hAnsi="Times New Roman"/>
          <w:sz w:val="20"/>
          <w:szCs w:val="20"/>
          <w:lang w:val="en-GB"/>
        </w:rPr>
        <w:t>Enrichment factor value of sediment sample in Balok River</w:t>
      </w:r>
    </w:p>
    <w:tbl>
      <w:tblPr>
        <w:tblW w:w="7373" w:type="dxa"/>
        <w:jc w:val="center"/>
        <w:tblBorders>
          <w:top w:val="single" w:sz="8" w:space="0" w:color="000000"/>
          <w:bottom w:val="single" w:sz="8" w:space="0" w:color="000000"/>
        </w:tblBorders>
        <w:tblLook w:val="04A0" w:firstRow="1" w:lastRow="0" w:firstColumn="1" w:lastColumn="0" w:noHBand="0" w:noVBand="1"/>
      </w:tblPr>
      <w:tblGrid>
        <w:gridCol w:w="1271"/>
        <w:gridCol w:w="678"/>
        <w:gridCol w:w="678"/>
        <w:gridCol w:w="678"/>
        <w:gridCol w:w="678"/>
        <w:gridCol w:w="678"/>
        <w:gridCol w:w="678"/>
        <w:gridCol w:w="678"/>
        <w:gridCol w:w="678"/>
        <w:gridCol w:w="678"/>
      </w:tblGrid>
      <w:tr w:rsidR="00525F3F" w:rsidRPr="00BD714F" w:rsidTr="00AC6995">
        <w:trPr>
          <w:trHeight w:val="276"/>
          <w:jc w:val="center"/>
        </w:trPr>
        <w:tc>
          <w:tcPr>
            <w:tcW w:w="0" w:type="auto"/>
            <w:vMerge w:val="restart"/>
            <w:tcBorders>
              <w:top w:val="single" w:sz="8" w:space="0" w:color="000000"/>
              <w:left w:val="nil"/>
              <w:bottom w:val="single" w:sz="8" w:space="0" w:color="000000"/>
              <w:right w:val="nil"/>
            </w:tcBorders>
            <w:shd w:val="clear" w:color="auto" w:fill="auto"/>
          </w:tcPr>
          <w:p w:rsidR="00525F3F" w:rsidRPr="00BD714F" w:rsidRDefault="00525F3F" w:rsidP="00AC6995">
            <w:pPr>
              <w:pStyle w:val="MediumGrid21"/>
              <w:jc w:val="center"/>
              <w:rPr>
                <w:rFonts w:ascii="Times New Roman" w:hAnsi="Times New Roman"/>
                <w:b/>
                <w:bCs/>
                <w:color w:val="000000"/>
                <w:sz w:val="20"/>
                <w:szCs w:val="20"/>
                <w:lang w:val="en-GB"/>
              </w:rPr>
            </w:pPr>
          </w:p>
          <w:p w:rsidR="00525F3F" w:rsidRPr="00BD714F" w:rsidRDefault="00525F3F" w:rsidP="00AC6995">
            <w:pPr>
              <w:pStyle w:val="MediumGrid21"/>
              <w:rPr>
                <w:rFonts w:ascii="Times New Roman" w:hAnsi="Times New Roman"/>
                <w:b/>
                <w:bCs/>
                <w:color w:val="000000"/>
                <w:sz w:val="20"/>
                <w:szCs w:val="20"/>
                <w:lang w:val="en-GB"/>
              </w:rPr>
            </w:pPr>
            <w:r w:rsidRPr="00BD714F">
              <w:rPr>
                <w:rFonts w:ascii="Times New Roman" w:hAnsi="Times New Roman"/>
                <w:b/>
                <w:bCs/>
                <w:color w:val="000000"/>
                <w:sz w:val="20"/>
                <w:szCs w:val="20"/>
                <w:lang w:val="en-GB"/>
              </w:rPr>
              <w:t>Element</w:t>
            </w:r>
          </w:p>
        </w:tc>
        <w:tc>
          <w:tcPr>
            <w:tcW w:w="0" w:type="auto"/>
            <w:gridSpan w:val="9"/>
            <w:tcBorders>
              <w:top w:val="single" w:sz="8" w:space="0" w:color="000000"/>
              <w:left w:val="nil"/>
              <w:bottom w:val="single" w:sz="8" w:space="0" w:color="000000"/>
              <w:right w:val="nil"/>
            </w:tcBorders>
            <w:shd w:val="clear" w:color="auto" w:fill="auto"/>
          </w:tcPr>
          <w:p w:rsidR="00525F3F" w:rsidRPr="00BD714F" w:rsidRDefault="00525F3F" w:rsidP="00BD714F">
            <w:pPr>
              <w:pStyle w:val="MediumGrid21"/>
              <w:spacing w:before="60"/>
              <w:jc w:val="center"/>
              <w:rPr>
                <w:rFonts w:ascii="Times New Roman" w:hAnsi="Times New Roman"/>
                <w:b/>
                <w:bCs/>
                <w:color w:val="000000"/>
                <w:sz w:val="20"/>
                <w:szCs w:val="20"/>
                <w:lang w:val="en-GB"/>
              </w:rPr>
            </w:pPr>
            <w:r w:rsidRPr="00BD714F">
              <w:rPr>
                <w:rFonts w:ascii="Times New Roman" w:hAnsi="Times New Roman"/>
                <w:b/>
                <w:bCs/>
                <w:color w:val="000000"/>
                <w:sz w:val="20"/>
                <w:szCs w:val="20"/>
                <w:lang w:val="en-GB"/>
              </w:rPr>
              <w:t>Sampling Station</w:t>
            </w:r>
          </w:p>
        </w:tc>
      </w:tr>
      <w:tr w:rsidR="00525F3F" w:rsidRPr="00BD714F" w:rsidTr="00AC6995">
        <w:trPr>
          <w:trHeight w:val="166"/>
          <w:jc w:val="center"/>
        </w:trPr>
        <w:tc>
          <w:tcPr>
            <w:tcW w:w="0" w:type="auto"/>
            <w:vMerge/>
            <w:tcBorders>
              <w:left w:val="nil"/>
              <w:bottom w:val="single" w:sz="4" w:space="0" w:color="auto"/>
              <w:right w:val="nil"/>
            </w:tcBorders>
            <w:shd w:val="clear" w:color="auto" w:fill="auto"/>
          </w:tcPr>
          <w:p w:rsidR="00525F3F" w:rsidRPr="00BD714F" w:rsidRDefault="00525F3F" w:rsidP="00AC6995">
            <w:pPr>
              <w:pStyle w:val="MediumGrid21"/>
              <w:rPr>
                <w:rFonts w:ascii="Times New Roman" w:hAnsi="Times New Roman"/>
                <w:b/>
                <w:bCs/>
                <w:color w:val="000000"/>
                <w:sz w:val="20"/>
                <w:szCs w:val="20"/>
                <w:lang w:val="en-GB"/>
              </w:rPr>
            </w:pP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St1</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St2</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St3</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St4</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St5</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St6</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St7</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St8</w:t>
            </w:r>
          </w:p>
        </w:tc>
        <w:tc>
          <w:tcPr>
            <w:tcW w:w="0" w:type="auto"/>
            <w:tcBorders>
              <w:left w:val="nil"/>
              <w:bottom w:val="single" w:sz="4" w:space="0" w:color="auto"/>
              <w:right w:val="nil"/>
            </w:tcBorders>
            <w:shd w:val="clear" w:color="auto" w:fill="auto"/>
          </w:tcPr>
          <w:p w:rsidR="00525F3F" w:rsidRPr="00BD714F" w:rsidRDefault="00525F3F" w:rsidP="00BD714F">
            <w:pPr>
              <w:pStyle w:val="MediumGrid21"/>
              <w:spacing w:after="60"/>
              <w:rPr>
                <w:rFonts w:ascii="Times New Roman" w:hAnsi="Times New Roman"/>
                <w:b/>
                <w:color w:val="000000"/>
                <w:sz w:val="20"/>
                <w:szCs w:val="20"/>
                <w:lang w:val="en-GB"/>
              </w:rPr>
            </w:pPr>
            <w:r w:rsidRPr="00BD714F">
              <w:rPr>
                <w:rFonts w:ascii="Times New Roman" w:hAnsi="Times New Roman"/>
                <w:b/>
                <w:color w:val="000000"/>
                <w:sz w:val="20"/>
                <w:szCs w:val="20"/>
                <w:lang w:val="en-GB"/>
              </w:rPr>
              <w:t>St9</w:t>
            </w:r>
          </w:p>
        </w:tc>
      </w:tr>
      <w:tr w:rsidR="00525F3F" w:rsidRPr="00BD714F" w:rsidTr="00AC6995">
        <w:trPr>
          <w:trHeight w:val="259"/>
          <w:jc w:val="center"/>
        </w:trPr>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Cd</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4</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top w:val="single" w:sz="4" w:space="0" w:color="auto"/>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r>
      <w:tr w:rsidR="00525F3F" w:rsidRPr="00BD714F" w:rsidTr="00AC6995">
        <w:trPr>
          <w:trHeight w:val="276"/>
          <w:jc w:val="center"/>
        </w:trPr>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Co</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4</w:t>
            </w:r>
          </w:p>
        </w:tc>
      </w:tr>
      <w:tr w:rsidR="00525F3F" w:rsidRPr="00BD714F" w:rsidTr="00AC6995">
        <w:trPr>
          <w:trHeight w:val="259"/>
          <w:jc w:val="center"/>
        </w:trPr>
        <w:tc>
          <w:tcPr>
            <w:tcW w:w="0" w:type="auto"/>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Cr</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r>
      <w:tr w:rsidR="00525F3F" w:rsidRPr="00BD714F" w:rsidTr="00AC6995">
        <w:trPr>
          <w:trHeight w:val="259"/>
          <w:jc w:val="center"/>
        </w:trPr>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Cu</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r>
      <w:tr w:rsidR="00525F3F" w:rsidRPr="00BD714F" w:rsidTr="00AC6995">
        <w:trPr>
          <w:trHeight w:val="276"/>
          <w:jc w:val="center"/>
        </w:trPr>
        <w:tc>
          <w:tcPr>
            <w:tcW w:w="0" w:type="auto"/>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Mn</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r>
      <w:tr w:rsidR="00525F3F" w:rsidRPr="00BD714F" w:rsidTr="00AC6995">
        <w:trPr>
          <w:trHeight w:val="259"/>
          <w:jc w:val="center"/>
        </w:trPr>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 xml:space="preserve">Ni </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r>
      <w:tr w:rsidR="00525F3F" w:rsidRPr="00BD714F" w:rsidTr="00AC6995">
        <w:trPr>
          <w:trHeight w:val="259"/>
          <w:jc w:val="center"/>
        </w:trPr>
        <w:tc>
          <w:tcPr>
            <w:tcW w:w="0" w:type="auto"/>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Pb</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5</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6</w:t>
            </w:r>
          </w:p>
        </w:tc>
      </w:tr>
      <w:tr w:rsidR="00525F3F" w:rsidRPr="00BD714F" w:rsidTr="00AC6995">
        <w:trPr>
          <w:trHeight w:val="276"/>
          <w:jc w:val="center"/>
        </w:trPr>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V</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1</w:t>
            </w:r>
          </w:p>
        </w:tc>
        <w:tc>
          <w:tcPr>
            <w:tcW w:w="0" w:type="auto"/>
            <w:tcBorders>
              <w:left w:val="nil"/>
              <w:right w:val="nil"/>
            </w:tcBorders>
            <w:shd w:val="clear" w:color="auto" w:fill="auto"/>
          </w:tcPr>
          <w:p w:rsidR="00525F3F" w:rsidRPr="00BD714F" w:rsidRDefault="00525F3F" w:rsidP="00BD714F">
            <w:pPr>
              <w:pStyle w:val="MediumGrid21"/>
              <w:spacing w:before="60"/>
              <w:rPr>
                <w:rFonts w:ascii="Times New Roman" w:hAnsi="Times New Roman"/>
                <w:color w:val="000000"/>
                <w:sz w:val="20"/>
                <w:szCs w:val="20"/>
                <w:lang w:val="en-GB"/>
              </w:rPr>
            </w:pPr>
            <w:r w:rsidRPr="00BD714F">
              <w:rPr>
                <w:rFonts w:ascii="Times New Roman" w:hAnsi="Times New Roman"/>
                <w:color w:val="000000"/>
                <w:sz w:val="20"/>
                <w:szCs w:val="20"/>
                <w:lang w:val="en-GB"/>
              </w:rPr>
              <w:t>0</w:t>
            </w:r>
          </w:p>
        </w:tc>
      </w:tr>
      <w:tr w:rsidR="00525F3F" w:rsidRPr="00BD714F" w:rsidTr="00AC6995">
        <w:trPr>
          <w:trHeight w:val="259"/>
          <w:jc w:val="center"/>
        </w:trPr>
        <w:tc>
          <w:tcPr>
            <w:tcW w:w="0" w:type="auto"/>
            <w:shd w:val="clear" w:color="auto" w:fill="auto"/>
          </w:tcPr>
          <w:p w:rsidR="00525F3F" w:rsidRPr="00BD714F" w:rsidRDefault="00525F3F" w:rsidP="00BD714F">
            <w:pPr>
              <w:pStyle w:val="MediumGrid21"/>
              <w:spacing w:before="60" w:after="60"/>
              <w:rPr>
                <w:rFonts w:ascii="Times New Roman" w:hAnsi="Times New Roman"/>
                <w:b/>
                <w:bCs/>
                <w:color w:val="000000"/>
                <w:sz w:val="20"/>
                <w:szCs w:val="20"/>
                <w:lang w:val="en-GB"/>
              </w:rPr>
            </w:pPr>
            <w:r w:rsidRPr="00BD714F">
              <w:rPr>
                <w:rFonts w:ascii="Times New Roman" w:hAnsi="Times New Roman"/>
                <w:bCs/>
                <w:color w:val="000000"/>
                <w:sz w:val="20"/>
                <w:szCs w:val="20"/>
                <w:lang w:val="en-GB"/>
              </w:rPr>
              <w:t>Zn</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4</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3</w:t>
            </w:r>
          </w:p>
        </w:tc>
        <w:tc>
          <w:tcPr>
            <w:tcW w:w="0" w:type="auto"/>
            <w:shd w:val="clear" w:color="auto" w:fill="auto"/>
          </w:tcPr>
          <w:p w:rsidR="00525F3F" w:rsidRPr="00BD714F" w:rsidRDefault="00525F3F" w:rsidP="00BD714F">
            <w:pPr>
              <w:pStyle w:val="MediumGrid21"/>
              <w:spacing w:before="60" w:after="60"/>
              <w:rPr>
                <w:rFonts w:ascii="Times New Roman" w:hAnsi="Times New Roman"/>
                <w:color w:val="000000"/>
                <w:sz w:val="20"/>
                <w:szCs w:val="20"/>
                <w:lang w:val="en-GB"/>
              </w:rPr>
            </w:pPr>
            <w:r w:rsidRPr="00BD714F">
              <w:rPr>
                <w:rFonts w:ascii="Times New Roman" w:hAnsi="Times New Roman"/>
                <w:color w:val="000000"/>
                <w:sz w:val="20"/>
                <w:szCs w:val="20"/>
                <w:lang w:val="en-GB"/>
              </w:rPr>
              <w:t>2</w:t>
            </w:r>
          </w:p>
        </w:tc>
      </w:tr>
    </w:tbl>
    <w:p w:rsidR="00525F3F" w:rsidRPr="00FC4A7C" w:rsidRDefault="00525F3F" w:rsidP="00BD714F">
      <w:pPr>
        <w:spacing w:after="0" w:line="240" w:lineRule="auto"/>
        <w:ind w:left="990" w:right="961"/>
        <w:jc w:val="both"/>
        <w:rPr>
          <w:rFonts w:ascii="Times New Roman" w:hAnsi="Times New Roman"/>
          <w:sz w:val="16"/>
          <w:szCs w:val="18"/>
          <w:lang w:val="en-GB"/>
        </w:rPr>
      </w:pPr>
      <w:r w:rsidRPr="00FC4A7C">
        <w:rPr>
          <w:rFonts w:ascii="Times New Roman" w:hAnsi="Times New Roman"/>
          <w:sz w:val="16"/>
          <w:szCs w:val="18"/>
          <w:lang w:val="en-GB"/>
        </w:rPr>
        <w:t>An indication of the EF value; &lt; 2: Deficiency to minimal enrichment, 2-5: Moderate enrichment, 5-20: significant enrichment, 20-40: very high enrichment and &gt; 40: Extremely high enrichment.</w:t>
      </w:r>
    </w:p>
    <w:p w:rsidR="00BD714F" w:rsidRDefault="00BD714F" w:rsidP="00BD714F">
      <w:pPr>
        <w:spacing w:after="0" w:line="240" w:lineRule="auto"/>
        <w:jc w:val="both"/>
        <w:rPr>
          <w:rStyle w:val="null"/>
          <w:rFonts w:ascii="Times New Roman" w:hAnsi="Times New Roman"/>
          <w:sz w:val="20"/>
          <w:szCs w:val="20"/>
        </w:rPr>
      </w:pPr>
    </w:p>
    <w:p w:rsidR="00BD714F" w:rsidRDefault="00BD714F" w:rsidP="00BD714F">
      <w:pPr>
        <w:spacing w:after="0" w:line="240" w:lineRule="auto"/>
        <w:jc w:val="both"/>
        <w:rPr>
          <w:rStyle w:val="null"/>
          <w:rFonts w:ascii="Times New Roman" w:hAnsi="Times New Roman"/>
          <w:sz w:val="20"/>
          <w:szCs w:val="20"/>
        </w:rPr>
      </w:pPr>
    </w:p>
    <w:p w:rsidR="00525F3F" w:rsidRPr="00ED1AE1" w:rsidRDefault="00525F3F" w:rsidP="00525F3F">
      <w:pPr>
        <w:spacing w:line="240" w:lineRule="auto"/>
        <w:jc w:val="both"/>
        <w:rPr>
          <w:rStyle w:val="hps"/>
          <w:rFonts w:ascii="Times New Roman" w:hAnsi="Times New Roman"/>
          <w:sz w:val="20"/>
          <w:szCs w:val="20"/>
          <w:lang w:val="en"/>
        </w:rPr>
      </w:pPr>
      <w:r w:rsidRPr="00ED1AE1">
        <w:rPr>
          <w:rStyle w:val="null"/>
          <w:rFonts w:ascii="Times New Roman" w:hAnsi="Times New Roman"/>
          <w:sz w:val="20"/>
          <w:szCs w:val="20"/>
        </w:rPr>
        <w:t xml:space="preserve">Table 4 shows the EF values of the </w:t>
      </w:r>
      <w:r>
        <w:rPr>
          <w:rStyle w:val="null"/>
          <w:rFonts w:ascii="Times New Roman" w:hAnsi="Times New Roman"/>
          <w:sz w:val="20"/>
          <w:szCs w:val="20"/>
        </w:rPr>
        <w:t>analyzed</w:t>
      </w:r>
      <w:r w:rsidRPr="00ED1AE1">
        <w:rPr>
          <w:rStyle w:val="null"/>
          <w:rFonts w:ascii="Times New Roman" w:hAnsi="Times New Roman"/>
          <w:sz w:val="20"/>
          <w:szCs w:val="20"/>
        </w:rPr>
        <w:t xml:space="preserve"> elements</w:t>
      </w:r>
      <w:r>
        <w:rPr>
          <w:rStyle w:val="null"/>
          <w:rFonts w:ascii="Times New Roman" w:hAnsi="Times New Roman"/>
          <w:sz w:val="20"/>
          <w:szCs w:val="20"/>
        </w:rPr>
        <w:t xml:space="preserve"> obtained in this study.</w:t>
      </w:r>
      <w:r w:rsidRPr="00ED1AE1">
        <w:rPr>
          <w:rStyle w:val="null"/>
          <w:rFonts w:ascii="Times New Roman" w:hAnsi="Times New Roman"/>
          <w:sz w:val="20"/>
          <w:szCs w:val="20"/>
        </w:rPr>
        <w:t xml:space="preserve"> </w:t>
      </w:r>
      <w:r>
        <w:rPr>
          <w:rStyle w:val="null"/>
          <w:rFonts w:ascii="Times New Roman" w:hAnsi="Times New Roman"/>
          <w:sz w:val="20"/>
          <w:szCs w:val="20"/>
        </w:rPr>
        <w:t>The EF values indicate that most of the</w:t>
      </w:r>
      <w:r w:rsidRPr="00ED1AE1">
        <w:rPr>
          <w:rStyle w:val="null"/>
          <w:rFonts w:ascii="Times New Roman" w:hAnsi="Times New Roman"/>
          <w:sz w:val="20"/>
          <w:szCs w:val="20"/>
        </w:rPr>
        <w:t xml:space="preserve"> metal contents in Balok river sediments are </w:t>
      </w:r>
      <w:r>
        <w:rPr>
          <w:rStyle w:val="null"/>
          <w:rFonts w:ascii="Times New Roman" w:hAnsi="Times New Roman"/>
          <w:sz w:val="20"/>
          <w:szCs w:val="20"/>
        </w:rPr>
        <w:t>not so different in their concentrations compared</w:t>
      </w:r>
      <w:r w:rsidRPr="00ED1AE1">
        <w:rPr>
          <w:rStyle w:val="null"/>
          <w:rFonts w:ascii="Times New Roman" w:hAnsi="Times New Roman"/>
          <w:sz w:val="20"/>
          <w:szCs w:val="20"/>
        </w:rPr>
        <w:t xml:space="preserve"> to </w:t>
      </w:r>
      <w:r>
        <w:rPr>
          <w:rStyle w:val="null"/>
          <w:rFonts w:ascii="Times New Roman" w:hAnsi="Times New Roman"/>
          <w:sz w:val="20"/>
          <w:szCs w:val="20"/>
        </w:rPr>
        <w:t xml:space="preserve">the </w:t>
      </w:r>
      <w:r w:rsidRPr="00ED1AE1">
        <w:rPr>
          <w:rStyle w:val="null"/>
          <w:rFonts w:ascii="Times New Roman" w:hAnsi="Times New Roman"/>
          <w:sz w:val="20"/>
          <w:szCs w:val="20"/>
        </w:rPr>
        <w:t>average soil</w:t>
      </w:r>
      <w:r>
        <w:rPr>
          <w:rStyle w:val="null"/>
          <w:rFonts w:ascii="Times New Roman" w:hAnsi="Times New Roman"/>
          <w:sz w:val="20"/>
          <w:szCs w:val="20"/>
        </w:rPr>
        <w:t xml:space="preserve"> content</w:t>
      </w:r>
      <w:r w:rsidRPr="00ED1AE1">
        <w:rPr>
          <w:rStyle w:val="null"/>
          <w:rFonts w:ascii="Times New Roman" w:hAnsi="Times New Roman"/>
          <w:sz w:val="20"/>
          <w:szCs w:val="20"/>
        </w:rPr>
        <w:t xml:space="preserve">. The average of the EF’s values for most of the studied metals were </w:t>
      </w:r>
      <w:r>
        <w:rPr>
          <w:rStyle w:val="null"/>
          <w:rFonts w:ascii="Times New Roman" w:hAnsi="Times New Roman"/>
          <w:sz w:val="20"/>
          <w:szCs w:val="20"/>
        </w:rPr>
        <w:t xml:space="preserve">observed </w:t>
      </w:r>
      <w:r w:rsidRPr="00ED1AE1">
        <w:rPr>
          <w:rStyle w:val="null"/>
          <w:rFonts w:ascii="Times New Roman" w:hAnsi="Times New Roman"/>
          <w:sz w:val="20"/>
          <w:szCs w:val="20"/>
        </w:rPr>
        <w:t xml:space="preserve">below </w:t>
      </w:r>
      <w:r>
        <w:rPr>
          <w:rStyle w:val="null"/>
          <w:rFonts w:ascii="Times New Roman" w:hAnsi="Times New Roman"/>
          <w:sz w:val="20"/>
          <w:szCs w:val="20"/>
        </w:rPr>
        <w:t xml:space="preserve">than </w:t>
      </w:r>
      <w:r w:rsidRPr="00ED1AE1">
        <w:rPr>
          <w:rStyle w:val="null"/>
          <w:rFonts w:ascii="Times New Roman" w:hAnsi="Times New Roman"/>
          <w:sz w:val="20"/>
          <w:szCs w:val="20"/>
        </w:rPr>
        <w:t xml:space="preserve">3, which indicates the occurrences of minimal to moderate enrichment of the metals in the sediment samples. </w:t>
      </w:r>
      <w:r>
        <w:rPr>
          <w:rStyle w:val="null"/>
          <w:rFonts w:ascii="Times New Roman" w:hAnsi="Times New Roman"/>
          <w:sz w:val="20"/>
          <w:szCs w:val="20"/>
        </w:rPr>
        <w:t xml:space="preserve">As shown in </w:t>
      </w:r>
      <w:r w:rsidRPr="00ED1AE1">
        <w:rPr>
          <w:rStyle w:val="null"/>
          <w:rFonts w:ascii="Times New Roman" w:hAnsi="Times New Roman"/>
          <w:sz w:val="20"/>
          <w:szCs w:val="20"/>
        </w:rPr>
        <w:t>Table 4, the EF values of Pb and Zn for almost all of the sampling stations were higher than 2 except for St1 and St9 for the Zn metal. For Pb, the significant enrichment was observed in two sampling stations, St7 and St9</w:t>
      </w:r>
      <w:r>
        <w:rPr>
          <w:rStyle w:val="null"/>
          <w:rFonts w:ascii="Times New Roman" w:hAnsi="Times New Roman"/>
          <w:sz w:val="20"/>
          <w:szCs w:val="20"/>
        </w:rPr>
        <w:t xml:space="preserve"> with the EF values recorded as 5 and 7 respectively</w:t>
      </w:r>
      <w:r w:rsidRPr="00ED1AE1">
        <w:rPr>
          <w:rStyle w:val="null"/>
          <w:rFonts w:ascii="Times New Roman" w:hAnsi="Times New Roman"/>
          <w:sz w:val="20"/>
          <w:szCs w:val="20"/>
        </w:rPr>
        <w:t xml:space="preserve">. This </w:t>
      </w:r>
      <w:r>
        <w:rPr>
          <w:rStyle w:val="null"/>
          <w:rFonts w:ascii="Times New Roman" w:hAnsi="Times New Roman"/>
          <w:sz w:val="20"/>
          <w:szCs w:val="20"/>
        </w:rPr>
        <w:t>would suggest</w:t>
      </w:r>
      <w:r w:rsidRPr="00ED1AE1">
        <w:rPr>
          <w:rStyle w:val="null"/>
          <w:rFonts w:ascii="Times New Roman" w:hAnsi="Times New Roman"/>
          <w:sz w:val="20"/>
          <w:szCs w:val="20"/>
        </w:rPr>
        <w:t xml:space="preserve"> that a substantial portion of Pb and Zn </w:t>
      </w:r>
      <w:r>
        <w:rPr>
          <w:rStyle w:val="null"/>
          <w:rFonts w:ascii="Times New Roman" w:hAnsi="Times New Roman"/>
          <w:sz w:val="20"/>
          <w:szCs w:val="20"/>
        </w:rPr>
        <w:t xml:space="preserve">concentration in sediment samples </w:t>
      </w:r>
      <w:r w:rsidRPr="00ED1AE1">
        <w:rPr>
          <w:rStyle w:val="null"/>
          <w:rFonts w:ascii="Times New Roman" w:hAnsi="Times New Roman"/>
          <w:sz w:val="20"/>
          <w:szCs w:val="20"/>
        </w:rPr>
        <w:t xml:space="preserve">were contributed by anthropogenic sources, primarily related to the fisheries and boating activities by the local residents. St7 located at the meeting point of Balok River and Tunggak River while St9 located next to the Balok beach side which is a famous beach resort in the state. </w:t>
      </w:r>
      <w:r w:rsidRPr="00ED1AE1">
        <w:rPr>
          <w:rStyle w:val="hps"/>
          <w:rFonts w:ascii="Times New Roman" w:hAnsi="Times New Roman"/>
          <w:sz w:val="20"/>
          <w:szCs w:val="20"/>
          <w:lang w:val="en"/>
        </w:rPr>
        <w:t>Based on its geographical position</w:t>
      </w:r>
      <w:r w:rsidRPr="00ED1AE1">
        <w:rPr>
          <w:rFonts w:ascii="Times New Roman" w:hAnsi="Times New Roman"/>
          <w:sz w:val="20"/>
          <w:szCs w:val="20"/>
          <w:lang w:val="en"/>
        </w:rPr>
        <w:t xml:space="preserve">, the increases of </w:t>
      </w:r>
      <w:r w:rsidRPr="00ED1AE1">
        <w:rPr>
          <w:rStyle w:val="hps"/>
          <w:rFonts w:ascii="Times New Roman" w:hAnsi="Times New Roman"/>
          <w:sz w:val="20"/>
          <w:szCs w:val="20"/>
          <w:lang w:val="en"/>
        </w:rPr>
        <w:t>metals</w:t>
      </w:r>
      <w:r w:rsidRPr="00ED1AE1">
        <w:rPr>
          <w:rFonts w:ascii="Times New Roman" w:hAnsi="Times New Roman"/>
          <w:sz w:val="20"/>
          <w:szCs w:val="20"/>
          <w:lang w:val="en"/>
        </w:rPr>
        <w:t xml:space="preserve"> concentration </w:t>
      </w:r>
      <w:r w:rsidRPr="00ED1AE1">
        <w:rPr>
          <w:rStyle w:val="hps"/>
          <w:rFonts w:ascii="Times New Roman" w:hAnsi="Times New Roman"/>
          <w:sz w:val="20"/>
          <w:szCs w:val="20"/>
          <w:lang w:val="en"/>
        </w:rPr>
        <w:t>in</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river</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sediments</w:t>
      </w:r>
      <w:r w:rsidRPr="00ED1AE1">
        <w:rPr>
          <w:rFonts w:ascii="Times New Roman" w:hAnsi="Times New Roman"/>
          <w:sz w:val="20"/>
          <w:szCs w:val="20"/>
          <w:lang w:val="en"/>
        </w:rPr>
        <w:t xml:space="preserve"> </w:t>
      </w:r>
      <w:r>
        <w:rPr>
          <w:rFonts w:ascii="Times New Roman" w:hAnsi="Times New Roman"/>
          <w:sz w:val="20"/>
          <w:szCs w:val="20"/>
          <w:lang w:val="en"/>
        </w:rPr>
        <w:t xml:space="preserve">in this study </w:t>
      </w:r>
      <w:r w:rsidRPr="00ED1AE1">
        <w:rPr>
          <w:rStyle w:val="hps"/>
          <w:rFonts w:ascii="Times New Roman" w:hAnsi="Times New Roman"/>
          <w:sz w:val="20"/>
          <w:szCs w:val="20"/>
          <w:lang w:val="en"/>
        </w:rPr>
        <w:t>can be linked with</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various</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tourism</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and hospitality industry</w:t>
      </w:r>
      <w:r w:rsidRPr="00ED1AE1">
        <w:rPr>
          <w:rFonts w:ascii="Times New Roman" w:hAnsi="Times New Roman"/>
          <w:sz w:val="20"/>
          <w:szCs w:val="20"/>
          <w:lang w:val="en"/>
        </w:rPr>
        <w:t xml:space="preserve">, which grew </w:t>
      </w:r>
      <w:r w:rsidRPr="00ED1AE1">
        <w:rPr>
          <w:rStyle w:val="hps"/>
          <w:rFonts w:ascii="Times New Roman" w:hAnsi="Times New Roman"/>
          <w:sz w:val="20"/>
          <w:szCs w:val="20"/>
          <w:lang w:val="en"/>
        </w:rPr>
        <w:t>rapidly</w:t>
      </w:r>
      <w:r w:rsidRPr="00ED1AE1">
        <w:rPr>
          <w:rFonts w:ascii="Times New Roman" w:hAnsi="Times New Roman"/>
          <w:sz w:val="20"/>
          <w:szCs w:val="20"/>
          <w:lang w:val="en"/>
        </w:rPr>
        <w:t xml:space="preserve"> </w:t>
      </w:r>
      <w:r w:rsidRPr="00ED1AE1">
        <w:rPr>
          <w:rStyle w:val="hps"/>
          <w:rFonts w:ascii="Times New Roman" w:hAnsi="Times New Roman"/>
          <w:sz w:val="20"/>
          <w:szCs w:val="20"/>
          <w:lang w:val="en"/>
        </w:rPr>
        <w:t>in the surrounding area.</w:t>
      </w:r>
    </w:p>
    <w:bookmarkEnd w:id="29"/>
    <w:bookmarkEnd w:id="30"/>
    <w:bookmarkEnd w:id="31"/>
    <w:p w:rsidR="00525F3F" w:rsidRPr="00C7006F" w:rsidRDefault="00525F3F" w:rsidP="00525F3F">
      <w:pPr>
        <w:pStyle w:val="MediumGrid21"/>
        <w:jc w:val="both"/>
        <w:rPr>
          <w:rFonts w:ascii="Times New Roman" w:hAnsi="Times New Roman"/>
          <w:b/>
          <w:sz w:val="20"/>
          <w:szCs w:val="20"/>
          <w:lang w:val="en-GB"/>
        </w:rPr>
      </w:pPr>
      <w:r w:rsidRPr="00C7006F">
        <w:rPr>
          <w:rFonts w:ascii="Times New Roman" w:hAnsi="Times New Roman"/>
          <w:b/>
          <w:sz w:val="20"/>
          <w:szCs w:val="20"/>
          <w:lang w:val="en-GB"/>
        </w:rPr>
        <w:t>Geo-Accumulation Index</w:t>
      </w:r>
    </w:p>
    <w:p w:rsidR="00525F3F" w:rsidRDefault="00525F3F" w:rsidP="00525F3F">
      <w:pPr>
        <w:pStyle w:val="MediumGrid21"/>
        <w:jc w:val="both"/>
        <w:rPr>
          <w:rFonts w:ascii="Times New Roman" w:hAnsi="Times New Roman"/>
          <w:sz w:val="20"/>
          <w:szCs w:val="20"/>
          <w:lang w:val="en-GB"/>
        </w:rPr>
      </w:pPr>
      <w:r w:rsidRPr="00C7006F">
        <w:rPr>
          <w:rFonts w:ascii="Times New Roman" w:hAnsi="Times New Roman"/>
          <w:sz w:val="20"/>
          <w:szCs w:val="20"/>
          <w:lang w:val="en-GB"/>
        </w:rPr>
        <w:t xml:space="preserve">In order to assess the contamination of the examined sediment with organic and inorganic substances, the Geo-accumulation index is utilized </w:t>
      </w:r>
      <w:r>
        <w:rPr>
          <w:rFonts w:ascii="Times New Roman" w:hAnsi="Times New Roman"/>
          <w:sz w:val="20"/>
          <w:szCs w:val="20"/>
          <w:lang w:val="en-GB"/>
        </w:rPr>
        <w:t>by comparing the</w:t>
      </w:r>
      <w:r w:rsidRPr="00C7006F">
        <w:rPr>
          <w:rFonts w:ascii="Times New Roman" w:hAnsi="Times New Roman"/>
          <w:sz w:val="20"/>
          <w:szCs w:val="20"/>
          <w:lang w:val="en-GB"/>
        </w:rPr>
        <w:t xml:space="preserve"> </w:t>
      </w:r>
      <w:r>
        <w:rPr>
          <w:rFonts w:ascii="Times New Roman" w:hAnsi="Times New Roman"/>
          <w:sz w:val="20"/>
          <w:szCs w:val="20"/>
          <w:lang w:val="en-GB"/>
        </w:rPr>
        <w:t>control</w:t>
      </w:r>
      <w:r w:rsidRPr="00C7006F">
        <w:rPr>
          <w:rFonts w:ascii="Times New Roman" w:hAnsi="Times New Roman"/>
          <w:sz w:val="20"/>
          <w:szCs w:val="20"/>
          <w:lang w:val="en-GB"/>
        </w:rPr>
        <w:t xml:space="preserve"> level with the current concentration </w:t>
      </w:r>
      <w:r>
        <w:rPr>
          <w:rFonts w:ascii="Times New Roman" w:hAnsi="Times New Roman"/>
          <w:sz w:val="20"/>
          <w:szCs w:val="20"/>
          <w:lang w:val="en-GB"/>
        </w:rPr>
        <w:t xml:space="preserve">of the metals. </w:t>
      </w:r>
      <w:r w:rsidRPr="00C7006F">
        <w:rPr>
          <w:rFonts w:ascii="Times New Roman" w:hAnsi="Times New Roman"/>
          <w:sz w:val="20"/>
          <w:szCs w:val="20"/>
          <w:lang w:val="en-GB"/>
        </w:rPr>
        <w:t>The geo-accumulation index (I</w:t>
      </w:r>
      <w:r w:rsidRPr="00C7006F">
        <w:rPr>
          <w:rFonts w:ascii="Times New Roman" w:hAnsi="Times New Roman"/>
          <w:sz w:val="20"/>
          <w:szCs w:val="20"/>
          <w:vertAlign w:val="subscript"/>
          <w:lang w:val="en-GB"/>
        </w:rPr>
        <w:t>geo</w:t>
      </w:r>
      <w:r w:rsidRPr="00C7006F">
        <w:rPr>
          <w:rFonts w:ascii="Times New Roman" w:hAnsi="Times New Roman"/>
          <w:sz w:val="20"/>
          <w:szCs w:val="20"/>
          <w:lang w:val="en-GB"/>
        </w:rPr>
        <w:t xml:space="preserve">) in this study was calculated by using the following equation </w:t>
      </w:r>
      <w:r>
        <w:rPr>
          <w:rFonts w:ascii="Times New Roman" w:hAnsi="Times New Roman"/>
          <w:sz w:val="20"/>
          <w:szCs w:val="20"/>
          <w:lang w:val="en-GB"/>
        </w:rPr>
        <w:t xml:space="preserve">2 [19]. </w:t>
      </w:r>
    </w:p>
    <w:p w:rsidR="00525F3F" w:rsidRDefault="00525F3F" w:rsidP="00525F3F">
      <w:pPr>
        <w:pStyle w:val="MediumGrid21"/>
        <w:jc w:val="both"/>
        <w:rPr>
          <w:rFonts w:ascii="Times New Roman" w:eastAsia="Times New Roman" w:hAnsi="Times New Roman"/>
          <w:sz w:val="20"/>
          <w:szCs w:val="20"/>
        </w:rPr>
      </w:pPr>
    </w:p>
    <w:p w:rsidR="00525F3F" w:rsidRPr="00C7006F" w:rsidRDefault="00525F3F" w:rsidP="00BD714F">
      <w:pPr>
        <w:pStyle w:val="MediumGrid21"/>
        <w:ind w:firstLine="720"/>
        <w:jc w:val="both"/>
        <w:rPr>
          <w:rFonts w:ascii="Times New Roman" w:hAnsi="Times New Roman"/>
          <w:sz w:val="20"/>
          <w:szCs w:val="20"/>
        </w:rPr>
      </w:pPr>
      <w:r>
        <w:rPr>
          <w:rFonts w:ascii="Times New Roman" w:eastAsia="Times New Roman" w:hAnsi="Times New Roman"/>
          <w:sz w:val="20"/>
          <w:szCs w:val="20"/>
        </w:rPr>
        <w:t xml:space="preserve"> </w:t>
      </w:r>
      <w:r w:rsidRPr="00C7006F">
        <w:rPr>
          <w:rFonts w:ascii="Times New Roman" w:eastAsia="Times New Roman" w:hAnsi="Times New Roman"/>
          <w:sz w:val="20"/>
          <w:szCs w:val="20"/>
        </w:rPr>
        <w:t>I</w:t>
      </w:r>
      <w:r w:rsidRPr="00C7006F">
        <w:rPr>
          <w:rFonts w:ascii="Times New Roman" w:eastAsia="Times New Roman" w:hAnsi="Times New Roman"/>
          <w:sz w:val="20"/>
          <w:szCs w:val="20"/>
          <w:vertAlign w:val="subscript"/>
        </w:rPr>
        <w:t>geo</w:t>
      </w:r>
      <w:r w:rsidRPr="00C7006F">
        <w:rPr>
          <w:rFonts w:ascii="Times New Roman" w:eastAsia="Times New Roman" w:hAnsi="Times New Roman"/>
          <w:sz w:val="20"/>
          <w:szCs w:val="20"/>
        </w:rPr>
        <w:t xml:space="preserve"> = log</w:t>
      </w:r>
      <w:r w:rsidRPr="00C7006F">
        <w:rPr>
          <w:rFonts w:ascii="Times New Roman" w:eastAsia="Times New Roman" w:hAnsi="Times New Roman"/>
          <w:sz w:val="20"/>
          <w:szCs w:val="20"/>
          <w:vertAlign w:val="subscript"/>
        </w:rPr>
        <w:t>2</w:t>
      </w:r>
      <w:r w:rsidRPr="00C7006F">
        <w:rPr>
          <w:rFonts w:ascii="Times New Roman" w:eastAsia="Times New Roman" w:hAnsi="Times New Roman"/>
          <w:sz w:val="20"/>
          <w:szCs w:val="20"/>
        </w:rPr>
        <w:t xml:space="preserve"> [C</w:t>
      </w:r>
      <w:r w:rsidRPr="00C7006F">
        <w:rPr>
          <w:rFonts w:ascii="Times New Roman" w:eastAsia="Times New Roman" w:hAnsi="Times New Roman"/>
          <w:sz w:val="20"/>
          <w:szCs w:val="20"/>
          <w:vertAlign w:val="subscript"/>
        </w:rPr>
        <w:t xml:space="preserve">n  </w:t>
      </w:r>
      <w:r w:rsidRPr="00C7006F">
        <w:rPr>
          <w:rFonts w:ascii="Times New Roman" w:eastAsia="Times New Roman" w:hAnsi="Times New Roman"/>
          <w:sz w:val="20"/>
          <w:szCs w:val="20"/>
        </w:rPr>
        <w:t>/ (1.5 (B</w:t>
      </w:r>
      <w:r w:rsidRPr="00C7006F">
        <w:rPr>
          <w:rFonts w:ascii="Times New Roman" w:eastAsia="Times New Roman" w:hAnsi="Times New Roman"/>
          <w:sz w:val="20"/>
          <w:szCs w:val="20"/>
          <w:vertAlign w:val="subscript"/>
        </w:rPr>
        <w:t>n</w:t>
      </w:r>
      <w:r w:rsidRPr="00C7006F">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BD714F">
        <w:rPr>
          <w:rFonts w:ascii="Times New Roman" w:eastAsia="Times New Roman" w:hAnsi="Times New Roman"/>
          <w:sz w:val="20"/>
          <w:szCs w:val="20"/>
        </w:rPr>
        <w:t xml:space="preserve">                                  </w:t>
      </w:r>
      <w:r>
        <w:rPr>
          <w:rFonts w:ascii="Times New Roman" w:eastAsia="Times New Roman" w:hAnsi="Times New Roman"/>
          <w:sz w:val="20"/>
          <w:szCs w:val="20"/>
        </w:rPr>
        <w:t>(2)</w:t>
      </w:r>
      <w:r w:rsidRPr="00C7006F">
        <w:rPr>
          <w:rFonts w:ascii="Times New Roman" w:eastAsia="Times New Roman" w:hAnsi="Times New Roman"/>
          <w:sz w:val="20"/>
          <w:szCs w:val="20"/>
        </w:rPr>
        <w:t xml:space="preserve">                                                                                                </w:t>
      </w:r>
    </w:p>
    <w:p w:rsidR="00525F3F" w:rsidRDefault="00525F3F" w:rsidP="00525F3F">
      <w:pPr>
        <w:pStyle w:val="MediumGrid21"/>
        <w:jc w:val="both"/>
        <w:rPr>
          <w:rFonts w:ascii="Times New Roman" w:hAnsi="Times New Roman"/>
          <w:sz w:val="20"/>
          <w:szCs w:val="20"/>
          <w:lang w:val="en-GB"/>
        </w:rPr>
      </w:pPr>
      <w:bookmarkStart w:id="32" w:name="OLE_LINK44"/>
      <w:bookmarkStart w:id="33" w:name="OLE_LINK45"/>
      <w:bookmarkStart w:id="34" w:name="OLE_LINK37"/>
      <w:bookmarkStart w:id="35" w:name="OLE_LINK38"/>
      <w:bookmarkStart w:id="36" w:name="OLE_LINK39"/>
      <w:bookmarkStart w:id="37" w:name="OLE_LINK40"/>
      <w:bookmarkStart w:id="38" w:name="OLE_LINK41"/>
      <w:bookmarkStart w:id="39" w:name="OLE_LINK42"/>
      <w:bookmarkStart w:id="40" w:name="OLE_LINK43"/>
    </w:p>
    <w:p w:rsidR="00525F3F" w:rsidRPr="00100A8F" w:rsidRDefault="00525F3F" w:rsidP="00100A8F">
      <w:pPr>
        <w:pStyle w:val="MediumGrid21"/>
        <w:jc w:val="both"/>
        <w:rPr>
          <w:rFonts w:ascii="Times New Roman" w:hAnsi="Times New Roman"/>
          <w:color w:val="222222"/>
          <w:sz w:val="20"/>
          <w:szCs w:val="20"/>
          <w:lang w:val="en"/>
        </w:rPr>
      </w:pPr>
      <w:r w:rsidRPr="00C7006F">
        <w:rPr>
          <w:rFonts w:ascii="Times New Roman" w:hAnsi="Times New Roman"/>
          <w:sz w:val="20"/>
          <w:szCs w:val="20"/>
          <w:lang w:val="en-GB"/>
        </w:rPr>
        <w:t xml:space="preserve">The </w:t>
      </w:r>
      <w:r w:rsidRPr="00C7006F">
        <w:rPr>
          <w:rFonts w:ascii="Times New Roman" w:hAnsi="Times New Roman"/>
          <w:i/>
          <w:sz w:val="20"/>
          <w:szCs w:val="20"/>
          <w:lang w:val="en-GB"/>
        </w:rPr>
        <w:t>C</w:t>
      </w:r>
      <w:r w:rsidRPr="00C7006F">
        <w:rPr>
          <w:rFonts w:ascii="Times New Roman" w:hAnsi="Times New Roman"/>
          <w:i/>
          <w:sz w:val="20"/>
          <w:szCs w:val="20"/>
          <w:vertAlign w:val="subscript"/>
          <w:lang w:val="en-GB"/>
        </w:rPr>
        <w:t>n</w:t>
      </w:r>
      <w:r w:rsidRPr="00C7006F">
        <w:rPr>
          <w:rFonts w:ascii="Times New Roman" w:hAnsi="Times New Roman"/>
          <w:sz w:val="20"/>
          <w:szCs w:val="20"/>
          <w:lang w:val="en-GB"/>
        </w:rPr>
        <w:t xml:space="preserve"> representing the concentration of the metal </w:t>
      </w:r>
      <w:r w:rsidRPr="00C7006F">
        <w:rPr>
          <w:rFonts w:ascii="Times New Roman" w:hAnsi="Times New Roman"/>
          <w:i/>
          <w:sz w:val="20"/>
          <w:szCs w:val="20"/>
          <w:lang w:val="en-GB"/>
        </w:rPr>
        <w:t>n</w:t>
      </w:r>
      <w:r w:rsidRPr="00C7006F">
        <w:rPr>
          <w:rFonts w:ascii="Times New Roman" w:hAnsi="Times New Roman"/>
          <w:sz w:val="20"/>
          <w:szCs w:val="20"/>
          <w:lang w:val="en-GB"/>
        </w:rPr>
        <w:t xml:space="preserve"> in the studied sediment</w:t>
      </w:r>
      <w:r>
        <w:rPr>
          <w:rFonts w:ascii="Times New Roman" w:hAnsi="Times New Roman"/>
          <w:sz w:val="20"/>
          <w:szCs w:val="20"/>
          <w:lang w:val="en-GB"/>
        </w:rPr>
        <w:t xml:space="preserve"> while </w:t>
      </w:r>
      <w:r w:rsidRPr="00C7006F">
        <w:rPr>
          <w:rFonts w:ascii="Times New Roman" w:hAnsi="Times New Roman"/>
          <w:sz w:val="20"/>
          <w:szCs w:val="20"/>
          <w:lang w:val="en-GB"/>
        </w:rPr>
        <w:t xml:space="preserve">the </w:t>
      </w:r>
      <w:r w:rsidRPr="00C7006F">
        <w:rPr>
          <w:rFonts w:ascii="Times New Roman" w:hAnsi="Times New Roman"/>
          <w:i/>
          <w:sz w:val="20"/>
          <w:szCs w:val="20"/>
          <w:lang w:val="en-GB"/>
        </w:rPr>
        <w:t>B</w:t>
      </w:r>
      <w:r w:rsidRPr="00C7006F">
        <w:rPr>
          <w:rFonts w:ascii="Times New Roman" w:hAnsi="Times New Roman"/>
          <w:i/>
          <w:sz w:val="20"/>
          <w:szCs w:val="20"/>
          <w:vertAlign w:val="subscript"/>
          <w:lang w:val="en-GB"/>
        </w:rPr>
        <w:t xml:space="preserve">n </w:t>
      </w:r>
      <w:r w:rsidRPr="00C7006F">
        <w:rPr>
          <w:rFonts w:ascii="Times New Roman" w:hAnsi="Times New Roman"/>
          <w:sz w:val="20"/>
          <w:szCs w:val="20"/>
          <w:lang w:val="en-GB"/>
        </w:rPr>
        <w:t xml:space="preserve">representing the background value of the metal </w:t>
      </w:r>
      <w:r w:rsidRPr="00C7006F">
        <w:rPr>
          <w:rFonts w:ascii="Times New Roman" w:hAnsi="Times New Roman"/>
          <w:i/>
          <w:sz w:val="20"/>
          <w:szCs w:val="20"/>
          <w:lang w:val="en-GB"/>
        </w:rPr>
        <w:t>n</w:t>
      </w:r>
      <w:bookmarkEnd w:id="32"/>
      <w:bookmarkEnd w:id="33"/>
      <w:bookmarkEnd w:id="34"/>
      <w:bookmarkEnd w:id="35"/>
      <w:bookmarkEnd w:id="36"/>
      <w:bookmarkEnd w:id="37"/>
      <w:bookmarkEnd w:id="38"/>
      <w:bookmarkEnd w:id="39"/>
      <w:bookmarkEnd w:id="40"/>
      <w:r w:rsidR="00100A8F">
        <w:rPr>
          <w:rFonts w:ascii="Times New Roman" w:hAnsi="Times New Roman"/>
          <w:sz w:val="20"/>
          <w:szCs w:val="20"/>
          <w:lang w:val="en-GB"/>
        </w:rPr>
        <w:t>.</w:t>
      </w:r>
    </w:p>
    <w:p w:rsidR="00525F3F" w:rsidRPr="00F85600" w:rsidRDefault="00525F3F" w:rsidP="00100A8F">
      <w:pPr>
        <w:pStyle w:val="MediumGrid21"/>
        <w:spacing w:after="120"/>
        <w:jc w:val="center"/>
        <w:rPr>
          <w:rFonts w:ascii="Times New Roman" w:hAnsi="Times New Roman"/>
          <w:sz w:val="20"/>
          <w:szCs w:val="20"/>
        </w:rPr>
      </w:pPr>
      <w:r w:rsidRPr="00F85600">
        <w:rPr>
          <w:rFonts w:ascii="Times New Roman" w:hAnsi="Times New Roman"/>
          <w:sz w:val="20"/>
          <w:szCs w:val="20"/>
        </w:rPr>
        <w:lastRenderedPageBreak/>
        <w:t xml:space="preserve">Table 5: </w:t>
      </w:r>
      <w:r w:rsidR="00100A8F">
        <w:rPr>
          <w:rFonts w:ascii="Times New Roman" w:hAnsi="Times New Roman"/>
          <w:sz w:val="20"/>
          <w:szCs w:val="20"/>
        </w:rPr>
        <w:t xml:space="preserve"> </w:t>
      </w:r>
      <w:r w:rsidRPr="00F85600">
        <w:rPr>
          <w:rFonts w:ascii="Times New Roman" w:hAnsi="Times New Roman"/>
          <w:sz w:val="20"/>
          <w:szCs w:val="20"/>
        </w:rPr>
        <w:t>The classification of the sample sediment quality based on the Igeo indexes</w:t>
      </w:r>
    </w:p>
    <w:tbl>
      <w:tblPr>
        <w:tblW w:w="0" w:type="auto"/>
        <w:jc w:val="center"/>
        <w:tblInd w:w="-579" w:type="dxa"/>
        <w:tblBorders>
          <w:top w:val="single" w:sz="8" w:space="0" w:color="000000"/>
          <w:bottom w:val="single" w:sz="8" w:space="0" w:color="000000"/>
        </w:tblBorders>
        <w:tblLayout w:type="fixed"/>
        <w:tblLook w:val="04A0" w:firstRow="1" w:lastRow="0" w:firstColumn="1" w:lastColumn="0" w:noHBand="0" w:noVBand="1"/>
      </w:tblPr>
      <w:tblGrid>
        <w:gridCol w:w="1329"/>
        <w:gridCol w:w="711"/>
        <w:gridCol w:w="712"/>
        <w:gridCol w:w="713"/>
        <w:gridCol w:w="713"/>
        <w:gridCol w:w="611"/>
        <w:gridCol w:w="611"/>
        <w:gridCol w:w="611"/>
        <w:gridCol w:w="508"/>
        <w:gridCol w:w="612"/>
      </w:tblGrid>
      <w:tr w:rsidR="00525F3F" w:rsidRPr="00100A8F" w:rsidTr="00100A8F">
        <w:trPr>
          <w:trHeight w:val="144"/>
          <w:jc w:val="center"/>
        </w:trPr>
        <w:tc>
          <w:tcPr>
            <w:tcW w:w="1329" w:type="dxa"/>
            <w:vMerge w:val="restart"/>
            <w:tcBorders>
              <w:top w:val="single" w:sz="8" w:space="0" w:color="000000"/>
              <w:left w:val="nil"/>
              <w:bottom w:val="single" w:sz="8" w:space="0" w:color="000000"/>
              <w:right w:val="nil"/>
            </w:tcBorders>
            <w:shd w:val="clear" w:color="auto" w:fill="auto"/>
            <w:noWrap/>
          </w:tcPr>
          <w:p w:rsidR="00525F3F" w:rsidRPr="00100A8F" w:rsidRDefault="00525F3F" w:rsidP="00100A8F">
            <w:pPr>
              <w:pStyle w:val="MediumGrid21"/>
              <w:spacing w:before="60"/>
              <w:jc w:val="center"/>
              <w:rPr>
                <w:rFonts w:ascii="Times New Roman" w:hAnsi="Times New Roman"/>
                <w:sz w:val="20"/>
                <w:szCs w:val="20"/>
              </w:rPr>
            </w:pPr>
            <w:r w:rsidRPr="00100A8F">
              <w:rPr>
                <w:rFonts w:ascii="Times New Roman" w:hAnsi="Times New Roman"/>
                <w:sz w:val="20"/>
                <w:szCs w:val="20"/>
              </w:rPr>
              <w:t>Element</w:t>
            </w:r>
          </w:p>
        </w:tc>
        <w:tc>
          <w:tcPr>
            <w:tcW w:w="5802" w:type="dxa"/>
            <w:gridSpan w:val="9"/>
            <w:tcBorders>
              <w:top w:val="single" w:sz="8" w:space="0" w:color="000000"/>
              <w:left w:val="nil"/>
              <w:bottom w:val="single" w:sz="8" w:space="0" w:color="000000"/>
              <w:right w:val="nil"/>
            </w:tcBorders>
            <w:shd w:val="clear" w:color="auto" w:fill="auto"/>
            <w:noWrap/>
          </w:tcPr>
          <w:p w:rsidR="00525F3F" w:rsidRPr="00100A8F" w:rsidRDefault="00525F3F" w:rsidP="00100A8F">
            <w:pPr>
              <w:pStyle w:val="MediumGrid21"/>
              <w:spacing w:before="60"/>
              <w:jc w:val="center"/>
              <w:rPr>
                <w:rFonts w:ascii="Times New Roman" w:hAnsi="Times New Roman"/>
                <w:sz w:val="20"/>
                <w:szCs w:val="20"/>
              </w:rPr>
            </w:pPr>
            <w:r w:rsidRPr="00100A8F">
              <w:rPr>
                <w:rFonts w:ascii="Times New Roman" w:hAnsi="Times New Roman"/>
                <w:sz w:val="20"/>
                <w:szCs w:val="20"/>
              </w:rPr>
              <w:t>Sampling Station</w:t>
            </w:r>
          </w:p>
        </w:tc>
      </w:tr>
      <w:tr w:rsidR="00525F3F" w:rsidRPr="00100A8F" w:rsidTr="00100A8F">
        <w:trPr>
          <w:trHeight w:val="144"/>
          <w:jc w:val="center"/>
        </w:trPr>
        <w:tc>
          <w:tcPr>
            <w:tcW w:w="1329" w:type="dxa"/>
            <w:vMerge/>
            <w:tcBorders>
              <w:left w:val="nil"/>
              <w:bottom w:val="single" w:sz="4" w:space="0" w:color="auto"/>
              <w:right w:val="nil"/>
            </w:tcBorders>
            <w:shd w:val="clear" w:color="auto" w:fill="auto"/>
            <w:noWrap/>
          </w:tcPr>
          <w:p w:rsidR="00525F3F" w:rsidRPr="00100A8F" w:rsidRDefault="00525F3F" w:rsidP="00AC6995">
            <w:pPr>
              <w:pStyle w:val="MediumGrid21"/>
              <w:jc w:val="center"/>
              <w:rPr>
                <w:rFonts w:ascii="Times New Roman" w:eastAsia="Times New Roman" w:hAnsi="Times New Roman"/>
                <w:bCs/>
                <w:color w:val="000000"/>
                <w:sz w:val="20"/>
                <w:szCs w:val="20"/>
              </w:rPr>
            </w:pPr>
          </w:p>
        </w:tc>
        <w:tc>
          <w:tcPr>
            <w:tcW w:w="711"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2"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3</w:t>
            </w:r>
          </w:p>
        </w:tc>
        <w:tc>
          <w:tcPr>
            <w:tcW w:w="713"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4</w:t>
            </w:r>
          </w:p>
        </w:tc>
        <w:tc>
          <w:tcPr>
            <w:tcW w:w="611"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5</w:t>
            </w:r>
          </w:p>
        </w:tc>
        <w:tc>
          <w:tcPr>
            <w:tcW w:w="611"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6</w:t>
            </w:r>
          </w:p>
        </w:tc>
        <w:tc>
          <w:tcPr>
            <w:tcW w:w="611"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7</w:t>
            </w:r>
          </w:p>
        </w:tc>
        <w:tc>
          <w:tcPr>
            <w:tcW w:w="508"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8</w:t>
            </w:r>
          </w:p>
        </w:tc>
        <w:tc>
          <w:tcPr>
            <w:tcW w:w="612" w:type="dxa"/>
            <w:tcBorders>
              <w:left w:val="nil"/>
              <w:bottom w:val="single" w:sz="4" w:space="0" w:color="auto"/>
              <w:right w:val="nil"/>
            </w:tcBorders>
            <w:shd w:val="clear" w:color="auto" w:fill="auto"/>
            <w:noWrap/>
          </w:tcPr>
          <w:p w:rsidR="00525F3F" w:rsidRPr="00100A8F" w:rsidRDefault="00525F3F" w:rsidP="00100A8F">
            <w:pPr>
              <w:pStyle w:val="MediumGrid21"/>
              <w:spacing w:after="60"/>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9</w:t>
            </w:r>
          </w:p>
        </w:tc>
      </w:tr>
      <w:tr w:rsidR="00525F3F" w:rsidRPr="00100A8F" w:rsidTr="00100A8F">
        <w:trPr>
          <w:trHeight w:val="144"/>
          <w:jc w:val="center"/>
        </w:trPr>
        <w:tc>
          <w:tcPr>
            <w:tcW w:w="1329"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Cd</w:t>
            </w:r>
          </w:p>
        </w:tc>
        <w:tc>
          <w:tcPr>
            <w:tcW w:w="711"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2"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508"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2" w:type="dxa"/>
            <w:tcBorders>
              <w:top w:val="single" w:sz="4" w:space="0" w:color="auto"/>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r>
      <w:tr w:rsidR="00525F3F" w:rsidRPr="00100A8F" w:rsidTr="00100A8F">
        <w:trPr>
          <w:trHeight w:val="144"/>
          <w:jc w:val="center"/>
        </w:trPr>
        <w:tc>
          <w:tcPr>
            <w:tcW w:w="1329" w:type="dxa"/>
            <w:tcBorders>
              <w:left w:val="nil"/>
              <w:right w:val="nil"/>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Co</w:t>
            </w:r>
          </w:p>
        </w:tc>
        <w:tc>
          <w:tcPr>
            <w:tcW w:w="7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508"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3</w:t>
            </w:r>
          </w:p>
        </w:tc>
      </w:tr>
      <w:tr w:rsidR="00525F3F" w:rsidRPr="00100A8F" w:rsidTr="00100A8F">
        <w:trPr>
          <w:trHeight w:val="144"/>
          <w:jc w:val="center"/>
        </w:trPr>
        <w:tc>
          <w:tcPr>
            <w:tcW w:w="1329" w:type="dxa"/>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Cr</w:t>
            </w:r>
          </w:p>
        </w:tc>
        <w:tc>
          <w:tcPr>
            <w:tcW w:w="7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508"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r>
      <w:tr w:rsidR="00525F3F" w:rsidRPr="00100A8F" w:rsidTr="00100A8F">
        <w:trPr>
          <w:trHeight w:val="144"/>
          <w:jc w:val="center"/>
        </w:trPr>
        <w:tc>
          <w:tcPr>
            <w:tcW w:w="1329" w:type="dxa"/>
            <w:tcBorders>
              <w:left w:val="nil"/>
              <w:right w:val="nil"/>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Cu</w:t>
            </w:r>
          </w:p>
        </w:tc>
        <w:tc>
          <w:tcPr>
            <w:tcW w:w="7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508"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6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r>
      <w:tr w:rsidR="00525F3F" w:rsidRPr="00100A8F" w:rsidTr="00100A8F">
        <w:trPr>
          <w:trHeight w:val="144"/>
          <w:jc w:val="center"/>
        </w:trPr>
        <w:tc>
          <w:tcPr>
            <w:tcW w:w="1329" w:type="dxa"/>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Fe</w:t>
            </w:r>
          </w:p>
        </w:tc>
        <w:tc>
          <w:tcPr>
            <w:tcW w:w="7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508"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6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r>
      <w:tr w:rsidR="00525F3F" w:rsidRPr="00100A8F" w:rsidTr="00100A8F">
        <w:trPr>
          <w:trHeight w:val="144"/>
          <w:jc w:val="center"/>
        </w:trPr>
        <w:tc>
          <w:tcPr>
            <w:tcW w:w="1329" w:type="dxa"/>
            <w:tcBorders>
              <w:left w:val="nil"/>
              <w:right w:val="nil"/>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Mn</w:t>
            </w:r>
          </w:p>
        </w:tc>
        <w:tc>
          <w:tcPr>
            <w:tcW w:w="7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508"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r>
      <w:tr w:rsidR="00525F3F" w:rsidRPr="00100A8F" w:rsidTr="00100A8F">
        <w:trPr>
          <w:trHeight w:val="144"/>
          <w:jc w:val="center"/>
        </w:trPr>
        <w:tc>
          <w:tcPr>
            <w:tcW w:w="1329" w:type="dxa"/>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Ni</w:t>
            </w:r>
          </w:p>
        </w:tc>
        <w:tc>
          <w:tcPr>
            <w:tcW w:w="7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508"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r>
      <w:tr w:rsidR="00525F3F" w:rsidRPr="00100A8F" w:rsidTr="00100A8F">
        <w:trPr>
          <w:trHeight w:val="144"/>
          <w:jc w:val="center"/>
        </w:trPr>
        <w:tc>
          <w:tcPr>
            <w:tcW w:w="1329" w:type="dxa"/>
            <w:tcBorders>
              <w:left w:val="nil"/>
              <w:right w:val="nil"/>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Pb</w:t>
            </w:r>
          </w:p>
        </w:tc>
        <w:tc>
          <w:tcPr>
            <w:tcW w:w="7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3</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3</w:t>
            </w:r>
          </w:p>
        </w:tc>
        <w:tc>
          <w:tcPr>
            <w:tcW w:w="508"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4</w:t>
            </w:r>
          </w:p>
        </w:tc>
      </w:tr>
      <w:tr w:rsidR="00525F3F" w:rsidRPr="00100A8F" w:rsidTr="00100A8F">
        <w:trPr>
          <w:trHeight w:val="144"/>
          <w:jc w:val="center"/>
        </w:trPr>
        <w:tc>
          <w:tcPr>
            <w:tcW w:w="1329" w:type="dxa"/>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V</w:t>
            </w:r>
          </w:p>
        </w:tc>
        <w:tc>
          <w:tcPr>
            <w:tcW w:w="7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3"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611"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508"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c>
          <w:tcPr>
            <w:tcW w:w="612" w:type="dxa"/>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r>
      <w:tr w:rsidR="00525F3F" w:rsidRPr="00100A8F" w:rsidTr="00100A8F">
        <w:trPr>
          <w:trHeight w:val="144"/>
          <w:jc w:val="center"/>
        </w:trPr>
        <w:tc>
          <w:tcPr>
            <w:tcW w:w="1329" w:type="dxa"/>
            <w:tcBorders>
              <w:left w:val="nil"/>
              <w:right w:val="nil"/>
            </w:tcBorders>
            <w:shd w:val="clear" w:color="auto" w:fill="auto"/>
            <w:noWrap/>
            <w:hideMark/>
          </w:tcPr>
          <w:p w:rsidR="00525F3F" w:rsidRPr="00100A8F" w:rsidRDefault="00525F3F" w:rsidP="00AC6995">
            <w:pPr>
              <w:pStyle w:val="MediumGrid21"/>
              <w:jc w:val="center"/>
              <w:rPr>
                <w:rFonts w:ascii="Times New Roman" w:hAnsi="Times New Roman"/>
                <w:sz w:val="20"/>
                <w:szCs w:val="20"/>
              </w:rPr>
            </w:pPr>
            <w:r w:rsidRPr="00100A8F">
              <w:rPr>
                <w:rFonts w:ascii="Times New Roman" w:hAnsi="Times New Roman"/>
                <w:sz w:val="20"/>
                <w:szCs w:val="20"/>
              </w:rPr>
              <w:t>Zn</w:t>
            </w:r>
          </w:p>
        </w:tc>
        <w:tc>
          <w:tcPr>
            <w:tcW w:w="7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1</w:t>
            </w:r>
          </w:p>
        </w:tc>
        <w:tc>
          <w:tcPr>
            <w:tcW w:w="7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713"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1"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508"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2</w:t>
            </w:r>
          </w:p>
        </w:tc>
        <w:tc>
          <w:tcPr>
            <w:tcW w:w="612" w:type="dxa"/>
            <w:tcBorders>
              <w:left w:val="nil"/>
              <w:right w:val="nil"/>
            </w:tcBorders>
            <w:shd w:val="clear" w:color="auto" w:fill="auto"/>
            <w:noWrap/>
            <w:hideMark/>
          </w:tcPr>
          <w:p w:rsidR="00525F3F" w:rsidRPr="00100A8F" w:rsidRDefault="00525F3F" w:rsidP="00AC6995">
            <w:pPr>
              <w:pStyle w:val="MediumGrid21"/>
              <w:jc w:val="center"/>
              <w:rPr>
                <w:rFonts w:ascii="Times New Roman" w:eastAsia="Times New Roman" w:hAnsi="Times New Roman"/>
                <w:color w:val="000000"/>
                <w:sz w:val="20"/>
                <w:szCs w:val="20"/>
              </w:rPr>
            </w:pPr>
            <w:r w:rsidRPr="00100A8F">
              <w:rPr>
                <w:rFonts w:ascii="Times New Roman" w:eastAsia="Times New Roman" w:hAnsi="Times New Roman"/>
                <w:color w:val="000000"/>
                <w:sz w:val="20"/>
                <w:szCs w:val="20"/>
              </w:rPr>
              <w:t>0</w:t>
            </w:r>
          </w:p>
        </w:tc>
      </w:tr>
    </w:tbl>
    <w:p w:rsidR="00525F3F" w:rsidRPr="00100A8F" w:rsidRDefault="00525F3F" w:rsidP="00100A8F">
      <w:pPr>
        <w:pStyle w:val="MediumGrid21"/>
        <w:ind w:left="1080" w:right="1141"/>
        <w:jc w:val="both"/>
        <w:rPr>
          <w:rFonts w:ascii="Times New Roman" w:hAnsi="Times New Roman"/>
          <w:sz w:val="18"/>
          <w:szCs w:val="18"/>
          <w:lang w:val="en-GB"/>
        </w:rPr>
      </w:pPr>
      <w:r w:rsidRPr="00100A8F">
        <w:rPr>
          <w:rFonts w:ascii="Times New Roman" w:hAnsi="Times New Roman"/>
          <w:sz w:val="18"/>
          <w:szCs w:val="18"/>
          <w:lang w:val="en-GB"/>
        </w:rPr>
        <w:t>Class 0: Unpolluted, 1: From unpolluted to moderately polluted, 2: Moderately polluted, 3: From moderately polluted to strongly polluted, 4: Strongly polluted, 5: From strongly polluted to extremely polluted, 6: Extremely polluted.</w:t>
      </w:r>
    </w:p>
    <w:p w:rsidR="00525F3F" w:rsidRDefault="00525F3F" w:rsidP="00100A8F">
      <w:pPr>
        <w:pStyle w:val="MediumGrid21"/>
        <w:ind w:right="1141"/>
        <w:jc w:val="both"/>
        <w:rPr>
          <w:rFonts w:ascii="Times New Roman" w:hAnsi="Times New Roman"/>
          <w:sz w:val="18"/>
          <w:szCs w:val="18"/>
          <w:lang w:val="en-GB"/>
        </w:rPr>
      </w:pPr>
    </w:p>
    <w:p w:rsidR="00100A8F" w:rsidRPr="00100A8F" w:rsidRDefault="00100A8F" w:rsidP="00100A8F">
      <w:pPr>
        <w:pStyle w:val="MediumGrid21"/>
        <w:ind w:right="1141"/>
        <w:jc w:val="both"/>
        <w:rPr>
          <w:rFonts w:ascii="Times New Roman" w:hAnsi="Times New Roman"/>
          <w:sz w:val="18"/>
          <w:szCs w:val="18"/>
          <w:lang w:val="en-GB"/>
        </w:rPr>
      </w:pPr>
    </w:p>
    <w:p w:rsidR="00525F3F" w:rsidRPr="00C7006F" w:rsidRDefault="00525F3F" w:rsidP="00525F3F">
      <w:pPr>
        <w:pStyle w:val="MediumGrid21"/>
        <w:jc w:val="both"/>
        <w:rPr>
          <w:rStyle w:val="hps"/>
          <w:rFonts w:ascii="Times New Roman" w:hAnsi="Times New Roman"/>
          <w:color w:val="222222"/>
          <w:sz w:val="20"/>
          <w:szCs w:val="20"/>
          <w:lang w:val="en"/>
        </w:rPr>
      </w:pPr>
      <w:r w:rsidRPr="00C7006F">
        <w:rPr>
          <w:rFonts w:ascii="Times New Roman" w:hAnsi="Times New Roman"/>
          <w:sz w:val="20"/>
          <w:szCs w:val="20"/>
          <w:lang w:val="en-GB"/>
        </w:rPr>
        <w:t xml:space="preserve">The classification of the sample sediments can be made based on the geo-accumulation indexes where it can be explained by seven different indications that covered unpolluted to extremely polluted levels. </w:t>
      </w:r>
      <w:bookmarkStart w:id="41" w:name="OLE_LINK46"/>
      <w:bookmarkStart w:id="42" w:name="OLE_LINK47"/>
      <w:r w:rsidRPr="00C7006F">
        <w:rPr>
          <w:rFonts w:ascii="Times New Roman" w:hAnsi="Times New Roman"/>
          <w:sz w:val="20"/>
          <w:szCs w:val="20"/>
          <w:lang w:val="en-GB"/>
        </w:rPr>
        <w:t>Table 5 presents the I</w:t>
      </w:r>
      <w:r w:rsidRPr="00C7006F">
        <w:rPr>
          <w:rFonts w:ascii="Times New Roman" w:hAnsi="Times New Roman"/>
          <w:sz w:val="20"/>
          <w:szCs w:val="20"/>
          <w:vertAlign w:val="subscript"/>
          <w:lang w:val="en-GB"/>
        </w:rPr>
        <w:t>geo</w:t>
      </w:r>
      <w:r w:rsidRPr="00C7006F">
        <w:rPr>
          <w:rFonts w:ascii="Times New Roman" w:hAnsi="Times New Roman"/>
          <w:sz w:val="20"/>
          <w:szCs w:val="20"/>
          <w:lang w:val="en-GB"/>
        </w:rPr>
        <w:t xml:space="preserve"> values of the studied metals. </w:t>
      </w:r>
      <w:bookmarkStart w:id="43" w:name="OLE_LINK48"/>
      <w:bookmarkStart w:id="44" w:name="OLE_LINK49"/>
      <w:r w:rsidRPr="00C7006F">
        <w:rPr>
          <w:rFonts w:ascii="Times New Roman" w:hAnsi="Times New Roman"/>
          <w:sz w:val="20"/>
          <w:szCs w:val="20"/>
          <w:lang w:val="en-GB"/>
        </w:rPr>
        <w:t>In general, the I</w:t>
      </w:r>
      <w:r w:rsidRPr="00C7006F">
        <w:rPr>
          <w:rFonts w:ascii="Times New Roman" w:hAnsi="Times New Roman"/>
          <w:sz w:val="20"/>
          <w:szCs w:val="20"/>
          <w:vertAlign w:val="subscript"/>
          <w:lang w:val="en-GB"/>
        </w:rPr>
        <w:t>geo</w:t>
      </w:r>
      <w:r w:rsidRPr="00C7006F">
        <w:rPr>
          <w:rFonts w:ascii="Times New Roman" w:hAnsi="Times New Roman"/>
          <w:sz w:val="20"/>
          <w:szCs w:val="20"/>
          <w:lang w:val="en-GB"/>
        </w:rPr>
        <w:t xml:space="preserve"> values for ten studied metals at all sampling stations were below 1 which clearly indicates </w:t>
      </w:r>
      <w:bookmarkStart w:id="45" w:name="OLE_LINK50"/>
      <w:bookmarkStart w:id="46" w:name="OLE_LINK51"/>
      <w:r w:rsidRPr="00C7006F">
        <w:rPr>
          <w:rFonts w:ascii="Times New Roman" w:hAnsi="Times New Roman"/>
          <w:sz w:val="20"/>
          <w:szCs w:val="20"/>
          <w:lang w:val="en-GB"/>
        </w:rPr>
        <w:t>that the studied sediment samples were not polluted with the studied metals.</w:t>
      </w:r>
      <w:bookmarkEnd w:id="41"/>
      <w:bookmarkEnd w:id="42"/>
      <w:r w:rsidRPr="00C7006F">
        <w:rPr>
          <w:rFonts w:ascii="Times New Roman" w:hAnsi="Times New Roman"/>
          <w:sz w:val="20"/>
          <w:szCs w:val="20"/>
          <w:lang w:val="en-GB"/>
        </w:rPr>
        <w:t xml:space="preserve"> </w:t>
      </w:r>
      <w:bookmarkStart w:id="47" w:name="OLE_LINK52"/>
      <w:bookmarkStart w:id="48" w:name="OLE_LINK53"/>
      <w:bookmarkEnd w:id="43"/>
      <w:bookmarkEnd w:id="44"/>
      <w:bookmarkEnd w:id="45"/>
      <w:bookmarkEnd w:id="46"/>
      <w:r w:rsidRPr="00C7006F">
        <w:rPr>
          <w:rFonts w:ascii="Times New Roman" w:hAnsi="Times New Roman"/>
          <w:sz w:val="20"/>
          <w:szCs w:val="20"/>
          <w:lang w:val="en-GB"/>
        </w:rPr>
        <w:t>Most of the studied sediment was equally polluted with Pb, Cr and Zn at the moderate class by having the I</w:t>
      </w:r>
      <w:r w:rsidRPr="00C7006F">
        <w:rPr>
          <w:rFonts w:ascii="Times New Roman" w:hAnsi="Times New Roman"/>
          <w:sz w:val="20"/>
          <w:szCs w:val="20"/>
          <w:vertAlign w:val="subscript"/>
          <w:lang w:val="en-GB"/>
        </w:rPr>
        <w:t>geo</w:t>
      </w:r>
      <w:r w:rsidRPr="00C7006F">
        <w:rPr>
          <w:rFonts w:ascii="Times New Roman" w:hAnsi="Times New Roman"/>
          <w:sz w:val="20"/>
          <w:szCs w:val="20"/>
          <w:lang w:val="en-GB"/>
        </w:rPr>
        <w:t xml:space="preserve"> value equal to 2 and above. </w:t>
      </w:r>
      <w:bookmarkStart w:id="49" w:name="OLE_LINK54"/>
      <w:bookmarkStart w:id="50" w:name="OLE_LINK55"/>
      <w:bookmarkEnd w:id="47"/>
      <w:bookmarkEnd w:id="48"/>
      <w:r>
        <w:rPr>
          <w:rFonts w:ascii="Times New Roman" w:hAnsi="Times New Roman"/>
          <w:sz w:val="20"/>
          <w:szCs w:val="20"/>
          <w:lang w:val="en-GB"/>
        </w:rPr>
        <w:t>I</w:t>
      </w:r>
      <w:r w:rsidRPr="00C7006F">
        <w:rPr>
          <w:rFonts w:ascii="Times New Roman" w:hAnsi="Times New Roman"/>
          <w:sz w:val="20"/>
          <w:szCs w:val="20"/>
          <w:lang w:val="en-GB"/>
        </w:rPr>
        <w:t>t is suggested that n</w:t>
      </w:r>
      <w:r w:rsidRPr="00C7006F">
        <w:rPr>
          <w:rStyle w:val="hps"/>
          <w:rFonts w:ascii="Times New Roman" w:hAnsi="Times New Roman"/>
          <w:color w:val="222222"/>
          <w:sz w:val="20"/>
          <w:szCs w:val="20"/>
          <w:lang w:val="en"/>
        </w:rPr>
        <w:t xml:space="preserve">early all </w:t>
      </w:r>
      <w:r w:rsidRPr="00C7006F">
        <w:rPr>
          <w:rFonts w:ascii="Times New Roman" w:hAnsi="Times New Roman"/>
          <w:color w:val="222222"/>
          <w:sz w:val="20"/>
          <w:szCs w:val="20"/>
          <w:lang w:val="en"/>
        </w:rPr>
        <w:t xml:space="preserve">the analyzed </w:t>
      </w:r>
      <w:r w:rsidRPr="00C7006F">
        <w:rPr>
          <w:rStyle w:val="hps"/>
          <w:rFonts w:ascii="Times New Roman" w:hAnsi="Times New Roman"/>
          <w:color w:val="222222"/>
          <w:sz w:val="20"/>
          <w:szCs w:val="20"/>
          <w:lang w:val="en"/>
        </w:rPr>
        <w:t xml:space="preserve">sediment samples were not being contaminated with the studied metals except </w:t>
      </w:r>
      <w:r>
        <w:rPr>
          <w:rStyle w:val="hps"/>
          <w:rFonts w:ascii="Times New Roman" w:hAnsi="Times New Roman"/>
          <w:color w:val="222222"/>
          <w:sz w:val="20"/>
          <w:szCs w:val="20"/>
          <w:lang w:val="en"/>
        </w:rPr>
        <w:t>with</w:t>
      </w:r>
      <w:r w:rsidRPr="00C7006F">
        <w:rPr>
          <w:rStyle w:val="hps"/>
          <w:rFonts w:ascii="Times New Roman" w:hAnsi="Times New Roman"/>
          <w:color w:val="222222"/>
          <w:sz w:val="20"/>
          <w:szCs w:val="20"/>
          <w:lang w:val="en"/>
        </w:rPr>
        <w:t xml:space="preserve"> Pb, Cr and Zn</w:t>
      </w:r>
      <w:bookmarkEnd w:id="49"/>
      <w:bookmarkEnd w:id="50"/>
      <w:r w:rsidRPr="00C7006F">
        <w:rPr>
          <w:rStyle w:val="hps"/>
          <w:rFonts w:ascii="Times New Roman" w:hAnsi="Times New Roman"/>
          <w:color w:val="222222"/>
          <w:sz w:val="20"/>
          <w:szCs w:val="20"/>
          <w:lang w:val="en"/>
        </w:rPr>
        <w:t>.</w:t>
      </w:r>
    </w:p>
    <w:p w:rsidR="006768E9" w:rsidRPr="00802DCC" w:rsidRDefault="006768E9" w:rsidP="00525F3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100A8F" w:rsidRPr="00C7006F" w:rsidRDefault="00100A8F" w:rsidP="00100A8F">
      <w:pPr>
        <w:pStyle w:val="MediumGrid21"/>
        <w:jc w:val="both"/>
        <w:rPr>
          <w:rFonts w:ascii="Times New Roman" w:hAnsi="Times New Roman"/>
          <w:sz w:val="20"/>
          <w:szCs w:val="20"/>
          <w:lang w:val="en-GB"/>
        </w:rPr>
      </w:pPr>
      <w:r w:rsidRPr="00C7006F">
        <w:rPr>
          <w:rFonts w:ascii="Times New Roman" w:hAnsi="Times New Roman"/>
          <w:sz w:val="20"/>
          <w:szCs w:val="20"/>
          <w:lang w:val="en-GB"/>
        </w:rPr>
        <w:t xml:space="preserve">The average concentrations of the studied metals in the Balok River sediments are significantly higher compared to the background levels. The highest concentration of the element was recorded </w:t>
      </w:r>
      <w:r>
        <w:rPr>
          <w:rFonts w:ascii="Times New Roman" w:hAnsi="Times New Roman"/>
          <w:sz w:val="20"/>
          <w:szCs w:val="20"/>
          <w:lang w:val="en-GB"/>
        </w:rPr>
        <w:t>for</w:t>
      </w:r>
      <w:r w:rsidRPr="00C7006F">
        <w:rPr>
          <w:rFonts w:ascii="Times New Roman" w:hAnsi="Times New Roman"/>
          <w:sz w:val="20"/>
          <w:szCs w:val="20"/>
          <w:lang w:val="en-GB"/>
        </w:rPr>
        <w:t xml:space="preserve"> Fe which ranging from 3224 to 67104 mg/kg. The concentration of metals in sediment samples can be arranged in descending order as Fe &gt; Zn &gt;Mn&gt; V &gt; Cr &gt;</w:t>
      </w:r>
      <w:r>
        <w:rPr>
          <w:rFonts w:ascii="Times New Roman" w:hAnsi="Times New Roman"/>
          <w:sz w:val="20"/>
          <w:szCs w:val="20"/>
          <w:lang w:val="en-GB"/>
        </w:rPr>
        <w:t xml:space="preserve"> </w:t>
      </w:r>
      <w:r w:rsidRPr="00C7006F">
        <w:rPr>
          <w:rFonts w:ascii="Times New Roman" w:hAnsi="Times New Roman"/>
          <w:sz w:val="20"/>
          <w:szCs w:val="20"/>
          <w:lang w:val="en-GB"/>
        </w:rPr>
        <w:t>Pb</w:t>
      </w:r>
      <w:r>
        <w:rPr>
          <w:rFonts w:ascii="Times New Roman" w:hAnsi="Times New Roman"/>
          <w:sz w:val="20"/>
          <w:szCs w:val="20"/>
          <w:lang w:val="en-GB"/>
        </w:rPr>
        <w:t xml:space="preserve"> </w:t>
      </w:r>
      <w:r w:rsidRPr="00C7006F">
        <w:rPr>
          <w:rFonts w:ascii="Times New Roman" w:hAnsi="Times New Roman"/>
          <w:sz w:val="20"/>
          <w:szCs w:val="20"/>
          <w:lang w:val="en-GB"/>
        </w:rPr>
        <w:t>&gt; Cu &gt; Ni &gt; Co &gt; Cd. The results of PCA generally indicate that the studied metals contained in the sediment samples were originated from two different sources, anthropogenic and natural origin. The group of Fe, Mn, Co, Pb and Cu are possibly related to the natural and agricultural origin, while the group of Ni, V, Cd, Cr and Zn were contributed by industrial activities. The information obtained from the analyses of Enrichment factor, EF and supported by the Geo-Accumulation Index, I</w:t>
      </w:r>
      <w:r w:rsidRPr="00C7006F">
        <w:rPr>
          <w:rFonts w:ascii="Times New Roman" w:hAnsi="Times New Roman"/>
          <w:sz w:val="20"/>
          <w:szCs w:val="20"/>
          <w:vertAlign w:val="subscript"/>
          <w:lang w:val="en-GB"/>
        </w:rPr>
        <w:t>geo</w:t>
      </w:r>
      <w:r w:rsidRPr="00C7006F">
        <w:rPr>
          <w:rFonts w:ascii="Times New Roman" w:hAnsi="Times New Roman"/>
          <w:sz w:val="20"/>
          <w:szCs w:val="20"/>
          <w:lang w:val="en-GB"/>
        </w:rPr>
        <w:t xml:space="preserve"> clearly indicates that no extremely excessive metals were discharged into the Balok River by the adjacent industrial activities.</w:t>
      </w:r>
    </w:p>
    <w:p w:rsidR="006768E9" w:rsidRPr="00802DCC" w:rsidRDefault="006768E9" w:rsidP="00100A8F">
      <w:pPr>
        <w:spacing w:after="0" w:line="240" w:lineRule="auto"/>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100A8F" w:rsidRPr="00ED1AE1" w:rsidRDefault="00100A8F" w:rsidP="00100A8F">
      <w:pPr>
        <w:spacing w:after="0" w:line="240" w:lineRule="auto"/>
        <w:jc w:val="both"/>
        <w:rPr>
          <w:rFonts w:ascii="Times New Roman" w:hAnsi="Times New Roman"/>
          <w:sz w:val="20"/>
          <w:szCs w:val="20"/>
        </w:rPr>
      </w:pPr>
      <w:r w:rsidRPr="00ED1AE1">
        <w:rPr>
          <w:rFonts w:ascii="Times New Roman" w:hAnsi="Times New Roman"/>
          <w:sz w:val="20"/>
          <w:szCs w:val="20"/>
        </w:rPr>
        <w:t>The authors would like to thank to the Malaysian Ministry of Higher Education for the financial supports (ERGS grant -011000120028), Institute of Sciences and Research Management Institute (RMI) of Universiti Teknologi MARA Malaysia</w:t>
      </w:r>
      <w:r>
        <w:rPr>
          <w:rFonts w:ascii="Times New Roman" w:hAnsi="Times New Roman"/>
          <w:sz w:val="20"/>
          <w:szCs w:val="20"/>
        </w:rPr>
        <w:t xml:space="preserve"> and RMU UiTM Pahang</w:t>
      </w:r>
      <w:r w:rsidRPr="00ED1AE1">
        <w:rPr>
          <w:rFonts w:ascii="Times New Roman" w:hAnsi="Times New Roman"/>
          <w:sz w:val="20"/>
          <w:szCs w:val="20"/>
        </w:rPr>
        <w:t xml:space="preserve"> for providing financial support and instrumentation for this study.</w:t>
      </w:r>
    </w:p>
    <w:p w:rsidR="006768E9" w:rsidRPr="00802DCC" w:rsidRDefault="006768E9" w:rsidP="00100A8F">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Abbas, F., Norli, I.A., Aness, A. and Azharmat, E. (2009). Analysis of heavy metal concentrations in sediments of selected Estuaries of Malaysia – a statistical assessment. </w:t>
      </w:r>
      <w:r w:rsidRPr="00D12D24">
        <w:rPr>
          <w:rFonts w:ascii="Times New Roman" w:hAnsi="Times New Roman"/>
          <w:bCs/>
          <w:i/>
          <w:sz w:val="20"/>
          <w:szCs w:val="20"/>
          <w:lang w:val="ms-MY"/>
        </w:rPr>
        <w:t>Environmental Monitoring and Assessment</w:t>
      </w:r>
      <w:r w:rsidRPr="00D12D24">
        <w:rPr>
          <w:rFonts w:ascii="Times New Roman" w:hAnsi="Times New Roman"/>
          <w:bCs/>
          <w:sz w:val="20"/>
          <w:szCs w:val="20"/>
          <w:lang w:val="ms-MY"/>
        </w:rPr>
        <w:t xml:space="preserve"> 153 (1-4): 179-185.</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Raju, K. V., Somashekar, R., and Prakash, K. (2012). Heavy metal status of sediment in River Cauvery, Karnataka. </w:t>
      </w:r>
      <w:r w:rsidRPr="00D12D24">
        <w:rPr>
          <w:rFonts w:ascii="Times New Roman" w:hAnsi="Times New Roman"/>
          <w:bCs/>
          <w:i/>
          <w:sz w:val="20"/>
          <w:szCs w:val="20"/>
          <w:lang w:val="ms-MY"/>
        </w:rPr>
        <w:t>Environmental Monitoring and Assessment</w:t>
      </w:r>
      <w:r w:rsidRPr="00D12D24">
        <w:rPr>
          <w:rFonts w:ascii="Times New Roman" w:hAnsi="Times New Roman"/>
          <w:bCs/>
          <w:sz w:val="20"/>
          <w:szCs w:val="20"/>
          <w:lang w:val="ms-MY"/>
        </w:rPr>
        <w:t xml:space="preserve"> 184(1): 361-373.</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Chakravarty, M. and Patgiri, A. (2009). Metal pollution assessment in sediments of the Dikrong River, N. E. India. </w:t>
      </w:r>
      <w:r w:rsidRPr="00D12D24">
        <w:rPr>
          <w:rFonts w:ascii="Times New Roman" w:hAnsi="Times New Roman"/>
          <w:bCs/>
          <w:i/>
          <w:sz w:val="20"/>
          <w:szCs w:val="20"/>
          <w:lang w:val="ms-MY"/>
        </w:rPr>
        <w:t>Journal of Human Ecology</w:t>
      </w:r>
      <w:r w:rsidRPr="00D12D24">
        <w:rPr>
          <w:rFonts w:ascii="Times New Roman" w:hAnsi="Times New Roman"/>
          <w:bCs/>
          <w:sz w:val="20"/>
          <w:szCs w:val="20"/>
          <w:lang w:val="ms-MY"/>
        </w:rPr>
        <w:t xml:space="preserve"> 27 (1): 63-67.</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lang w:val="ms-MY"/>
        </w:rPr>
        <w:t xml:space="preserve">Brunner, I., Luster, J., Gunthardt-Goerg, M. and Frey, B. (2008). Heavy metal accumulation and phytostabilisation potential of tree fine roots in a contamination soil. </w:t>
      </w:r>
      <w:r w:rsidRPr="00D12D24">
        <w:rPr>
          <w:rFonts w:ascii="Times New Roman" w:hAnsi="Times New Roman"/>
          <w:bCs/>
          <w:i/>
          <w:sz w:val="20"/>
          <w:szCs w:val="20"/>
          <w:lang w:val="ms-MY"/>
        </w:rPr>
        <w:t>Environmental Pollution</w:t>
      </w:r>
      <w:r w:rsidRPr="00D12D24">
        <w:rPr>
          <w:rFonts w:ascii="Times New Roman" w:hAnsi="Times New Roman"/>
          <w:bCs/>
          <w:sz w:val="20"/>
          <w:szCs w:val="20"/>
          <w:lang w:val="ms-MY"/>
        </w:rPr>
        <w:t xml:space="preserve"> 152 (3): 559-568.</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lang w:val="ms-MY"/>
        </w:rPr>
        <w:lastRenderedPageBreak/>
        <w:t xml:space="preserve">Abdullah, M. Z., Saat, A. and Hamzah, Z. (2012). Assessment of the impact of petroleum and petrochemical industries to the surrounding areas in Malaysia using mosses as bioindicator supported by multivariate analysis. </w:t>
      </w:r>
      <w:r w:rsidRPr="00D12D24">
        <w:rPr>
          <w:rFonts w:ascii="Times New Roman" w:hAnsi="Times New Roman"/>
          <w:bCs/>
          <w:i/>
          <w:iCs/>
          <w:sz w:val="20"/>
          <w:szCs w:val="20"/>
          <w:lang w:val="ms-MY"/>
        </w:rPr>
        <w:t>Environmental Monitoring and Assessment184</w:t>
      </w:r>
      <w:r w:rsidRPr="00D12D24">
        <w:rPr>
          <w:rFonts w:ascii="Times New Roman" w:hAnsi="Times New Roman"/>
          <w:bCs/>
          <w:sz w:val="20"/>
          <w:szCs w:val="20"/>
          <w:lang w:val="ms-MY"/>
        </w:rPr>
        <w:t>: 3959-3969.</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iCs/>
          <w:sz w:val="20"/>
          <w:szCs w:val="20"/>
        </w:rPr>
        <w:t xml:space="preserve">Chen, C.Y., Stemberger, R.S. and Klaue, B. (2000). Accumulation of heavy metals in food web components across a gradient of lakes. </w:t>
      </w:r>
      <w:r w:rsidRPr="00D12D24">
        <w:rPr>
          <w:rFonts w:ascii="Times New Roman" w:hAnsi="Times New Roman"/>
          <w:i/>
          <w:iCs/>
          <w:sz w:val="20"/>
          <w:szCs w:val="20"/>
        </w:rPr>
        <w:t>Limnology and Oceanography 45</w:t>
      </w:r>
      <w:r w:rsidRPr="00D12D24">
        <w:rPr>
          <w:rFonts w:ascii="Times New Roman" w:hAnsi="Times New Roman"/>
          <w:iCs/>
          <w:sz w:val="20"/>
          <w:szCs w:val="20"/>
        </w:rPr>
        <w:t>(7): 1525-1536.</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Lim, W. Y., Zaharin, A. and Zakaria, M. P. (2012). Saptial variability of metals in surface water and sediment in the Langat River and geochemical factors that influence their water sediment interactions. </w:t>
      </w:r>
      <w:r w:rsidRPr="00D12D24">
        <w:rPr>
          <w:rFonts w:ascii="Times New Roman" w:eastAsia="Times New Roman" w:hAnsi="Times New Roman"/>
          <w:i/>
          <w:sz w:val="20"/>
          <w:szCs w:val="20"/>
          <w:lang w:eastAsia="ms-MY"/>
        </w:rPr>
        <w:t>The Scientific World Journal</w:t>
      </w:r>
      <w:r w:rsidRPr="00D12D24">
        <w:rPr>
          <w:rFonts w:ascii="Times New Roman" w:eastAsia="Times New Roman" w:hAnsi="Times New Roman"/>
          <w:sz w:val="20"/>
          <w:szCs w:val="20"/>
          <w:lang w:eastAsia="ms-MY"/>
        </w:rPr>
        <w:t xml:space="preserve"> 12: 412-426</w:t>
      </w:r>
      <w:r w:rsidRPr="00D12D24">
        <w:rPr>
          <w:rFonts w:ascii="Times New Roman" w:hAnsi="Times New Roman"/>
          <w:bCs/>
          <w:sz w:val="20"/>
          <w:szCs w:val="20"/>
          <w:lang w:val="ms-MY"/>
        </w:rPr>
        <w:t>.</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rPr>
        <w:t xml:space="preserve">Zhong, A. P., Guo, S.H., Li, F.M. and Jiang, K.M. (2006). Impact of anions on the heavy metals release from marine sediments. </w:t>
      </w:r>
      <w:r w:rsidRPr="00D12D24">
        <w:rPr>
          <w:rFonts w:ascii="Times New Roman" w:hAnsi="Times New Roman"/>
          <w:bCs/>
          <w:i/>
          <w:sz w:val="20"/>
          <w:szCs w:val="20"/>
        </w:rPr>
        <w:t>Journal of Environmental Sciences</w:t>
      </w:r>
      <w:r w:rsidRPr="00D12D24">
        <w:rPr>
          <w:rFonts w:ascii="Times New Roman" w:hAnsi="Times New Roman"/>
          <w:bCs/>
          <w:sz w:val="20"/>
          <w:szCs w:val="20"/>
        </w:rPr>
        <w:t xml:space="preserve"> 18 (6):1216-1220.</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sz w:val="20"/>
          <w:szCs w:val="20"/>
        </w:rPr>
        <w:t xml:space="preserve">Barakat, A., El Baghdadi, M., Rais, J. and Nadem, S. (2012). </w:t>
      </w:r>
      <w:r w:rsidRPr="00D12D24">
        <w:rPr>
          <w:rFonts w:ascii="Times New Roman" w:hAnsi="Times New Roman"/>
          <w:bCs/>
          <w:sz w:val="20"/>
          <w:szCs w:val="20"/>
        </w:rPr>
        <w:t xml:space="preserve">Assessment of Heavy Metal in Surface Sediments of Day River at Beni-Mellal Region, Morocco. </w:t>
      </w:r>
      <w:r w:rsidRPr="00D12D24">
        <w:rPr>
          <w:rFonts w:ascii="Times New Roman" w:hAnsi="Times New Roman"/>
          <w:i/>
          <w:sz w:val="20"/>
          <w:szCs w:val="20"/>
        </w:rPr>
        <w:t>Research Journal of Environmental and Earth Sciences</w:t>
      </w:r>
      <w:r w:rsidRPr="00D12D24">
        <w:rPr>
          <w:rFonts w:ascii="Times New Roman" w:hAnsi="Times New Roman"/>
          <w:sz w:val="20"/>
          <w:szCs w:val="20"/>
        </w:rPr>
        <w:t xml:space="preserve"> 4(8): 797-806.</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sz w:val="20"/>
          <w:szCs w:val="20"/>
        </w:rPr>
        <w:t xml:space="preserve">Zhou, J., Ma, D., Pan, J., Nie, W., and Wu, K. (2008). Application of multivariate statistical approach to identify heavy metal sources in sediment and waters: a case study in Yang zhong, China. </w:t>
      </w:r>
      <w:r w:rsidRPr="00D12D24">
        <w:rPr>
          <w:rFonts w:ascii="Times New Roman" w:hAnsi="Times New Roman"/>
          <w:i/>
          <w:sz w:val="20"/>
          <w:szCs w:val="20"/>
        </w:rPr>
        <w:t>Environment Geol</w:t>
      </w:r>
      <w:r w:rsidRPr="00D12D24">
        <w:rPr>
          <w:rFonts w:ascii="Times New Roman" w:hAnsi="Times New Roman"/>
          <w:sz w:val="20"/>
          <w:szCs w:val="20"/>
        </w:rPr>
        <w:t xml:space="preserve">ogy 54:373-380. </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bCs/>
          <w:sz w:val="20"/>
          <w:szCs w:val="20"/>
        </w:rPr>
        <w:t xml:space="preserve">Baldantoni D, Maisto, G., Bartoli, G. and Alfani, A. (2005). Analyses of three native aquatic plant species to assess spatial gradients of lake trace element contamination. </w:t>
      </w:r>
      <w:r w:rsidRPr="00D12D24">
        <w:rPr>
          <w:rFonts w:ascii="Times New Roman" w:hAnsi="Times New Roman"/>
          <w:bCs/>
          <w:i/>
          <w:sz w:val="20"/>
          <w:szCs w:val="20"/>
        </w:rPr>
        <w:t>Aquatic Botany</w:t>
      </w:r>
      <w:r w:rsidRPr="00D12D24">
        <w:rPr>
          <w:rFonts w:ascii="Times New Roman" w:hAnsi="Times New Roman"/>
          <w:bCs/>
          <w:sz w:val="20"/>
          <w:szCs w:val="20"/>
        </w:rPr>
        <w:t>. 83(1): 48-60.</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Lu, X.W., Wang, L.J., Li, L.Y., Lei, K., Huang, L. and Kang, D. (2010). Multivariate statistical analysis of heavy metals in street dust of Baoji, NW China. </w:t>
      </w:r>
      <w:r w:rsidRPr="00D12D24">
        <w:rPr>
          <w:rFonts w:ascii="Times New Roman" w:eastAsia="Times New Roman" w:hAnsi="Times New Roman"/>
          <w:i/>
          <w:sz w:val="20"/>
          <w:szCs w:val="20"/>
          <w:lang w:eastAsia="ms-MY"/>
        </w:rPr>
        <w:t>Journal Hazardous Materials</w:t>
      </w:r>
      <w:r w:rsidRPr="00D12D24">
        <w:rPr>
          <w:rFonts w:ascii="Times New Roman" w:eastAsia="Times New Roman" w:hAnsi="Times New Roman"/>
          <w:sz w:val="20"/>
          <w:szCs w:val="20"/>
          <w:lang w:eastAsia="ms-MY"/>
        </w:rPr>
        <w:t xml:space="preserve"> 173:744-749 </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Plumlee, K. H. R. (2002). Toxicosis from agricultural chemicals. </w:t>
      </w:r>
      <w:r w:rsidRPr="00D12D24">
        <w:rPr>
          <w:rFonts w:ascii="Times New Roman" w:eastAsia="Times New Roman" w:hAnsi="Times New Roman"/>
          <w:i/>
          <w:sz w:val="20"/>
          <w:szCs w:val="20"/>
          <w:lang w:eastAsia="ms-MY"/>
        </w:rPr>
        <w:t>Clinical Techniques in Equine Practice</w:t>
      </w:r>
      <w:r w:rsidRPr="00D12D24">
        <w:rPr>
          <w:rFonts w:ascii="Times New Roman" w:eastAsia="Times New Roman" w:hAnsi="Times New Roman"/>
          <w:sz w:val="20"/>
          <w:szCs w:val="20"/>
          <w:lang w:eastAsia="ms-MY"/>
        </w:rPr>
        <w:t xml:space="preserve"> 1: 94-97.</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Shomar, B. H (2006). Trace elements in major solid-pesticides used in the Gaza strip. </w:t>
      </w:r>
      <w:r w:rsidRPr="00D12D24">
        <w:rPr>
          <w:rFonts w:ascii="Times New Roman" w:eastAsia="Times New Roman" w:hAnsi="Times New Roman"/>
          <w:i/>
          <w:sz w:val="20"/>
          <w:szCs w:val="20"/>
          <w:lang w:eastAsia="ms-MY"/>
        </w:rPr>
        <w:t>Chemosphere</w:t>
      </w:r>
      <w:r w:rsidRPr="00D12D24">
        <w:rPr>
          <w:rFonts w:ascii="Times New Roman" w:eastAsia="Times New Roman" w:hAnsi="Times New Roman"/>
          <w:sz w:val="20"/>
          <w:szCs w:val="20"/>
          <w:lang w:eastAsia="ms-MY"/>
        </w:rPr>
        <w:t>, 65: 215-221.</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sz w:val="20"/>
          <w:szCs w:val="20"/>
        </w:rPr>
        <w:t xml:space="preserve">Gu, Y.G., Wang, Z.H., Lu, S.H., Jiang, S.J., Mu, D.H. and Shu, Y.H. (2012). Multivariate statistical and GIS-based approach to identify source of anthropogenic impacts on metallic elements in sediments from the mid Guangdong coasts, China. </w:t>
      </w:r>
      <w:r w:rsidRPr="00D12D24">
        <w:rPr>
          <w:rFonts w:ascii="Times New Roman" w:hAnsi="Times New Roman"/>
          <w:i/>
          <w:sz w:val="20"/>
          <w:szCs w:val="20"/>
        </w:rPr>
        <w:t xml:space="preserve">Environmental Pollution </w:t>
      </w:r>
      <w:r w:rsidRPr="00D12D24">
        <w:rPr>
          <w:rFonts w:ascii="Times New Roman" w:hAnsi="Times New Roman"/>
          <w:sz w:val="20"/>
          <w:szCs w:val="20"/>
        </w:rPr>
        <w:t>163</w:t>
      </w:r>
      <w:r w:rsidRPr="00D12D24">
        <w:rPr>
          <w:rFonts w:ascii="Times New Roman" w:hAnsi="Times New Roman"/>
          <w:i/>
          <w:sz w:val="20"/>
          <w:szCs w:val="20"/>
        </w:rPr>
        <w:t>,</w:t>
      </w:r>
      <w:r w:rsidRPr="00D12D24">
        <w:rPr>
          <w:rFonts w:ascii="Times New Roman" w:hAnsi="Times New Roman"/>
          <w:sz w:val="20"/>
          <w:szCs w:val="20"/>
        </w:rPr>
        <w:t xml:space="preserve"> 248-255</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El Nemr, A., Khaled, A. and El Sikaily, A. (2006) Distribution and statistical analysis of leachable and total heavy metals in the sediments of the Suez Gulf. </w:t>
      </w:r>
      <w:r w:rsidRPr="00D12D24">
        <w:rPr>
          <w:rFonts w:ascii="Times New Roman" w:eastAsia="Times New Roman" w:hAnsi="Times New Roman"/>
          <w:i/>
          <w:sz w:val="20"/>
          <w:szCs w:val="20"/>
          <w:lang w:eastAsia="ms-MY"/>
        </w:rPr>
        <w:t>Environmental Monitoring and Assess</w:t>
      </w:r>
      <w:r w:rsidRPr="00D12D24">
        <w:rPr>
          <w:rFonts w:ascii="Times New Roman" w:eastAsia="Times New Roman" w:hAnsi="Times New Roman"/>
          <w:sz w:val="20"/>
          <w:szCs w:val="20"/>
          <w:lang w:eastAsia="ms-MY"/>
        </w:rPr>
        <w:t>ment 118: 89-112</w:t>
      </w:r>
      <w:r w:rsidRPr="00D12D24">
        <w:rPr>
          <w:rFonts w:ascii="Times New Roman" w:hAnsi="Times New Roman"/>
          <w:bCs/>
          <w:sz w:val="20"/>
          <w:szCs w:val="20"/>
          <w:lang w:val="ms-MY"/>
        </w:rPr>
        <w:t>.</w:t>
      </w:r>
    </w:p>
    <w:p w:rsidR="00D01AF4" w:rsidRPr="00D12D24" w:rsidRDefault="00D01AF4" w:rsidP="00D01AF4">
      <w:pPr>
        <w:pStyle w:val="MediumGrid21"/>
        <w:numPr>
          <w:ilvl w:val="0"/>
          <w:numId w:val="14"/>
        </w:numPr>
        <w:ind w:left="360"/>
        <w:jc w:val="both"/>
        <w:rPr>
          <w:rFonts w:ascii="Times New Roman" w:hAnsi="Times New Roman"/>
          <w:bCs/>
          <w:sz w:val="20"/>
          <w:szCs w:val="20"/>
          <w:lang w:val="ms-MY"/>
        </w:rPr>
      </w:pPr>
      <w:r w:rsidRPr="00D12D24">
        <w:rPr>
          <w:rFonts w:ascii="Times New Roman" w:eastAsia="Times New Roman" w:hAnsi="Times New Roman"/>
          <w:sz w:val="20"/>
          <w:szCs w:val="20"/>
          <w:lang w:eastAsia="ms-MY"/>
        </w:rPr>
        <w:t xml:space="preserve">Abrahim, G. M. S. and Parker, R. J. (2008). Assessment of heavy metal enrichment factors and the degree of contamination in marine sediments from Tamaki Estuary, Aucland, New Zealand. </w:t>
      </w:r>
      <w:r w:rsidRPr="00D12D24">
        <w:rPr>
          <w:rFonts w:ascii="Times New Roman" w:eastAsia="Times New Roman" w:hAnsi="Times New Roman"/>
          <w:i/>
          <w:sz w:val="20"/>
          <w:szCs w:val="20"/>
          <w:lang w:eastAsia="ms-MY"/>
        </w:rPr>
        <w:t>Environemtal Monitoring and Assessment</w:t>
      </w:r>
      <w:r w:rsidRPr="00D12D24">
        <w:rPr>
          <w:rFonts w:ascii="Times New Roman" w:eastAsia="Times New Roman" w:hAnsi="Times New Roman"/>
          <w:sz w:val="20"/>
          <w:szCs w:val="20"/>
          <w:lang w:eastAsia="ms-MY"/>
        </w:rPr>
        <w:t xml:space="preserve"> 136:227-238</w:t>
      </w:r>
      <w:r w:rsidRPr="00D12D24">
        <w:rPr>
          <w:rFonts w:ascii="Times New Roman" w:hAnsi="Times New Roman"/>
          <w:bCs/>
          <w:sz w:val="20"/>
          <w:szCs w:val="20"/>
          <w:lang w:val="ms-MY"/>
        </w:rPr>
        <w:t>.</w:t>
      </w:r>
    </w:p>
    <w:p w:rsidR="00D21413" w:rsidRDefault="00D01AF4" w:rsidP="00D21413">
      <w:pPr>
        <w:pStyle w:val="MediumGrid21"/>
        <w:numPr>
          <w:ilvl w:val="0"/>
          <w:numId w:val="14"/>
        </w:numPr>
        <w:ind w:left="360"/>
        <w:jc w:val="both"/>
        <w:rPr>
          <w:rFonts w:ascii="Times New Roman" w:hAnsi="Times New Roman"/>
          <w:bCs/>
          <w:sz w:val="20"/>
          <w:szCs w:val="20"/>
          <w:lang w:val="ms-MY"/>
        </w:rPr>
      </w:pPr>
      <w:r w:rsidRPr="00D12D24">
        <w:rPr>
          <w:rFonts w:ascii="Times New Roman" w:hAnsi="Times New Roman"/>
          <w:sz w:val="20"/>
          <w:szCs w:val="20"/>
        </w:rPr>
        <w:t>Özkan, E. Y. (2012).</w:t>
      </w:r>
      <w:r w:rsidRPr="00D12D24">
        <w:rPr>
          <w:rFonts w:ascii="Times New Roman" w:hAnsi="Times New Roman"/>
        </w:rPr>
        <w:t xml:space="preserve"> </w:t>
      </w:r>
      <w:r w:rsidRPr="00D12D24">
        <w:rPr>
          <w:rFonts w:ascii="Times New Roman" w:hAnsi="Times New Roman"/>
          <w:sz w:val="20"/>
          <w:szCs w:val="20"/>
        </w:rPr>
        <w:t xml:space="preserve">A New Assessment of Heavy Metal Contaminations in an Eutrophicated Bay (Inner Izmir Bay, Turkey). </w:t>
      </w:r>
      <w:r w:rsidRPr="00D12D24">
        <w:rPr>
          <w:rFonts w:ascii="Times New Roman" w:hAnsi="Times New Roman"/>
          <w:i/>
          <w:sz w:val="20"/>
          <w:szCs w:val="20"/>
        </w:rPr>
        <w:t>Turkish Journal of Fisheries and Aquatic Sciences</w:t>
      </w:r>
      <w:r w:rsidRPr="00D12D24">
        <w:rPr>
          <w:rFonts w:ascii="Times New Roman" w:hAnsi="Times New Roman"/>
          <w:sz w:val="20"/>
          <w:szCs w:val="20"/>
        </w:rPr>
        <w:t xml:space="preserve"> 12: 135-147.</w:t>
      </w:r>
    </w:p>
    <w:p w:rsidR="00E66197" w:rsidRPr="00D21413" w:rsidRDefault="00D01AF4" w:rsidP="00D21413">
      <w:pPr>
        <w:pStyle w:val="MediumGrid21"/>
        <w:numPr>
          <w:ilvl w:val="0"/>
          <w:numId w:val="14"/>
        </w:numPr>
        <w:ind w:left="360"/>
        <w:jc w:val="both"/>
        <w:rPr>
          <w:rFonts w:ascii="Times New Roman" w:hAnsi="Times New Roman"/>
          <w:bCs/>
          <w:sz w:val="20"/>
          <w:szCs w:val="20"/>
          <w:lang w:val="ms-MY"/>
        </w:rPr>
      </w:pPr>
      <w:r w:rsidRPr="00D21413">
        <w:rPr>
          <w:rFonts w:ascii="Times New Roman" w:eastAsia="Times New Roman" w:hAnsi="Times New Roman"/>
          <w:sz w:val="20"/>
          <w:szCs w:val="20"/>
          <w:lang w:eastAsia="ms-MY"/>
        </w:rPr>
        <w:t xml:space="preserve">Loska, K., Cebula, J., Pelczar, J., Wiechula, D. and Kwapulinski, J. (1995). Use of Enrichment and Contamination Factors together with Geoaccumulation Indexes to evaluate the content of Cd, Cu and Ni in the Rybnik Water Reservoir in Poland. </w:t>
      </w:r>
      <w:r w:rsidRPr="00D21413">
        <w:rPr>
          <w:rFonts w:ascii="Times New Roman" w:eastAsia="Times New Roman" w:hAnsi="Times New Roman"/>
          <w:i/>
          <w:sz w:val="20"/>
          <w:szCs w:val="20"/>
          <w:lang w:eastAsia="ms-MY"/>
        </w:rPr>
        <w:t>Water, Air and Soil Pollution 93</w:t>
      </w:r>
      <w:r w:rsidRPr="00D21413">
        <w:rPr>
          <w:rFonts w:ascii="Times New Roman" w:eastAsia="Times New Roman" w:hAnsi="Times New Roman"/>
          <w:sz w:val="20"/>
          <w:szCs w:val="20"/>
          <w:lang w:eastAsia="ms-MY"/>
        </w:rPr>
        <w:t>: 347-365</w:t>
      </w:r>
      <w:r w:rsidR="001505DA" w:rsidRPr="00D21413">
        <w:rPr>
          <w:rFonts w:ascii="Times New Roman" w:eastAsia="Times New Roman" w:hAnsi="Times New Roman"/>
          <w:sz w:val="20"/>
          <w:szCs w:val="20"/>
          <w:lang w:eastAsia="ms-MY"/>
        </w:rPr>
        <w:t xml:space="preserve">. </w:t>
      </w:r>
    </w:p>
    <w:sectPr w:rsidR="00E66197" w:rsidRPr="00D21413" w:rsidSect="00D01AF4">
      <w:headerReference w:type="even" r:id="rId11"/>
      <w:headerReference w:type="default" r:id="rId12"/>
      <w:footerReference w:type="even" r:id="rId13"/>
      <w:footerReference w:type="default" r:id="rId14"/>
      <w:pgSz w:w="12240" w:h="15840" w:code="1"/>
      <w:pgMar w:top="1800" w:right="1469" w:bottom="1699" w:left="1440" w:header="706" w:footer="706" w:gutter="0"/>
      <w:pgNumType w:start="7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92FA8">
      <w:rPr>
        <w:rFonts w:ascii="Times New Roman" w:hAnsi="Times New Roman"/>
        <w:noProof/>
      </w:rPr>
      <w:t>714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92FA8">
      <w:rPr>
        <w:rFonts w:ascii="Times New Roman" w:hAnsi="Times New Roman"/>
        <w:noProof/>
      </w:rPr>
      <w:t>707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AF4" w:rsidRPr="00D01AF4" w:rsidRDefault="00D01AF4" w:rsidP="00D01AF4">
    <w:pPr>
      <w:spacing w:after="0" w:line="240" w:lineRule="auto"/>
      <w:ind w:left="1620" w:hanging="1620"/>
      <w:rPr>
        <w:rFonts w:ascii="Times New Roman" w:hAnsi="Times New Roman"/>
        <w:sz w:val="20"/>
        <w:szCs w:val="20"/>
      </w:rPr>
    </w:pPr>
    <w:r>
      <w:rPr>
        <w:rFonts w:ascii="Times New Roman" w:hAnsi="Times New Roman"/>
        <w:sz w:val="20"/>
        <w:szCs w:val="20"/>
      </w:rPr>
      <w:t>Mohd Zahari et al</w:t>
    </w:r>
    <w:r w:rsidR="00A14DB9" w:rsidRPr="00D01AF4">
      <w:rPr>
        <w:rFonts w:ascii="Times New Roman" w:hAnsi="Times New Roman"/>
        <w:sz w:val="20"/>
        <w:szCs w:val="20"/>
      </w:rPr>
      <w:t xml:space="preserve">:  </w:t>
    </w:r>
    <w:r w:rsidRPr="00D01AF4">
      <w:rPr>
        <w:rFonts w:ascii="Times New Roman" w:hAnsi="Times New Roman"/>
        <w:sz w:val="20"/>
        <w:szCs w:val="20"/>
      </w:rPr>
      <w:t>EVALUATION OF HEAVY METAL CONTAMINATION LEVELS OF BALOK RIVER SEDIMENTS IN PAHANG, MALAYSIA BASED ON GEOACCUMULATION INDEX AND SUPPORTED WITH ENRICHMENT FACTOR</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D01AF4"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D01AF4">
      <w:rPr>
        <w:rFonts w:ascii="Times New Roman" w:hAnsi="Times New Roman"/>
        <w:i/>
        <w:lang w:val="en-US"/>
      </w:rPr>
      <w:t>707 - 714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31A"/>
    <w:multiLevelType w:val="multilevel"/>
    <w:tmpl w:val="5878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53B2F"/>
    <w:multiLevelType w:val="multilevel"/>
    <w:tmpl w:val="5EB4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D36C5"/>
    <w:multiLevelType w:val="multilevel"/>
    <w:tmpl w:val="E70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03FAC"/>
    <w:multiLevelType w:val="multilevel"/>
    <w:tmpl w:val="D2CC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866A0A"/>
    <w:multiLevelType w:val="multilevel"/>
    <w:tmpl w:val="8464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0040F4"/>
    <w:multiLevelType w:val="multilevel"/>
    <w:tmpl w:val="474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C752E9"/>
    <w:multiLevelType w:val="multilevel"/>
    <w:tmpl w:val="E5EE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2E1CAE"/>
    <w:multiLevelType w:val="multilevel"/>
    <w:tmpl w:val="E946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542D6C"/>
    <w:multiLevelType w:val="multilevel"/>
    <w:tmpl w:val="9BCA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A43631"/>
    <w:multiLevelType w:val="multilevel"/>
    <w:tmpl w:val="8BE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452442"/>
    <w:multiLevelType w:val="multilevel"/>
    <w:tmpl w:val="677C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6D0C46"/>
    <w:multiLevelType w:val="multilevel"/>
    <w:tmpl w:val="136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C45127"/>
    <w:multiLevelType w:val="hybridMultilevel"/>
    <w:tmpl w:val="04C09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1"/>
  </w:num>
  <w:num w:numId="5">
    <w:abstractNumId w:val="12"/>
  </w:num>
  <w:num w:numId="6">
    <w:abstractNumId w:val="2"/>
  </w:num>
  <w:num w:numId="7">
    <w:abstractNumId w:val="9"/>
  </w:num>
  <w:num w:numId="8">
    <w:abstractNumId w:val="4"/>
  </w:num>
  <w:num w:numId="9">
    <w:abstractNumId w:val="10"/>
  </w:num>
  <w:num w:numId="10">
    <w:abstractNumId w:val="7"/>
  </w:num>
  <w:num w:numId="11">
    <w:abstractNumId w:val="8"/>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00A8F"/>
    <w:rsid w:val="00117BCD"/>
    <w:rsid w:val="00136AC1"/>
    <w:rsid w:val="001505DA"/>
    <w:rsid w:val="0016514A"/>
    <w:rsid w:val="001B35D1"/>
    <w:rsid w:val="001D035A"/>
    <w:rsid w:val="001E6B6A"/>
    <w:rsid w:val="00295A67"/>
    <w:rsid w:val="002B188F"/>
    <w:rsid w:val="002C30C6"/>
    <w:rsid w:val="002F2505"/>
    <w:rsid w:val="00317C2D"/>
    <w:rsid w:val="00330EFD"/>
    <w:rsid w:val="00332FAA"/>
    <w:rsid w:val="00361BAF"/>
    <w:rsid w:val="003D585B"/>
    <w:rsid w:val="003E7DA6"/>
    <w:rsid w:val="00461C5C"/>
    <w:rsid w:val="00522681"/>
    <w:rsid w:val="00525F3F"/>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8F73A3"/>
    <w:rsid w:val="009B140D"/>
    <w:rsid w:val="00A14DB9"/>
    <w:rsid w:val="00A42874"/>
    <w:rsid w:val="00A43654"/>
    <w:rsid w:val="00A4762A"/>
    <w:rsid w:val="00B1121C"/>
    <w:rsid w:val="00B2639F"/>
    <w:rsid w:val="00B2770A"/>
    <w:rsid w:val="00B314AD"/>
    <w:rsid w:val="00BB58AF"/>
    <w:rsid w:val="00BC3ED2"/>
    <w:rsid w:val="00BD714F"/>
    <w:rsid w:val="00BF0954"/>
    <w:rsid w:val="00C31E76"/>
    <w:rsid w:val="00C43D22"/>
    <w:rsid w:val="00C5417D"/>
    <w:rsid w:val="00CA513F"/>
    <w:rsid w:val="00D01AF4"/>
    <w:rsid w:val="00D21413"/>
    <w:rsid w:val="00D4023F"/>
    <w:rsid w:val="00D75B35"/>
    <w:rsid w:val="00D878E4"/>
    <w:rsid w:val="00D930AC"/>
    <w:rsid w:val="00D9792A"/>
    <w:rsid w:val="00E41EE7"/>
    <w:rsid w:val="00E66197"/>
    <w:rsid w:val="00F11E73"/>
    <w:rsid w:val="00F20D90"/>
    <w:rsid w:val="00F24A99"/>
    <w:rsid w:val="00F31093"/>
    <w:rsid w:val="00F50BDF"/>
    <w:rsid w:val="00F92FA8"/>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332FAA"/>
    <w:rPr>
      <w:rFonts w:ascii="Calibri" w:hAnsi="Calibri"/>
      <w:sz w:val="22"/>
      <w:szCs w:val="22"/>
    </w:rPr>
  </w:style>
  <w:style w:type="character" w:styleId="Hyperlink">
    <w:name w:val="Hyperlink"/>
    <w:uiPriority w:val="99"/>
    <w:unhideWhenUsed/>
    <w:rsid w:val="00332FAA"/>
    <w:rPr>
      <w:color w:val="0000FF"/>
      <w:u w:val="single"/>
    </w:rPr>
  </w:style>
  <w:style w:type="character" w:styleId="CommentReference">
    <w:name w:val="annotation reference"/>
    <w:uiPriority w:val="99"/>
    <w:semiHidden/>
    <w:unhideWhenUsed/>
    <w:rsid w:val="00525F3F"/>
    <w:rPr>
      <w:sz w:val="16"/>
      <w:szCs w:val="16"/>
    </w:rPr>
  </w:style>
  <w:style w:type="paragraph" w:styleId="CommentText">
    <w:name w:val="annotation text"/>
    <w:basedOn w:val="Normal"/>
    <w:link w:val="CommentTextChar"/>
    <w:uiPriority w:val="99"/>
    <w:semiHidden/>
    <w:unhideWhenUsed/>
    <w:rsid w:val="00525F3F"/>
    <w:pPr>
      <w:spacing w:line="240" w:lineRule="auto"/>
    </w:pPr>
    <w:rPr>
      <w:rFonts w:ascii="Calibri" w:eastAsia="Calibri" w:hAnsi="Calibri"/>
      <w:sz w:val="20"/>
      <w:szCs w:val="20"/>
      <w:lang w:val="x-none" w:eastAsia="x-none" w:bidi="ar-SA"/>
    </w:rPr>
  </w:style>
  <w:style w:type="character" w:customStyle="1" w:styleId="CommentTextChar">
    <w:name w:val="Comment Text Char"/>
    <w:basedOn w:val="DefaultParagraphFont"/>
    <w:link w:val="CommentText"/>
    <w:uiPriority w:val="99"/>
    <w:semiHidden/>
    <w:rsid w:val="00525F3F"/>
    <w:rPr>
      <w:rFonts w:ascii="Calibri" w:hAnsi="Calibri"/>
      <w:lang w:val="x-none" w:eastAsia="x-none"/>
    </w:rPr>
  </w:style>
  <w:style w:type="paragraph" w:styleId="CommentSubject">
    <w:name w:val="annotation subject"/>
    <w:basedOn w:val="CommentText"/>
    <w:next w:val="CommentText"/>
    <w:link w:val="CommentSubjectChar"/>
    <w:uiPriority w:val="99"/>
    <w:semiHidden/>
    <w:unhideWhenUsed/>
    <w:rsid w:val="00525F3F"/>
    <w:rPr>
      <w:b/>
      <w:bCs/>
    </w:rPr>
  </w:style>
  <w:style w:type="character" w:customStyle="1" w:styleId="CommentSubjectChar">
    <w:name w:val="Comment Subject Char"/>
    <w:basedOn w:val="CommentTextChar"/>
    <w:link w:val="CommentSubject"/>
    <w:uiPriority w:val="99"/>
    <w:semiHidden/>
    <w:rsid w:val="00525F3F"/>
    <w:rPr>
      <w:rFonts w:ascii="Calibri" w:hAnsi="Calibri"/>
      <w:b/>
      <w:bCs/>
      <w:lang w:val="x-none" w:eastAsia="x-none"/>
    </w:rPr>
  </w:style>
  <w:style w:type="table" w:styleId="TableGrid">
    <w:name w:val="Table Grid"/>
    <w:basedOn w:val="TableNormal"/>
    <w:uiPriority w:val="59"/>
    <w:rsid w:val="00525F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25F3F"/>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ull">
    <w:name w:val="null"/>
    <w:basedOn w:val="DefaultParagraphFont"/>
    <w:rsid w:val="00525F3F"/>
  </w:style>
  <w:style w:type="character" w:customStyle="1" w:styleId="apple-converted-space">
    <w:name w:val="apple-converted-space"/>
    <w:basedOn w:val="DefaultParagraphFont"/>
    <w:rsid w:val="00525F3F"/>
  </w:style>
  <w:style w:type="table" w:styleId="LightShading-Accent4">
    <w:name w:val="Light Shading Accent 4"/>
    <w:basedOn w:val="TableNormal"/>
    <w:uiPriority w:val="60"/>
    <w:rsid w:val="00525F3F"/>
    <w:rPr>
      <w:rFonts w:ascii="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ps">
    <w:name w:val="hps"/>
    <w:basedOn w:val="DefaultParagraphFont"/>
    <w:rsid w:val="00525F3F"/>
  </w:style>
  <w:style w:type="paragraph" w:styleId="NormalWeb">
    <w:name w:val="Normal (Web)"/>
    <w:basedOn w:val="Normal"/>
    <w:uiPriority w:val="99"/>
    <w:rsid w:val="00525F3F"/>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332FAA"/>
    <w:rPr>
      <w:rFonts w:ascii="Calibri" w:hAnsi="Calibri"/>
      <w:sz w:val="22"/>
      <w:szCs w:val="22"/>
    </w:rPr>
  </w:style>
  <w:style w:type="character" w:styleId="Hyperlink">
    <w:name w:val="Hyperlink"/>
    <w:uiPriority w:val="99"/>
    <w:unhideWhenUsed/>
    <w:rsid w:val="00332FAA"/>
    <w:rPr>
      <w:color w:val="0000FF"/>
      <w:u w:val="single"/>
    </w:rPr>
  </w:style>
  <w:style w:type="character" w:styleId="CommentReference">
    <w:name w:val="annotation reference"/>
    <w:uiPriority w:val="99"/>
    <w:semiHidden/>
    <w:unhideWhenUsed/>
    <w:rsid w:val="00525F3F"/>
    <w:rPr>
      <w:sz w:val="16"/>
      <w:szCs w:val="16"/>
    </w:rPr>
  </w:style>
  <w:style w:type="paragraph" w:styleId="CommentText">
    <w:name w:val="annotation text"/>
    <w:basedOn w:val="Normal"/>
    <w:link w:val="CommentTextChar"/>
    <w:uiPriority w:val="99"/>
    <w:semiHidden/>
    <w:unhideWhenUsed/>
    <w:rsid w:val="00525F3F"/>
    <w:pPr>
      <w:spacing w:line="240" w:lineRule="auto"/>
    </w:pPr>
    <w:rPr>
      <w:rFonts w:ascii="Calibri" w:eastAsia="Calibri" w:hAnsi="Calibri"/>
      <w:sz w:val="20"/>
      <w:szCs w:val="20"/>
      <w:lang w:val="x-none" w:eastAsia="x-none" w:bidi="ar-SA"/>
    </w:rPr>
  </w:style>
  <w:style w:type="character" w:customStyle="1" w:styleId="CommentTextChar">
    <w:name w:val="Comment Text Char"/>
    <w:basedOn w:val="DefaultParagraphFont"/>
    <w:link w:val="CommentText"/>
    <w:uiPriority w:val="99"/>
    <w:semiHidden/>
    <w:rsid w:val="00525F3F"/>
    <w:rPr>
      <w:rFonts w:ascii="Calibri" w:hAnsi="Calibri"/>
      <w:lang w:val="x-none" w:eastAsia="x-none"/>
    </w:rPr>
  </w:style>
  <w:style w:type="paragraph" w:styleId="CommentSubject">
    <w:name w:val="annotation subject"/>
    <w:basedOn w:val="CommentText"/>
    <w:next w:val="CommentText"/>
    <w:link w:val="CommentSubjectChar"/>
    <w:uiPriority w:val="99"/>
    <w:semiHidden/>
    <w:unhideWhenUsed/>
    <w:rsid w:val="00525F3F"/>
    <w:rPr>
      <w:b/>
      <w:bCs/>
    </w:rPr>
  </w:style>
  <w:style w:type="character" w:customStyle="1" w:styleId="CommentSubjectChar">
    <w:name w:val="Comment Subject Char"/>
    <w:basedOn w:val="CommentTextChar"/>
    <w:link w:val="CommentSubject"/>
    <w:uiPriority w:val="99"/>
    <w:semiHidden/>
    <w:rsid w:val="00525F3F"/>
    <w:rPr>
      <w:rFonts w:ascii="Calibri" w:hAnsi="Calibri"/>
      <w:b/>
      <w:bCs/>
      <w:lang w:val="x-none" w:eastAsia="x-none"/>
    </w:rPr>
  </w:style>
  <w:style w:type="table" w:styleId="TableGrid">
    <w:name w:val="Table Grid"/>
    <w:basedOn w:val="TableNormal"/>
    <w:uiPriority w:val="59"/>
    <w:rsid w:val="00525F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25F3F"/>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ull">
    <w:name w:val="null"/>
    <w:basedOn w:val="DefaultParagraphFont"/>
    <w:rsid w:val="00525F3F"/>
  </w:style>
  <w:style w:type="character" w:customStyle="1" w:styleId="apple-converted-space">
    <w:name w:val="apple-converted-space"/>
    <w:basedOn w:val="DefaultParagraphFont"/>
    <w:rsid w:val="00525F3F"/>
  </w:style>
  <w:style w:type="table" w:styleId="LightShading-Accent4">
    <w:name w:val="Light Shading Accent 4"/>
    <w:basedOn w:val="TableNormal"/>
    <w:uiPriority w:val="60"/>
    <w:rsid w:val="00525F3F"/>
    <w:rPr>
      <w:rFonts w:ascii="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ps">
    <w:name w:val="hps"/>
    <w:basedOn w:val="DefaultParagraphFont"/>
    <w:rsid w:val="00525F3F"/>
  </w:style>
  <w:style w:type="paragraph" w:styleId="NormalWeb">
    <w:name w:val="Normal (Web)"/>
    <w:basedOn w:val="Normal"/>
    <w:uiPriority w:val="99"/>
    <w:rsid w:val="00525F3F"/>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8046-6978-4221-BF7D-B3A30878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10</cp:revision>
  <cp:lastPrinted>2015-07-31T04:48:00Z</cp:lastPrinted>
  <dcterms:created xsi:type="dcterms:W3CDTF">2015-07-31T04:10:00Z</dcterms:created>
  <dcterms:modified xsi:type="dcterms:W3CDTF">2015-08-21T13:28:00Z</dcterms:modified>
</cp:coreProperties>
</file>