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E70C98" w:rsidRPr="001570D6" w:rsidRDefault="00E70C98" w:rsidP="00E70C98">
      <w:pPr>
        <w:pStyle w:val="Body"/>
        <w:spacing w:after="0" w:line="240" w:lineRule="auto"/>
        <w:jc w:val="center"/>
        <w:rPr>
          <w:rFonts w:ascii="Times New Roman" w:eastAsia="Times New Roman" w:hAnsi="Times New Roman" w:cs="Times New Roman"/>
          <w:bCs/>
          <w:sz w:val="28"/>
          <w:szCs w:val="28"/>
        </w:rPr>
      </w:pPr>
      <w:r w:rsidRPr="001570D6">
        <w:rPr>
          <w:rFonts w:ascii="Times New Roman" w:eastAsia="Times New Roman" w:hAnsi="Times New Roman" w:cs="Times New Roman"/>
          <w:bCs/>
          <w:sz w:val="28"/>
          <w:szCs w:val="28"/>
        </w:rPr>
        <w:t xml:space="preserve">APPLICATION OF CHEMOMETRIC TECHNIQUES TO </w:t>
      </w:r>
    </w:p>
    <w:p w:rsidR="00E70C98" w:rsidRPr="001570D6" w:rsidRDefault="00E70C98" w:rsidP="00E70C98">
      <w:pPr>
        <w:pStyle w:val="Body"/>
        <w:spacing w:after="0" w:line="240" w:lineRule="auto"/>
        <w:jc w:val="center"/>
        <w:rPr>
          <w:rFonts w:ascii="Times New Roman" w:eastAsia="Times New Roman" w:hAnsi="Times New Roman" w:cs="Times New Roman"/>
          <w:bCs/>
          <w:sz w:val="28"/>
          <w:szCs w:val="28"/>
        </w:rPr>
      </w:pPr>
      <w:r w:rsidRPr="001570D6">
        <w:rPr>
          <w:rFonts w:ascii="Times New Roman" w:eastAsia="Times New Roman" w:hAnsi="Times New Roman" w:cs="Times New Roman"/>
          <w:bCs/>
          <w:sz w:val="28"/>
          <w:szCs w:val="28"/>
        </w:rPr>
        <w:t>COLORIMETRIC DATA IN CLASSIFYING AUTOMOBILE PAINT</w:t>
      </w:r>
    </w:p>
    <w:p w:rsidR="006768E9" w:rsidRPr="00F447A7" w:rsidRDefault="006768E9" w:rsidP="00E70C98">
      <w:pPr>
        <w:spacing w:after="0" w:line="240" w:lineRule="auto"/>
        <w:jc w:val="center"/>
        <w:rPr>
          <w:rFonts w:ascii="Times New Roman" w:hAnsi="Times New Roman"/>
          <w:noProof/>
          <w:sz w:val="24"/>
          <w:szCs w:val="24"/>
          <w:lang w:bidi="ar-SA"/>
        </w:rPr>
      </w:pPr>
    </w:p>
    <w:p w:rsidR="00E70C98" w:rsidRPr="00E70C98" w:rsidRDefault="00E70C98" w:rsidP="00E70C98">
      <w:pPr>
        <w:spacing w:after="0" w:line="240" w:lineRule="auto"/>
        <w:jc w:val="center"/>
        <w:outlineLvl w:val="0"/>
        <w:rPr>
          <w:rFonts w:ascii="Times New Roman" w:hAnsi="Times New Roman"/>
          <w:sz w:val="24"/>
          <w:szCs w:val="24"/>
        </w:rPr>
      </w:pPr>
      <w:r w:rsidRPr="00E70C98">
        <w:rPr>
          <w:rFonts w:ascii="Times New Roman" w:hAnsi="Times New Roman"/>
          <w:sz w:val="24"/>
          <w:szCs w:val="24"/>
        </w:rPr>
        <w:t>(</w:t>
      </w:r>
      <w:r>
        <w:rPr>
          <w:rFonts w:ascii="Times New Roman" w:hAnsi="Times New Roman"/>
          <w:sz w:val="24"/>
          <w:szCs w:val="24"/>
        </w:rPr>
        <w:t>Aplikasi Teknik-T</w:t>
      </w:r>
      <w:r w:rsidRPr="00E70C98">
        <w:rPr>
          <w:rFonts w:ascii="Times New Roman" w:hAnsi="Times New Roman"/>
          <w:sz w:val="24"/>
          <w:szCs w:val="24"/>
        </w:rPr>
        <w:t>eknik Kimometrik untuk Data Kolorimetrik bagi Pengkelasan Cat Kereta)</w:t>
      </w:r>
    </w:p>
    <w:p w:rsidR="006768E9" w:rsidRPr="00F447A7" w:rsidRDefault="006768E9" w:rsidP="00F447A7">
      <w:pPr>
        <w:spacing w:after="0" w:line="240" w:lineRule="auto"/>
        <w:jc w:val="center"/>
        <w:rPr>
          <w:rFonts w:ascii="Times New Roman" w:hAnsi="Times New Roman"/>
          <w:noProof/>
          <w:sz w:val="20"/>
          <w:szCs w:val="20"/>
          <w:lang w:bidi="ar-SA"/>
        </w:rPr>
      </w:pPr>
    </w:p>
    <w:p w:rsidR="00E70C98" w:rsidRPr="00B9795D" w:rsidRDefault="00E70C98" w:rsidP="00E70C98">
      <w:pPr>
        <w:pStyle w:val="Body"/>
        <w:spacing w:after="0" w:line="240" w:lineRule="auto"/>
        <w:jc w:val="center"/>
        <w:rPr>
          <w:rFonts w:ascii="Times New Roman" w:eastAsia="Times New Roman" w:hAnsi="Times New Roman" w:cs="Times New Roman"/>
          <w:sz w:val="20"/>
          <w:szCs w:val="20"/>
        </w:rPr>
      </w:pPr>
      <w:r w:rsidRPr="00B9795D">
        <w:rPr>
          <w:rFonts w:ascii="Times New Roman" w:eastAsia="Times New Roman" w:hAnsi="Times New Roman" w:cs="Times New Roman"/>
          <w:sz w:val="20"/>
          <w:szCs w:val="20"/>
        </w:rPr>
        <w:t>Nur Awatif Rosli</w:t>
      </w:r>
      <w:r w:rsidRPr="00B9795D">
        <w:rPr>
          <w:rFonts w:ascii="Times New Roman" w:eastAsia="Times New Roman" w:hAnsi="Times New Roman" w:cs="Times New Roman"/>
          <w:sz w:val="20"/>
          <w:szCs w:val="20"/>
          <w:vertAlign w:val="superscript"/>
        </w:rPr>
        <w:t>1</w:t>
      </w:r>
      <w:r w:rsidRPr="00B9795D">
        <w:rPr>
          <w:rFonts w:ascii="Times New Roman" w:eastAsia="Times New Roman" w:hAnsi="Times New Roman" w:cs="Times New Roman"/>
          <w:sz w:val="20"/>
          <w:szCs w:val="20"/>
        </w:rPr>
        <w:t>, Rozita Osman</w:t>
      </w:r>
      <w:r w:rsidRPr="00B9795D">
        <w:rPr>
          <w:rFonts w:ascii="Times New Roman" w:eastAsia="Times New Roman" w:hAnsi="Times New Roman" w:cs="Times New Roman"/>
          <w:sz w:val="20"/>
          <w:szCs w:val="20"/>
          <w:vertAlign w:val="superscript"/>
        </w:rPr>
        <w:t>1</w:t>
      </w:r>
      <w:r w:rsidRPr="00E70C98">
        <w:rPr>
          <w:rFonts w:ascii="Times New Roman" w:eastAsia="Times New Roman" w:hAnsi="Times New Roman" w:cs="Times New Roman"/>
          <w:sz w:val="20"/>
          <w:szCs w:val="20"/>
        </w:rPr>
        <w:t>*</w:t>
      </w:r>
      <w:r w:rsidRPr="00B9795D">
        <w:rPr>
          <w:rFonts w:ascii="Times New Roman" w:eastAsia="Times New Roman" w:hAnsi="Times New Roman" w:cs="Times New Roman"/>
          <w:sz w:val="20"/>
          <w:szCs w:val="20"/>
        </w:rPr>
        <w:t>, Norashikin Saim</w:t>
      </w:r>
      <w:r w:rsidRPr="00B9795D">
        <w:rPr>
          <w:rFonts w:ascii="Times New Roman" w:eastAsia="Times New Roman" w:hAnsi="Times New Roman" w:cs="Times New Roman"/>
          <w:sz w:val="20"/>
          <w:szCs w:val="20"/>
          <w:vertAlign w:val="superscript"/>
        </w:rPr>
        <w:t>1</w:t>
      </w:r>
      <w:r w:rsidRPr="00B9795D">
        <w:rPr>
          <w:rFonts w:ascii="Times New Roman" w:eastAsia="Times New Roman" w:hAnsi="Times New Roman" w:cs="Times New Roman"/>
          <w:sz w:val="20"/>
          <w:szCs w:val="20"/>
        </w:rPr>
        <w:t>, Mohd Zuli Jaafar</w:t>
      </w:r>
      <w:r w:rsidRPr="00B9795D">
        <w:rPr>
          <w:rFonts w:ascii="Times New Roman" w:eastAsia="Times New Roman" w:hAnsi="Times New Roman" w:cs="Times New Roman"/>
          <w:sz w:val="20"/>
          <w:szCs w:val="20"/>
          <w:vertAlign w:val="superscript"/>
        </w:rPr>
        <w:t>2</w:t>
      </w:r>
    </w:p>
    <w:p w:rsidR="006768E9" w:rsidRPr="00F447A7" w:rsidRDefault="006768E9" w:rsidP="00E70C98">
      <w:pPr>
        <w:spacing w:after="0" w:line="240" w:lineRule="auto"/>
        <w:jc w:val="center"/>
        <w:rPr>
          <w:rFonts w:ascii="Times New Roman" w:hAnsi="Times New Roman"/>
          <w:noProof/>
          <w:sz w:val="18"/>
          <w:szCs w:val="18"/>
          <w:lang w:bidi="ar-SA"/>
        </w:rPr>
      </w:pPr>
    </w:p>
    <w:p w:rsidR="00E70C98" w:rsidRDefault="00E70C98" w:rsidP="00E70C98">
      <w:pPr>
        <w:pStyle w:val="NoSpacing"/>
        <w:jc w:val="center"/>
        <w:rPr>
          <w:rFonts w:ascii="Times New Roman" w:hAnsi="Times New Roman"/>
          <w:i/>
          <w:sz w:val="18"/>
          <w:szCs w:val="18"/>
        </w:rPr>
      </w:pPr>
      <w:r w:rsidRPr="003370CF">
        <w:rPr>
          <w:rFonts w:ascii="Times New Roman" w:hAnsi="Times New Roman"/>
          <w:i/>
          <w:sz w:val="18"/>
          <w:szCs w:val="18"/>
          <w:vertAlign w:val="superscript"/>
        </w:rPr>
        <w:t>1</w:t>
      </w:r>
      <w:r w:rsidRPr="003370CF">
        <w:rPr>
          <w:rFonts w:ascii="Times New Roman" w:hAnsi="Times New Roman"/>
          <w:i/>
          <w:sz w:val="18"/>
          <w:szCs w:val="18"/>
        </w:rPr>
        <w:t xml:space="preserve">Faculty of Applied Sciences, </w:t>
      </w:r>
    </w:p>
    <w:p w:rsidR="00E70C98" w:rsidRPr="003370CF" w:rsidRDefault="00E70C98" w:rsidP="00E70C98">
      <w:pPr>
        <w:pStyle w:val="NoSpacing"/>
        <w:jc w:val="center"/>
        <w:rPr>
          <w:rFonts w:ascii="Times New Roman" w:hAnsi="Times New Roman"/>
          <w:i/>
          <w:sz w:val="18"/>
          <w:szCs w:val="18"/>
        </w:rPr>
      </w:pPr>
      <w:r w:rsidRPr="003370CF">
        <w:rPr>
          <w:rFonts w:ascii="Times New Roman" w:hAnsi="Times New Roman"/>
          <w:i/>
          <w:sz w:val="18"/>
          <w:szCs w:val="18"/>
        </w:rPr>
        <w:t>Universiti Teknologi MARA Shah Alam, 40450 Shah Alam, Selangor, Malaysia</w:t>
      </w:r>
    </w:p>
    <w:p w:rsidR="00E70C98" w:rsidRDefault="00E70C98" w:rsidP="00E70C98">
      <w:pPr>
        <w:pStyle w:val="NoSpacing"/>
        <w:jc w:val="center"/>
        <w:rPr>
          <w:rFonts w:ascii="Times New Roman" w:hAnsi="Times New Roman"/>
          <w:i/>
          <w:sz w:val="18"/>
          <w:szCs w:val="18"/>
        </w:rPr>
      </w:pPr>
      <w:r w:rsidRPr="003370CF">
        <w:rPr>
          <w:rFonts w:ascii="Times New Roman" w:hAnsi="Times New Roman"/>
          <w:i/>
          <w:sz w:val="18"/>
          <w:szCs w:val="18"/>
          <w:vertAlign w:val="superscript"/>
        </w:rPr>
        <w:t>2</w:t>
      </w:r>
      <w:r w:rsidRPr="003370CF">
        <w:rPr>
          <w:rFonts w:ascii="Times New Roman" w:hAnsi="Times New Roman"/>
          <w:i/>
          <w:sz w:val="18"/>
          <w:szCs w:val="18"/>
        </w:rPr>
        <w:t>Faculty of Plantation and Agrotechno</w:t>
      </w:r>
      <w:r>
        <w:rPr>
          <w:rFonts w:ascii="Times New Roman" w:hAnsi="Times New Roman"/>
          <w:i/>
          <w:sz w:val="18"/>
          <w:szCs w:val="18"/>
        </w:rPr>
        <w:t xml:space="preserve">logy, </w:t>
      </w:r>
    </w:p>
    <w:p w:rsidR="00E70C98" w:rsidRPr="003370CF" w:rsidRDefault="00E70C98" w:rsidP="00E70C98">
      <w:pPr>
        <w:pStyle w:val="NoSpacing"/>
        <w:jc w:val="center"/>
        <w:rPr>
          <w:rFonts w:ascii="Times New Roman" w:hAnsi="Times New Roman"/>
          <w:i/>
          <w:sz w:val="18"/>
          <w:szCs w:val="18"/>
        </w:rPr>
      </w:pPr>
      <w:r>
        <w:rPr>
          <w:rFonts w:ascii="Times New Roman" w:hAnsi="Times New Roman"/>
          <w:i/>
          <w:sz w:val="18"/>
          <w:szCs w:val="18"/>
        </w:rPr>
        <w:t>Universiti Teknologi MARA</w:t>
      </w:r>
      <w:r w:rsidRPr="003370CF">
        <w:rPr>
          <w:rFonts w:ascii="Times New Roman" w:hAnsi="Times New Roman"/>
          <w:i/>
          <w:sz w:val="18"/>
          <w:szCs w:val="18"/>
        </w:rPr>
        <w:t xml:space="preserve">, 77300 Merlimau, Melaka  </w:t>
      </w:r>
    </w:p>
    <w:p w:rsidR="006768E9" w:rsidRPr="00F447A7" w:rsidRDefault="006768E9" w:rsidP="00E70C98">
      <w:pPr>
        <w:spacing w:after="0" w:line="240" w:lineRule="auto"/>
        <w:rPr>
          <w:rFonts w:ascii="Times New Roman" w:hAnsi="Times New Roman"/>
          <w:noProof/>
          <w:sz w:val="18"/>
          <w:szCs w:val="18"/>
          <w:lang w:bidi="ar-SA"/>
        </w:rPr>
      </w:pPr>
    </w:p>
    <w:p w:rsidR="006768E9" w:rsidRPr="00F447A7" w:rsidRDefault="006768E9" w:rsidP="00E70C98">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bookmarkStart w:id="0" w:name="_GoBack"/>
      <w:bookmarkEnd w:id="0"/>
      <w:r w:rsidR="00E70C98" w:rsidRPr="00E70C98">
        <w:rPr>
          <w:rStyle w:val="Hyperlink0"/>
          <w:rFonts w:ascii="Times New Roman" w:hAnsi="Times New Roman"/>
          <w:i/>
        </w:rPr>
        <w:t>rozit471@salam.uitm.edu.my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70C98">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E70C98">
        <w:rPr>
          <w:rFonts w:ascii="Times New Roman" w:hAnsi="Times New Roman"/>
          <w:noProof/>
          <w:sz w:val="18"/>
          <w:szCs w:val="18"/>
          <w:lang w:bidi="ar-SA"/>
        </w:rPr>
        <w:t>27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70C98" w:rsidRPr="00B9795D" w:rsidRDefault="00E70C98" w:rsidP="00E70C98">
      <w:pPr>
        <w:pStyle w:val="Body"/>
        <w:spacing w:after="0" w:line="240" w:lineRule="auto"/>
        <w:jc w:val="both"/>
        <w:rPr>
          <w:rFonts w:ascii="Times New Roman" w:eastAsia="Times New Roman" w:hAnsi="Times New Roman" w:cs="Times New Roman"/>
          <w:sz w:val="18"/>
          <w:szCs w:val="18"/>
        </w:rPr>
      </w:pPr>
      <w:r w:rsidRPr="00B9795D">
        <w:rPr>
          <w:rFonts w:ascii="Times New Roman" w:eastAsia="Times New Roman" w:hAnsi="Times New Roman" w:cs="Times New Roman"/>
          <w:sz w:val="18"/>
          <w:szCs w:val="18"/>
        </w:rPr>
        <w:t xml:space="preserve">The analysis of paint chips is of great interest to forensic investigators, particularly in the examination of hit-and run cases. This study proposes a direct and rapid method in classifying automobile paint samples based on colorimetric data sets; absorption value, reflectance value, luminosity value (L), degree of redness (a) and degree of yellowness (b) obtained from video spectral comparator (VSC) technique. A total of 42 automobile paint samples from 7 manufacturers were analysed. The colorimetric datasets obtained from VSC analysis were subjected to chemometric technique namely cluster analysis (CA) and principal component analysis (PCA). Based on CA, 5 clusters were generated; Cluster 1 consisted of silver color, cluster 2 consisted of white color, cluster 3 consisted of blue and black colors, cluster 4 consisted of red color and cluster 5 consisted of light blue color. PCA resulted in two latent factors explaining 95.58 % of the total variance, enabled to group the 42 automobile paints into five groups. Chemometric application on colorimetric datasets provide </w:t>
      </w:r>
      <w:r w:rsidRPr="00B9795D">
        <w:rPr>
          <w:rFonts w:ascii="Times New Roman" w:eastAsia="Times New Roman" w:hAnsi="Times New Roman" w:cs="Times New Roman"/>
          <w:color w:val="000000" w:themeColor="text1"/>
          <w:sz w:val="18"/>
          <w:szCs w:val="18"/>
        </w:rPr>
        <w:t>meaningful classification</w:t>
      </w:r>
      <w:r w:rsidRPr="00B9795D">
        <w:rPr>
          <w:rFonts w:ascii="Times New Roman" w:eastAsia="Times New Roman" w:hAnsi="Times New Roman" w:cs="Times New Roman"/>
          <w:sz w:val="18"/>
          <w:szCs w:val="18"/>
        </w:rPr>
        <w:t xml:space="preserve"> of automobile paints based on their tone colour (L, a, b) and light intensity These approaches have the potential to ease the interpretation of complex spectral data involving a large number of comparisons.</w:t>
      </w:r>
    </w:p>
    <w:p w:rsidR="00E70C98" w:rsidRPr="00B9795D" w:rsidRDefault="00E70C98" w:rsidP="00E70C98">
      <w:pPr>
        <w:pStyle w:val="Body"/>
        <w:spacing w:after="0" w:line="240" w:lineRule="auto"/>
        <w:jc w:val="both"/>
        <w:rPr>
          <w:rFonts w:ascii="Times New Roman" w:eastAsia="Times New Roman" w:hAnsi="Times New Roman" w:cs="Times New Roman"/>
          <w:sz w:val="18"/>
          <w:szCs w:val="18"/>
        </w:rPr>
      </w:pPr>
    </w:p>
    <w:p w:rsidR="00E70C98" w:rsidRPr="00B9795D" w:rsidRDefault="00E70C98" w:rsidP="00E70C98">
      <w:pPr>
        <w:pStyle w:val="Body"/>
        <w:spacing w:after="0" w:line="240" w:lineRule="auto"/>
        <w:ind w:left="900" w:hanging="900"/>
        <w:jc w:val="both"/>
        <w:rPr>
          <w:rFonts w:ascii="Times New Roman" w:eastAsia="Times New Roman" w:hAnsi="Times New Roman" w:cs="Times New Roman"/>
          <w:sz w:val="18"/>
          <w:szCs w:val="18"/>
        </w:rPr>
      </w:pPr>
      <w:r w:rsidRPr="00B9795D">
        <w:rPr>
          <w:rFonts w:ascii="Times New Roman" w:eastAsia="Times New Roman" w:hAnsi="Times New Roman" w:cs="Times New Roman"/>
          <w:b/>
          <w:bCs/>
          <w:sz w:val="18"/>
          <w:szCs w:val="18"/>
        </w:rPr>
        <w:t>Keywords</w:t>
      </w:r>
      <w:r>
        <w:rPr>
          <w:rFonts w:ascii="Times New Roman" w:eastAsia="Times New Roman" w:hAnsi="Times New Roman" w:cs="Times New Roman"/>
          <w:sz w:val="18"/>
          <w:szCs w:val="18"/>
        </w:rPr>
        <w:t>: c</w:t>
      </w:r>
      <w:r w:rsidRPr="00B9795D">
        <w:rPr>
          <w:rFonts w:ascii="Times New Roman" w:eastAsia="Times New Roman" w:hAnsi="Times New Roman" w:cs="Times New Roman"/>
          <w:sz w:val="18"/>
          <w:szCs w:val="18"/>
        </w:rPr>
        <w:t xml:space="preserve">olorimetric, </w:t>
      </w:r>
      <w:r>
        <w:rPr>
          <w:rFonts w:ascii="Times New Roman" w:eastAsia="Times New Roman" w:hAnsi="Times New Roman" w:cs="Times New Roman"/>
          <w:sz w:val="18"/>
          <w:szCs w:val="18"/>
        </w:rPr>
        <w:t>Cluster A</w:t>
      </w:r>
      <w:r w:rsidRPr="00B9795D">
        <w:rPr>
          <w:rFonts w:ascii="Times New Roman" w:eastAsia="Times New Roman" w:hAnsi="Times New Roman" w:cs="Times New Roman"/>
          <w:sz w:val="18"/>
          <w:szCs w:val="18"/>
        </w:rPr>
        <w:t>nalysis (</w:t>
      </w:r>
      <w:r>
        <w:rPr>
          <w:rFonts w:ascii="Times New Roman" w:eastAsia="Times New Roman" w:hAnsi="Times New Roman" w:cs="Times New Roman"/>
          <w:sz w:val="18"/>
          <w:szCs w:val="18"/>
        </w:rPr>
        <w:t>CA), chemometric techniques, Principle Component A</w:t>
      </w:r>
      <w:r w:rsidRPr="00B9795D">
        <w:rPr>
          <w:rFonts w:ascii="Times New Roman" w:eastAsia="Times New Roman" w:hAnsi="Times New Roman" w:cs="Times New Roman"/>
          <w:sz w:val="18"/>
          <w:szCs w:val="18"/>
        </w:rPr>
        <w:t xml:space="preserve">nalysis (PCA), </w:t>
      </w:r>
      <w:r>
        <w:rPr>
          <w:rFonts w:ascii="Times New Roman" w:eastAsia="Times New Roman" w:hAnsi="Times New Roman" w:cs="Times New Roman"/>
          <w:sz w:val="18"/>
          <w:szCs w:val="18"/>
        </w:rPr>
        <w:t>Video Spectral C</w:t>
      </w:r>
      <w:r w:rsidRPr="00B9795D">
        <w:rPr>
          <w:rFonts w:ascii="Times New Roman" w:eastAsia="Times New Roman" w:hAnsi="Times New Roman" w:cs="Times New Roman"/>
          <w:sz w:val="18"/>
          <w:szCs w:val="18"/>
        </w:rPr>
        <w:t>omparator (VSC)</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70C98" w:rsidRPr="00E70C98" w:rsidRDefault="00E70C98" w:rsidP="00E70C98">
      <w:pPr>
        <w:spacing w:after="0" w:line="240" w:lineRule="auto"/>
        <w:jc w:val="both"/>
        <w:outlineLvl w:val="0"/>
        <w:rPr>
          <w:rFonts w:ascii="Times New Roman" w:hAnsi="Times New Roman"/>
          <w:sz w:val="18"/>
          <w:szCs w:val="18"/>
        </w:rPr>
      </w:pPr>
      <w:r w:rsidRPr="00E70C98">
        <w:rPr>
          <w:rFonts w:ascii="Times New Roman" w:hAnsi="Times New Roman"/>
          <w:sz w:val="18"/>
          <w:szCs w:val="18"/>
        </w:rPr>
        <w:t xml:space="preserve">Analisis cip cat adalah penting kepada penyiasat forensik, khususnya dalam kes-kes langgar dan lari. Kajian ini mencadangkan satu kaedah yang cepat dalam mengklasifikasikan sampel cat kereta berdasarkan set data kolorimetri; nilai penyerapan, nilai pantulan, nilai kilauan (L), darjah kemerahan (a) dan darjah kekuningan (b) yang diperoleh daripada teknik pembandingan spektrum video (VSC). Sebanyak 42 sampel cat kereta </w:t>
      </w:r>
      <w:r w:rsidRPr="00E70C98">
        <w:rPr>
          <w:rFonts w:ascii="Times New Roman" w:hAnsi="Times New Roman"/>
          <w:color w:val="000000" w:themeColor="text1"/>
          <w:sz w:val="18"/>
          <w:szCs w:val="18"/>
        </w:rPr>
        <w:t xml:space="preserve">daripada </w:t>
      </w:r>
      <w:r w:rsidRPr="00E70C98">
        <w:rPr>
          <w:rFonts w:ascii="Times New Roman" w:hAnsi="Times New Roman"/>
          <w:sz w:val="18"/>
          <w:szCs w:val="18"/>
        </w:rPr>
        <w:t>7 pengeluar kereta telah dianalisis. Set data kolorimetri yang diperolehi dari VSC dianalisa menggunakan kaedah kimometrik iaitu analisis kelompok (HACA) dan analisis komponen utama (PCA). Berdasarkan HACA, 5 kelompok cat kereta telah dijana; kelompok 1 terdiri daripada warna perak, kelompok 2 terdiri daripada warna putih, kelompok 3 terdiri daripada gabungan warna biru dan hitam, kelompok 4 terdiri daripada warna merah dan kelompok 5 terdiri daripada warna biru muda. PCA menghasilkan dua faktor yang menjelaskan 95.58% daripada keseluruhan varian, membolehkan 43 sampel cat kereta yang dianalisis dikumpulkan ke dalam lima kumpulan. Penggunaan kimometrik terhadap set data kolorimetri memberikan maklumat berguna untuk pengkelasan cat kereta berdasarkan tona warna (L, a, b) dan keamatan cahaya (serapan dan kepantulan). Pendekatan-pendekatan ini mempunyai potensi yang memudahkan penaksiran data spektrum yang kompleks yang melibatkan pelbagai aspek perbandingan.</w:t>
      </w:r>
    </w:p>
    <w:p w:rsidR="00E70C98" w:rsidRPr="00E70C98" w:rsidRDefault="00E70C98" w:rsidP="00E70C98">
      <w:pPr>
        <w:spacing w:after="0" w:line="240" w:lineRule="auto"/>
        <w:jc w:val="both"/>
        <w:outlineLvl w:val="0"/>
        <w:rPr>
          <w:rFonts w:ascii="Times New Roman" w:hAnsi="Times New Roman"/>
          <w:sz w:val="18"/>
          <w:szCs w:val="18"/>
        </w:rPr>
      </w:pPr>
      <w:r w:rsidRPr="00E70C98">
        <w:rPr>
          <w:rFonts w:ascii="Times New Roman" w:hAnsi="Times New Roman"/>
          <w:sz w:val="18"/>
          <w:szCs w:val="18"/>
        </w:rPr>
        <w:t xml:space="preserve"> </w:t>
      </w:r>
    </w:p>
    <w:p w:rsidR="00E70C98" w:rsidRPr="00E70C98" w:rsidRDefault="00E70C98" w:rsidP="00E70C98">
      <w:pPr>
        <w:spacing w:after="0" w:line="240" w:lineRule="auto"/>
        <w:ind w:left="1080" w:hanging="1080"/>
        <w:jc w:val="both"/>
        <w:outlineLvl w:val="0"/>
        <w:rPr>
          <w:rFonts w:ascii="Times New Roman" w:hAnsi="Times New Roman"/>
          <w:b/>
          <w:color w:val="548DD4" w:themeColor="text2" w:themeTint="99"/>
          <w:sz w:val="18"/>
          <w:szCs w:val="18"/>
        </w:rPr>
      </w:pPr>
      <w:r w:rsidRPr="00E70C98">
        <w:rPr>
          <w:rFonts w:ascii="Times New Roman" w:hAnsi="Times New Roman"/>
          <w:b/>
          <w:sz w:val="18"/>
          <w:szCs w:val="18"/>
        </w:rPr>
        <w:t xml:space="preserve">Kata kunci: </w:t>
      </w:r>
      <w:r>
        <w:rPr>
          <w:rFonts w:ascii="Times New Roman" w:hAnsi="Times New Roman"/>
          <w:sz w:val="18"/>
          <w:szCs w:val="18"/>
        </w:rPr>
        <w:tab/>
        <w:t>k</w:t>
      </w:r>
      <w:r w:rsidRPr="00E70C98">
        <w:rPr>
          <w:rFonts w:ascii="Times New Roman" w:hAnsi="Times New Roman"/>
          <w:sz w:val="18"/>
          <w:szCs w:val="18"/>
        </w:rPr>
        <w:t>olorimetri, A</w:t>
      </w:r>
      <w:r>
        <w:rPr>
          <w:rFonts w:ascii="Times New Roman" w:hAnsi="Times New Roman"/>
          <w:sz w:val="18"/>
          <w:szCs w:val="18"/>
        </w:rPr>
        <w:t>nalisis Pengumpulan Kelompok-Kelompok B</w:t>
      </w:r>
      <w:r w:rsidRPr="00E70C98">
        <w:rPr>
          <w:rFonts w:ascii="Times New Roman" w:hAnsi="Times New Roman"/>
          <w:sz w:val="18"/>
          <w:szCs w:val="18"/>
        </w:rPr>
        <w:t xml:space="preserve">erhierarki (HACA), </w:t>
      </w:r>
      <w:r>
        <w:rPr>
          <w:rFonts w:ascii="Times New Roman" w:hAnsi="Times New Roman"/>
          <w:sz w:val="18"/>
          <w:szCs w:val="18"/>
        </w:rPr>
        <w:t>t</w:t>
      </w:r>
      <w:r w:rsidRPr="00E70C98">
        <w:rPr>
          <w:rFonts w:ascii="Times New Roman" w:hAnsi="Times New Roman"/>
          <w:sz w:val="18"/>
          <w:szCs w:val="18"/>
        </w:rPr>
        <w:t>eknik-teknik kimometrik, Ana</w:t>
      </w:r>
      <w:r>
        <w:rPr>
          <w:rFonts w:ascii="Times New Roman" w:hAnsi="Times New Roman"/>
          <w:sz w:val="18"/>
          <w:szCs w:val="18"/>
        </w:rPr>
        <w:t>lisis Komponen U</w:t>
      </w:r>
      <w:r w:rsidRPr="00E70C98">
        <w:rPr>
          <w:rFonts w:ascii="Times New Roman" w:hAnsi="Times New Roman"/>
          <w:sz w:val="18"/>
          <w:szCs w:val="18"/>
        </w:rPr>
        <w:t>tama (PCA), P</w:t>
      </w:r>
      <w:r>
        <w:rPr>
          <w:rFonts w:ascii="Times New Roman" w:hAnsi="Times New Roman"/>
          <w:sz w:val="18"/>
          <w:szCs w:val="18"/>
        </w:rPr>
        <w:t>embanding Spectrum V</w:t>
      </w:r>
      <w:r w:rsidR="00481750">
        <w:rPr>
          <w:rFonts w:ascii="Times New Roman" w:hAnsi="Times New Roman"/>
          <w:sz w:val="18"/>
          <w:szCs w:val="18"/>
        </w:rPr>
        <w:t>ideo (VSC)</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E70C98" w:rsidRPr="00B05B74" w:rsidRDefault="00E70C98" w:rsidP="00E70C98">
      <w:pPr>
        <w:pStyle w:val="Body"/>
        <w:spacing w:after="0" w:line="240" w:lineRule="auto"/>
        <w:jc w:val="both"/>
        <w:rPr>
          <w:rFonts w:ascii="Times New Roman" w:eastAsia="Times New Roman" w:hAnsi="Times New Roman" w:cs="Times New Roman"/>
          <w:b/>
          <w:bCs/>
          <w:sz w:val="20"/>
          <w:szCs w:val="20"/>
        </w:rPr>
      </w:pPr>
      <w:r w:rsidRPr="00B05B74">
        <w:rPr>
          <w:rFonts w:ascii="Times New Roman" w:eastAsia="Times New Roman" w:hAnsi="Times New Roman" w:cs="Times New Roman"/>
          <w:sz w:val="20"/>
          <w:szCs w:val="20"/>
        </w:rPr>
        <w:t>The examination and identification of automobile paints is crucial in road accident investigations. In many instances, automobile paint is the most significant form of trace contact evidence encountered at the incident scene; thereby adding increased importance to its subsequent analysis [1]. It is often necessary to compare the paint fragment found on the road or on clothing of a car accident victim with the paint sample coming from the suspected car in order to establish whether they have the same origin. On the other hand, if no comparative material is available, like hit-and-run accidents, the identification of the paint components may provide information of the kind of paint and its producer [2]. Automobile paint is a complex multi-component system designed to protect the frame of the vehicle and achieve the desired color and finish. Each layer has a characteristic function and comprised of a distinctive permutation of binders, resins, pigments and additives [3]. The analytical approach towards forensic paint examination relies on the analysis of each layer via a combination of microscopic and spectroscopic techniques are used to characterise paint traces [4,5].</w:t>
      </w:r>
    </w:p>
    <w:p w:rsidR="00E70C98" w:rsidRPr="00B05B74" w:rsidRDefault="00E70C98" w:rsidP="00E70C98">
      <w:pPr>
        <w:pStyle w:val="Body"/>
        <w:spacing w:after="0" w:line="240" w:lineRule="auto"/>
        <w:jc w:val="both"/>
        <w:rPr>
          <w:rFonts w:ascii="Times New Roman" w:eastAsia="Times New Roman" w:hAnsi="Times New Roman" w:cs="Times New Roman"/>
          <w:sz w:val="20"/>
          <w:szCs w:val="20"/>
        </w:rPr>
      </w:pPr>
      <w:r w:rsidRPr="00B05B74">
        <w:rPr>
          <w:rFonts w:ascii="Times New Roman" w:eastAsia="Times New Roman" w:hAnsi="Times New Roman" w:cs="Times New Roman"/>
          <w:sz w:val="20"/>
          <w:szCs w:val="20"/>
        </w:rPr>
        <w:tab/>
      </w:r>
    </w:p>
    <w:p w:rsidR="00E70C98" w:rsidRPr="00B05B74" w:rsidRDefault="00E70C98" w:rsidP="00E70C98">
      <w:pPr>
        <w:pStyle w:val="Body"/>
        <w:spacing w:after="0" w:line="240" w:lineRule="auto"/>
        <w:jc w:val="both"/>
        <w:rPr>
          <w:rFonts w:ascii="Times New Roman" w:eastAsia="Times New Roman" w:hAnsi="Times New Roman" w:cs="Times New Roman"/>
          <w:sz w:val="20"/>
          <w:szCs w:val="20"/>
        </w:rPr>
      </w:pPr>
      <w:r w:rsidRPr="00B05B74">
        <w:rPr>
          <w:rFonts w:ascii="Times New Roman" w:eastAsia="Times New Roman" w:hAnsi="Times New Roman" w:cs="Times New Roman"/>
          <w:sz w:val="20"/>
          <w:szCs w:val="20"/>
        </w:rPr>
        <w:t xml:space="preserve">Colorimetry is the science and technology used to quantify and describe physically the human colour perception, which was also established by CIE (Commission Internationale de I’Eclairage) in 1931. Even though limitations are well recognized, the CIE system of colorimetry remains as the only internationally agreed metric for clot measurement [6]. Analysis of automobile paints was done using video spectral comparator </w:t>
      </w:r>
      <w:r w:rsidRPr="00B05B74">
        <w:rPr>
          <w:rFonts w:ascii="Times New Roman" w:eastAsia="Times New Roman" w:hAnsi="Times New Roman" w:cs="Times New Roman"/>
          <w:color w:val="000000" w:themeColor="text1"/>
          <w:sz w:val="20"/>
          <w:szCs w:val="20"/>
        </w:rPr>
        <w:t xml:space="preserve">(VSC) using quantitative color description with </w:t>
      </w:r>
      <w:r w:rsidRPr="00B05B74">
        <w:rPr>
          <w:rFonts w:ascii="Times New Roman" w:eastAsia="Times New Roman" w:hAnsi="Times New Roman" w:cs="Times New Roman"/>
          <w:i/>
          <w:iCs/>
          <w:color w:val="000000" w:themeColor="text1"/>
          <w:sz w:val="20"/>
          <w:szCs w:val="20"/>
        </w:rPr>
        <w:t xml:space="preserve">L*a*b* </w:t>
      </w:r>
      <w:r w:rsidRPr="00B05B74">
        <w:rPr>
          <w:rFonts w:ascii="Times New Roman" w:eastAsia="Times New Roman" w:hAnsi="Times New Roman" w:cs="Times New Roman"/>
          <w:color w:val="000000" w:themeColor="text1"/>
          <w:sz w:val="20"/>
          <w:szCs w:val="20"/>
        </w:rPr>
        <w:t xml:space="preserve">or CIELAB color system. </w:t>
      </w:r>
      <w:r w:rsidRPr="00B05B74">
        <w:rPr>
          <w:rFonts w:ascii="Times New Roman" w:eastAsia="Times New Roman" w:hAnsi="Times New Roman" w:cs="Times New Roman"/>
          <w:color w:val="000000" w:themeColor="text1"/>
          <w:sz w:val="20"/>
          <w:szCs w:val="20"/>
          <w:shd w:val="clear" w:color="auto" w:fill="FFFFFF"/>
        </w:rPr>
        <w:t>The concept of color can be divided into two parts: brightness and </w:t>
      </w:r>
      <w:hyperlink r:id="rId10" w:history="1">
        <w:r w:rsidRPr="00B05B74">
          <w:rPr>
            <w:rStyle w:val="Hyperlink1"/>
            <w:rFonts w:ascii="Times New Roman" w:hAnsi="Times New Roman"/>
            <w:color w:val="000000" w:themeColor="text1"/>
            <w:sz w:val="20"/>
            <w:szCs w:val="20"/>
          </w:rPr>
          <w:t>chromaticity</w:t>
        </w:r>
      </w:hyperlink>
      <w:r w:rsidRPr="00B05B74">
        <w:rPr>
          <w:rFonts w:ascii="Times New Roman" w:eastAsia="Times New Roman" w:hAnsi="Times New Roman" w:cs="Times New Roman"/>
          <w:color w:val="000000" w:themeColor="text1"/>
          <w:sz w:val="20"/>
          <w:szCs w:val="20"/>
          <w:shd w:val="clear" w:color="auto" w:fill="FFFFFF"/>
        </w:rPr>
        <w:t xml:space="preserve">. For example, the color white is a bright color, while the color grey is considered to be a less bright of that same white. In other words, the chromaticity of white and grey are the same while their brightness differs. </w:t>
      </w:r>
      <w:r w:rsidRPr="00B05B74">
        <w:rPr>
          <w:rFonts w:ascii="Times New Roman" w:eastAsia="Times New Roman" w:hAnsi="Times New Roman" w:cs="Times New Roman"/>
          <w:color w:val="000000" w:themeColor="text1"/>
          <w:sz w:val="20"/>
          <w:szCs w:val="20"/>
        </w:rPr>
        <w:t>The ‘brightness’ (L*, lightness, luminosity or luminance) can range from ‘0’ (black) to ‘100’ (white), and constitutes the vertical axis of a three-dimensional color space. There are two accompanying horizontal axes of ‘chromaticity’: red-green (</w:t>
      </w:r>
      <w:r w:rsidRPr="00B05B74">
        <w:rPr>
          <w:rFonts w:ascii="Times New Roman" w:eastAsia="Times New Roman" w:hAnsi="Times New Roman" w:cs="Times New Roman"/>
          <w:i/>
          <w:iCs/>
          <w:color w:val="000000" w:themeColor="text1"/>
          <w:sz w:val="20"/>
          <w:szCs w:val="20"/>
        </w:rPr>
        <w:t xml:space="preserve">+a* </w:t>
      </w:r>
      <w:r w:rsidRPr="00B05B74">
        <w:rPr>
          <w:rFonts w:ascii="Times New Roman" w:eastAsia="Times New Roman" w:hAnsi="Times New Roman" w:cs="Times New Roman"/>
          <w:color w:val="000000" w:themeColor="text1"/>
          <w:sz w:val="20"/>
          <w:szCs w:val="20"/>
        </w:rPr>
        <w:t xml:space="preserve">to </w:t>
      </w:r>
      <w:r w:rsidRPr="00B05B74">
        <w:rPr>
          <w:rFonts w:ascii="Times New Roman" w:eastAsia="Times New Roman" w:hAnsi="Times New Roman" w:cs="Times New Roman"/>
          <w:i/>
          <w:iCs/>
          <w:color w:val="000000" w:themeColor="text1"/>
          <w:sz w:val="20"/>
          <w:szCs w:val="20"/>
        </w:rPr>
        <w:t>-a*</w:t>
      </w:r>
      <w:r w:rsidRPr="00B05B74">
        <w:rPr>
          <w:rFonts w:ascii="Times New Roman" w:eastAsia="Times New Roman" w:hAnsi="Times New Roman" w:cs="Times New Roman"/>
          <w:color w:val="000000" w:themeColor="text1"/>
          <w:sz w:val="20"/>
          <w:szCs w:val="20"/>
        </w:rPr>
        <w:t>), and yellow-blue (</w:t>
      </w:r>
      <w:r w:rsidRPr="00B05B74">
        <w:rPr>
          <w:rFonts w:ascii="Times New Roman" w:eastAsia="Times New Roman" w:hAnsi="Times New Roman" w:cs="Times New Roman"/>
          <w:i/>
          <w:iCs/>
          <w:color w:val="000000" w:themeColor="text1"/>
          <w:sz w:val="20"/>
          <w:szCs w:val="20"/>
        </w:rPr>
        <w:t>+b*</w:t>
      </w:r>
      <w:r w:rsidRPr="00B05B74">
        <w:rPr>
          <w:rFonts w:ascii="Times New Roman" w:eastAsia="Times New Roman" w:hAnsi="Times New Roman" w:cs="Times New Roman"/>
          <w:color w:val="000000" w:themeColor="text1"/>
          <w:sz w:val="20"/>
          <w:szCs w:val="20"/>
        </w:rPr>
        <w:t xml:space="preserve"> to </w:t>
      </w:r>
      <w:r w:rsidRPr="00B05B74">
        <w:rPr>
          <w:rFonts w:ascii="Times New Roman" w:eastAsia="Times New Roman" w:hAnsi="Times New Roman" w:cs="Times New Roman"/>
          <w:i/>
          <w:iCs/>
          <w:color w:val="000000" w:themeColor="text1"/>
          <w:sz w:val="20"/>
          <w:szCs w:val="20"/>
        </w:rPr>
        <w:t>-b*</w:t>
      </w:r>
      <w:r w:rsidRPr="00B05B74">
        <w:rPr>
          <w:rFonts w:ascii="Times New Roman" w:eastAsia="Times New Roman" w:hAnsi="Times New Roman" w:cs="Times New Roman"/>
          <w:color w:val="000000" w:themeColor="text1"/>
          <w:sz w:val="20"/>
          <w:szCs w:val="20"/>
        </w:rPr>
        <w:t>). Negative values indicate the ‘cold’ colors green and blue, and positive integers</w:t>
      </w:r>
      <w:r w:rsidRPr="00B05B74">
        <w:rPr>
          <w:rFonts w:ascii="Times New Roman" w:eastAsia="Times New Roman" w:hAnsi="Times New Roman" w:cs="Times New Roman"/>
          <w:sz w:val="20"/>
          <w:szCs w:val="20"/>
        </w:rPr>
        <w:t xml:space="preserve"> the ‘warm’ colors red and yellow [7-9]. The </w:t>
      </w:r>
      <w:r w:rsidRPr="00B05B74">
        <w:rPr>
          <w:rFonts w:ascii="Times New Roman" w:eastAsia="Times New Roman" w:hAnsi="Times New Roman" w:cs="Times New Roman"/>
          <w:i/>
          <w:iCs/>
          <w:sz w:val="20"/>
          <w:szCs w:val="20"/>
        </w:rPr>
        <w:t xml:space="preserve">L*a*b* </w:t>
      </w:r>
      <w:r w:rsidRPr="00B05B74">
        <w:rPr>
          <w:rFonts w:ascii="Times New Roman" w:eastAsia="Times New Roman" w:hAnsi="Times New Roman" w:cs="Times New Roman"/>
          <w:sz w:val="20"/>
          <w:szCs w:val="20"/>
        </w:rPr>
        <w:t>color space system is used in industry [8] and in meat production [10-12], to define standards for the quality control of products [9].</w:t>
      </w:r>
    </w:p>
    <w:p w:rsidR="00E70C98" w:rsidRPr="001D07B2" w:rsidRDefault="00E70C98" w:rsidP="00E70C98">
      <w:pPr>
        <w:pStyle w:val="Body"/>
        <w:spacing w:after="0" w:line="240" w:lineRule="auto"/>
        <w:ind w:firstLine="720"/>
        <w:jc w:val="both"/>
        <w:rPr>
          <w:rFonts w:ascii="Times New Roman" w:eastAsia="Times New Roman" w:hAnsi="Times New Roman" w:cs="Times New Roman"/>
          <w:sz w:val="20"/>
          <w:szCs w:val="20"/>
        </w:rPr>
      </w:pPr>
    </w:p>
    <w:p w:rsidR="00E70C98" w:rsidRPr="003370CF" w:rsidRDefault="00E70C98" w:rsidP="00E70C98">
      <w:pPr>
        <w:pStyle w:val="Body"/>
        <w:spacing w:after="0" w:line="240" w:lineRule="auto"/>
        <w:jc w:val="both"/>
        <w:rPr>
          <w:rFonts w:ascii="Times New Roman" w:eastAsia="Times New Roman" w:hAnsi="Times New Roman" w:cs="Times New Roman"/>
          <w:sz w:val="20"/>
          <w:szCs w:val="20"/>
        </w:rPr>
      </w:pPr>
      <w:r w:rsidRPr="003370CF">
        <w:rPr>
          <w:rFonts w:ascii="Times New Roman" w:eastAsia="Times New Roman" w:hAnsi="Times New Roman" w:cs="Times New Roman"/>
          <w:sz w:val="20"/>
          <w:szCs w:val="20"/>
        </w:rPr>
        <w:t>Chemometrics can be defined as the application of mathematical and statistic</w:t>
      </w:r>
      <w:r>
        <w:rPr>
          <w:rFonts w:ascii="Times New Roman" w:eastAsia="Times New Roman" w:hAnsi="Times New Roman" w:cs="Times New Roman"/>
          <w:sz w:val="20"/>
          <w:szCs w:val="20"/>
        </w:rPr>
        <w:t xml:space="preserve">al techniques used to retrieve </w:t>
      </w:r>
      <w:r w:rsidRPr="003370CF">
        <w:rPr>
          <w:rFonts w:ascii="Times New Roman" w:eastAsia="Times New Roman" w:hAnsi="Times New Roman" w:cs="Times New Roman"/>
          <w:sz w:val="20"/>
          <w:szCs w:val="20"/>
        </w:rPr>
        <w:t>more information from complex databases. This technique is an indispensable tool for elucidating pattern</w:t>
      </w:r>
      <w:r>
        <w:rPr>
          <w:rFonts w:ascii="Times New Roman" w:eastAsia="Times New Roman" w:hAnsi="Times New Roman" w:cs="Times New Roman"/>
          <w:sz w:val="20"/>
          <w:szCs w:val="20"/>
        </w:rPr>
        <w:t>s in complicated data matrices [13,14]</w:t>
      </w:r>
      <w:r w:rsidRPr="003370CF">
        <w:rPr>
          <w:rFonts w:ascii="Times New Roman" w:eastAsia="Times New Roman" w:hAnsi="Times New Roman" w:cs="Times New Roman"/>
          <w:sz w:val="20"/>
          <w:szCs w:val="20"/>
        </w:rPr>
        <w:t xml:space="preserve"> and eliminates the subjectivity associated with the visual comparison of complex data from questioned and known samples, as it ensures that quantitative, impartial measures of the data obtained. Ultimately, this form of statistical analysis may allow the user to obtain information about the vehicle form an unknown paint sample (such as make, model or provenance), based upon its classification into one of the pre specified groupings </w:t>
      </w:r>
      <w:r>
        <w:rPr>
          <w:rFonts w:ascii="Times New Roman" w:eastAsia="Times New Roman" w:hAnsi="Times New Roman" w:cs="Times New Roman"/>
          <w:sz w:val="20"/>
          <w:szCs w:val="20"/>
        </w:rPr>
        <w:t>[4]</w:t>
      </w:r>
      <w:r w:rsidRPr="003370CF">
        <w:rPr>
          <w:rFonts w:ascii="Times New Roman" w:eastAsia="Times New Roman" w:hAnsi="Times New Roman" w:cs="Times New Roman"/>
          <w:sz w:val="20"/>
          <w:szCs w:val="20"/>
        </w:rPr>
        <w:t xml:space="preserve">. </w:t>
      </w:r>
    </w:p>
    <w:p w:rsidR="00E70C98" w:rsidRPr="003370CF" w:rsidRDefault="00E70C98" w:rsidP="00E70C98">
      <w:pPr>
        <w:pStyle w:val="Body"/>
        <w:spacing w:after="0" w:line="240" w:lineRule="auto"/>
        <w:jc w:val="both"/>
        <w:rPr>
          <w:rFonts w:ascii="Times New Roman" w:eastAsia="Times New Roman" w:hAnsi="Times New Roman" w:cs="Times New Roman"/>
          <w:sz w:val="20"/>
          <w:szCs w:val="20"/>
        </w:rPr>
      </w:pPr>
    </w:p>
    <w:p w:rsidR="00E70C98" w:rsidRPr="00B53F56" w:rsidRDefault="00E70C98" w:rsidP="00E70C98">
      <w:pPr>
        <w:pStyle w:val="Body"/>
        <w:spacing w:after="0" w:line="240" w:lineRule="auto"/>
        <w:jc w:val="both"/>
        <w:rPr>
          <w:rFonts w:ascii="Times New Roman" w:eastAsia="Times New Roman" w:hAnsi="Times New Roman" w:cs="Times New Roman"/>
          <w:strike/>
          <w:color w:val="FF0000"/>
          <w:sz w:val="20"/>
          <w:szCs w:val="20"/>
        </w:rPr>
      </w:pPr>
      <w:r w:rsidRPr="003370CF">
        <w:rPr>
          <w:rFonts w:ascii="Times New Roman" w:eastAsia="Times New Roman" w:hAnsi="Times New Roman" w:cs="Times New Roman"/>
          <w:sz w:val="20"/>
          <w:szCs w:val="20"/>
        </w:rPr>
        <w:t xml:space="preserve">In this study, the main objective was to </w:t>
      </w:r>
      <w:r w:rsidRPr="003370CF">
        <w:rPr>
          <w:rFonts w:ascii="Times New Roman" w:eastAsia="Times New Roman" w:hAnsi="Times New Roman" w:cs="Times New Roman"/>
          <w:color w:val="000000" w:themeColor="text1"/>
          <w:sz w:val="20"/>
          <w:szCs w:val="20"/>
        </w:rPr>
        <w:t xml:space="preserve">classify </w:t>
      </w:r>
      <w:r>
        <w:rPr>
          <w:rFonts w:ascii="Times New Roman" w:eastAsia="Times New Roman" w:hAnsi="Times New Roman" w:cs="Times New Roman"/>
          <w:color w:val="000000" w:themeColor="text1"/>
          <w:sz w:val="20"/>
          <w:szCs w:val="20"/>
        </w:rPr>
        <w:t>automobile paints of various colo</w:t>
      </w:r>
      <w:r w:rsidRPr="003370CF">
        <w:rPr>
          <w:rFonts w:ascii="Times New Roman" w:eastAsia="Times New Roman" w:hAnsi="Times New Roman" w:cs="Times New Roman"/>
          <w:color w:val="000000" w:themeColor="text1"/>
          <w:sz w:val="20"/>
          <w:szCs w:val="20"/>
        </w:rPr>
        <w:t>rs</w:t>
      </w:r>
      <w:r w:rsidRPr="003370CF">
        <w:rPr>
          <w:rFonts w:ascii="Times New Roman" w:eastAsia="Times New Roman" w:hAnsi="Times New Roman" w:cs="Times New Roman"/>
          <w:sz w:val="20"/>
          <w:szCs w:val="20"/>
        </w:rPr>
        <w:t xml:space="preserve"> using colorimetric data sets (absorption value, reflectance value, luminosity value (L), degree of redness (a) and degree of yellowness (b) obtained from video spectral comparator (VSC) analysis. </w:t>
      </w:r>
      <w:r>
        <w:rPr>
          <w:rFonts w:ascii="Times New Roman" w:eastAsia="Times New Roman" w:hAnsi="Times New Roman" w:cs="Times New Roman"/>
          <w:color w:val="auto"/>
          <w:sz w:val="20"/>
          <w:szCs w:val="20"/>
        </w:rPr>
        <w:t>Since</w:t>
      </w:r>
      <w:r w:rsidRPr="00B53F56">
        <w:rPr>
          <w:rFonts w:ascii="Times New Roman" w:eastAsia="Times New Roman" w:hAnsi="Times New Roman" w:cs="Times New Roman"/>
          <w:color w:val="auto"/>
          <w:sz w:val="20"/>
          <w:szCs w:val="20"/>
        </w:rPr>
        <w:t xml:space="preserve"> the</w:t>
      </w:r>
      <w:r w:rsidRPr="003370CF">
        <w:rPr>
          <w:rFonts w:ascii="Times New Roman" w:eastAsia="Times New Roman" w:hAnsi="Times New Roman" w:cs="Times New Roman"/>
          <w:sz w:val="20"/>
          <w:szCs w:val="20"/>
        </w:rPr>
        <w:t xml:space="preserve"> data obtained had multivariate nature and several</w:t>
      </w:r>
      <w:r w:rsidRPr="00B53F56">
        <w:rPr>
          <w:rFonts w:ascii="Times New Roman" w:eastAsia="Times New Roman" w:hAnsi="Times New Roman" w:cs="Times New Roman"/>
          <w:color w:val="FF0000"/>
          <w:sz w:val="20"/>
          <w:szCs w:val="20"/>
        </w:rPr>
        <w:t xml:space="preserve"> </w:t>
      </w:r>
      <w:r w:rsidRPr="003370CF">
        <w:rPr>
          <w:rFonts w:ascii="Times New Roman" w:eastAsia="Times New Roman" w:hAnsi="Times New Roman" w:cs="Times New Roman"/>
          <w:sz w:val="20"/>
          <w:szCs w:val="20"/>
        </w:rPr>
        <w:t>variables</w:t>
      </w:r>
      <w:r>
        <w:rPr>
          <w:rFonts w:ascii="Times New Roman" w:eastAsia="Times New Roman" w:hAnsi="Times New Roman" w:cs="Times New Roman"/>
          <w:sz w:val="20"/>
          <w:szCs w:val="20"/>
        </w:rPr>
        <w:t xml:space="preserve"> </w:t>
      </w:r>
      <w:r w:rsidRPr="00FF3BC4">
        <w:rPr>
          <w:rFonts w:ascii="Times New Roman" w:eastAsia="Times New Roman" w:hAnsi="Times New Roman" w:cs="Times New Roman"/>
          <w:color w:val="auto"/>
          <w:sz w:val="20"/>
          <w:szCs w:val="20"/>
        </w:rPr>
        <w:t>may be</w:t>
      </w:r>
      <w:r w:rsidRPr="00B53F56">
        <w:rPr>
          <w:rFonts w:ascii="Times New Roman" w:eastAsia="Times New Roman" w:hAnsi="Times New Roman" w:cs="Times New Roman"/>
          <w:color w:val="FF0000"/>
          <w:sz w:val="20"/>
          <w:szCs w:val="20"/>
        </w:rPr>
        <w:t xml:space="preserve"> </w:t>
      </w:r>
      <w:r w:rsidRPr="003370CF">
        <w:rPr>
          <w:rFonts w:ascii="Times New Roman" w:eastAsia="Times New Roman" w:hAnsi="Times New Roman" w:cs="Times New Roman"/>
          <w:sz w:val="20"/>
          <w:szCs w:val="20"/>
        </w:rPr>
        <w:t xml:space="preserve">correlated, chemometric methods such as hierarchical agglomerative clusters analysis (HACA) and principal component analysis (PCA) were employed for better interpretation of the data. </w:t>
      </w:r>
      <w:r w:rsidRPr="003370CF">
        <w:rPr>
          <w:rFonts w:ascii="Times New Roman" w:eastAsia="Times New Roman" w:hAnsi="Times New Roman" w:cs="Times New Roman"/>
          <w:color w:val="000000" w:themeColor="text1"/>
          <w:sz w:val="20"/>
          <w:szCs w:val="20"/>
        </w:rPr>
        <w:t xml:space="preserve">These techniques have proven to be efficient methods for analysing large data sets in environmental, chemical, biological and ecotoxicological case studies </w:t>
      </w:r>
      <w:r>
        <w:rPr>
          <w:rFonts w:ascii="Times New Roman" w:eastAsia="Times New Roman" w:hAnsi="Times New Roman" w:cs="Times New Roman"/>
          <w:color w:val="000000" w:themeColor="text1"/>
          <w:sz w:val="20"/>
          <w:szCs w:val="20"/>
        </w:rPr>
        <w:t>[15]</w:t>
      </w:r>
      <w:r w:rsidRPr="003370CF">
        <w:rPr>
          <w:rFonts w:ascii="Times New Roman" w:eastAsia="Times New Roman" w:hAnsi="Times New Roman" w:cs="Times New Roman"/>
          <w:color w:val="000000" w:themeColor="text1"/>
          <w:sz w:val="20"/>
          <w:szCs w:val="20"/>
        </w:rPr>
        <w:t>.</w:t>
      </w:r>
    </w:p>
    <w:p w:rsidR="006768E9" w:rsidRPr="00F447A7" w:rsidRDefault="006768E9" w:rsidP="00E70C98">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70C98" w:rsidRPr="001D07B2" w:rsidRDefault="00E70C98" w:rsidP="00E70C98">
      <w:pPr>
        <w:pStyle w:val="Body"/>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Samples Preparation</w:t>
      </w:r>
    </w:p>
    <w:p w:rsidR="00E70C98" w:rsidRPr="001D07B2" w:rsidRDefault="00E70C98" w:rsidP="00E70C98">
      <w:pPr>
        <w:pStyle w:val="Body"/>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 xml:space="preserve">Chips of 42 automobile paint samples of </w:t>
      </w:r>
      <w:r>
        <w:rPr>
          <w:rFonts w:ascii="Times New Roman" w:eastAsia="Times New Roman" w:hAnsi="Times New Roman" w:cs="Times New Roman"/>
          <w:color w:val="000000" w:themeColor="text1"/>
          <w:sz w:val="20"/>
          <w:szCs w:val="20"/>
        </w:rPr>
        <w:t>various colo</w:t>
      </w:r>
      <w:r w:rsidRPr="001D07B2">
        <w:rPr>
          <w:rFonts w:ascii="Times New Roman" w:eastAsia="Times New Roman" w:hAnsi="Times New Roman" w:cs="Times New Roman"/>
          <w:color w:val="000000" w:themeColor="text1"/>
          <w:sz w:val="20"/>
          <w:szCs w:val="20"/>
        </w:rPr>
        <w:t>rs and manufacturers</w:t>
      </w:r>
      <w:r w:rsidRPr="001D07B2">
        <w:rPr>
          <w:rFonts w:ascii="Times New Roman" w:eastAsia="Times New Roman" w:hAnsi="Times New Roman" w:cs="Times New Roman"/>
          <w:sz w:val="20"/>
          <w:szCs w:val="20"/>
        </w:rPr>
        <w:t xml:space="preserve"> were examined as shown in Table 1. T</w:t>
      </w:r>
      <w:r>
        <w:rPr>
          <w:rFonts w:ascii="Times New Roman" w:eastAsia="Times New Roman" w:hAnsi="Times New Roman" w:cs="Times New Roman"/>
          <w:sz w:val="20"/>
          <w:szCs w:val="20"/>
        </w:rPr>
        <w:t>he manufacturer, model and colo</w:t>
      </w:r>
      <w:r w:rsidRPr="001D07B2">
        <w:rPr>
          <w:rFonts w:ascii="Times New Roman" w:eastAsia="Times New Roman" w:hAnsi="Times New Roman" w:cs="Times New Roman"/>
          <w:sz w:val="20"/>
          <w:szCs w:val="20"/>
        </w:rPr>
        <w:t xml:space="preserve">r of each vehicle were recorded. A scalpel was used to pry paint chips off the underlying metal, ensuring all layers were present in the sample. The chips of paint were then preserved in bottles to prevent from contaminations. </w:t>
      </w:r>
    </w:p>
    <w:p w:rsidR="00E70C98" w:rsidRDefault="00E70C98" w:rsidP="00E70C98">
      <w:pPr>
        <w:pStyle w:val="Body"/>
        <w:spacing w:after="0" w:line="240" w:lineRule="auto"/>
        <w:jc w:val="both"/>
        <w:rPr>
          <w:rFonts w:ascii="Times New Roman" w:eastAsia="Times New Roman" w:hAnsi="Times New Roman" w:cs="Times New Roman"/>
          <w:sz w:val="20"/>
          <w:szCs w:val="20"/>
        </w:rPr>
      </w:pPr>
    </w:p>
    <w:p w:rsidR="00E70C98" w:rsidRDefault="00E70C98" w:rsidP="00E70C98">
      <w:pPr>
        <w:pStyle w:val="Body"/>
        <w:spacing w:after="0" w:line="240" w:lineRule="auto"/>
        <w:jc w:val="both"/>
        <w:rPr>
          <w:rFonts w:ascii="Times New Roman" w:eastAsia="Times New Roman" w:hAnsi="Times New Roman" w:cs="Times New Roman"/>
          <w:sz w:val="20"/>
          <w:szCs w:val="20"/>
        </w:rPr>
      </w:pPr>
    </w:p>
    <w:p w:rsidR="00E70C98" w:rsidRDefault="00E70C98" w:rsidP="00E70C98">
      <w:pPr>
        <w:pStyle w:val="Body"/>
        <w:spacing w:after="0" w:line="240" w:lineRule="auto"/>
        <w:jc w:val="both"/>
        <w:rPr>
          <w:rFonts w:ascii="Times New Roman" w:eastAsia="Times New Roman" w:hAnsi="Times New Roman" w:cs="Times New Roman"/>
          <w:sz w:val="20"/>
          <w:szCs w:val="20"/>
        </w:rPr>
      </w:pPr>
    </w:p>
    <w:p w:rsidR="00E70C98" w:rsidRDefault="00E70C98" w:rsidP="00E70C98">
      <w:pPr>
        <w:pStyle w:val="Body"/>
        <w:spacing w:after="0" w:line="240" w:lineRule="auto"/>
        <w:jc w:val="both"/>
        <w:rPr>
          <w:rFonts w:ascii="Times New Roman" w:eastAsia="Times New Roman" w:hAnsi="Times New Roman" w:cs="Times New Roman"/>
          <w:sz w:val="20"/>
          <w:szCs w:val="20"/>
        </w:rPr>
      </w:pPr>
    </w:p>
    <w:p w:rsidR="00E70C98" w:rsidRDefault="00E70C98" w:rsidP="00E70C98">
      <w:pPr>
        <w:pStyle w:val="Body"/>
        <w:spacing w:after="0" w:line="240" w:lineRule="auto"/>
        <w:jc w:val="both"/>
        <w:rPr>
          <w:rFonts w:ascii="Times New Roman" w:eastAsia="Times New Roman" w:hAnsi="Times New Roman" w:cs="Times New Roman"/>
          <w:sz w:val="20"/>
          <w:szCs w:val="20"/>
        </w:rPr>
      </w:pPr>
    </w:p>
    <w:p w:rsidR="00E70C98" w:rsidRPr="003370CF" w:rsidRDefault="00E70C98" w:rsidP="00E70C98">
      <w:pPr>
        <w:pStyle w:val="Body"/>
        <w:spacing w:after="120" w:line="240" w:lineRule="auto"/>
        <w:jc w:val="center"/>
        <w:rPr>
          <w:rFonts w:ascii="Times New Roman" w:eastAsia="Times New Roman" w:hAnsi="Times New Roman" w:cs="Times New Roman"/>
          <w:sz w:val="20"/>
          <w:szCs w:val="20"/>
        </w:rPr>
      </w:pPr>
      <w:r w:rsidRPr="00C261DD">
        <w:rPr>
          <w:rFonts w:ascii="Times New Roman" w:eastAsia="Times New Roman" w:hAnsi="Times New Roman" w:cs="Times New Roman"/>
          <w:bCs/>
          <w:sz w:val="20"/>
          <w:szCs w:val="20"/>
        </w:rPr>
        <w:lastRenderedPageBreak/>
        <w:t>Table 1.</w:t>
      </w:r>
      <w:r>
        <w:rPr>
          <w:rFonts w:ascii="Times New Roman" w:eastAsia="Times New Roman" w:hAnsi="Times New Roman" w:cs="Times New Roman"/>
          <w:bCs/>
          <w:sz w:val="20"/>
          <w:szCs w:val="20"/>
        </w:rPr>
        <w:t xml:space="preserve"> </w:t>
      </w:r>
      <w:r w:rsidRPr="003370CF">
        <w:rPr>
          <w:rFonts w:ascii="Times New Roman" w:eastAsia="Times New Roman" w:hAnsi="Times New Roman" w:cs="Times New Roman"/>
          <w:sz w:val="20"/>
          <w:szCs w:val="20"/>
        </w:rPr>
        <w:t xml:space="preserve"> Sample identification for automotive paint samples </w:t>
      </w:r>
    </w:p>
    <w:tbl>
      <w:tblPr>
        <w:tblStyle w:val="LightShading"/>
        <w:tblW w:w="8759" w:type="dxa"/>
        <w:jc w:val="center"/>
        <w:tblLayout w:type="fixed"/>
        <w:tblLook w:val="04A0" w:firstRow="1" w:lastRow="0" w:firstColumn="1" w:lastColumn="0" w:noHBand="0" w:noVBand="1"/>
      </w:tblPr>
      <w:tblGrid>
        <w:gridCol w:w="1004"/>
        <w:gridCol w:w="2467"/>
        <w:gridCol w:w="1983"/>
        <w:gridCol w:w="1653"/>
        <w:gridCol w:w="1652"/>
      </w:tblGrid>
      <w:tr w:rsidR="00E70C98" w:rsidRPr="00E70C98" w:rsidTr="00E07776">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004" w:type="dxa"/>
            <w:shd w:val="clear" w:color="auto" w:fill="auto"/>
          </w:tcPr>
          <w:p w:rsidR="00E70C98" w:rsidRPr="00E70C98" w:rsidRDefault="00E70C98" w:rsidP="00E70C98">
            <w:pPr>
              <w:pStyle w:val="TableGrid1"/>
              <w:spacing w:before="60" w:after="60"/>
              <w:jc w:val="both"/>
            </w:pPr>
            <w:r w:rsidRPr="00E70C98">
              <w:t xml:space="preserve">Number </w:t>
            </w:r>
          </w:p>
        </w:tc>
        <w:tc>
          <w:tcPr>
            <w:tcW w:w="2467" w:type="dxa"/>
            <w:shd w:val="clear" w:color="auto" w:fill="auto"/>
          </w:tcPr>
          <w:p w:rsidR="00E70C98" w:rsidRPr="00E70C98" w:rsidRDefault="00E70C98" w:rsidP="00E70C98">
            <w:pPr>
              <w:pStyle w:val="TableGrid1"/>
              <w:spacing w:before="60" w:after="60"/>
              <w:jc w:val="both"/>
              <w:cnfStyle w:val="100000000000" w:firstRow="1" w:lastRow="0" w:firstColumn="0" w:lastColumn="0" w:oddVBand="0" w:evenVBand="0" w:oddHBand="0" w:evenHBand="0" w:firstRowFirstColumn="0" w:firstRowLastColumn="0" w:lastRowFirstColumn="0" w:lastRowLastColumn="0"/>
            </w:pPr>
            <w:r w:rsidRPr="00E70C98">
              <w:t>Manufacturer</w:t>
            </w:r>
          </w:p>
        </w:tc>
        <w:tc>
          <w:tcPr>
            <w:tcW w:w="1983" w:type="dxa"/>
            <w:shd w:val="clear" w:color="auto" w:fill="auto"/>
          </w:tcPr>
          <w:p w:rsidR="00E70C98" w:rsidRPr="00E70C98" w:rsidRDefault="00E70C98" w:rsidP="00E70C98">
            <w:pPr>
              <w:pStyle w:val="TableGrid1"/>
              <w:spacing w:before="60" w:after="60"/>
              <w:jc w:val="both"/>
              <w:cnfStyle w:val="100000000000" w:firstRow="1" w:lastRow="0" w:firstColumn="0" w:lastColumn="0" w:oddVBand="0" w:evenVBand="0" w:oddHBand="0" w:evenHBand="0" w:firstRowFirstColumn="0" w:firstRowLastColumn="0" w:lastRowFirstColumn="0" w:lastRowLastColumn="0"/>
            </w:pPr>
            <w:r w:rsidRPr="00E70C98">
              <w:t>Model</w:t>
            </w:r>
          </w:p>
        </w:tc>
        <w:tc>
          <w:tcPr>
            <w:tcW w:w="1653" w:type="dxa"/>
            <w:shd w:val="clear" w:color="auto" w:fill="auto"/>
          </w:tcPr>
          <w:p w:rsidR="00E70C98" w:rsidRPr="00E70C98" w:rsidRDefault="00E70C98" w:rsidP="00E70C98">
            <w:pPr>
              <w:pStyle w:val="TableGrid1"/>
              <w:spacing w:before="60" w:after="60"/>
              <w:jc w:val="both"/>
              <w:cnfStyle w:val="100000000000" w:firstRow="1" w:lastRow="0" w:firstColumn="0" w:lastColumn="0" w:oddVBand="0" w:evenVBand="0" w:oddHBand="0" w:evenHBand="0" w:firstRowFirstColumn="0" w:firstRowLastColumn="0" w:lastRowFirstColumn="0" w:lastRowLastColumn="0"/>
            </w:pPr>
            <w:r w:rsidRPr="00E70C98">
              <w:t>Color</w:t>
            </w:r>
          </w:p>
        </w:tc>
        <w:tc>
          <w:tcPr>
            <w:tcW w:w="1652" w:type="dxa"/>
            <w:shd w:val="clear" w:color="auto" w:fill="auto"/>
          </w:tcPr>
          <w:p w:rsidR="00E70C98" w:rsidRPr="00E70C98" w:rsidRDefault="00E70C98" w:rsidP="00E70C98">
            <w:pPr>
              <w:pStyle w:val="TableGrid1"/>
              <w:spacing w:before="60" w:after="60"/>
              <w:jc w:val="both"/>
              <w:cnfStyle w:val="100000000000" w:firstRow="1" w:lastRow="0" w:firstColumn="0" w:lastColumn="0" w:oddVBand="0" w:evenVBand="0" w:oddHBand="0" w:evenHBand="0" w:firstRowFirstColumn="0" w:firstRowLastColumn="0" w:lastRowFirstColumn="0" w:lastRowLastColumn="0"/>
            </w:pPr>
            <w:r w:rsidRPr="00E70C98">
              <w:t>Sample ID</w:t>
            </w:r>
          </w:p>
        </w:tc>
      </w:tr>
      <w:tr w:rsidR="00E70C98" w:rsidRPr="00E70C98" w:rsidTr="00E07776">
        <w:trPr>
          <w:cnfStyle w:val="000000100000" w:firstRow="0" w:lastRow="0" w:firstColumn="0" w:lastColumn="0" w:oddVBand="0" w:evenVBand="0" w:oddHBand="1" w:evenHBand="0" w:firstRowFirstColumn="0" w:firstRowLastColumn="0" w:lastRowFirstColumn="0" w:lastRowLastColumn="0"/>
          <w:trHeight w:val="1680"/>
          <w:jc w:val="center"/>
        </w:trPr>
        <w:tc>
          <w:tcPr>
            <w:cnfStyle w:val="001000000000" w:firstRow="0" w:lastRow="0" w:firstColumn="1" w:lastColumn="0" w:oddVBand="0" w:evenVBand="0" w:oddHBand="0" w:evenHBand="0" w:firstRowFirstColumn="0" w:firstRowLastColumn="0" w:lastRowFirstColumn="0" w:lastRowLastColumn="0"/>
            <w:tcW w:w="1004" w:type="dxa"/>
            <w:shd w:val="clear" w:color="auto" w:fill="auto"/>
          </w:tcPr>
          <w:p w:rsidR="00E70C98" w:rsidRPr="00E70C98" w:rsidRDefault="00E70C98" w:rsidP="00E70C98">
            <w:pPr>
              <w:pStyle w:val="TableGrid1"/>
              <w:spacing w:before="60"/>
              <w:jc w:val="both"/>
              <w:rPr>
                <w:b w:val="0"/>
              </w:rPr>
            </w:pPr>
            <w:r w:rsidRPr="00E70C98">
              <w:rPr>
                <w:b w:val="0"/>
              </w:rPr>
              <w:t>1</w:t>
            </w:r>
          </w:p>
          <w:p w:rsidR="00E70C98" w:rsidRPr="00E70C98" w:rsidRDefault="00E70C98" w:rsidP="00E07776">
            <w:pPr>
              <w:pStyle w:val="TableGrid1"/>
              <w:jc w:val="both"/>
              <w:rPr>
                <w:b w:val="0"/>
              </w:rPr>
            </w:pPr>
            <w:r w:rsidRPr="00E70C98">
              <w:rPr>
                <w:b w:val="0"/>
              </w:rPr>
              <w:t>2</w:t>
            </w:r>
          </w:p>
          <w:p w:rsidR="00E70C98" w:rsidRPr="00E70C98" w:rsidRDefault="00E70C98" w:rsidP="00E07776">
            <w:pPr>
              <w:pStyle w:val="TableGrid1"/>
              <w:jc w:val="both"/>
              <w:rPr>
                <w:b w:val="0"/>
              </w:rPr>
            </w:pPr>
            <w:r w:rsidRPr="00E70C98">
              <w:rPr>
                <w:b w:val="0"/>
              </w:rPr>
              <w:t>3</w:t>
            </w:r>
          </w:p>
          <w:p w:rsidR="00E70C98" w:rsidRPr="00E70C98" w:rsidRDefault="00E70C98" w:rsidP="00E07776">
            <w:pPr>
              <w:pStyle w:val="TableGrid1"/>
              <w:jc w:val="both"/>
              <w:rPr>
                <w:b w:val="0"/>
              </w:rPr>
            </w:pPr>
            <w:r w:rsidRPr="00E70C98">
              <w:rPr>
                <w:b w:val="0"/>
              </w:rPr>
              <w:t>4</w:t>
            </w:r>
          </w:p>
          <w:p w:rsidR="00E70C98" w:rsidRPr="00E70C98" w:rsidRDefault="00E70C98" w:rsidP="00E07776">
            <w:pPr>
              <w:pStyle w:val="TableGrid1"/>
              <w:jc w:val="both"/>
              <w:rPr>
                <w:b w:val="0"/>
              </w:rPr>
            </w:pPr>
            <w:r w:rsidRPr="00E70C98">
              <w:rPr>
                <w:b w:val="0"/>
              </w:rPr>
              <w:t>5</w:t>
            </w:r>
          </w:p>
          <w:p w:rsidR="00E70C98" w:rsidRPr="00E70C98" w:rsidRDefault="00E70C98" w:rsidP="00E07776">
            <w:pPr>
              <w:pStyle w:val="TableGrid1"/>
              <w:jc w:val="both"/>
              <w:rPr>
                <w:b w:val="0"/>
              </w:rPr>
            </w:pPr>
            <w:r w:rsidRPr="00E70C98">
              <w:rPr>
                <w:b w:val="0"/>
              </w:rPr>
              <w:t>6</w:t>
            </w:r>
          </w:p>
          <w:p w:rsidR="00E70C98" w:rsidRPr="00E70C98" w:rsidRDefault="00E70C98" w:rsidP="00E07776">
            <w:pPr>
              <w:pStyle w:val="TableGrid1"/>
              <w:jc w:val="both"/>
              <w:rPr>
                <w:b w:val="0"/>
              </w:rPr>
            </w:pPr>
            <w:r w:rsidRPr="00E70C98">
              <w:rPr>
                <w:b w:val="0"/>
              </w:rPr>
              <w:t>7</w:t>
            </w:r>
          </w:p>
          <w:p w:rsidR="00E70C98" w:rsidRPr="00E70C98" w:rsidRDefault="00E70C98" w:rsidP="00E07776">
            <w:pPr>
              <w:pStyle w:val="TableGrid1"/>
              <w:jc w:val="both"/>
              <w:rPr>
                <w:b w:val="0"/>
              </w:rPr>
            </w:pPr>
            <w:r w:rsidRPr="00E70C98">
              <w:rPr>
                <w:b w:val="0"/>
              </w:rPr>
              <w:t>8</w:t>
            </w:r>
          </w:p>
          <w:p w:rsidR="00E70C98" w:rsidRPr="00E70C98" w:rsidRDefault="00E70C98" w:rsidP="00E07776">
            <w:pPr>
              <w:pStyle w:val="TableGrid1"/>
              <w:jc w:val="both"/>
              <w:rPr>
                <w:b w:val="0"/>
              </w:rPr>
            </w:pPr>
            <w:r w:rsidRPr="00E70C98">
              <w:rPr>
                <w:b w:val="0"/>
              </w:rPr>
              <w:t>9</w:t>
            </w:r>
          </w:p>
          <w:p w:rsidR="00E70C98" w:rsidRPr="00E70C98" w:rsidRDefault="00E70C98" w:rsidP="00E07776">
            <w:pPr>
              <w:pStyle w:val="TableGrid1"/>
              <w:jc w:val="both"/>
              <w:rPr>
                <w:b w:val="0"/>
              </w:rPr>
            </w:pPr>
            <w:r w:rsidRPr="00E70C98">
              <w:rPr>
                <w:b w:val="0"/>
              </w:rPr>
              <w:t>10</w:t>
            </w:r>
          </w:p>
          <w:p w:rsidR="00E70C98" w:rsidRPr="00E70C98" w:rsidRDefault="00E70C98" w:rsidP="00E07776">
            <w:pPr>
              <w:pStyle w:val="TableGrid1"/>
              <w:jc w:val="both"/>
              <w:rPr>
                <w:b w:val="0"/>
              </w:rPr>
            </w:pPr>
            <w:r w:rsidRPr="00E70C98">
              <w:rPr>
                <w:b w:val="0"/>
              </w:rPr>
              <w:t>11</w:t>
            </w:r>
          </w:p>
          <w:p w:rsidR="00E70C98" w:rsidRPr="00E70C98" w:rsidRDefault="00E70C98" w:rsidP="00E07776">
            <w:pPr>
              <w:pStyle w:val="TableGrid1"/>
              <w:jc w:val="both"/>
              <w:rPr>
                <w:b w:val="0"/>
              </w:rPr>
            </w:pPr>
            <w:r w:rsidRPr="00E70C98">
              <w:rPr>
                <w:b w:val="0"/>
              </w:rPr>
              <w:t>12</w:t>
            </w:r>
          </w:p>
          <w:p w:rsidR="00E70C98" w:rsidRPr="00E70C98" w:rsidRDefault="00E70C98" w:rsidP="00E07776">
            <w:pPr>
              <w:pStyle w:val="TableGrid1"/>
              <w:jc w:val="both"/>
              <w:rPr>
                <w:b w:val="0"/>
              </w:rPr>
            </w:pPr>
            <w:r w:rsidRPr="00E70C98">
              <w:rPr>
                <w:b w:val="0"/>
              </w:rPr>
              <w:t>13</w:t>
            </w:r>
          </w:p>
          <w:p w:rsidR="00E70C98" w:rsidRPr="00E70C98" w:rsidRDefault="00E70C98" w:rsidP="00E07776">
            <w:pPr>
              <w:pStyle w:val="TableGrid1"/>
              <w:jc w:val="both"/>
              <w:rPr>
                <w:b w:val="0"/>
              </w:rPr>
            </w:pPr>
          </w:p>
          <w:p w:rsidR="00E70C98" w:rsidRPr="00E70C98" w:rsidRDefault="00E70C98" w:rsidP="00E07776">
            <w:pPr>
              <w:pStyle w:val="TableGrid1"/>
              <w:jc w:val="both"/>
              <w:rPr>
                <w:b w:val="0"/>
              </w:rPr>
            </w:pPr>
            <w:r w:rsidRPr="00E70C98">
              <w:rPr>
                <w:b w:val="0"/>
              </w:rPr>
              <w:t>14</w:t>
            </w:r>
          </w:p>
          <w:p w:rsidR="00E70C98" w:rsidRPr="00E70C98" w:rsidRDefault="00E70C98" w:rsidP="00E07776">
            <w:pPr>
              <w:pStyle w:val="TableGrid1"/>
              <w:jc w:val="both"/>
              <w:rPr>
                <w:b w:val="0"/>
              </w:rPr>
            </w:pPr>
            <w:r w:rsidRPr="00E70C98">
              <w:rPr>
                <w:b w:val="0"/>
              </w:rPr>
              <w:t>15</w:t>
            </w:r>
          </w:p>
          <w:p w:rsidR="00E70C98" w:rsidRPr="00E70C98" w:rsidRDefault="00E70C98" w:rsidP="00E07776">
            <w:pPr>
              <w:pStyle w:val="TableGrid1"/>
              <w:jc w:val="both"/>
              <w:rPr>
                <w:b w:val="0"/>
              </w:rPr>
            </w:pPr>
            <w:r w:rsidRPr="00E70C98">
              <w:rPr>
                <w:b w:val="0"/>
              </w:rPr>
              <w:t>16</w:t>
            </w:r>
          </w:p>
          <w:p w:rsidR="00E70C98" w:rsidRPr="00E70C98" w:rsidRDefault="00E70C98" w:rsidP="00E07776">
            <w:pPr>
              <w:pStyle w:val="TableGrid1"/>
              <w:jc w:val="both"/>
              <w:rPr>
                <w:b w:val="0"/>
              </w:rPr>
            </w:pPr>
            <w:r w:rsidRPr="00E70C98">
              <w:rPr>
                <w:b w:val="0"/>
              </w:rPr>
              <w:t>17</w:t>
            </w:r>
          </w:p>
          <w:p w:rsidR="00E70C98" w:rsidRPr="00E70C98" w:rsidRDefault="00E70C98" w:rsidP="00E07776">
            <w:pPr>
              <w:pStyle w:val="TableGrid1"/>
              <w:jc w:val="both"/>
              <w:rPr>
                <w:b w:val="0"/>
              </w:rPr>
            </w:pPr>
            <w:r w:rsidRPr="00E70C98">
              <w:rPr>
                <w:b w:val="0"/>
              </w:rPr>
              <w:t>18</w:t>
            </w:r>
          </w:p>
          <w:p w:rsidR="00E70C98" w:rsidRPr="00E70C98" w:rsidRDefault="00E70C98" w:rsidP="00E07776">
            <w:pPr>
              <w:pStyle w:val="TableGrid1"/>
              <w:jc w:val="both"/>
              <w:rPr>
                <w:b w:val="0"/>
              </w:rPr>
            </w:pPr>
            <w:r w:rsidRPr="00E70C98">
              <w:rPr>
                <w:b w:val="0"/>
              </w:rPr>
              <w:t>19</w:t>
            </w:r>
          </w:p>
          <w:p w:rsidR="00E70C98" w:rsidRPr="00E70C98" w:rsidRDefault="00E70C98" w:rsidP="00E07776">
            <w:pPr>
              <w:pStyle w:val="TableGrid1"/>
              <w:jc w:val="both"/>
              <w:rPr>
                <w:b w:val="0"/>
              </w:rPr>
            </w:pPr>
            <w:r w:rsidRPr="00E70C98">
              <w:rPr>
                <w:b w:val="0"/>
              </w:rPr>
              <w:t>20</w:t>
            </w:r>
          </w:p>
          <w:p w:rsidR="00E70C98" w:rsidRPr="00E70C98" w:rsidRDefault="00E70C98" w:rsidP="00E07776">
            <w:pPr>
              <w:pStyle w:val="TableGrid1"/>
              <w:jc w:val="both"/>
              <w:rPr>
                <w:b w:val="0"/>
              </w:rPr>
            </w:pPr>
            <w:r w:rsidRPr="00E70C98">
              <w:rPr>
                <w:b w:val="0"/>
              </w:rPr>
              <w:t>21</w:t>
            </w:r>
          </w:p>
          <w:p w:rsidR="00E70C98" w:rsidRPr="00E70C98" w:rsidRDefault="00E70C98" w:rsidP="00E07776">
            <w:pPr>
              <w:pStyle w:val="TableGrid1"/>
              <w:jc w:val="both"/>
              <w:rPr>
                <w:b w:val="0"/>
              </w:rPr>
            </w:pPr>
            <w:r w:rsidRPr="00E70C98">
              <w:rPr>
                <w:b w:val="0"/>
              </w:rPr>
              <w:t>22</w:t>
            </w:r>
          </w:p>
          <w:p w:rsidR="00E70C98" w:rsidRPr="00E70C98" w:rsidRDefault="00E70C98" w:rsidP="00E07776">
            <w:pPr>
              <w:pStyle w:val="TableGrid1"/>
              <w:jc w:val="both"/>
              <w:rPr>
                <w:b w:val="0"/>
              </w:rPr>
            </w:pPr>
            <w:r w:rsidRPr="00E70C98">
              <w:rPr>
                <w:b w:val="0"/>
              </w:rPr>
              <w:t>23</w:t>
            </w:r>
          </w:p>
          <w:p w:rsidR="00E70C98" w:rsidRPr="00E70C98" w:rsidRDefault="00E70C98" w:rsidP="00E07776">
            <w:pPr>
              <w:pStyle w:val="TableGrid1"/>
              <w:jc w:val="both"/>
              <w:rPr>
                <w:b w:val="0"/>
              </w:rPr>
            </w:pPr>
          </w:p>
          <w:p w:rsidR="00E70C98" w:rsidRPr="00E70C98" w:rsidRDefault="00E70C98" w:rsidP="00E07776">
            <w:pPr>
              <w:pStyle w:val="TableGrid1"/>
              <w:jc w:val="both"/>
              <w:rPr>
                <w:b w:val="0"/>
              </w:rPr>
            </w:pPr>
            <w:r w:rsidRPr="00E70C98">
              <w:rPr>
                <w:b w:val="0"/>
              </w:rPr>
              <w:t>24</w:t>
            </w:r>
          </w:p>
          <w:p w:rsidR="00E70C98" w:rsidRPr="00E70C98" w:rsidRDefault="00E70C98" w:rsidP="00E07776">
            <w:pPr>
              <w:pStyle w:val="TableGrid1"/>
              <w:jc w:val="both"/>
              <w:rPr>
                <w:b w:val="0"/>
              </w:rPr>
            </w:pPr>
            <w:r w:rsidRPr="00E70C98">
              <w:rPr>
                <w:b w:val="0"/>
              </w:rPr>
              <w:t>25</w:t>
            </w:r>
          </w:p>
          <w:p w:rsidR="00E70C98" w:rsidRPr="00E70C98" w:rsidRDefault="00E70C98" w:rsidP="00E07776">
            <w:pPr>
              <w:pStyle w:val="TableGrid1"/>
              <w:jc w:val="both"/>
              <w:rPr>
                <w:b w:val="0"/>
              </w:rPr>
            </w:pPr>
          </w:p>
          <w:p w:rsidR="00E70C98" w:rsidRPr="00E70C98" w:rsidRDefault="00E70C98" w:rsidP="00E07776">
            <w:pPr>
              <w:pStyle w:val="TableGrid1"/>
              <w:jc w:val="both"/>
              <w:rPr>
                <w:b w:val="0"/>
              </w:rPr>
            </w:pPr>
            <w:r w:rsidRPr="00E70C98">
              <w:rPr>
                <w:b w:val="0"/>
              </w:rPr>
              <w:t>26</w:t>
            </w:r>
          </w:p>
          <w:p w:rsidR="00E70C98" w:rsidRPr="00E70C98" w:rsidRDefault="00E70C98" w:rsidP="00E07776">
            <w:pPr>
              <w:pStyle w:val="TableGrid1"/>
              <w:jc w:val="both"/>
              <w:rPr>
                <w:b w:val="0"/>
              </w:rPr>
            </w:pPr>
            <w:r w:rsidRPr="00E70C98">
              <w:rPr>
                <w:b w:val="0"/>
              </w:rPr>
              <w:t>27</w:t>
            </w:r>
          </w:p>
          <w:p w:rsidR="00E70C98" w:rsidRPr="00E70C98" w:rsidRDefault="00E70C98" w:rsidP="00E07776">
            <w:pPr>
              <w:pStyle w:val="TableGrid1"/>
              <w:jc w:val="both"/>
              <w:rPr>
                <w:b w:val="0"/>
              </w:rPr>
            </w:pPr>
            <w:r w:rsidRPr="00E70C98">
              <w:rPr>
                <w:b w:val="0"/>
              </w:rPr>
              <w:t>28</w:t>
            </w:r>
          </w:p>
          <w:p w:rsidR="00E70C98" w:rsidRPr="00E70C98" w:rsidRDefault="00E70C98" w:rsidP="00E07776">
            <w:pPr>
              <w:pStyle w:val="TableGrid1"/>
              <w:jc w:val="both"/>
              <w:rPr>
                <w:b w:val="0"/>
              </w:rPr>
            </w:pPr>
            <w:r w:rsidRPr="00E70C98">
              <w:rPr>
                <w:b w:val="0"/>
              </w:rPr>
              <w:t>29</w:t>
            </w:r>
          </w:p>
          <w:p w:rsidR="00E70C98" w:rsidRPr="00E70C98" w:rsidRDefault="00E70C98" w:rsidP="00E07776">
            <w:pPr>
              <w:pStyle w:val="TableGrid1"/>
              <w:jc w:val="both"/>
              <w:rPr>
                <w:b w:val="0"/>
              </w:rPr>
            </w:pPr>
          </w:p>
          <w:p w:rsidR="00E70C98" w:rsidRPr="00E70C98" w:rsidRDefault="00E70C98" w:rsidP="00E07776">
            <w:pPr>
              <w:pStyle w:val="TableGrid1"/>
              <w:jc w:val="both"/>
              <w:rPr>
                <w:b w:val="0"/>
              </w:rPr>
            </w:pPr>
            <w:r w:rsidRPr="00E70C98">
              <w:rPr>
                <w:b w:val="0"/>
              </w:rPr>
              <w:t>30</w:t>
            </w:r>
          </w:p>
          <w:p w:rsidR="00E70C98" w:rsidRPr="00E70C98" w:rsidRDefault="00E70C98" w:rsidP="00E07776">
            <w:pPr>
              <w:pStyle w:val="TableGrid1"/>
              <w:jc w:val="both"/>
              <w:rPr>
                <w:b w:val="0"/>
              </w:rPr>
            </w:pPr>
            <w:r w:rsidRPr="00E70C98">
              <w:rPr>
                <w:b w:val="0"/>
              </w:rPr>
              <w:t>31</w:t>
            </w:r>
          </w:p>
          <w:p w:rsidR="00E70C98" w:rsidRPr="00E70C98" w:rsidRDefault="00E70C98" w:rsidP="00E07776">
            <w:pPr>
              <w:pStyle w:val="TableGrid1"/>
              <w:jc w:val="both"/>
              <w:rPr>
                <w:b w:val="0"/>
              </w:rPr>
            </w:pPr>
            <w:r w:rsidRPr="00E70C98">
              <w:rPr>
                <w:b w:val="0"/>
              </w:rPr>
              <w:t>32</w:t>
            </w:r>
          </w:p>
          <w:p w:rsidR="00E70C98" w:rsidRPr="00E70C98" w:rsidRDefault="00E70C98" w:rsidP="00E07776">
            <w:pPr>
              <w:pStyle w:val="TableGrid1"/>
              <w:jc w:val="both"/>
              <w:rPr>
                <w:b w:val="0"/>
              </w:rPr>
            </w:pPr>
            <w:r w:rsidRPr="00E70C98">
              <w:rPr>
                <w:b w:val="0"/>
              </w:rPr>
              <w:t>33</w:t>
            </w:r>
          </w:p>
          <w:p w:rsidR="00E70C98" w:rsidRPr="00E70C98" w:rsidRDefault="00E70C98" w:rsidP="00E07776">
            <w:pPr>
              <w:pStyle w:val="TableGrid1"/>
              <w:jc w:val="both"/>
              <w:rPr>
                <w:b w:val="0"/>
              </w:rPr>
            </w:pPr>
            <w:r w:rsidRPr="00E70C98">
              <w:rPr>
                <w:b w:val="0"/>
              </w:rPr>
              <w:t>34</w:t>
            </w:r>
          </w:p>
          <w:p w:rsidR="00E70C98" w:rsidRPr="00E70C98" w:rsidRDefault="00E70C98" w:rsidP="00E07776">
            <w:pPr>
              <w:pStyle w:val="TableGrid1"/>
              <w:jc w:val="both"/>
              <w:rPr>
                <w:b w:val="0"/>
              </w:rPr>
            </w:pPr>
            <w:r w:rsidRPr="00E70C98">
              <w:rPr>
                <w:b w:val="0"/>
              </w:rPr>
              <w:t>35</w:t>
            </w:r>
          </w:p>
          <w:p w:rsidR="00E70C98" w:rsidRPr="00E70C98" w:rsidRDefault="00E70C98" w:rsidP="00E07776">
            <w:pPr>
              <w:pStyle w:val="TableGrid1"/>
              <w:jc w:val="both"/>
              <w:rPr>
                <w:b w:val="0"/>
              </w:rPr>
            </w:pPr>
            <w:r w:rsidRPr="00E70C98">
              <w:rPr>
                <w:b w:val="0"/>
              </w:rPr>
              <w:t>36</w:t>
            </w:r>
          </w:p>
          <w:p w:rsidR="00E70C98" w:rsidRPr="00E70C98" w:rsidRDefault="00E70C98" w:rsidP="00E07776">
            <w:pPr>
              <w:pStyle w:val="TableGrid1"/>
              <w:jc w:val="both"/>
              <w:rPr>
                <w:b w:val="0"/>
              </w:rPr>
            </w:pPr>
          </w:p>
          <w:p w:rsidR="00E70C98" w:rsidRPr="00E70C98" w:rsidRDefault="00E70C98" w:rsidP="00E07776">
            <w:pPr>
              <w:pStyle w:val="TableGrid1"/>
              <w:jc w:val="both"/>
              <w:rPr>
                <w:b w:val="0"/>
              </w:rPr>
            </w:pPr>
            <w:r w:rsidRPr="00E70C98">
              <w:rPr>
                <w:b w:val="0"/>
              </w:rPr>
              <w:t>37</w:t>
            </w:r>
          </w:p>
          <w:p w:rsidR="00E70C98" w:rsidRPr="00E70C98" w:rsidRDefault="00E70C98" w:rsidP="00E07776">
            <w:pPr>
              <w:pStyle w:val="TableGrid1"/>
              <w:jc w:val="both"/>
              <w:rPr>
                <w:b w:val="0"/>
              </w:rPr>
            </w:pPr>
            <w:r w:rsidRPr="00E70C98">
              <w:rPr>
                <w:b w:val="0"/>
              </w:rPr>
              <w:t>38</w:t>
            </w:r>
          </w:p>
          <w:p w:rsidR="00E70C98" w:rsidRPr="00E70C98" w:rsidRDefault="00E70C98" w:rsidP="00E07776">
            <w:pPr>
              <w:pStyle w:val="TableGrid1"/>
              <w:jc w:val="both"/>
              <w:rPr>
                <w:b w:val="0"/>
              </w:rPr>
            </w:pPr>
          </w:p>
          <w:p w:rsidR="00E70C98" w:rsidRPr="00E70C98" w:rsidRDefault="00E70C98" w:rsidP="00E07776">
            <w:pPr>
              <w:pStyle w:val="TableGrid1"/>
              <w:jc w:val="both"/>
              <w:rPr>
                <w:b w:val="0"/>
              </w:rPr>
            </w:pPr>
            <w:r w:rsidRPr="00E70C98">
              <w:rPr>
                <w:b w:val="0"/>
              </w:rPr>
              <w:t>39</w:t>
            </w:r>
          </w:p>
          <w:p w:rsidR="00E70C98" w:rsidRPr="00E70C98" w:rsidRDefault="00E70C98" w:rsidP="00E07776">
            <w:pPr>
              <w:pStyle w:val="TableGrid1"/>
              <w:jc w:val="both"/>
              <w:rPr>
                <w:b w:val="0"/>
              </w:rPr>
            </w:pPr>
          </w:p>
          <w:p w:rsidR="00E70C98" w:rsidRPr="00E70C98" w:rsidRDefault="00E70C98" w:rsidP="00E07776">
            <w:pPr>
              <w:pStyle w:val="TableGrid1"/>
              <w:jc w:val="both"/>
              <w:rPr>
                <w:b w:val="0"/>
              </w:rPr>
            </w:pPr>
            <w:r w:rsidRPr="00E70C98">
              <w:rPr>
                <w:b w:val="0"/>
              </w:rPr>
              <w:t>40</w:t>
            </w:r>
          </w:p>
          <w:p w:rsidR="00E70C98" w:rsidRPr="00E70C98" w:rsidRDefault="00E70C98" w:rsidP="00E07776">
            <w:pPr>
              <w:pStyle w:val="TableGrid1"/>
              <w:jc w:val="both"/>
              <w:rPr>
                <w:b w:val="0"/>
              </w:rPr>
            </w:pPr>
            <w:r w:rsidRPr="00E70C98">
              <w:rPr>
                <w:b w:val="0"/>
              </w:rPr>
              <w:t>41</w:t>
            </w:r>
          </w:p>
          <w:p w:rsidR="00E70C98" w:rsidRPr="00E70C98" w:rsidRDefault="00E70C98" w:rsidP="00E70C98">
            <w:pPr>
              <w:pStyle w:val="TableGrid1"/>
              <w:spacing w:after="60"/>
              <w:jc w:val="both"/>
            </w:pPr>
            <w:r w:rsidRPr="00E70C98">
              <w:rPr>
                <w:b w:val="0"/>
              </w:rPr>
              <w:t>42</w:t>
            </w:r>
          </w:p>
        </w:tc>
        <w:tc>
          <w:tcPr>
            <w:tcW w:w="2467" w:type="dxa"/>
            <w:shd w:val="clear" w:color="auto" w:fill="auto"/>
          </w:tcPr>
          <w:p w:rsidR="00E70C98" w:rsidRPr="00E70C98" w:rsidRDefault="00E70C98" w:rsidP="00E70C98">
            <w:pPr>
              <w:pStyle w:val="TableGrid1"/>
              <w:spacing w:before="60"/>
              <w:jc w:val="both"/>
              <w:cnfStyle w:val="000000100000" w:firstRow="0" w:lastRow="0" w:firstColumn="0" w:lastColumn="0" w:oddVBand="0" w:evenVBand="0" w:oddHBand="1" w:evenHBand="0" w:firstRowFirstColumn="0" w:firstRowLastColumn="0" w:lastRowFirstColumn="0" w:lastRowLastColumn="0"/>
            </w:pPr>
            <w:r w:rsidRPr="00E70C98">
              <w:t>Proton</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Perodua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Mitsubishi</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Honda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Toyota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Nissan</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Suzuki</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Unknown</w:t>
            </w:r>
          </w:p>
        </w:tc>
        <w:tc>
          <w:tcPr>
            <w:tcW w:w="1983" w:type="dxa"/>
            <w:shd w:val="clear" w:color="auto" w:fill="auto"/>
          </w:tcPr>
          <w:p w:rsidR="00E70C98" w:rsidRPr="00E70C98" w:rsidRDefault="00E70C98" w:rsidP="00E70C98">
            <w:pPr>
              <w:pStyle w:val="TableGrid1"/>
              <w:spacing w:before="60"/>
              <w:jc w:val="both"/>
              <w:cnfStyle w:val="000000100000" w:firstRow="0" w:lastRow="0" w:firstColumn="0" w:lastColumn="0" w:oddVBand="0" w:evenVBand="0" w:oddHBand="1" w:evenHBand="0" w:firstRowFirstColumn="0" w:firstRowLastColumn="0" w:lastRowFirstColumn="0" w:lastRowLastColumn="0"/>
            </w:pPr>
            <w:r w:rsidRPr="00E70C98">
              <w:t>Saga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Wira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 xml:space="preserve">Satria Neo </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 xml:space="preserve">Persona </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Perdana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Iswara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Myvi</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Kelisa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Kancil</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Viva Elite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Lancer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Civic</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Jazz</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CRV</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Vios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Estima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Fortune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Avanza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Corolla SE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Serena</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Swift</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1</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2</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3</w:t>
            </w:r>
          </w:p>
        </w:tc>
        <w:tc>
          <w:tcPr>
            <w:tcW w:w="1653" w:type="dxa"/>
            <w:shd w:val="clear" w:color="auto" w:fill="auto"/>
          </w:tcPr>
          <w:p w:rsidR="00E70C98" w:rsidRPr="00E70C98" w:rsidRDefault="00E70C98" w:rsidP="00E70C98">
            <w:pPr>
              <w:pStyle w:val="TableGrid1"/>
              <w:spacing w:before="60"/>
              <w:jc w:val="both"/>
              <w:cnfStyle w:val="000000100000" w:firstRow="0" w:lastRow="0" w:firstColumn="0" w:lastColumn="0" w:oddVBand="0" w:evenVBand="0" w:oddHBand="1" w:evenHBand="0" w:firstRowFirstColumn="0" w:firstRowLastColumn="0" w:lastRowFirstColumn="0" w:lastRowLastColumn="0"/>
            </w:pPr>
            <w:r w:rsidRPr="00E70C98">
              <w:t>Black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Red</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Light Blue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 xml:space="preserve">Blue </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White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Red</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Light Blue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Black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Red</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White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Black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Black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White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White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Light Blue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Blue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White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Blue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Black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Red</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Red</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White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Light Blue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Light Blue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Black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Black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White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Blue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Red</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Light Blue</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Black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Black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Silver</w:t>
            </w:r>
          </w:p>
        </w:tc>
        <w:tc>
          <w:tcPr>
            <w:tcW w:w="1652" w:type="dxa"/>
            <w:shd w:val="clear" w:color="auto" w:fill="auto"/>
          </w:tcPr>
          <w:p w:rsidR="00E70C98" w:rsidRPr="00E70C98" w:rsidRDefault="00E70C98" w:rsidP="00E70C98">
            <w:pPr>
              <w:pStyle w:val="TableGrid1"/>
              <w:spacing w:before="60"/>
              <w:jc w:val="both"/>
              <w:cnfStyle w:val="000000100000" w:firstRow="0" w:lastRow="0" w:firstColumn="0" w:lastColumn="0" w:oddVBand="0" w:evenVBand="0" w:oddHBand="1" w:evenHBand="0" w:firstRowFirstColumn="0" w:firstRowLastColumn="0" w:lastRowFirstColumn="0" w:lastRowLastColumn="0"/>
            </w:pPr>
            <w:r w:rsidRPr="00E70C98">
              <w:t>ABK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ABL</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ABL</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AW</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ALB</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ABK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AW</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AS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BBK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BBK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BW</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BW</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BLB</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BBL</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BW</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BBL</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CBK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CR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DR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DW</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DLB</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DLB</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EBK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ES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EBK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EW</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EBL</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ER</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ES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FS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FLB</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GBK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UBK</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US</w:t>
            </w:r>
          </w:p>
          <w:p w:rsidR="00E70C98" w:rsidRPr="00E70C98" w:rsidRDefault="00E70C98" w:rsidP="00E07776">
            <w:pPr>
              <w:pStyle w:val="TableGrid1"/>
              <w:jc w:val="both"/>
              <w:cnfStyle w:val="000000100000" w:firstRow="0" w:lastRow="0" w:firstColumn="0" w:lastColumn="0" w:oddVBand="0" w:evenVBand="0" w:oddHBand="1" w:evenHBand="0" w:firstRowFirstColumn="0" w:firstRowLastColumn="0" w:lastRowFirstColumn="0" w:lastRowLastColumn="0"/>
            </w:pPr>
            <w:r w:rsidRPr="00E70C98">
              <w:t>US</w:t>
            </w:r>
          </w:p>
        </w:tc>
      </w:tr>
    </w:tbl>
    <w:p w:rsidR="00E70C98" w:rsidRPr="003370CF" w:rsidRDefault="00E70C98" w:rsidP="00E70C98">
      <w:pPr>
        <w:pStyle w:val="Body"/>
        <w:spacing w:after="0" w:line="240" w:lineRule="auto"/>
        <w:jc w:val="center"/>
        <w:rPr>
          <w:rFonts w:ascii="Times New Roman" w:eastAsia="Times New Roman" w:hAnsi="Times New Roman" w:cs="Times New Roman"/>
          <w:sz w:val="20"/>
          <w:szCs w:val="20"/>
        </w:rPr>
      </w:pPr>
    </w:p>
    <w:p w:rsidR="00E70C98" w:rsidRPr="001D07B2" w:rsidRDefault="00E70C98" w:rsidP="00E70C98">
      <w:pPr>
        <w:pStyle w:val="Body"/>
        <w:spacing w:after="0" w:line="240" w:lineRule="auto"/>
        <w:jc w:val="both"/>
        <w:rPr>
          <w:rFonts w:ascii="Times New Roman" w:eastAsia="Times New Roman" w:hAnsi="Times New Roman" w:cs="Times New Roman"/>
          <w:sz w:val="20"/>
          <w:szCs w:val="20"/>
        </w:rPr>
      </w:pPr>
    </w:p>
    <w:p w:rsidR="00E70C98" w:rsidRPr="001D07B2" w:rsidRDefault="00E70C98" w:rsidP="00E70C98">
      <w:pPr>
        <w:pStyle w:val="Body"/>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V</w:t>
      </w:r>
      <w:r>
        <w:rPr>
          <w:rFonts w:ascii="Times New Roman" w:eastAsia="Times New Roman" w:hAnsi="Times New Roman" w:cs="Times New Roman"/>
          <w:b/>
          <w:bCs/>
          <w:sz w:val="20"/>
          <w:szCs w:val="20"/>
        </w:rPr>
        <w:t>ideo Spectral Comparator (VSC) A</w:t>
      </w:r>
      <w:r w:rsidRPr="001D07B2">
        <w:rPr>
          <w:rFonts w:ascii="Times New Roman" w:eastAsia="Times New Roman" w:hAnsi="Times New Roman" w:cs="Times New Roman"/>
          <w:b/>
          <w:bCs/>
          <w:sz w:val="20"/>
          <w:szCs w:val="20"/>
        </w:rPr>
        <w:t>nalysis</w:t>
      </w:r>
    </w:p>
    <w:p w:rsidR="00E70C98" w:rsidRPr="001D07B2" w:rsidRDefault="00E70C98" w:rsidP="00E70C98">
      <w:pPr>
        <w:pStyle w:val="Body"/>
        <w:tabs>
          <w:tab w:val="left" w:pos="284"/>
        </w:tabs>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All automobile paint samples were analysed using video spectral comparator (VSC 5000, Foster and Freeman, UK) based on CIE system (International Commission on Illumination, Vienna) expressed as L*, a* and b* which representing lightness (L*), redness (+a*), greenness (-a*), yellowness (+b*) and blueness (-b*)</w:t>
      </w:r>
      <w:r>
        <w:rPr>
          <w:rFonts w:ascii="Times New Roman" w:eastAsia="Times New Roman" w:hAnsi="Times New Roman" w:cs="Times New Roman"/>
          <w:sz w:val="20"/>
          <w:szCs w:val="20"/>
        </w:rPr>
        <w:t xml:space="preserve">. </w:t>
      </w:r>
      <w:r w:rsidRPr="001D07B2">
        <w:rPr>
          <w:rFonts w:ascii="Times New Roman" w:eastAsia="Times New Roman" w:hAnsi="Times New Roman" w:cs="Times New Roman"/>
          <w:sz w:val="20"/>
          <w:szCs w:val="20"/>
        </w:rPr>
        <w:t>Absorption and reflectance spectra were generated from excitation wavelengths ranging from 400-1000 nm using VSC-5000-HR (Foster and Freeman, UK).</w:t>
      </w:r>
    </w:p>
    <w:p w:rsidR="00E70C98" w:rsidRPr="001D07B2" w:rsidRDefault="00E70C98" w:rsidP="00E70C98">
      <w:pPr>
        <w:pStyle w:val="Body"/>
        <w:spacing w:after="0" w:line="240" w:lineRule="auto"/>
        <w:jc w:val="both"/>
        <w:rPr>
          <w:rFonts w:ascii="Times New Roman" w:eastAsia="Times New Roman" w:hAnsi="Times New Roman" w:cs="Times New Roman"/>
          <w:sz w:val="20"/>
          <w:szCs w:val="20"/>
        </w:rPr>
      </w:pPr>
    </w:p>
    <w:p w:rsidR="00E70C98" w:rsidRPr="001D07B2" w:rsidRDefault="00E70C98" w:rsidP="00E70C98">
      <w:pPr>
        <w:pStyle w:val="Body"/>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Chemometric Methods</w:t>
      </w:r>
      <w:r>
        <w:rPr>
          <w:rFonts w:ascii="Times New Roman" w:eastAsia="Times New Roman" w:hAnsi="Times New Roman" w:cs="Times New Roman"/>
          <w:b/>
          <w:bCs/>
          <w:sz w:val="20"/>
          <w:szCs w:val="20"/>
        </w:rPr>
        <w:t>: Principal Component A</w:t>
      </w:r>
      <w:r w:rsidRPr="001D07B2">
        <w:rPr>
          <w:rFonts w:ascii="Times New Roman" w:eastAsia="Times New Roman" w:hAnsi="Times New Roman" w:cs="Times New Roman"/>
          <w:b/>
          <w:bCs/>
          <w:sz w:val="20"/>
          <w:szCs w:val="20"/>
        </w:rPr>
        <w:t>nalysis (PCA)</w:t>
      </w:r>
    </w:p>
    <w:p w:rsidR="00E70C98" w:rsidRPr="001D07B2" w:rsidRDefault="00E70C98" w:rsidP="00E70C98">
      <w:pPr>
        <w:pStyle w:val="Body"/>
        <w:tabs>
          <w:tab w:val="left" w:pos="284"/>
        </w:tabs>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PCA is a multivariate statistical technique commonly used to display and analyse the structure of multivariate data representing the original dataset in a new reference system characterised by new orthogonal variables called principal components (PCs). Principal component analysis aims to explain the maximum amount of variance available in the original dataset using as few PCs as possible. The PCs can be used for an effective representation of the system under investigation, with a lower number of variables than the original case. The coordinates of the samples in the new reference system are called scores</w:t>
      </w:r>
      <w:r>
        <w:rPr>
          <w:rFonts w:ascii="Times New Roman" w:eastAsia="Times New Roman" w:hAnsi="Times New Roman" w:cs="Times New Roman"/>
          <w:sz w:val="20"/>
          <w:szCs w:val="20"/>
        </w:rPr>
        <w:t>,</w:t>
      </w:r>
      <w:r w:rsidRPr="001D07B2">
        <w:rPr>
          <w:rFonts w:ascii="Times New Roman" w:eastAsia="Times New Roman" w:hAnsi="Times New Roman" w:cs="Times New Roman"/>
          <w:sz w:val="20"/>
          <w:szCs w:val="20"/>
        </w:rPr>
        <w:t xml:space="preserve"> while the coefficients of the linear combination describing each PC, i.e. the weights of the original variables on each PC, are called loadings. The graphical representation of the scores allows the identification of groups of samples showing similar behaviors (samples close to each other in the graph) or different characteristics (samples far from each other).</w:t>
      </w:r>
    </w:p>
    <w:p w:rsidR="00E70C98" w:rsidRDefault="00E70C98" w:rsidP="00E70C98">
      <w:pPr>
        <w:pStyle w:val="Body"/>
        <w:spacing w:after="0" w:line="240" w:lineRule="auto"/>
        <w:jc w:val="both"/>
        <w:rPr>
          <w:rFonts w:ascii="Times New Roman" w:eastAsia="Times New Roman" w:hAnsi="Times New Roman" w:cs="Times New Roman"/>
          <w:b/>
          <w:bCs/>
        </w:rPr>
      </w:pPr>
    </w:p>
    <w:p w:rsidR="00E70C98" w:rsidRPr="001D07B2" w:rsidRDefault="00E70C98" w:rsidP="00E70C98">
      <w:pPr>
        <w:pStyle w:val="Body"/>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Hierarchical Agglomerative Clusters A</w:t>
      </w:r>
      <w:r w:rsidRPr="001D07B2">
        <w:rPr>
          <w:rFonts w:ascii="Times New Roman" w:eastAsia="Times New Roman" w:hAnsi="Times New Roman" w:cs="Times New Roman"/>
          <w:b/>
          <w:bCs/>
          <w:sz w:val="20"/>
          <w:szCs w:val="20"/>
        </w:rPr>
        <w:t>nalysis (HACA)</w:t>
      </w:r>
    </w:p>
    <w:p w:rsidR="00E70C98" w:rsidRDefault="00E70C98" w:rsidP="00E70C98">
      <w:pPr>
        <w:pStyle w:val="Body"/>
        <w:tabs>
          <w:tab w:val="left" w:pos="284"/>
        </w:tabs>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 xml:space="preserve">Cluster analysis is an unsupervised pattern recognition technique that uncovers intrinsic structure or underlying behavior of a data set without making a prior assumption about the data, in order to classify the objects of the system into categories or cluster based on their similarity </w:t>
      </w:r>
      <w:r>
        <w:rPr>
          <w:rFonts w:ascii="Times New Roman" w:eastAsia="Times New Roman" w:hAnsi="Times New Roman" w:cs="Times New Roman"/>
          <w:sz w:val="20"/>
          <w:szCs w:val="20"/>
        </w:rPr>
        <w:t>[16]</w:t>
      </w:r>
      <w:r w:rsidRPr="001D07B2">
        <w:rPr>
          <w:rFonts w:ascii="Times New Roman" w:eastAsia="Times New Roman" w:hAnsi="Times New Roman" w:cs="Times New Roman"/>
          <w:sz w:val="20"/>
          <w:szCs w:val="20"/>
        </w:rPr>
        <w:t>. Hierarchical agglomerative clustering is the most common approach in which clusters are formed sequentially, by starting with the most similar pair of objects and forming higher clusters step by step. The Euclidean distance usually gives the similarity between two samples and a distance can be represented by the difference between analytica</w:t>
      </w:r>
      <w:r>
        <w:rPr>
          <w:rFonts w:ascii="Times New Roman" w:eastAsia="Times New Roman" w:hAnsi="Times New Roman" w:cs="Times New Roman"/>
          <w:sz w:val="20"/>
          <w:szCs w:val="20"/>
        </w:rPr>
        <w:t>l values from both the samples [17]</w:t>
      </w:r>
      <w:r w:rsidRPr="001D07B2">
        <w:rPr>
          <w:rFonts w:ascii="Times New Roman" w:eastAsia="Times New Roman" w:hAnsi="Times New Roman" w:cs="Times New Roman"/>
          <w:sz w:val="20"/>
          <w:szCs w:val="20"/>
        </w:rPr>
        <w:t>. In this paper the agglomerative hierarchical method was applied. In the hierarchical method objects are grouped on the base of inter-object distances. The statistical program used to compute chemometric analysis (PCA, HACA) using XL Stat 2014 and Excel 2007.</w:t>
      </w:r>
    </w:p>
    <w:p w:rsidR="006768E9" w:rsidRPr="00F447A7" w:rsidRDefault="006768E9" w:rsidP="00E70C9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70C98" w:rsidRPr="001D07B2" w:rsidRDefault="00E70C98" w:rsidP="00E70C98">
      <w:pPr>
        <w:pStyle w:val="Body"/>
        <w:spacing w:after="0" w:line="240" w:lineRule="auto"/>
        <w:jc w:val="both"/>
        <w:rPr>
          <w:rFonts w:ascii="Times New Roman" w:eastAsia="Times New Roman" w:hAnsi="Times New Roman" w:cs="Times New Roman"/>
          <w:color w:val="000000" w:themeColor="text1"/>
          <w:sz w:val="20"/>
          <w:szCs w:val="20"/>
        </w:rPr>
      </w:pPr>
      <w:r w:rsidRPr="001D07B2">
        <w:rPr>
          <w:rFonts w:ascii="Times New Roman" w:eastAsia="Times New Roman" w:hAnsi="Times New Roman" w:cs="Times New Roman"/>
          <w:color w:val="000000" w:themeColor="text1"/>
          <w:sz w:val="20"/>
          <w:szCs w:val="20"/>
        </w:rPr>
        <w:t xml:space="preserve">The purpose of this study was to classify the automobile paints based on colorimetric data sets using chemometric approach. Automobile paints of specific </w:t>
      </w:r>
      <w:r>
        <w:rPr>
          <w:rFonts w:ascii="Times New Roman" w:eastAsia="Times New Roman" w:hAnsi="Times New Roman" w:cs="Times New Roman"/>
          <w:color w:val="000000" w:themeColor="text1"/>
          <w:sz w:val="20"/>
          <w:szCs w:val="20"/>
        </w:rPr>
        <w:t>colo</w:t>
      </w:r>
      <w:r w:rsidRPr="001D07B2">
        <w:rPr>
          <w:rFonts w:ascii="Times New Roman" w:eastAsia="Times New Roman" w:hAnsi="Times New Roman" w:cs="Times New Roman"/>
          <w:color w:val="000000" w:themeColor="text1"/>
          <w:sz w:val="20"/>
          <w:szCs w:val="20"/>
        </w:rPr>
        <w:t>r gave specific colorimetric data, which c</w:t>
      </w:r>
      <w:r>
        <w:rPr>
          <w:rFonts w:ascii="Times New Roman" w:eastAsia="Times New Roman" w:hAnsi="Times New Roman" w:cs="Times New Roman"/>
          <w:color w:val="000000" w:themeColor="text1"/>
          <w:sz w:val="20"/>
          <w:szCs w:val="20"/>
        </w:rPr>
        <w:t>an be used to identify the colo</w:t>
      </w:r>
      <w:r w:rsidRPr="001D07B2">
        <w:rPr>
          <w:rFonts w:ascii="Times New Roman" w:eastAsia="Times New Roman" w:hAnsi="Times New Roman" w:cs="Times New Roman"/>
          <w:color w:val="000000" w:themeColor="text1"/>
          <w:sz w:val="20"/>
          <w:szCs w:val="20"/>
        </w:rPr>
        <w:t>r of paint samples.</w:t>
      </w:r>
    </w:p>
    <w:p w:rsidR="00E70C98" w:rsidRPr="003F0BA6" w:rsidRDefault="00E70C98" w:rsidP="00E70C98">
      <w:pPr>
        <w:pStyle w:val="Body"/>
        <w:spacing w:after="0" w:line="240" w:lineRule="auto"/>
        <w:jc w:val="both"/>
        <w:rPr>
          <w:rFonts w:ascii="Times New Roman" w:eastAsia="Times New Roman" w:hAnsi="Times New Roman" w:cs="Times New Roman"/>
          <w:b/>
          <w:bCs/>
          <w:color w:val="000000" w:themeColor="text1"/>
        </w:rPr>
      </w:pPr>
    </w:p>
    <w:p w:rsidR="00E70C98" w:rsidRPr="001D07B2" w:rsidRDefault="00E70C98" w:rsidP="00E70C98">
      <w:pPr>
        <w:pStyle w:val="Body"/>
        <w:tabs>
          <w:tab w:val="left" w:pos="426"/>
        </w:tabs>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Video Spectral Comparator (VSC)</w:t>
      </w:r>
    </w:p>
    <w:p w:rsidR="00E70C98" w:rsidRPr="00DC2708" w:rsidRDefault="00E70C98" w:rsidP="00E70C98">
      <w:pPr>
        <w:pStyle w:val="Body"/>
        <w:tabs>
          <w:tab w:val="left" w:pos="426"/>
        </w:tabs>
        <w:spacing w:after="0" w:line="240" w:lineRule="auto"/>
        <w:jc w:val="both"/>
        <w:rPr>
          <w:rFonts w:ascii="Times New Roman" w:eastAsia="Times New Roman" w:hAnsi="Times New Roman" w:cs="Times New Roman"/>
          <w:color w:val="auto"/>
        </w:rPr>
      </w:pPr>
      <w:r>
        <w:rPr>
          <w:rFonts w:ascii="Times New Roman" w:eastAsia="Times New Roman" w:hAnsi="Times New Roman" w:cs="Times New Roman"/>
          <w:color w:val="000000" w:themeColor="text1"/>
          <w:sz w:val="20"/>
          <w:szCs w:val="20"/>
        </w:rPr>
        <w:t>C</w:t>
      </w:r>
      <w:r w:rsidRPr="001D07B2">
        <w:rPr>
          <w:rFonts w:ascii="Times New Roman" w:eastAsia="Times New Roman" w:hAnsi="Times New Roman" w:cs="Times New Roman"/>
          <w:color w:val="000000" w:themeColor="text1"/>
          <w:sz w:val="20"/>
          <w:szCs w:val="20"/>
        </w:rPr>
        <w:t>olorimetric data sets</w:t>
      </w:r>
      <w:r>
        <w:rPr>
          <w:rFonts w:ascii="Times New Roman" w:eastAsia="Times New Roman" w:hAnsi="Times New Roman" w:cs="Times New Roman"/>
          <w:color w:val="000000" w:themeColor="text1"/>
          <w:sz w:val="20"/>
          <w:szCs w:val="20"/>
        </w:rPr>
        <w:t xml:space="preserve"> obtained by VSC consisted of</w:t>
      </w:r>
      <w:r w:rsidRPr="001D07B2">
        <w:rPr>
          <w:rFonts w:ascii="Times New Roman" w:eastAsia="Times New Roman" w:hAnsi="Times New Roman" w:cs="Times New Roman"/>
          <w:color w:val="000000" w:themeColor="text1"/>
          <w:sz w:val="20"/>
          <w:szCs w:val="20"/>
        </w:rPr>
        <w:t xml:space="preserve"> absorption value (Abs %), reflectance value (Ref %), luminosity value (L*), degree of redness (a*) and degree of yellowness (b*)</w:t>
      </w:r>
      <w:r>
        <w:rPr>
          <w:rFonts w:ascii="Times New Roman" w:eastAsia="Times New Roman" w:hAnsi="Times New Roman" w:cs="Times New Roman"/>
          <w:color w:val="000000" w:themeColor="text1"/>
          <w:sz w:val="20"/>
          <w:szCs w:val="20"/>
        </w:rPr>
        <w:t>.</w:t>
      </w:r>
      <w:r w:rsidRPr="001D07B2">
        <w:rPr>
          <w:rFonts w:ascii="Times New Roman" w:eastAsia="Times New Roman" w:hAnsi="Times New Roman" w:cs="Times New Roman"/>
          <w:color w:val="000000" w:themeColor="text1"/>
          <w:sz w:val="20"/>
          <w:szCs w:val="20"/>
        </w:rPr>
        <w:t xml:space="preserve"> </w:t>
      </w:r>
      <w:r w:rsidRPr="001D07B2">
        <w:rPr>
          <w:rFonts w:ascii="Times New Roman" w:eastAsia="Times New Roman" w:hAnsi="Times New Roman" w:cs="Times New Roman"/>
          <w:sz w:val="20"/>
          <w:szCs w:val="20"/>
        </w:rPr>
        <w:t xml:space="preserve">Table 2 shows the colorimetric data sets for automobile paints </w:t>
      </w:r>
      <w:r>
        <w:rPr>
          <w:rFonts w:ascii="Times New Roman" w:eastAsia="Times New Roman" w:hAnsi="Times New Roman" w:cs="Times New Roman"/>
          <w:sz w:val="20"/>
          <w:szCs w:val="20"/>
        </w:rPr>
        <w:t xml:space="preserve">samples. </w:t>
      </w:r>
      <w:r w:rsidRPr="00FF3BC4">
        <w:rPr>
          <w:rFonts w:ascii="Times New Roman" w:eastAsia="Times New Roman" w:hAnsi="Times New Roman" w:cs="Times New Roman"/>
          <w:color w:val="auto"/>
          <w:sz w:val="20"/>
          <w:szCs w:val="20"/>
        </w:rPr>
        <w:t>High absorption values</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auto"/>
          <w:sz w:val="20"/>
          <w:szCs w:val="20"/>
        </w:rPr>
        <w:t>(</w:t>
      </w:r>
      <w:r w:rsidRPr="001D07B2">
        <w:rPr>
          <w:rFonts w:ascii="Times New Roman" w:eastAsia="Times New Roman" w:hAnsi="Times New Roman" w:cs="Times New Roman"/>
          <w:color w:val="auto"/>
          <w:sz w:val="20"/>
          <w:szCs w:val="20"/>
        </w:rPr>
        <w:t>89-99%</w:t>
      </w:r>
      <w:r>
        <w:rPr>
          <w:rFonts w:ascii="Times New Roman" w:eastAsia="Times New Roman" w:hAnsi="Times New Roman" w:cs="Times New Roman"/>
          <w:color w:val="auto"/>
          <w:sz w:val="20"/>
          <w:szCs w:val="20"/>
        </w:rPr>
        <w:t>)</w:t>
      </w:r>
      <w:r w:rsidRPr="001D07B2">
        <w:rPr>
          <w:rFonts w:ascii="Times New Roman" w:eastAsia="Times New Roman" w:hAnsi="Times New Roman" w:cs="Times New Roman"/>
          <w:color w:val="auto"/>
          <w:sz w:val="20"/>
          <w:szCs w:val="20"/>
        </w:rPr>
        <w:t xml:space="preserve"> for black, blue and red </w:t>
      </w:r>
      <w:r>
        <w:rPr>
          <w:rFonts w:ascii="Times New Roman" w:eastAsia="Times New Roman" w:hAnsi="Times New Roman" w:cs="Times New Roman"/>
          <w:color w:val="auto"/>
          <w:sz w:val="20"/>
          <w:szCs w:val="20"/>
        </w:rPr>
        <w:t xml:space="preserve">paint samples were observed compared to those of </w:t>
      </w:r>
      <w:r w:rsidRPr="001D07B2">
        <w:rPr>
          <w:rFonts w:ascii="Times New Roman" w:eastAsia="Times New Roman" w:hAnsi="Times New Roman" w:cs="Times New Roman"/>
          <w:color w:val="auto"/>
          <w:sz w:val="20"/>
          <w:szCs w:val="20"/>
        </w:rPr>
        <w:t>white, silver and light blue</w:t>
      </w:r>
      <w:r>
        <w:rPr>
          <w:rFonts w:ascii="Times New Roman" w:eastAsia="Times New Roman" w:hAnsi="Times New Roman" w:cs="Times New Roman"/>
          <w:color w:val="auto"/>
          <w:sz w:val="20"/>
          <w:szCs w:val="20"/>
        </w:rPr>
        <w:t xml:space="preserve"> paint samples</w:t>
      </w:r>
      <w:r w:rsidRPr="001D07B2">
        <w:rPr>
          <w:rFonts w:ascii="Times New Roman" w:eastAsia="Times New Roman" w:hAnsi="Times New Roman" w:cs="Times New Roman"/>
          <w:color w:val="auto"/>
          <w:sz w:val="20"/>
          <w:szCs w:val="20"/>
        </w:rPr>
        <w:t>. Lightness (</w:t>
      </w:r>
      <w:r w:rsidRPr="001D07B2">
        <w:rPr>
          <w:rFonts w:ascii="Times New Roman" w:eastAsia="Times New Roman" w:hAnsi="Times New Roman" w:cs="Times New Roman"/>
          <w:i/>
          <w:iCs/>
          <w:color w:val="auto"/>
          <w:sz w:val="20"/>
          <w:szCs w:val="20"/>
        </w:rPr>
        <w:t>L*</w:t>
      </w:r>
      <w:r w:rsidRPr="001D07B2">
        <w:rPr>
          <w:rFonts w:ascii="Times New Roman" w:eastAsia="Times New Roman" w:hAnsi="Times New Roman" w:cs="Times New Roman"/>
          <w:color w:val="auto"/>
          <w:sz w:val="20"/>
          <w:szCs w:val="20"/>
        </w:rPr>
        <w:t xml:space="preserve">) values for all </w:t>
      </w:r>
      <w:r>
        <w:rPr>
          <w:rFonts w:ascii="Times New Roman" w:eastAsia="Times New Roman" w:hAnsi="Times New Roman" w:cs="Times New Roman"/>
          <w:color w:val="auto"/>
          <w:sz w:val="20"/>
          <w:szCs w:val="20"/>
        </w:rPr>
        <w:t>samples</w:t>
      </w:r>
      <w:r w:rsidRPr="001D07B2">
        <w:rPr>
          <w:rFonts w:ascii="Times New Roman" w:eastAsia="Times New Roman" w:hAnsi="Times New Roman" w:cs="Times New Roman"/>
          <w:color w:val="auto"/>
          <w:sz w:val="20"/>
          <w:szCs w:val="20"/>
        </w:rPr>
        <w:t xml:space="preserve"> decreased with </w:t>
      </w:r>
      <w:r w:rsidRPr="00FF3BC4">
        <w:rPr>
          <w:rFonts w:ascii="Times New Roman" w:eastAsia="Times New Roman" w:hAnsi="Times New Roman" w:cs="Times New Roman"/>
          <w:color w:val="auto"/>
          <w:sz w:val="20"/>
          <w:szCs w:val="20"/>
        </w:rPr>
        <w:t>increased</w:t>
      </w:r>
      <w:r>
        <w:rPr>
          <w:rFonts w:ascii="Times New Roman" w:eastAsia="Times New Roman" w:hAnsi="Times New Roman" w:cs="Times New Roman"/>
          <w:color w:val="auto"/>
          <w:sz w:val="20"/>
          <w:szCs w:val="20"/>
        </w:rPr>
        <w:t xml:space="preserve"> in absorption value (Abs %).</w:t>
      </w:r>
      <w:r w:rsidRPr="00E368E1">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auto"/>
          <w:sz w:val="20"/>
          <w:szCs w:val="20"/>
        </w:rPr>
        <w:t>In the</w:t>
      </w:r>
      <w:r w:rsidRPr="001D07B2">
        <w:rPr>
          <w:rFonts w:ascii="Times New Roman" w:eastAsia="Times New Roman" w:hAnsi="Times New Roman" w:cs="Times New Roman"/>
          <w:color w:val="auto"/>
          <w:sz w:val="20"/>
          <w:szCs w:val="20"/>
        </w:rPr>
        <w:t xml:space="preserve"> CIELab system, parameter </w:t>
      </w:r>
      <w:r w:rsidRPr="001D07B2">
        <w:rPr>
          <w:rFonts w:ascii="Times New Roman" w:eastAsia="Times New Roman" w:hAnsi="Times New Roman" w:cs="Times New Roman"/>
          <w:i/>
          <w:iCs/>
          <w:color w:val="auto"/>
          <w:sz w:val="20"/>
          <w:szCs w:val="20"/>
        </w:rPr>
        <w:t>a*</w:t>
      </w:r>
      <w:r w:rsidRPr="001D07B2">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demonstrated </w:t>
      </w:r>
      <w:r w:rsidRPr="001D07B2">
        <w:rPr>
          <w:rFonts w:ascii="Times New Roman" w:eastAsia="Times New Roman" w:hAnsi="Times New Roman" w:cs="Times New Roman"/>
          <w:color w:val="auto"/>
          <w:sz w:val="20"/>
          <w:szCs w:val="20"/>
        </w:rPr>
        <w:t>the degree of redness. Positive a* value</w:t>
      </w:r>
      <w:r>
        <w:rPr>
          <w:rFonts w:ascii="Times New Roman" w:eastAsia="Times New Roman" w:hAnsi="Times New Roman" w:cs="Times New Roman"/>
          <w:color w:val="auto"/>
          <w:sz w:val="20"/>
          <w:szCs w:val="20"/>
        </w:rPr>
        <w:t>s</w:t>
      </w:r>
      <w:r w:rsidRPr="001D07B2">
        <w:rPr>
          <w:rFonts w:ascii="Times New Roman" w:eastAsia="Times New Roman" w:hAnsi="Times New Roman" w:cs="Times New Roman"/>
          <w:color w:val="auto"/>
          <w:sz w:val="20"/>
          <w:szCs w:val="20"/>
        </w:rPr>
        <w:t xml:space="preserve"> obtained from </w:t>
      </w:r>
      <w:r>
        <w:rPr>
          <w:rFonts w:ascii="Times New Roman" w:eastAsia="Times New Roman" w:hAnsi="Times New Roman" w:cs="Times New Roman"/>
          <w:color w:val="auto"/>
          <w:sz w:val="20"/>
          <w:szCs w:val="20"/>
        </w:rPr>
        <w:t xml:space="preserve">black, blue and red paint samples showed that </w:t>
      </w:r>
      <w:r w:rsidRPr="00490D89">
        <w:rPr>
          <w:rFonts w:ascii="Times New Roman" w:eastAsia="Times New Roman" w:hAnsi="Times New Roman" w:cs="Times New Roman"/>
          <w:color w:val="auto"/>
          <w:sz w:val="20"/>
          <w:szCs w:val="20"/>
        </w:rPr>
        <w:t>r</w:t>
      </w:r>
      <w:r w:rsidRPr="001D07B2">
        <w:rPr>
          <w:rFonts w:ascii="Times New Roman" w:eastAsia="Times New Roman" w:hAnsi="Times New Roman" w:cs="Times New Roman"/>
          <w:color w:val="auto"/>
          <w:sz w:val="20"/>
          <w:szCs w:val="20"/>
        </w:rPr>
        <w:t xml:space="preserve">edness tone </w:t>
      </w:r>
      <w:r>
        <w:rPr>
          <w:rFonts w:ascii="Times New Roman" w:eastAsia="Times New Roman" w:hAnsi="Times New Roman" w:cs="Times New Roman"/>
          <w:color w:val="auto"/>
          <w:sz w:val="20"/>
          <w:szCs w:val="20"/>
        </w:rPr>
        <w:t xml:space="preserve">was present </w:t>
      </w:r>
      <w:r w:rsidRPr="001D07B2">
        <w:rPr>
          <w:rFonts w:ascii="Times New Roman" w:eastAsia="Times New Roman" w:hAnsi="Times New Roman" w:cs="Times New Roman"/>
          <w:color w:val="auto"/>
          <w:sz w:val="20"/>
          <w:szCs w:val="20"/>
        </w:rPr>
        <w:t>in the</w:t>
      </w:r>
      <w:r>
        <w:rPr>
          <w:rFonts w:ascii="Times New Roman" w:eastAsia="Times New Roman" w:hAnsi="Times New Roman" w:cs="Times New Roman"/>
          <w:color w:val="auto"/>
          <w:sz w:val="20"/>
          <w:szCs w:val="20"/>
        </w:rPr>
        <w:t>se</w:t>
      </w:r>
      <w:r w:rsidRPr="001D07B2">
        <w:rPr>
          <w:rFonts w:ascii="Times New Roman" w:eastAsia="Times New Roman" w:hAnsi="Times New Roman" w:cs="Times New Roman"/>
          <w:color w:val="auto"/>
          <w:sz w:val="20"/>
          <w:szCs w:val="20"/>
        </w:rPr>
        <w:t xml:space="preserve"> samples. Red paint </w:t>
      </w:r>
      <w:r>
        <w:rPr>
          <w:rFonts w:ascii="Times New Roman" w:eastAsia="Times New Roman" w:hAnsi="Times New Roman" w:cs="Times New Roman"/>
          <w:color w:val="auto"/>
          <w:sz w:val="20"/>
          <w:szCs w:val="20"/>
        </w:rPr>
        <w:t>samples gave</w:t>
      </w:r>
      <w:r w:rsidRPr="001D07B2">
        <w:rPr>
          <w:rFonts w:ascii="Times New Roman" w:eastAsia="Times New Roman" w:hAnsi="Times New Roman" w:cs="Times New Roman"/>
          <w:color w:val="auto"/>
          <w:sz w:val="20"/>
          <w:szCs w:val="20"/>
        </w:rPr>
        <w:t xml:space="preserve"> the highest </w:t>
      </w:r>
      <w:r w:rsidRPr="001D07B2">
        <w:rPr>
          <w:rFonts w:ascii="Times New Roman" w:eastAsia="Times New Roman" w:hAnsi="Times New Roman" w:cs="Times New Roman"/>
          <w:i/>
          <w:iCs/>
          <w:color w:val="auto"/>
          <w:sz w:val="20"/>
          <w:szCs w:val="20"/>
        </w:rPr>
        <w:t>a*</w:t>
      </w:r>
      <w:r w:rsidRPr="001D07B2">
        <w:rPr>
          <w:rFonts w:ascii="Times New Roman" w:eastAsia="Times New Roman" w:hAnsi="Times New Roman" w:cs="Times New Roman"/>
          <w:color w:val="auto"/>
          <w:sz w:val="20"/>
          <w:szCs w:val="20"/>
        </w:rPr>
        <w:t xml:space="preserve"> value (</w:t>
      </w:r>
      <w:r>
        <w:rPr>
          <w:rFonts w:ascii="Times New Roman" w:eastAsia="Times New Roman" w:hAnsi="Times New Roman" w:cs="Times New Roman"/>
          <w:color w:val="auto"/>
          <w:sz w:val="20"/>
          <w:szCs w:val="20"/>
        </w:rPr>
        <w:t>27-52</w:t>
      </w:r>
      <w:r w:rsidRPr="001D07B2">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rPr>
        <w:t>.</w:t>
      </w:r>
      <w:r w:rsidRPr="001D07B2">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Negative a* values were observed in silver, white and light blue </w:t>
      </w:r>
      <w:r w:rsidRPr="00DC2708">
        <w:rPr>
          <w:rFonts w:ascii="Times New Roman" w:eastAsia="Times New Roman" w:hAnsi="Times New Roman" w:cs="Times New Roman"/>
          <w:color w:val="auto"/>
          <w:sz w:val="20"/>
          <w:szCs w:val="20"/>
        </w:rPr>
        <w:t>showed</w:t>
      </w:r>
      <w:r>
        <w:rPr>
          <w:rFonts w:ascii="Times New Roman" w:eastAsia="Times New Roman" w:hAnsi="Times New Roman" w:cs="Times New Roman"/>
          <w:color w:val="auto"/>
          <w:sz w:val="20"/>
          <w:szCs w:val="20"/>
        </w:rPr>
        <w:t xml:space="preserve"> a greenish tone in these colors. </w:t>
      </w:r>
      <w:r w:rsidRPr="00DC2708">
        <w:rPr>
          <w:rFonts w:ascii="Times New Roman" w:eastAsia="Times New Roman" w:hAnsi="Times New Roman" w:cs="Times New Roman"/>
          <w:color w:val="auto"/>
          <w:sz w:val="20"/>
          <w:szCs w:val="20"/>
        </w:rPr>
        <w:t>Parameter b* was the most discriminant variable for the paint samples as shown Table 2. The physical meaning of these positive b* values are related to yellow paint</w:t>
      </w:r>
      <w:r>
        <w:rPr>
          <w:rFonts w:ascii="Times New Roman" w:eastAsia="Times New Roman" w:hAnsi="Times New Roman" w:cs="Times New Roman"/>
          <w:color w:val="auto"/>
          <w:sz w:val="20"/>
          <w:szCs w:val="20"/>
        </w:rPr>
        <w:t xml:space="preserve"> colo</w:t>
      </w:r>
      <w:r w:rsidRPr="00DC2708">
        <w:rPr>
          <w:rFonts w:ascii="Times New Roman" w:eastAsia="Times New Roman" w:hAnsi="Times New Roman" w:cs="Times New Roman"/>
          <w:color w:val="auto"/>
          <w:sz w:val="20"/>
          <w:szCs w:val="20"/>
        </w:rPr>
        <w:t xml:space="preserve">r: the higher b* is, the greater the yellow intensity will be [18]. </w:t>
      </w:r>
    </w:p>
    <w:p w:rsidR="00E70C98" w:rsidRDefault="00E70C98" w:rsidP="00E70C98">
      <w:pPr>
        <w:pStyle w:val="Body"/>
        <w:tabs>
          <w:tab w:val="left" w:pos="426"/>
        </w:tabs>
        <w:spacing w:after="0" w:line="240" w:lineRule="auto"/>
        <w:jc w:val="both"/>
        <w:rPr>
          <w:rFonts w:ascii="Times New Roman" w:eastAsia="Times New Roman" w:hAnsi="Times New Roman" w:cs="Times New Roman"/>
        </w:rPr>
      </w:pPr>
    </w:p>
    <w:p w:rsidR="00E70C98" w:rsidRDefault="00E70C98" w:rsidP="00E70C98">
      <w:pPr>
        <w:pStyle w:val="Body"/>
        <w:tabs>
          <w:tab w:val="left" w:pos="426"/>
        </w:tabs>
        <w:spacing w:after="0" w:line="240" w:lineRule="auto"/>
        <w:jc w:val="both"/>
        <w:rPr>
          <w:rFonts w:ascii="Times New Roman" w:eastAsia="Times New Roman" w:hAnsi="Times New Roman" w:cs="Times New Roman"/>
        </w:rPr>
      </w:pPr>
    </w:p>
    <w:p w:rsidR="00E70C98" w:rsidRDefault="00E70C98" w:rsidP="00E70C98">
      <w:pPr>
        <w:pStyle w:val="Body"/>
        <w:tabs>
          <w:tab w:val="left" w:pos="426"/>
        </w:tabs>
        <w:spacing w:after="0" w:line="240" w:lineRule="auto"/>
        <w:jc w:val="both"/>
        <w:rPr>
          <w:rFonts w:ascii="Times New Roman" w:eastAsia="Times New Roman" w:hAnsi="Times New Roman" w:cs="Times New Roman"/>
        </w:rPr>
      </w:pPr>
    </w:p>
    <w:p w:rsidR="00E70C98" w:rsidRDefault="00E70C98" w:rsidP="00E70C98">
      <w:pPr>
        <w:pStyle w:val="Body"/>
        <w:tabs>
          <w:tab w:val="left" w:pos="426"/>
        </w:tabs>
        <w:spacing w:after="0" w:line="240" w:lineRule="auto"/>
        <w:jc w:val="both"/>
        <w:rPr>
          <w:rFonts w:ascii="Times New Roman" w:eastAsia="Times New Roman" w:hAnsi="Times New Roman" w:cs="Times New Roman"/>
        </w:rPr>
      </w:pPr>
    </w:p>
    <w:p w:rsidR="00E70C98" w:rsidRDefault="00E70C98" w:rsidP="00E70C98">
      <w:pPr>
        <w:pStyle w:val="Body"/>
        <w:tabs>
          <w:tab w:val="left" w:pos="426"/>
        </w:tabs>
        <w:spacing w:after="0" w:line="240" w:lineRule="auto"/>
        <w:jc w:val="both"/>
        <w:rPr>
          <w:rFonts w:ascii="Times New Roman" w:eastAsia="Times New Roman" w:hAnsi="Times New Roman" w:cs="Times New Roman"/>
        </w:rPr>
      </w:pPr>
    </w:p>
    <w:p w:rsidR="00E70C98" w:rsidRPr="001D07B2" w:rsidRDefault="00E70C98" w:rsidP="00E70C98">
      <w:pPr>
        <w:pStyle w:val="Body"/>
        <w:spacing w:after="120" w:line="240" w:lineRule="auto"/>
        <w:jc w:val="center"/>
        <w:rPr>
          <w:rFonts w:ascii="Times New Roman" w:eastAsia="Times New Roman" w:hAnsi="Times New Roman" w:cs="Times New Roman"/>
          <w:sz w:val="20"/>
          <w:szCs w:val="20"/>
        </w:rPr>
      </w:pPr>
      <w:r w:rsidRPr="00C42A9E">
        <w:rPr>
          <w:rFonts w:ascii="Times New Roman" w:eastAsia="Times New Roman" w:hAnsi="Times New Roman" w:cs="Times New Roman"/>
          <w:bCs/>
          <w:sz w:val="20"/>
          <w:szCs w:val="20"/>
        </w:rPr>
        <w:lastRenderedPageBreak/>
        <w:t xml:space="preserve">Table 2. </w:t>
      </w:r>
      <w:r>
        <w:rPr>
          <w:rFonts w:ascii="Times New Roman" w:eastAsia="Times New Roman" w:hAnsi="Times New Roman" w:cs="Times New Roman"/>
          <w:bCs/>
          <w:sz w:val="20"/>
          <w:szCs w:val="20"/>
        </w:rPr>
        <w:t xml:space="preserve">  </w:t>
      </w:r>
      <w:r w:rsidRPr="001D07B2">
        <w:rPr>
          <w:rFonts w:ascii="Times New Roman" w:eastAsia="Times New Roman" w:hAnsi="Times New Roman" w:cs="Times New Roman"/>
          <w:sz w:val="20"/>
          <w:szCs w:val="20"/>
        </w:rPr>
        <w:t>Colorimetric data for auto</w:t>
      </w:r>
      <w:r>
        <w:rPr>
          <w:rFonts w:ascii="Times New Roman" w:eastAsia="Times New Roman" w:hAnsi="Times New Roman" w:cs="Times New Roman"/>
          <w:sz w:val="20"/>
          <w:szCs w:val="20"/>
        </w:rPr>
        <w:t>mobile paints of different colo</w:t>
      </w:r>
      <w:r w:rsidRPr="001D07B2">
        <w:rPr>
          <w:rFonts w:ascii="Times New Roman" w:eastAsia="Times New Roman" w:hAnsi="Times New Roman" w:cs="Times New Roman"/>
          <w:sz w:val="20"/>
          <w:szCs w:val="20"/>
        </w:rPr>
        <w:t>rs</w:t>
      </w:r>
    </w:p>
    <w:tbl>
      <w:tblPr>
        <w:tblW w:w="6235" w:type="dxa"/>
        <w:jc w:val="center"/>
        <w:tblInd w:w="-491" w:type="dxa"/>
        <w:tblLayout w:type="fixed"/>
        <w:tblLook w:val="04A0" w:firstRow="1" w:lastRow="0" w:firstColumn="1" w:lastColumn="0" w:noHBand="0" w:noVBand="1"/>
      </w:tblPr>
      <w:tblGrid>
        <w:gridCol w:w="1489"/>
        <w:gridCol w:w="997"/>
        <w:gridCol w:w="997"/>
        <w:gridCol w:w="997"/>
        <w:gridCol w:w="1755"/>
      </w:tblGrid>
      <w:tr w:rsidR="00E70C98" w:rsidRPr="00E70C98" w:rsidTr="00E70C98">
        <w:trPr>
          <w:trHeight w:val="160"/>
          <w:jc w:val="center"/>
        </w:trPr>
        <w:tc>
          <w:tcPr>
            <w:tcW w:w="1489" w:type="dxa"/>
            <w:tcBorders>
              <w:top w:val="single" w:sz="4" w:space="0" w:color="auto"/>
              <w:bottom w:val="single" w:sz="4" w:space="0" w:color="auto"/>
            </w:tcBorders>
            <w:shd w:val="clear" w:color="auto" w:fill="auto"/>
            <w:tcMar>
              <w:top w:w="80" w:type="dxa"/>
              <w:left w:w="80" w:type="dxa"/>
              <w:bottom w:w="80" w:type="dxa"/>
              <w:right w:w="80" w:type="dxa"/>
            </w:tcMar>
          </w:tcPr>
          <w:p w:rsidR="00E70C98" w:rsidRPr="00E70C98" w:rsidRDefault="00E70C98" w:rsidP="00E70C98">
            <w:pPr>
              <w:pStyle w:val="TableGrid1"/>
              <w:spacing w:before="20" w:after="20"/>
              <w:rPr>
                <w:b/>
              </w:rPr>
            </w:pPr>
            <w:r w:rsidRPr="00E70C98">
              <w:rPr>
                <w:b/>
              </w:rPr>
              <w:t>Colour</w:t>
            </w:r>
          </w:p>
        </w:tc>
        <w:tc>
          <w:tcPr>
            <w:tcW w:w="997" w:type="dxa"/>
            <w:tcBorders>
              <w:top w:val="single" w:sz="4" w:space="0" w:color="auto"/>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spacing w:before="20" w:after="20"/>
              <w:jc w:val="center"/>
              <w:rPr>
                <w:b/>
              </w:rPr>
            </w:pPr>
            <w:r w:rsidRPr="00E70C98">
              <w:rPr>
                <w:b/>
              </w:rPr>
              <w:t>Abs %</w:t>
            </w:r>
          </w:p>
        </w:tc>
        <w:tc>
          <w:tcPr>
            <w:tcW w:w="997" w:type="dxa"/>
            <w:tcBorders>
              <w:top w:val="single" w:sz="4" w:space="0" w:color="auto"/>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spacing w:before="20" w:after="20"/>
              <w:jc w:val="center"/>
              <w:rPr>
                <w:b/>
              </w:rPr>
            </w:pPr>
            <w:r w:rsidRPr="00E70C98">
              <w:rPr>
                <w:b/>
              </w:rPr>
              <w:t>L*</w:t>
            </w:r>
          </w:p>
        </w:tc>
        <w:tc>
          <w:tcPr>
            <w:tcW w:w="997" w:type="dxa"/>
            <w:tcBorders>
              <w:top w:val="single" w:sz="4" w:space="0" w:color="auto"/>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spacing w:before="20" w:after="20"/>
              <w:jc w:val="center"/>
              <w:rPr>
                <w:b/>
              </w:rPr>
            </w:pPr>
            <w:r w:rsidRPr="00E70C98">
              <w:rPr>
                <w:b/>
              </w:rPr>
              <w:t>a*</w:t>
            </w:r>
          </w:p>
        </w:tc>
        <w:tc>
          <w:tcPr>
            <w:tcW w:w="1755" w:type="dxa"/>
            <w:tcBorders>
              <w:top w:val="single" w:sz="4" w:space="0" w:color="auto"/>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spacing w:before="20" w:after="20"/>
              <w:jc w:val="center"/>
              <w:rPr>
                <w:b/>
              </w:rPr>
            </w:pPr>
            <w:r w:rsidRPr="00E70C98">
              <w:rPr>
                <w:b/>
              </w:rPr>
              <w:t>b*</w:t>
            </w:r>
          </w:p>
        </w:tc>
      </w:tr>
      <w:tr w:rsidR="00E70C98" w:rsidRPr="00E70C98" w:rsidTr="00E70C98">
        <w:trPr>
          <w:trHeight w:val="20"/>
          <w:jc w:val="center"/>
        </w:trPr>
        <w:tc>
          <w:tcPr>
            <w:tcW w:w="1489" w:type="dxa"/>
            <w:vMerge w:val="restart"/>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both"/>
            </w:pPr>
            <w:r w:rsidRPr="00E70C98">
              <w:t>Black</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91</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36.3</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w:t>
            </w:r>
          </w:p>
        </w:tc>
        <w:tc>
          <w:tcPr>
            <w:tcW w:w="1755"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-12</w:t>
            </w:r>
          </w:p>
        </w:tc>
      </w:tr>
      <w:tr w:rsidR="00E70C98" w:rsidRPr="00E70C98" w:rsidTr="00E70C98">
        <w:trPr>
          <w:trHeight w:val="20"/>
          <w:jc w:val="center"/>
        </w:trPr>
        <w:tc>
          <w:tcPr>
            <w:tcW w:w="1489" w:type="dxa"/>
            <w:vMerge/>
            <w:shd w:val="clear" w:color="auto" w:fill="auto"/>
          </w:tcPr>
          <w:p w:rsidR="00E70C98" w:rsidRPr="00E70C98" w:rsidRDefault="00E70C98" w:rsidP="00E07776">
            <w:pPr>
              <w:jc w:val="both"/>
              <w:rPr>
                <w:rFonts w:ascii="Times New Roman" w:hAnsi="Times New Roman"/>
                <w:sz w:val="20"/>
                <w:szCs w:val="20"/>
              </w:rPr>
            </w:pP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95</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27.7</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5.5</w:t>
            </w:r>
          </w:p>
        </w:tc>
        <w:tc>
          <w:tcPr>
            <w:tcW w:w="1755"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-21.1</w:t>
            </w:r>
          </w:p>
        </w:tc>
      </w:tr>
      <w:tr w:rsidR="00E70C98" w:rsidRPr="00E70C98" w:rsidTr="00E70C98">
        <w:trPr>
          <w:trHeight w:val="80"/>
          <w:jc w:val="center"/>
        </w:trPr>
        <w:tc>
          <w:tcPr>
            <w:tcW w:w="1489" w:type="dxa"/>
            <w:vMerge/>
            <w:tcBorders>
              <w:bottom w:val="single" w:sz="4" w:space="0" w:color="auto"/>
            </w:tcBorders>
            <w:shd w:val="clear" w:color="auto" w:fill="auto"/>
          </w:tcPr>
          <w:p w:rsidR="00E70C98" w:rsidRPr="00E70C98" w:rsidRDefault="00E70C98" w:rsidP="00E07776">
            <w:pPr>
              <w:jc w:val="both"/>
              <w:rPr>
                <w:rFonts w:ascii="Times New Roman" w:hAnsi="Times New Roman"/>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99</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11</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11.7</w:t>
            </w:r>
          </w:p>
        </w:tc>
        <w:tc>
          <w:tcPr>
            <w:tcW w:w="1755"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-36.2</w:t>
            </w:r>
          </w:p>
        </w:tc>
      </w:tr>
      <w:tr w:rsidR="00E70C98" w:rsidRPr="00E70C98" w:rsidTr="00E70C98">
        <w:trPr>
          <w:trHeight w:val="80"/>
          <w:jc w:val="center"/>
        </w:trPr>
        <w:tc>
          <w:tcPr>
            <w:tcW w:w="1489" w:type="dxa"/>
            <w:vMerge w:val="restart"/>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both"/>
            </w:pPr>
            <w:r w:rsidRPr="00E70C98">
              <w:t>Blue</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93</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34.1</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5.8</w:t>
            </w:r>
          </w:p>
        </w:tc>
        <w:tc>
          <w:tcPr>
            <w:tcW w:w="1755"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-20.7</w:t>
            </w:r>
          </w:p>
        </w:tc>
      </w:tr>
      <w:tr w:rsidR="00E70C98" w:rsidRPr="00E70C98" w:rsidTr="00E70C98">
        <w:trPr>
          <w:trHeight w:val="80"/>
          <w:jc w:val="center"/>
        </w:trPr>
        <w:tc>
          <w:tcPr>
            <w:tcW w:w="1489" w:type="dxa"/>
            <w:vMerge/>
            <w:shd w:val="clear" w:color="auto" w:fill="auto"/>
          </w:tcPr>
          <w:p w:rsidR="00E70C98" w:rsidRPr="00E70C98" w:rsidRDefault="00E70C98" w:rsidP="00E07776">
            <w:pPr>
              <w:jc w:val="both"/>
              <w:rPr>
                <w:rFonts w:ascii="Times New Roman" w:hAnsi="Times New Roman"/>
                <w:sz w:val="20"/>
                <w:szCs w:val="20"/>
              </w:rPr>
            </w:pP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96</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26.7</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7.3</w:t>
            </w:r>
          </w:p>
        </w:tc>
        <w:tc>
          <w:tcPr>
            <w:tcW w:w="1755"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-22.9</w:t>
            </w:r>
          </w:p>
        </w:tc>
      </w:tr>
      <w:tr w:rsidR="00E70C98" w:rsidRPr="00E70C98" w:rsidTr="00E70C98">
        <w:trPr>
          <w:trHeight w:val="80"/>
          <w:jc w:val="center"/>
        </w:trPr>
        <w:tc>
          <w:tcPr>
            <w:tcW w:w="1489" w:type="dxa"/>
            <w:vMerge/>
            <w:tcBorders>
              <w:bottom w:val="single" w:sz="4" w:space="0" w:color="auto"/>
            </w:tcBorders>
            <w:shd w:val="clear" w:color="auto" w:fill="auto"/>
          </w:tcPr>
          <w:p w:rsidR="00E70C98" w:rsidRPr="00E70C98" w:rsidRDefault="00E70C98" w:rsidP="00E07776">
            <w:pPr>
              <w:jc w:val="both"/>
              <w:rPr>
                <w:rFonts w:ascii="Times New Roman" w:hAnsi="Times New Roman"/>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96</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24.2</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7.4</w:t>
            </w:r>
          </w:p>
        </w:tc>
        <w:tc>
          <w:tcPr>
            <w:tcW w:w="1755"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-27.3</w:t>
            </w:r>
          </w:p>
        </w:tc>
      </w:tr>
      <w:tr w:rsidR="00E70C98" w:rsidRPr="00E70C98" w:rsidTr="00E70C98">
        <w:trPr>
          <w:trHeight w:val="80"/>
          <w:jc w:val="center"/>
        </w:trPr>
        <w:tc>
          <w:tcPr>
            <w:tcW w:w="1489" w:type="dxa"/>
            <w:vMerge w:val="restart"/>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both"/>
            </w:pPr>
            <w:r w:rsidRPr="00E70C98">
              <w:t>Red</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89</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48.4</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27.4</w:t>
            </w:r>
          </w:p>
        </w:tc>
        <w:tc>
          <w:tcPr>
            <w:tcW w:w="1755"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0.4</w:t>
            </w:r>
          </w:p>
        </w:tc>
      </w:tr>
      <w:tr w:rsidR="00E70C98" w:rsidRPr="00E70C98" w:rsidTr="00E70C98">
        <w:trPr>
          <w:trHeight w:val="80"/>
          <w:jc w:val="center"/>
        </w:trPr>
        <w:tc>
          <w:tcPr>
            <w:tcW w:w="1489" w:type="dxa"/>
            <w:vMerge/>
            <w:shd w:val="clear" w:color="auto" w:fill="auto"/>
          </w:tcPr>
          <w:p w:rsidR="00E70C98" w:rsidRPr="00E70C98" w:rsidRDefault="00E70C98" w:rsidP="00E07776">
            <w:pPr>
              <w:jc w:val="both"/>
              <w:rPr>
                <w:rFonts w:ascii="Times New Roman" w:hAnsi="Times New Roman"/>
                <w:sz w:val="20"/>
                <w:szCs w:val="20"/>
              </w:rPr>
            </w:pP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95</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46.7</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52.5</w:t>
            </w:r>
          </w:p>
        </w:tc>
        <w:tc>
          <w:tcPr>
            <w:tcW w:w="1755"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11.7</w:t>
            </w:r>
          </w:p>
        </w:tc>
      </w:tr>
      <w:tr w:rsidR="00E70C98" w:rsidRPr="00E70C98" w:rsidTr="00E70C98">
        <w:trPr>
          <w:trHeight w:val="80"/>
          <w:jc w:val="center"/>
        </w:trPr>
        <w:tc>
          <w:tcPr>
            <w:tcW w:w="1489" w:type="dxa"/>
            <w:vMerge/>
            <w:tcBorders>
              <w:bottom w:val="single" w:sz="4" w:space="0" w:color="auto"/>
            </w:tcBorders>
            <w:shd w:val="clear" w:color="auto" w:fill="auto"/>
          </w:tcPr>
          <w:p w:rsidR="00E70C98" w:rsidRPr="00E70C98" w:rsidRDefault="00E70C98" w:rsidP="00E07776">
            <w:pPr>
              <w:jc w:val="both"/>
              <w:rPr>
                <w:rFonts w:ascii="Times New Roman" w:hAnsi="Times New Roman"/>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97</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34.9</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39.3</w:t>
            </w:r>
          </w:p>
        </w:tc>
        <w:tc>
          <w:tcPr>
            <w:tcW w:w="1755"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0.2</w:t>
            </w:r>
          </w:p>
        </w:tc>
      </w:tr>
      <w:tr w:rsidR="00E70C98" w:rsidRPr="00E70C98" w:rsidTr="00E70C98">
        <w:trPr>
          <w:trHeight w:val="80"/>
          <w:jc w:val="center"/>
        </w:trPr>
        <w:tc>
          <w:tcPr>
            <w:tcW w:w="1489" w:type="dxa"/>
            <w:vMerge w:val="restart"/>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both"/>
            </w:pPr>
            <w:r w:rsidRPr="00E70C98">
              <w:t>Silver</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10</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95.6</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-2.9</w:t>
            </w:r>
          </w:p>
        </w:tc>
        <w:tc>
          <w:tcPr>
            <w:tcW w:w="1755"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1.4</w:t>
            </w:r>
          </w:p>
        </w:tc>
      </w:tr>
      <w:tr w:rsidR="00E70C98" w:rsidRPr="00E70C98" w:rsidTr="00E70C98">
        <w:trPr>
          <w:trHeight w:val="80"/>
          <w:jc w:val="center"/>
        </w:trPr>
        <w:tc>
          <w:tcPr>
            <w:tcW w:w="1489" w:type="dxa"/>
            <w:vMerge/>
            <w:shd w:val="clear" w:color="auto" w:fill="auto"/>
          </w:tcPr>
          <w:p w:rsidR="00E70C98" w:rsidRPr="00E70C98" w:rsidRDefault="00E70C98" w:rsidP="00E07776">
            <w:pPr>
              <w:jc w:val="both"/>
              <w:rPr>
                <w:rFonts w:ascii="Times New Roman" w:hAnsi="Times New Roman"/>
                <w:sz w:val="20"/>
                <w:szCs w:val="20"/>
              </w:rPr>
            </w:pP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46</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79.5</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w:t>
            </w:r>
          </w:p>
        </w:tc>
        <w:tc>
          <w:tcPr>
            <w:tcW w:w="1755"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-3.9</w:t>
            </w:r>
          </w:p>
        </w:tc>
      </w:tr>
      <w:tr w:rsidR="00E70C98" w:rsidRPr="00E70C98" w:rsidTr="00E70C98">
        <w:trPr>
          <w:trHeight w:val="80"/>
          <w:jc w:val="center"/>
        </w:trPr>
        <w:tc>
          <w:tcPr>
            <w:tcW w:w="1489" w:type="dxa"/>
            <w:vMerge/>
            <w:tcBorders>
              <w:bottom w:val="single" w:sz="4" w:space="0" w:color="auto"/>
            </w:tcBorders>
            <w:shd w:val="clear" w:color="auto" w:fill="auto"/>
          </w:tcPr>
          <w:p w:rsidR="00E70C98" w:rsidRPr="00E70C98" w:rsidRDefault="00E70C98" w:rsidP="00E07776">
            <w:pPr>
              <w:jc w:val="both"/>
              <w:rPr>
                <w:rFonts w:ascii="Times New Roman" w:hAnsi="Times New Roman"/>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61</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68.4</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-11.1</w:t>
            </w:r>
          </w:p>
        </w:tc>
        <w:tc>
          <w:tcPr>
            <w:tcW w:w="1755"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-5.8</w:t>
            </w:r>
          </w:p>
        </w:tc>
      </w:tr>
      <w:tr w:rsidR="00E70C98" w:rsidRPr="00E70C98" w:rsidTr="00E70C98">
        <w:trPr>
          <w:trHeight w:val="80"/>
          <w:jc w:val="center"/>
        </w:trPr>
        <w:tc>
          <w:tcPr>
            <w:tcW w:w="1489" w:type="dxa"/>
            <w:vMerge w:val="restart"/>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both"/>
            </w:pPr>
            <w:r w:rsidRPr="00E70C98">
              <w:t>White</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8</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96.9</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-0.8</w:t>
            </w:r>
          </w:p>
        </w:tc>
        <w:tc>
          <w:tcPr>
            <w:tcW w:w="1755"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w:t>
            </w:r>
          </w:p>
        </w:tc>
      </w:tr>
      <w:tr w:rsidR="00E70C98" w:rsidRPr="00E70C98" w:rsidTr="00E70C98">
        <w:trPr>
          <w:trHeight w:val="80"/>
          <w:jc w:val="center"/>
        </w:trPr>
        <w:tc>
          <w:tcPr>
            <w:tcW w:w="1489" w:type="dxa"/>
            <w:vMerge/>
            <w:shd w:val="clear" w:color="auto" w:fill="auto"/>
          </w:tcPr>
          <w:p w:rsidR="00E70C98" w:rsidRPr="00E70C98" w:rsidRDefault="00E70C98" w:rsidP="00E07776">
            <w:pPr>
              <w:jc w:val="both"/>
              <w:rPr>
                <w:rFonts w:ascii="Times New Roman" w:hAnsi="Times New Roman"/>
                <w:sz w:val="20"/>
                <w:szCs w:val="20"/>
              </w:rPr>
            </w:pP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27</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88</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w:t>
            </w:r>
          </w:p>
        </w:tc>
        <w:tc>
          <w:tcPr>
            <w:tcW w:w="1755"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3</w:t>
            </w:r>
          </w:p>
        </w:tc>
      </w:tr>
      <w:tr w:rsidR="00E70C98" w:rsidRPr="00E70C98" w:rsidTr="00E70C98">
        <w:trPr>
          <w:trHeight w:val="80"/>
          <w:jc w:val="center"/>
        </w:trPr>
        <w:tc>
          <w:tcPr>
            <w:tcW w:w="1489" w:type="dxa"/>
            <w:vMerge/>
            <w:tcBorders>
              <w:bottom w:val="single" w:sz="4" w:space="0" w:color="auto"/>
            </w:tcBorders>
            <w:shd w:val="clear" w:color="auto" w:fill="auto"/>
          </w:tcPr>
          <w:p w:rsidR="00E70C98" w:rsidRPr="00E70C98" w:rsidRDefault="00E70C98" w:rsidP="00E07776">
            <w:pPr>
              <w:jc w:val="both"/>
              <w:rPr>
                <w:rFonts w:ascii="Times New Roman" w:hAnsi="Times New Roman"/>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33</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86.1</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1.6</w:t>
            </w:r>
          </w:p>
        </w:tc>
        <w:tc>
          <w:tcPr>
            <w:tcW w:w="1755"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-6.2</w:t>
            </w:r>
          </w:p>
        </w:tc>
      </w:tr>
      <w:tr w:rsidR="00E70C98" w:rsidRPr="00E70C98" w:rsidTr="00E70C98">
        <w:trPr>
          <w:trHeight w:val="80"/>
          <w:jc w:val="center"/>
        </w:trPr>
        <w:tc>
          <w:tcPr>
            <w:tcW w:w="1489" w:type="dxa"/>
            <w:vMerge w:val="restart"/>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both"/>
            </w:pPr>
            <w:r w:rsidRPr="00E70C98">
              <w:t>Light Blue</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70</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61.4</w:t>
            </w:r>
          </w:p>
        </w:tc>
        <w:tc>
          <w:tcPr>
            <w:tcW w:w="997"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-7.2</w:t>
            </w:r>
          </w:p>
        </w:tc>
        <w:tc>
          <w:tcPr>
            <w:tcW w:w="1755" w:type="dxa"/>
            <w:tcBorders>
              <w:top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-22.4</w:t>
            </w:r>
          </w:p>
        </w:tc>
      </w:tr>
      <w:tr w:rsidR="00E70C98" w:rsidRPr="00E70C98" w:rsidTr="00E70C98">
        <w:trPr>
          <w:trHeight w:val="80"/>
          <w:jc w:val="center"/>
        </w:trPr>
        <w:tc>
          <w:tcPr>
            <w:tcW w:w="1489" w:type="dxa"/>
            <w:vMerge/>
            <w:shd w:val="clear" w:color="auto" w:fill="auto"/>
          </w:tcPr>
          <w:p w:rsidR="00E70C98" w:rsidRPr="00E70C98" w:rsidRDefault="00E70C98" w:rsidP="00E07776">
            <w:pPr>
              <w:jc w:val="both"/>
              <w:rPr>
                <w:rFonts w:ascii="Times New Roman" w:hAnsi="Times New Roman"/>
                <w:sz w:val="20"/>
                <w:szCs w:val="20"/>
              </w:rPr>
            </w:pP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72</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61.5</w:t>
            </w:r>
          </w:p>
        </w:tc>
        <w:tc>
          <w:tcPr>
            <w:tcW w:w="997"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2.3</w:t>
            </w:r>
          </w:p>
        </w:tc>
        <w:tc>
          <w:tcPr>
            <w:tcW w:w="1755" w:type="dxa"/>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-20.2</w:t>
            </w:r>
          </w:p>
        </w:tc>
      </w:tr>
      <w:tr w:rsidR="00E70C98" w:rsidRPr="00E70C98" w:rsidTr="00E70C98">
        <w:trPr>
          <w:trHeight w:val="80"/>
          <w:jc w:val="center"/>
        </w:trPr>
        <w:tc>
          <w:tcPr>
            <w:tcW w:w="1489" w:type="dxa"/>
            <w:vMerge/>
            <w:tcBorders>
              <w:bottom w:val="single" w:sz="4" w:space="0" w:color="auto"/>
            </w:tcBorders>
            <w:shd w:val="clear" w:color="auto" w:fill="auto"/>
          </w:tcPr>
          <w:p w:rsidR="00E70C98" w:rsidRPr="00E70C98" w:rsidRDefault="00E70C98" w:rsidP="00E07776">
            <w:pPr>
              <w:jc w:val="both"/>
              <w:rPr>
                <w:rFonts w:ascii="Times New Roman" w:hAnsi="Times New Roman"/>
                <w:sz w:val="20"/>
                <w:szCs w:val="20"/>
              </w:rPr>
            </w:pP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77</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57.5</w:t>
            </w:r>
          </w:p>
        </w:tc>
        <w:tc>
          <w:tcPr>
            <w:tcW w:w="997"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1.5</w:t>
            </w:r>
          </w:p>
        </w:tc>
        <w:tc>
          <w:tcPr>
            <w:tcW w:w="1755" w:type="dxa"/>
            <w:tcBorders>
              <w:bottom w:val="single" w:sz="4" w:space="0" w:color="auto"/>
            </w:tcBorders>
            <w:shd w:val="clear" w:color="auto" w:fill="auto"/>
            <w:tcMar>
              <w:top w:w="80" w:type="dxa"/>
              <w:left w:w="80" w:type="dxa"/>
              <w:bottom w:w="80" w:type="dxa"/>
              <w:right w:w="80" w:type="dxa"/>
            </w:tcMar>
          </w:tcPr>
          <w:p w:rsidR="00E70C98" w:rsidRPr="00E70C98" w:rsidRDefault="00E70C98" w:rsidP="00E07776">
            <w:pPr>
              <w:pStyle w:val="TableGrid1"/>
              <w:jc w:val="center"/>
            </w:pPr>
            <w:r w:rsidRPr="00E70C98">
              <w:t>-26.5</w:t>
            </w:r>
          </w:p>
        </w:tc>
      </w:tr>
    </w:tbl>
    <w:p w:rsidR="00E70C98" w:rsidRDefault="00E70C98" w:rsidP="00E70C98">
      <w:pPr>
        <w:pStyle w:val="Body"/>
        <w:spacing w:before="60" w:after="0" w:line="240" w:lineRule="auto"/>
        <w:ind w:firstLine="1526"/>
        <w:rPr>
          <w:rFonts w:ascii="Times New Roman" w:eastAsia="Times New Roman" w:hAnsi="Times New Roman" w:cs="Times New Roman"/>
          <w:b/>
          <w:bCs/>
        </w:rPr>
      </w:pPr>
      <w:r w:rsidRPr="003B63AC">
        <w:rPr>
          <w:rFonts w:ascii="Times New Roman" w:eastAsia="Times New Roman" w:hAnsi="Times New Roman" w:cs="Times New Roman"/>
          <w:color w:val="000000" w:themeColor="text1"/>
          <w:sz w:val="18"/>
          <w:szCs w:val="20"/>
        </w:rPr>
        <w:t>L*: luminosity value, a*: degree of redness and b*: degree of yellowness</w:t>
      </w:r>
    </w:p>
    <w:p w:rsidR="00E70C98" w:rsidRDefault="00E70C98" w:rsidP="00E70C98">
      <w:pPr>
        <w:pStyle w:val="Body"/>
        <w:tabs>
          <w:tab w:val="left" w:pos="426"/>
        </w:tabs>
        <w:spacing w:after="0" w:line="240" w:lineRule="auto"/>
        <w:jc w:val="both"/>
        <w:rPr>
          <w:rFonts w:ascii="Times New Roman" w:eastAsia="Times New Roman" w:hAnsi="Times New Roman" w:cs="Times New Roman"/>
          <w:b/>
          <w:bCs/>
          <w:sz w:val="20"/>
          <w:szCs w:val="20"/>
        </w:rPr>
      </w:pPr>
    </w:p>
    <w:p w:rsidR="00E70C98" w:rsidRDefault="00E70C98" w:rsidP="00E70C98">
      <w:pPr>
        <w:pStyle w:val="Body"/>
        <w:tabs>
          <w:tab w:val="left" w:pos="426"/>
        </w:tabs>
        <w:spacing w:after="0" w:line="240" w:lineRule="auto"/>
        <w:jc w:val="both"/>
        <w:rPr>
          <w:rFonts w:ascii="Times New Roman" w:eastAsia="Times New Roman" w:hAnsi="Times New Roman" w:cs="Times New Roman"/>
          <w:b/>
          <w:bCs/>
          <w:sz w:val="20"/>
          <w:szCs w:val="20"/>
        </w:rPr>
      </w:pPr>
    </w:p>
    <w:p w:rsidR="00E70C98" w:rsidRPr="001D07B2" w:rsidRDefault="00E70C98" w:rsidP="00E70C98">
      <w:pPr>
        <w:pStyle w:val="Body"/>
        <w:tabs>
          <w:tab w:val="left" w:pos="426"/>
        </w:tabs>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Chemometric Analysis</w:t>
      </w:r>
      <w:r>
        <w:rPr>
          <w:rFonts w:ascii="Times New Roman" w:eastAsia="Times New Roman" w:hAnsi="Times New Roman" w:cs="Times New Roman"/>
          <w:b/>
          <w:bCs/>
          <w:sz w:val="20"/>
          <w:szCs w:val="20"/>
        </w:rPr>
        <w:t xml:space="preserve">: </w:t>
      </w:r>
      <w:r w:rsidRPr="001D07B2">
        <w:rPr>
          <w:rFonts w:ascii="Times New Roman" w:eastAsia="Times New Roman" w:hAnsi="Times New Roman" w:cs="Times New Roman"/>
          <w:b/>
          <w:bCs/>
          <w:sz w:val="20"/>
          <w:szCs w:val="20"/>
        </w:rPr>
        <w:t>Principal component analysis (PCA)</w:t>
      </w:r>
    </w:p>
    <w:p w:rsidR="00E70C98" w:rsidRPr="00C25869" w:rsidRDefault="00E70C98" w:rsidP="00E70C98">
      <w:pPr>
        <w:pStyle w:val="Body"/>
        <w:spacing w:after="0" w:line="240" w:lineRule="auto"/>
        <w:jc w:val="both"/>
        <w:rPr>
          <w:rFonts w:ascii="Times New Roman" w:eastAsia="Times New Roman" w:hAnsi="Times New Roman" w:cs="Times New Roman"/>
          <w:b/>
          <w:bCs/>
          <w:color w:val="auto"/>
          <w:sz w:val="20"/>
          <w:szCs w:val="20"/>
        </w:rPr>
      </w:pPr>
      <w:r w:rsidRPr="001D07B2">
        <w:rPr>
          <w:rFonts w:ascii="Times New Roman" w:hAnsi="Times New Roman" w:cs="Times New Roman"/>
          <w:sz w:val="20"/>
          <w:szCs w:val="20"/>
        </w:rPr>
        <w:t xml:space="preserve">PCA is the most powerful pattern recognition technique that is usually coupled with HACA. It provides information on the most significant parameters, which describes the whole data set by excluding the less significant parameters with minimum loss of original information </w:t>
      </w:r>
      <w:r>
        <w:rPr>
          <w:rFonts w:ascii="Times New Roman" w:hAnsi="Times New Roman" w:cs="Times New Roman"/>
          <w:sz w:val="20"/>
          <w:szCs w:val="20"/>
        </w:rPr>
        <w:t>[19-21]</w:t>
      </w:r>
      <w:r w:rsidRPr="001D07B2">
        <w:rPr>
          <w:rFonts w:ascii="Times New Roman" w:hAnsi="Times New Roman" w:cs="Times New Roman"/>
          <w:sz w:val="20"/>
          <w:szCs w:val="20"/>
        </w:rPr>
        <w:t>. In this study, PCA was applied to the colorimetric data sets to compare the compositional patterns between the automobile paint samples and to identify the factors that influence their variation. PCA of the automobile paint samples data revealed that 95.58% of the total variance in the data was accounted for in the first two P</w:t>
      </w:r>
      <w:r>
        <w:rPr>
          <w:rFonts w:ascii="Times New Roman" w:hAnsi="Times New Roman" w:cs="Times New Roman"/>
          <w:sz w:val="20"/>
          <w:szCs w:val="20"/>
        </w:rPr>
        <w:t>Cs. Figure 2a shows the 2-dimens</w:t>
      </w:r>
      <w:r w:rsidRPr="001D07B2">
        <w:rPr>
          <w:rFonts w:ascii="Times New Roman" w:hAnsi="Times New Roman" w:cs="Times New Roman"/>
          <w:sz w:val="20"/>
          <w:szCs w:val="20"/>
        </w:rPr>
        <w:t>ional scores plot, which is a plot of the projected sample using PC1 and PC2 as a new coordinate system, revealed 5 distinct classes are present based on the colour of the automobile paints (red, black + blue, ligh</w:t>
      </w:r>
      <w:r>
        <w:rPr>
          <w:rFonts w:ascii="Times New Roman" w:hAnsi="Times New Roman" w:cs="Times New Roman"/>
          <w:sz w:val="20"/>
          <w:szCs w:val="20"/>
        </w:rPr>
        <w:t xml:space="preserve">t blue, silver, silver + white. </w:t>
      </w:r>
      <w:r w:rsidRPr="00C25869">
        <w:rPr>
          <w:rFonts w:ascii="Times New Roman" w:hAnsi="Times New Roman" w:cs="Times New Roman"/>
          <w:color w:val="auto"/>
          <w:sz w:val="20"/>
          <w:szCs w:val="20"/>
        </w:rPr>
        <w:t>The first PC (F1) accounting for 58.53% of the total variance was correlated with absorbance value, reflectance value, luminosity value (absorbance) and luminosity value (reflectance). The second PC (PC2) accounting for 37.06% of the total variance was correlated with degree of redness (absorbance), degree of redness (reflectance), degree of yellowness (absorbance) and degree of yellowness (reflectance).</w:t>
      </w:r>
      <w:r w:rsidRPr="00C25869">
        <w:rPr>
          <w:rFonts w:ascii="Times New Roman" w:eastAsia="Times New Roman" w:hAnsi="Times New Roman" w:cs="Times New Roman"/>
          <w:b/>
          <w:bCs/>
          <w:color w:val="auto"/>
          <w:sz w:val="20"/>
          <w:szCs w:val="20"/>
        </w:rPr>
        <w:t xml:space="preserve"> </w:t>
      </w:r>
      <w:r w:rsidRPr="00C25869">
        <w:rPr>
          <w:rFonts w:ascii="Times New Roman" w:eastAsia="Times New Roman" w:hAnsi="Times New Roman" w:cs="Times New Roman"/>
          <w:color w:val="auto"/>
          <w:sz w:val="20"/>
          <w:szCs w:val="20"/>
        </w:rPr>
        <w:t xml:space="preserve">The scree plot (Figure 2b) was used to identify the number of PCs to be retained in order to comprehend the underlying data structure [16,20,22]. In the present study, the scree plot showed a pronounced change of slope after the second principal component. (F2). </w:t>
      </w:r>
    </w:p>
    <w:p w:rsidR="00E70C98" w:rsidRDefault="00E70C98" w:rsidP="00E70C98">
      <w:pPr>
        <w:pStyle w:val="Body"/>
        <w:spacing w:after="0" w:line="240" w:lineRule="auto"/>
        <w:jc w:val="both"/>
        <w:rPr>
          <w:rFonts w:ascii="Times New Roman" w:eastAsia="Times New Roman" w:hAnsi="Times New Roman" w:cs="Times New Roman"/>
          <w:color w:val="auto"/>
        </w:rPr>
      </w:pPr>
    </w:p>
    <w:p w:rsidR="00C77975" w:rsidRDefault="00C77975" w:rsidP="00E70C98">
      <w:pPr>
        <w:pStyle w:val="Body"/>
        <w:spacing w:after="0" w:line="240" w:lineRule="auto"/>
        <w:jc w:val="both"/>
        <w:rPr>
          <w:rFonts w:ascii="Times New Roman" w:eastAsia="Times New Roman" w:hAnsi="Times New Roman" w:cs="Times New Roman"/>
          <w:color w:val="auto"/>
        </w:rPr>
      </w:pPr>
    </w:p>
    <w:p w:rsidR="00C77975" w:rsidRPr="00C25869" w:rsidRDefault="00C77975" w:rsidP="00E70C98">
      <w:pPr>
        <w:pStyle w:val="Body"/>
        <w:spacing w:after="0" w:line="240" w:lineRule="auto"/>
        <w:jc w:val="both"/>
        <w:rPr>
          <w:rFonts w:ascii="Times New Roman" w:eastAsia="Times New Roman" w:hAnsi="Times New Roman" w:cs="Times New Roman"/>
          <w:color w:val="auto"/>
        </w:rPr>
      </w:pPr>
    </w:p>
    <w:p w:rsidR="00E70C98" w:rsidRDefault="00E70C98" w:rsidP="00E70C98">
      <w:pPr>
        <w:pStyle w:val="Body"/>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US"/>
        </w:rPr>
        <w:drawing>
          <wp:inline distT="0" distB="0" distL="0" distR="0" wp14:anchorId="1ACC48AD" wp14:editId="2A0CCF5E">
            <wp:extent cx="5534025" cy="2886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ROZIT.png"/>
                    <pic:cNvPicPr/>
                  </pic:nvPicPr>
                  <pic:blipFill>
                    <a:blip r:embed="rId11">
                      <a:extLst>
                        <a:ext uri="{28A0092B-C50C-407E-A947-70E740481C1C}">
                          <a14:useLocalDpi xmlns:a14="http://schemas.microsoft.com/office/drawing/2010/main" val="0"/>
                        </a:ext>
                      </a:extLst>
                    </a:blip>
                    <a:stretch>
                      <a:fillRect/>
                    </a:stretch>
                  </pic:blipFill>
                  <pic:spPr>
                    <a:xfrm>
                      <a:off x="0" y="0"/>
                      <a:ext cx="5540113" cy="2889250"/>
                    </a:xfrm>
                    <a:prstGeom prst="rect">
                      <a:avLst/>
                    </a:prstGeom>
                  </pic:spPr>
                </pic:pic>
              </a:graphicData>
            </a:graphic>
          </wp:inline>
        </w:drawing>
      </w:r>
    </w:p>
    <w:p w:rsidR="00E70C98" w:rsidRDefault="00E70C98" w:rsidP="00E70C98">
      <w:pPr>
        <w:pStyle w:val="Body"/>
        <w:spacing w:after="0" w:line="240" w:lineRule="auto"/>
        <w:ind w:firstLine="720"/>
        <w:jc w:val="center"/>
        <w:rPr>
          <w:rFonts w:ascii="Times New Roman" w:eastAsia="Times New Roman" w:hAnsi="Times New Roman" w:cs="Times New Roman"/>
        </w:rPr>
      </w:pPr>
    </w:p>
    <w:p w:rsidR="00E70C98" w:rsidRPr="003B63AC" w:rsidRDefault="00E70C98" w:rsidP="00E70C98">
      <w:pPr>
        <w:pStyle w:val="Body"/>
        <w:spacing w:after="0" w:line="240" w:lineRule="auto"/>
        <w:ind w:firstLine="720"/>
        <w:jc w:val="center"/>
        <w:rPr>
          <w:rFonts w:ascii="Times New Roman" w:eastAsia="Times New Roman" w:hAnsi="Times New Roman" w:cs="Times New Roman"/>
        </w:rPr>
      </w:pPr>
    </w:p>
    <w:p w:rsidR="00E70C98" w:rsidRDefault="00E70C98" w:rsidP="00E70C98">
      <w:pPr>
        <w:pStyle w:val="Body"/>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US"/>
        </w:rPr>
        <w:drawing>
          <wp:inline distT="0" distB="0" distL="0" distR="0" wp14:anchorId="487C1DAB" wp14:editId="5C8AFEC3">
            <wp:extent cx="4638675" cy="2400300"/>
            <wp:effectExtent l="0" t="0" r="9525"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2.png"/>
                    <pic:cNvPicPr/>
                  </pic:nvPicPr>
                  <pic:blipFill>
                    <a:blip r:embed="rId12">
                      <a:extLst>
                        <a:ext uri="{28A0092B-C50C-407E-A947-70E740481C1C}">
                          <a14:useLocalDpi xmlns:a14="http://schemas.microsoft.com/office/drawing/2010/main" val="0"/>
                        </a:ext>
                      </a:extLst>
                    </a:blip>
                    <a:stretch>
                      <a:fillRect/>
                    </a:stretch>
                  </pic:blipFill>
                  <pic:spPr>
                    <a:xfrm>
                      <a:off x="0" y="0"/>
                      <a:ext cx="4648888" cy="2405585"/>
                    </a:xfrm>
                    <a:prstGeom prst="rect">
                      <a:avLst/>
                    </a:prstGeom>
                    <a:noFill/>
                    <a:ln>
                      <a:noFill/>
                    </a:ln>
                    <a:effectLst/>
                    <a:extLst/>
                  </pic:spPr>
                </pic:pic>
              </a:graphicData>
            </a:graphic>
          </wp:inline>
        </w:drawing>
      </w:r>
    </w:p>
    <w:p w:rsidR="00E70C98" w:rsidRDefault="00E70C98" w:rsidP="00E70C98">
      <w:pPr>
        <w:pStyle w:val="Body"/>
        <w:spacing w:after="0" w:line="240" w:lineRule="auto"/>
        <w:ind w:firstLine="720"/>
        <w:jc w:val="center"/>
        <w:rPr>
          <w:rFonts w:ascii="Times New Roman" w:eastAsia="Times New Roman" w:hAnsi="Times New Roman" w:cs="Times New Roman"/>
        </w:rPr>
      </w:pPr>
    </w:p>
    <w:p w:rsidR="00E70C98" w:rsidRDefault="00E70C98" w:rsidP="00E70C98">
      <w:pPr>
        <w:pStyle w:val="Body"/>
        <w:spacing w:after="0" w:line="240" w:lineRule="auto"/>
        <w:jc w:val="center"/>
        <w:rPr>
          <w:rFonts w:ascii="Times New Roman" w:eastAsia="Times New Roman" w:hAnsi="Times New Roman" w:cs="Times New Roman"/>
          <w:sz w:val="20"/>
          <w:szCs w:val="20"/>
        </w:rPr>
      </w:pPr>
    </w:p>
    <w:p w:rsidR="00E70C98" w:rsidRPr="001D07B2" w:rsidRDefault="00E70C98" w:rsidP="00E70C98">
      <w:pPr>
        <w:pStyle w:val="Body"/>
        <w:spacing w:after="0" w:line="240" w:lineRule="auto"/>
        <w:ind w:left="900" w:hanging="900"/>
        <w:jc w:val="both"/>
        <w:rPr>
          <w:rFonts w:ascii="Times New Roman" w:eastAsia="Times New Roman" w:hAnsi="Times New Roman" w:cs="Times New Roman"/>
          <w:sz w:val="20"/>
          <w:szCs w:val="20"/>
        </w:rPr>
      </w:pPr>
      <w:r w:rsidRPr="00BE2F94">
        <w:rPr>
          <w:rFonts w:ascii="Times New Roman" w:eastAsia="Times New Roman" w:hAnsi="Times New Roman" w:cs="Times New Roman"/>
          <w:bCs/>
          <w:sz w:val="20"/>
          <w:szCs w:val="20"/>
        </w:rPr>
        <w:t>Figure 1.</w:t>
      </w:r>
      <w:r w:rsidRPr="001D07B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ab/>
      </w:r>
      <w:r w:rsidRPr="001D07B2">
        <w:rPr>
          <w:rFonts w:ascii="Times New Roman" w:eastAsia="Times New Roman" w:hAnsi="Times New Roman" w:cs="Times New Roman"/>
          <w:sz w:val="20"/>
          <w:szCs w:val="20"/>
        </w:rPr>
        <w:t>PCA (a) loadings and (b) scree plot for the first two principal components obtained for all automobile paints.</w:t>
      </w:r>
    </w:p>
    <w:p w:rsidR="006768E9" w:rsidRDefault="006768E9" w:rsidP="00E70C98">
      <w:pPr>
        <w:spacing w:after="0" w:line="240" w:lineRule="auto"/>
        <w:jc w:val="both"/>
        <w:rPr>
          <w:rFonts w:ascii="Times New Roman" w:hAnsi="Times New Roman"/>
          <w:noProof/>
          <w:sz w:val="20"/>
          <w:szCs w:val="20"/>
          <w:lang w:bidi="ar-SA"/>
        </w:rPr>
      </w:pPr>
    </w:p>
    <w:p w:rsidR="00E70C98" w:rsidRDefault="00E70C98" w:rsidP="00E70C98">
      <w:pPr>
        <w:spacing w:after="0" w:line="240" w:lineRule="auto"/>
        <w:jc w:val="both"/>
        <w:rPr>
          <w:rFonts w:ascii="Times New Roman" w:hAnsi="Times New Roman"/>
          <w:noProof/>
          <w:sz w:val="20"/>
          <w:szCs w:val="20"/>
          <w:lang w:bidi="ar-SA"/>
        </w:rPr>
      </w:pPr>
    </w:p>
    <w:p w:rsidR="00E70C98" w:rsidRPr="007965FD" w:rsidRDefault="00E70C98" w:rsidP="00E70C98">
      <w:pPr>
        <w:pStyle w:val="Body"/>
        <w:spacing w:after="0" w:line="240" w:lineRule="auto"/>
        <w:jc w:val="both"/>
        <w:rPr>
          <w:rFonts w:ascii="Times New Roman" w:eastAsia="Times New Roman" w:hAnsi="Times New Roman" w:cs="Times New Roman"/>
          <w:color w:val="auto"/>
          <w:sz w:val="20"/>
          <w:szCs w:val="20"/>
        </w:rPr>
      </w:pPr>
      <w:r w:rsidRPr="007965FD">
        <w:rPr>
          <w:rFonts w:ascii="Times New Roman" w:eastAsia="Times New Roman" w:hAnsi="Times New Roman" w:cs="Times New Roman"/>
          <w:color w:val="auto"/>
          <w:sz w:val="20"/>
          <w:szCs w:val="20"/>
        </w:rPr>
        <w:t xml:space="preserve">Based on PCA results, only the two principal components with eigenvalue &gt;1 </w:t>
      </w:r>
      <w:r>
        <w:rPr>
          <w:rFonts w:ascii="Times New Roman" w:eastAsia="Times New Roman" w:hAnsi="Times New Roman" w:cs="Times New Roman"/>
          <w:color w:val="auto"/>
          <w:sz w:val="20"/>
          <w:szCs w:val="20"/>
        </w:rPr>
        <w:t xml:space="preserve">was </w:t>
      </w:r>
      <w:r w:rsidRPr="007965FD">
        <w:rPr>
          <w:rFonts w:ascii="Times New Roman" w:eastAsia="Times New Roman" w:hAnsi="Times New Roman" w:cs="Times New Roman"/>
          <w:color w:val="auto"/>
          <w:sz w:val="20"/>
          <w:szCs w:val="20"/>
        </w:rPr>
        <w:t xml:space="preserve">considered to perform varimax rotations. The parameter loading for the two components from PCA of the data sets after varimax rotation (VFs) is given in Table 3. Rotation of the axis defined by PCA produced a new set of factors, each one involving primarily a subset of the original variables with as little overlap as possible, so that the original variables are divided into groups somewhat independent of each other. Thus, factor analysis of the present data set of automobile paints further reduced the contribution of less significant variables obtained from PCA. Liu et al. (2003) classified the </w:t>
      </w:r>
      <w:r w:rsidRPr="007965FD">
        <w:rPr>
          <w:rFonts w:ascii="Times New Roman" w:eastAsia="Times New Roman" w:hAnsi="Times New Roman" w:cs="Times New Roman"/>
          <w:color w:val="auto"/>
          <w:sz w:val="20"/>
          <w:szCs w:val="20"/>
        </w:rPr>
        <w:lastRenderedPageBreak/>
        <w:t xml:space="preserve">factor loadings as ‘strong’, ‘moderate’ and ‘weak’ corresponding to absolute loading values of &gt; 0.75, 0.75-0.50 and 0.50-0.30, respectively. </w:t>
      </w:r>
    </w:p>
    <w:p w:rsidR="00E70C98" w:rsidRPr="007965FD" w:rsidRDefault="00E70C98" w:rsidP="00E70C98">
      <w:pPr>
        <w:pStyle w:val="Body"/>
        <w:spacing w:after="0" w:line="240" w:lineRule="auto"/>
        <w:jc w:val="both"/>
        <w:rPr>
          <w:rFonts w:ascii="Times New Roman" w:eastAsia="Times New Roman" w:hAnsi="Times New Roman" w:cs="Times New Roman"/>
          <w:color w:val="auto"/>
          <w:sz w:val="20"/>
          <w:szCs w:val="20"/>
        </w:rPr>
      </w:pPr>
    </w:p>
    <w:p w:rsidR="00E70C98" w:rsidRPr="007965FD" w:rsidRDefault="00E70C98" w:rsidP="00E70C98">
      <w:pPr>
        <w:pStyle w:val="Body"/>
        <w:spacing w:after="0" w:line="240" w:lineRule="auto"/>
        <w:jc w:val="both"/>
        <w:rPr>
          <w:rFonts w:ascii="Times New Roman" w:eastAsia="Times New Roman" w:hAnsi="Times New Roman" w:cs="Times New Roman"/>
          <w:color w:val="auto"/>
          <w:sz w:val="20"/>
          <w:szCs w:val="20"/>
        </w:rPr>
      </w:pPr>
      <w:r w:rsidRPr="007965FD">
        <w:rPr>
          <w:rFonts w:ascii="Times New Roman" w:eastAsia="Times New Roman" w:hAnsi="Times New Roman" w:cs="Times New Roman"/>
          <w:color w:val="auto"/>
          <w:sz w:val="20"/>
          <w:szCs w:val="20"/>
        </w:rPr>
        <w:t>VF1, which explains 58.51% of total variance has strong positive loadings on reflectance value (ref %), luminosity value (absorbance), (abs L) and luminosity value (reflectance), (ref L) and strong negative loading on absorbance value (abs %), which can be interpreted as the importa</w:t>
      </w:r>
      <w:r>
        <w:rPr>
          <w:rFonts w:ascii="Times New Roman" w:eastAsia="Times New Roman" w:hAnsi="Times New Roman" w:cs="Times New Roman"/>
          <w:color w:val="auto"/>
          <w:sz w:val="20"/>
          <w:szCs w:val="20"/>
        </w:rPr>
        <w:t>nt factors to classify the colo</w:t>
      </w:r>
      <w:r w:rsidRPr="007965FD">
        <w:rPr>
          <w:rFonts w:ascii="Times New Roman" w:eastAsia="Times New Roman" w:hAnsi="Times New Roman" w:cs="Times New Roman"/>
          <w:color w:val="auto"/>
          <w:sz w:val="20"/>
          <w:szCs w:val="20"/>
        </w:rPr>
        <w:t xml:space="preserve">r of automobile paint samples. VF2, which explain 37.07% of total variance has strong positive loadings on degree of redness (absorbance) (abs A), degree of redness (reflectance) (red A), degree of yellowness (absorbance) (abs B) and degree of yellowness (reflectance) (ref B). </w:t>
      </w:r>
    </w:p>
    <w:p w:rsidR="00E70C98" w:rsidRDefault="00E70C98" w:rsidP="00E70C98">
      <w:pPr>
        <w:pStyle w:val="Body"/>
        <w:spacing w:after="0" w:line="240" w:lineRule="auto"/>
        <w:jc w:val="both"/>
        <w:rPr>
          <w:rFonts w:ascii="Times New Roman" w:eastAsia="Times New Roman" w:hAnsi="Times New Roman" w:cs="Times New Roman"/>
          <w:strike/>
          <w:color w:val="FF0000"/>
          <w:sz w:val="20"/>
          <w:szCs w:val="20"/>
        </w:rPr>
      </w:pPr>
    </w:p>
    <w:p w:rsidR="00E70C98" w:rsidRPr="00FA4C62" w:rsidRDefault="00E70C98" w:rsidP="00E70C98">
      <w:pPr>
        <w:pStyle w:val="Body"/>
        <w:spacing w:after="0" w:line="240" w:lineRule="auto"/>
        <w:jc w:val="both"/>
        <w:rPr>
          <w:rFonts w:ascii="Times New Roman" w:eastAsia="Times New Roman" w:hAnsi="Times New Roman" w:cs="Times New Roman"/>
          <w:strike/>
          <w:color w:val="FF0000"/>
          <w:sz w:val="20"/>
          <w:szCs w:val="20"/>
        </w:rPr>
      </w:pPr>
    </w:p>
    <w:p w:rsidR="00E70C98" w:rsidRPr="00E70C98" w:rsidRDefault="00E70C98" w:rsidP="00E70C98">
      <w:pPr>
        <w:pStyle w:val="Body"/>
        <w:spacing w:after="120" w:line="240" w:lineRule="auto"/>
        <w:jc w:val="center"/>
        <w:rPr>
          <w:rFonts w:ascii="Times New Roman" w:eastAsia="Times New Roman" w:hAnsi="Times New Roman" w:cs="Times New Roman"/>
          <w:color w:val="auto"/>
          <w:sz w:val="20"/>
          <w:szCs w:val="20"/>
        </w:rPr>
      </w:pPr>
      <w:r w:rsidRPr="00BE2F94">
        <w:rPr>
          <w:rFonts w:ascii="Times New Roman" w:eastAsia="Times New Roman" w:hAnsi="Times New Roman" w:cs="Times New Roman"/>
          <w:bCs/>
          <w:color w:val="auto"/>
          <w:sz w:val="20"/>
          <w:szCs w:val="20"/>
        </w:rPr>
        <w:t>Table 3.</w:t>
      </w:r>
      <w:r w:rsidRPr="00682EDA">
        <w:rPr>
          <w:rFonts w:ascii="Times New Roman" w:eastAsia="Times New Roman" w:hAnsi="Times New Roman" w:cs="Times New Roman"/>
          <w:b/>
          <w:bCs/>
          <w:color w:val="auto"/>
          <w:sz w:val="20"/>
          <w:szCs w:val="20"/>
        </w:rPr>
        <w:t xml:space="preserve"> </w:t>
      </w:r>
      <w:r>
        <w:rPr>
          <w:rFonts w:ascii="Times New Roman" w:eastAsia="Times New Roman" w:hAnsi="Times New Roman" w:cs="Times New Roman"/>
          <w:b/>
          <w:bCs/>
          <w:color w:val="auto"/>
          <w:sz w:val="20"/>
          <w:szCs w:val="20"/>
        </w:rPr>
        <w:t xml:space="preserve"> </w:t>
      </w:r>
      <w:r w:rsidRPr="00682EDA">
        <w:rPr>
          <w:rFonts w:ascii="Times New Roman" w:eastAsia="Times New Roman" w:hAnsi="Times New Roman" w:cs="Times New Roman"/>
          <w:color w:val="auto"/>
          <w:sz w:val="20"/>
          <w:szCs w:val="20"/>
        </w:rPr>
        <w:t>Loadings of VSC data sets on the first two rotated PCs for automobile paint samples</w:t>
      </w:r>
    </w:p>
    <w:tbl>
      <w:tblPr>
        <w:tblStyle w:val="TableGrid"/>
        <w:tblW w:w="0" w:type="auto"/>
        <w:jc w:val="center"/>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744"/>
        <w:gridCol w:w="3118"/>
      </w:tblGrid>
      <w:tr w:rsidR="00E70C98" w:rsidRPr="00682EDA" w:rsidTr="00C77975">
        <w:trPr>
          <w:trHeight w:val="270"/>
          <w:jc w:val="center"/>
        </w:trPr>
        <w:tc>
          <w:tcPr>
            <w:tcW w:w="2977" w:type="dxa"/>
            <w:tcBorders>
              <w:top w:val="single" w:sz="4" w:space="0" w:color="auto"/>
              <w:bottom w:val="single" w:sz="4" w:space="0" w:color="auto"/>
            </w:tcBorders>
          </w:tcPr>
          <w:p w:rsidR="00E70C98" w:rsidRPr="00BE2F94"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60" w:line="240" w:lineRule="auto"/>
              <w:ind w:left="743" w:right="-584"/>
              <w:jc w:val="both"/>
              <w:rPr>
                <w:rFonts w:ascii="Times New Roman" w:eastAsia="Times New Roman" w:hAnsi="Times New Roman" w:cs="Times New Roman"/>
                <w:b/>
                <w:color w:val="auto"/>
                <w:sz w:val="20"/>
                <w:szCs w:val="20"/>
              </w:rPr>
            </w:pPr>
            <w:r w:rsidRPr="00BE2F94">
              <w:rPr>
                <w:rFonts w:ascii="Times New Roman" w:eastAsia="Times New Roman" w:hAnsi="Times New Roman" w:cs="Times New Roman"/>
                <w:b/>
                <w:color w:val="auto"/>
                <w:sz w:val="20"/>
                <w:szCs w:val="20"/>
              </w:rPr>
              <w:t>Variables</w:t>
            </w:r>
          </w:p>
        </w:tc>
        <w:tc>
          <w:tcPr>
            <w:tcW w:w="2744" w:type="dxa"/>
            <w:tcBorders>
              <w:top w:val="single" w:sz="4" w:space="0" w:color="auto"/>
              <w:bottom w:val="single" w:sz="4" w:space="0" w:color="auto"/>
            </w:tcBorders>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60" w:line="240" w:lineRule="auto"/>
              <w:ind w:left="1335" w:right="373"/>
              <w:jc w:val="both"/>
              <w:rPr>
                <w:rFonts w:ascii="Times New Roman" w:eastAsia="Times New Roman" w:hAnsi="Times New Roman" w:cs="Times New Roman"/>
                <w:b/>
                <w:color w:val="auto"/>
                <w:sz w:val="20"/>
                <w:szCs w:val="20"/>
              </w:rPr>
            </w:pPr>
            <w:r w:rsidRPr="00682EDA">
              <w:rPr>
                <w:rFonts w:ascii="Times New Roman" w:eastAsia="Times New Roman" w:hAnsi="Times New Roman" w:cs="Times New Roman"/>
                <w:b/>
                <w:color w:val="auto"/>
                <w:sz w:val="20"/>
                <w:szCs w:val="20"/>
              </w:rPr>
              <w:t>VF1</w:t>
            </w:r>
          </w:p>
        </w:tc>
        <w:tc>
          <w:tcPr>
            <w:tcW w:w="3118" w:type="dxa"/>
            <w:tcBorders>
              <w:top w:val="single" w:sz="4" w:space="0" w:color="auto"/>
              <w:bottom w:val="single" w:sz="4" w:space="0" w:color="auto"/>
            </w:tcBorders>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60" w:line="240" w:lineRule="auto"/>
              <w:ind w:left="1026" w:right="373"/>
              <w:jc w:val="both"/>
              <w:rPr>
                <w:rFonts w:ascii="Times New Roman" w:eastAsia="Times New Roman" w:hAnsi="Times New Roman" w:cs="Times New Roman"/>
                <w:b/>
                <w:color w:val="auto"/>
                <w:sz w:val="20"/>
                <w:szCs w:val="20"/>
              </w:rPr>
            </w:pPr>
            <w:r w:rsidRPr="00682EDA">
              <w:rPr>
                <w:rFonts w:ascii="Times New Roman" w:eastAsia="Times New Roman" w:hAnsi="Times New Roman" w:cs="Times New Roman"/>
                <w:b/>
                <w:color w:val="auto"/>
                <w:sz w:val="20"/>
                <w:szCs w:val="20"/>
              </w:rPr>
              <w:t>VF2</w:t>
            </w:r>
          </w:p>
        </w:tc>
      </w:tr>
      <w:tr w:rsidR="00E70C98" w:rsidRPr="00682EDA" w:rsidTr="00C77975">
        <w:trPr>
          <w:trHeight w:val="270"/>
          <w:jc w:val="center"/>
        </w:trPr>
        <w:tc>
          <w:tcPr>
            <w:tcW w:w="2977" w:type="dxa"/>
            <w:tcBorders>
              <w:top w:val="single" w:sz="4" w:space="0" w:color="auto"/>
            </w:tcBorders>
            <w:vAlign w:val="center"/>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Abs %</w:t>
            </w:r>
          </w:p>
        </w:tc>
        <w:tc>
          <w:tcPr>
            <w:tcW w:w="2744" w:type="dxa"/>
            <w:tcBorders>
              <w:top w:val="single" w:sz="4" w:space="0" w:color="auto"/>
            </w:tcBorders>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 xml:space="preserve">                          </w:t>
            </w:r>
            <w:r w:rsidRPr="00682EDA">
              <w:rPr>
                <w:rFonts w:ascii="Times New Roman" w:eastAsia="Times New Roman" w:hAnsi="Times New Roman" w:cs="Times New Roman"/>
                <w:b/>
                <w:bCs/>
                <w:color w:val="auto"/>
                <w:sz w:val="20"/>
                <w:szCs w:val="20"/>
              </w:rPr>
              <w:t>-0.964</w:t>
            </w:r>
          </w:p>
        </w:tc>
        <w:tc>
          <w:tcPr>
            <w:tcW w:w="3118" w:type="dxa"/>
            <w:tcBorders>
              <w:top w:val="single" w:sz="4" w:space="0" w:color="auto"/>
            </w:tcBorders>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0.133</w:t>
            </w:r>
          </w:p>
        </w:tc>
      </w:tr>
      <w:tr w:rsidR="00E70C98" w:rsidRPr="00682EDA" w:rsidTr="00C77975">
        <w:trPr>
          <w:trHeight w:val="270"/>
          <w:jc w:val="center"/>
        </w:trPr>
        <w:tc>
          <w:tcPr>
            <w:tcW w:w="2977" w:type="dxa"/>
            <w:vAlign w:val="center"/>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Ref %</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0.970</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Pr="00682EDA">
              <w:rPr>
                <w:rFonts w:ascii="Times New Roman" w:eastAsia="Times New Roman" w:hAnsi="Times New Roman" w:cs="Times New Roman"/>
                <w:color w:val="auto"/>
                <w:sz w:val="20"/>
                <w:szCs w:val="20"/>
              </w:rPr>
              <w:t>-0.120</w:t>
            </w:r>
          </w:p>
        </w:tc>
      </w:tr>
      <w:tr w:rsidR="00E70C98" w:rsidRPr="00682EDA" w:rsidTr="00C77975">
        <w:trPr>
          <w:trHeight w:val="270"/>
          <w:jc w:val="center"/>
        </w:trPr>
        <w:tc>
          <w:tcPr>
            <w:tcW w:w="2977" w:type="dxa"/>
            <w:vAlign w:val="bottom"/>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Abs L*</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0.980</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0.024</w:t>
            </w:r>
          </w:p>
        </w:tc>
      </w:tr>
      <w:tr w:rsidR="00E70C98" w:rsidRPr="00682EDA" w:rsidTr="00C77975">
        <w:trPr>
          <w:trHeight w:val="270"/>
          <w:jc w:val="center"/>
        </w:trPr>
        <w:tc>
          <w:tcPr>
            <w:tcW w:w="2977" w:type="dxa"/>
            <w:vAlign w:val="bottom"/>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Ref L*</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0.978</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0.055</w:t>
            </w:r>
          </w:p>
        </w:tc>
      </w:tr>
      <w:tr w:rsidR="00E70C98" w:rsidRPr="00682EDA" w:rsidTr="00C77975">
        <w:trPr>
          <w:trHeight w:val="270"/>
          <w:jc w:val="center"/>
        </w:trPr>
        <w:tc>
          <w:tcPr>
            <w:tcW w:w="2977" w:type="dxa"/>
            <w:vAlign w:val="bottom"/>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Abs a*</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Pr="00682EDA">
              <w:rPr>
                <w:rFonts w:ascii="Times New Roman" w:eastAsia="Times New Roman" w:hAnsi="Times New Roman" w:cs="Times New Roman"/>
                <w:color w:val="auto"/>
                <w:sz w:val="20"/>
                <w:szCs w:val="20"/>
              </w:rPr>
              <w:t>-0.405</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0.897</w:t>
            </w:r>
          </w:p>
        </w:tc>
      </w:tr>
      <w:tr w:rsidR="00E70C98" w:rsidRPr="00682EDA" w:rsidTr="00C77975">
        <w:trPr>
          <w:trHeight w:val="270"/>
          <w:jc w:val="center"/>
        </w:trPr>
        <w:tc>
          <w:tcPr>
            <w:tcW w:w="2977" w:type="dxa"/>
            <w:vAlign w:val="bottom"/>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Ref a*</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Pr="00682EDA">
              <w:rPr>
                <w:rFonts w:ascii="Times New Roman" w:eastAsia="Times New Roman" w:hAnsi="Times New Roman" w:cs="Times New Roman"/>
                <w:color w:val="auto"/>
                <w:sz w:val="20"/>
                <w:szCs w:val="20"/>
              </w:rPr>
              <w:t>-0.412</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0.898</w:t>
            </w:r>
          </w:p>
        </w:tc>
      </w:tr>
      <w:tr w:rsidR="00E70C98" w:rsidRPr="00682EDA" w:rsidTr="00C77975">
        <w:trPr>
          <w:trHeight w:val="270"/>
          <w:jc w:val="center"/>
        </w:trPr>
        <w:tc>
          <w:tcPr>
            <w:tcW w:w="2977" w:type="dxa"/>
            <w:vAlign w:val="bottom"/>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Abs b*</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0.530</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0.808</w:t>
            </w:r>
          </w:p>
        </w:tc>
      </w:tr>
      <w:tr w:rsidR="00E70C98" w:rsidRPr="00682EDA" w:rsidTr="00C77975">
        <w:trPr>
          <w:trHeight w:val="270"/>
          <w:jc w:val="center"/>
        </w:trPr>
        <w:tc>
          <w:tcPr>
            <w:tcW w:w="2977" w:type="dxa"/>
            <w:vAlign w:val="bottom"/>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Ref b*</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0.527</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b/>
                <w:bCs/>
                <w:color w:val="auto"/>
                <w:sz w:val="20"/>
                <w:szCs w:val="20"/>
              </w:rPr>
              <w:t>0.816</w:t>
            </w:r>
          </w:p>
        </w:tc>
      </w:tr>
      <w:tr w:rsidR="00E70C98" w:rsidRPr="00682EDA" w:rsidTr="00C77975">
        <w:trPr>
          <w:trHeight w:val="270"/>
          <w:jc w:val="center"/>
        </w:trPr>
        <w:tc>
          <w:tcPr>
            <w:tcW w:w="2977"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Eigenvalue</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335"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4.682</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1026" w:right="373"/>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2.964</w:t>
            </w:r>
          </w:p>
        </w:tc>
      </w:tr>
      <w:tr w:rsidR="00E70C98" w:rsidRPr="00682EDA" w:rsidTr="00C77975">
        <w:trPr>
          <w:trHeight w:val="270"/>
          <w:jc w:val="center"/>
        </w:trPr>
        <w:tc>
          <w:tcPr>
            <w:tcW w:w="2977"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left="743" w:right="-584"/>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 Total variance</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Pr="00682EDA">
              <w:rPr>
                <w:rFonts w:ascii="Times New Roman" w:eastAsia="Times New Roman" w:hAnsi="Times New Roman" w:cs="Times New Roman"/>
                <w:color w:val="auto"/>
                <w:sz w:val="20"/>
                <w:szCs w:val="20"/>
              </w:rPr>
              <w:t>58.514</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Pr="00682EDA">
              <w:rPr>
                <w:rFonts w:ascii="Times New Roman" w:eastAsia="Times New Roman" w:hAnsi="Times New Roman" w:cs="Times New Roman"/>
                <w:color w:val="auto"/>
                <w:sz w:val="20"/>
                <w:szCs w:val="20"/>
              </w:rPr>
              <w:t>37.068</w:t>
            </w:r>
          </w:p>
        </w:tc>
      </w:tr>
      <w:tr w:rsidR="00E70C98" w:rsidRPr="00682EDA" w:rsidTr="00C77975">
        <w:trPr>
          <w:trHeight w:val="291"/>
          <w:jc w:val="center"/>
        </w:trPr>
        <w:tc>
          <w:tcPr>
            <w:tcW w:w="2977"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60" w:line="240" w:lineRule="auto"/>
              <w:ind w:left="749" w:right="-590"/>
              <w:jc w:val="both"/>
              <w:rPr>
                <w:rFonts w:ascii="Times New Roman" w:eastAsia="Times New Roman" w:hAnsi="Times New Roman" w:cs="Times New Roman"/>
                <w:color w:val="auto"/>
                <w:sz w:val="20"/>
                <w:szCs w:val="20"/>
              </w:rPr>
            </w:pPr>
            <w:r w:rsidRPr="00682EDA">
              <w:rPr>
                <w:rFonts w:ascii="Times New Roman" w:eastAsia="Times New Roman" w:hAnsi="Times New Roman" w:cs="Times New Roman"/>
                <w:color w:val="auto"/>
                <w:sz w:val="20"/>
                <w:szCs w:val="20"/>
              </w:rPr>
              <w:t>Cumulative % variance</w:t>
            </w:r>
          </w:p>
        </w:tc>
        <w:tc>
          <w:tcPr>
            <w:tcW w:w="2744"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Pr="00682EDA">
              <w:rPr>
                <w:rFonts w:ascii="Times New Roman" w:eastAsia="Times New Roman" w:hAnsi="Times New Roman" w:cs="Times New Roman"/>
                <w:color w:val="auto"/>
                <w:sz w:val="20"/>
                <w:szCs w:val="20"/>
              </w:rPr>
              <w:t>58.514</w:t>
            </w:r>
          </w:p>
        </w:tc>
        <w:tc>
          <w:tcPr>
            <w:tcW w:w="3118" w:type="dxa"/>
          </w:tcPr>
          <w:p w:rsidR="00E70C98" w:rsidRPr="00682EDA" w:rsidRDefault="00E70C98" w:rsidP="00430C7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60" w:after="0" w:line="240" w:lineRule="auto"/>
              <w:ind w:right="373"/>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Pr="00682EDA">
              <w:rPr>
                <w:rFonts w:ascii="Times New Roman" w:eastAsia="Times New Roman" w:hAnsi="Times New Roman" w:cs="Times New Roman"/>
                <w:color w:val="auto"/>
                <w:sz w:val="20"/>
                <w:szCs w:val="20"/>
              </w:rPr>
              <w:t>95.582</w:t>
            </w:r>
          </w:p>
        </w:tc>
      </w:tr>
    </w:tbl>
    <w:p w:rsidR="00E70C98" w:rsidRPr="003B63AC" w:rsidRDefault="00E70C98" w:rsidP="00C77975">
      <w:pPr>
        <w:pStyle w:val="Body"/>
        <w:spacing w:before="60" w:after="0" w:line="240" w:lineRule="auto"/>
        <w:ind w:left="270" w:right="241"/>
        <w:jc w:val="both"/>
        <w:rPr>
          <w:rFonts w:ascii="Times New Roman" w:eastAsia="Times New Roman" w:hAnsi="Times New Roman" w:cs="Times New Roman"/>
          <w:color w:val="auto"/>
          <w:sz w:val="18"/>
          <w:szCs w:val="20"/>
        </w:rPr>
      </w:pPr>
      <w:r w:rsidRPr="003B63AC">
        <w:rPr>
          <w:rFonts w:ascii="Times New Roman" w:eastAsia="Times New Roman" w:hAnsi="Times New Roman" w:cs="Times New Roman"/>
          <w:color w:val="auto"/>
          <w:sz w:val="18"/>
          <w:szCs w:val="20"/>
        </w:rPr>
        <w:t>Bold values represent strong loadings (&gt;0.75), Absorbance value (Abs %), reflectance value (Ref %), Luminosity absorbance (Abs L*), Luminosity reflectance (Ref L*), Degree of redness absorbance (Abs a*), Degree of redness reflectance (Ref a*), Degree of yellowness absorbance (Abs b*), Degree of yellowness reflectance (Ref b*)</w:t>
      </w:r>
    </w:p>
    <w:p w:rsidR="00E70C98" w:rsidRDefault="00E70C98" w:rsidP="00E70C98">
      <w:pPr>
        <w:pStyle w:val="Body"/>
        <w:spacing w:after="0" w:line="240" w:lineRule="auto"/>
        <w:jc w:val="both"/>
        <w:rPr>
          <w:rFonts w:ascii="Times New Roman" w:eastAsia="Times New Roman" w:hAnsi="Times New Roman" w:cs="Times New Roman"/>
          <w:sz w:val="20"/>
          <w:szCs w:val="20"/>
        </w:rPr>
      </w:pPr>
    </w:p>
    <w:p w:rsidR="00C77975" w:rsidRDefault="00C77975" w:rsidP="00E70C98">
      <w:pPr>
        <w:pStyle w:val="Body"/>
        <w:spacing w:after="0" w:line="240" w:lineRule="auto"/>
        <w:jc w:val="both"/>
        <w:rPr>
          <w:rFonts w:ascii="Times New Roman" w:eastAsia="Times New Roman" w:hAnsi="Times New Roman" w:cs="Times New Roman"/>
          <w:sz w:val="20"/>
          <w:szCs w:val="20"/>
        </w:rPr>
      </w:pPr>
    </w:p>
    <w:p w:rsidR="00E70C98" w:rsidRDefault="00E70C98" w:rsidP="00E70C98">
      <w:pPr>
        <w:pStyle w:val="Body"/>
        <w:spacing w:after="0" w:line="240" w:lineRule="auto"/>
        <w:jc w:val="both"/>
        <w:rPr>
          <w:rFonts w:ascii="Times New Roman" w:eastAsia="Times New Roman" w:hAnsi="Times New Roman" w:cs="Times New Roman"/>
          <w:b/>
          <w:bCs/>
          <w:sz w:val="20"/>
          <w:szCs w:val="20"/>
        </w:rPr>
      </w:pPr>
      <w:r w:rsidRPr="001D07B2">
        <w:rPr>
          <w:rFonts w:ascii="Times New Roman" w:eastAsia="Times New Roman" w:hAnsi="Times New Roman" w:cs="Times New Roman"/>
          <w:b/>
          <w:bCs/>
          <w:sz w:val="20"/>
          <w:szCs w:val="20"/>
        </w:rPr>
        <w:t>Hierarchical agglomerative cluster analysis (HACA)</w:t>
      </w:r>
    </w:p>
    <w:p w:rsidR="00E70C98" w:rsidRDefault="00E70C98" w:rsidP="00E70C98">
      <w:pPr>
        <w:pStyle w:val="Body"/>
        <w:tabs>
          <w:tab w:val="left" w:pos="426"/>
        </w:tabs>
        <w:spacing w:after="0" w:line="240" w:lineRule="auto"/>
        <w:jc w:val="both"/>
        <w:rPr>
          <w:rFonts w:ascii="Times New Roman" w:eastAsia="Times New Roman" w:hAnsi="Times New Roman" w:cs="Times New Roman"/>
          <w:sz w:val="20"/>
          <w:szCs w:val="20"/>
        </w:rPr>
      </w:pPr>
      <w:r w:rsidRPr="001D07B2">
        <w:rPr>
          <w:rFonts w:ascii="Times New Roman" w:eastAsia="Times New Roman" w:hAnsi="Times New Roman" w:cs="Times New Roman"/>
          <w:sz w:val="20"/>
          <w:szCs w:val="20"/>
        </w:rPr>
        <w:t xml:space="preserve">HACA was applied to the data sets of automobile paint samples of different colours and manufactures, in order to identify similarities in paint components between the samples. The HACA analysis grouped the colorimetric data of 42 automobile paint data sets into five clusters (Figure 2). In general, all samples from different car manufactures can be </w:t>
      </w:r>
      <w:r>
        <w:rPr>
          <w:rFonts w:ascii="Times New Roman" w:eastAsia="Times New Roman" w:hAnsi="Times New Roman" w:cs="Times New Roman"/>
          <w:sz w:val="20"/>
          <w:szCs w:val="20"/>
        </w:rPr>
        <w:t>grouped according to their colo</w:t>
      </w:r>
      <w:r w:rsidRPr="001D07B2">
        <w:rPr>
          <w:rFonts w:ascii="Times New Roman" w:eastAsia="Times New Roman" w:hAnsi="Times New Roman" w:cs="Times New Roman"/>
          <w:sz w:val="20"/>
          <w:szCs w:val="20"/>
        </w:rPr>
        <w:t>rs</w:t>
      </w:r>
      <w:r>
        <w:rPr>
          <w:rFonts w:ascii="Times New Roman" w:eastAsia="Times New Roman" w:hAnsi="Times New Roman" w:cs="Times New Roman"/>
          <w:sz w:val="20"/>
          <w:szCs w:val="20"/>
        </w:rPr>
        <w:t>.</w:t>
      </w:r>
      <w:r w:rsidRPr="001D07B2">
        <w:rPr>
          <w:rFonts w:ascii="Times New Roman" w:eastAsia="Times New Roman" w:hAnsi="Times New Roman" w:cs="Times New Roman"/>
          <w:sz w:val="20"/>
          <w:szCs w:val="20"/>
        </w:rPr>
        <w:t xml:space="preserve"> Cluster 1 consisted of silver automo</w:t>
      </w:r>
      <w:r>
        <w:rPr>
          <w:rFonts w:ascii="Times New Roman" w:eastAsia="Times New Roman" w:hAnsi="Times New Roman" w:cs="Times New Roman"/>
          <w:sz w:val="20"/>
          <w:szCs w:val="20"/>
        </w:rPr>
        <w:t>bile paint colo</w:t>
      </w:r>
      <w:r w:rsidRPr="001D07B2">
        <w:rPr>
          <w:rFonts w:ascii="Times New Roman" w:eastAsia="Times New Roman" w:hAnsi="Times New Roman" w:cs="Times New Roman"/>
          <w:sz w:val="20"/>
          <w:szCs w:val="20"/>
        </w:rPr>
        <w:t>r. It can be seen that cluster 2 and 3 contain a combination of white+silver and black+blue colours, respectively. The similarity of choromaticity value of some blue, black and white, silver paint col</w:t>
      </w:r>
      <w:r>
        <w:rPr>
          <w:rFonts w:ascii="Times New Roman" w:eastAsia="Times New Roman" w:hAnsi="Times New Roman" w:cs="Times New Roman"/>
          <w:sz w:val="20"/>
          <w:szCs w:val="20"/>
        </w:rPr>
        <w:t>o</w:t>
      </w:r>
      <w:r w:rsidRPr="001D07B2">
        <w:rPr>
          <w:rFonts w:ascii="Times New Roman" w:eastAsia="Times New Roman" w:hAnsi="Times New Roman" w:cs="Times New Roman"/>
          <w:sz w:val="20"/>
          <w:szCs w:val="20"/>
        </w:rPr>
        <w:t>rs resulted in overlapping of their group. Cluster 4 and cluster 5 consisted red and light blue automobile paints, respectively. The finding of this study suggested</w:t>
      </w:r>
      <w:r>
        <w:rPr>
          <w:rFonts w:ascii="Times New Roman" w:eastAsia="Times New Roman" w:hAnsi="Times New Roman" w:cs="Times New Roman"/>
          <w:sz w:val="20"/>
          <w:szCs w:val="20"/>
        </w:rPr>
        <w:t xml:space="preserve"> </w:t>
      </w:r>
      <w:r w:rsidRPr="00FF3BC4">
        <w:rPr>
          <w:rFonts w:ascii="Times New Roman" w:eastAsia="Times New Roman" w:hAnsi="Times New Roman" w:cs="Times New Roman"/>
          <w:color w:val="auto"/>
          <w:sz w:val="20"/>
          <w:szCs w:val="20"/>
        </w:rPr>
        <w:t xml:space="preserve">that </w:t>
      </w:r>
      <w:r w:rsidRPr="001D07B2">
        <w:rPr>
          <w:rFonts w:ascii="Times New Roman" w:eastAsia="Times New Roman" w:hAnsi="Times New Roman" w:cs="Times New Roman"/>
          <w:sz w:val="20"/>
          <w:szCs w:val="20"/>
        </w:rPr>
        <w:t xml:space="preserve">the automobile paints </w:t>
      </w:r>
      <w:r>
        <w:rPr>
          <w:rFonts w:ascii="Times New Roman" w:eastAsia="Times New Roman" w:hAnsi="Times New Roman" w:cs="Times New Roman"/>
          <w:sz w:val="20"/>
          <w:szCs w:val="20"/>
        </w:rPr>
        <w:t xml:space="preserve">of various manufacturers </w:t>
      </w:r>
      <w:r w:rsidRPr="001D07B2">
        <w:rPr>
          <w:rFonts w:ascii="Times New Roman" w:eastAsia="Times New Roman" w:hAnsi="Times New Roman" w:cs="Times New Roman"/>
          <w:sz w:val="20"/>
          <w:szCs w:val="20"/>
        </w:rPr>
        <w:t xml:space="preserve">could be grouped </w:t>
      </w:r>
      <w:r>
        <w:rPr>
          <w:rFonts w:ascii="Times New Roman" w:eastAsia="Times New Roman" w:hAnsi="Times New Roman" w:cs="Times New Roman"/>
          <w:sz w:val="20"/>
          <w:szCs w:val="20"/>
        </w:rPr>
        <w:t>based on its colo</w:t>
      </w:r>
      <w:r w:rsidRPr="001D07B2">
        <w:rPr>
          <w:rFonts w:ascii="Times New Roman" w:eastAsia="Times New Roman" w:hAnsi="Times New Roman" w:cs="Times New Roman"/>
          <w:sz w:val="20"/>
          <w:szCs w:val="20"/>
        </w:rPr>
        <w:t xml:space="preserve">r. </w:t>
      </w:r>
      <w:r>
        <w:rPr>
          <w:rFonts w:ascii="Times New Roman" w:eastAsia="Times New Roman" w:hAnsi="Times New Roman" w:cs="Times New Roman"/>
          <w:sz w:val="20"/>
          <w:szCs w:val="20"/>
        </w:rPr>
        <w:t>Therefore, VSC</w:t>
      </w:r>
      <w:r w:rsidRPr="001D07B2">
        <w:rPr>
          <w:rFonts w:ascii="Times New Roman" w:eastAsia="Times New Roman" w:hAnsi="Times New Roman" w:cs="Times New Roman"/>
          <w:sz w:val="20"/>
          <w:szCs w:val="20"/>
        </w:rPr>
        <w:t xml:space="preserve"> technique can be used as </w:t>
      </w:r>
      <w:r>
        <w:rPr>
          <w:rFonts w:ascii="Times New Roman" w:eastAsia="Times New Roman" w:hAnsi="Times New Roman" w:cs="Times New Roman"/>
          <w:sz w:val="20"/>
          <w:szCs w:val="20"/>
        </w:rPr>
        <w:t xml:space="preserve">a </w:t>
      </w:r>
      <w:r w:rsidRPr="001D07B2">
        <w:rPr>
          <w:rFonts w:ascii="Times New Roman" w:eastAsia="Times New Roman" w:hAnsi="Times New Roman" w:cs="Times New Roman"/>
          <w:sz w:val="20"/>
          <w:szCs w:val="20"/>
        </w:rPr>
        <w:t>reliable screening approach in the classification of automobile paints.</w:t>
      </w:r>
      <w:r>
        <w:rPr>
          <w:rFonts w:ascii="Times New Roman" w:eastAsia="Times New Roman" w:hAnsi="Times New Roman" w:cs="Times New Roman"/>
          <w:sz w:val="20"/>
          <w:szCs w:val="20"/>
        </w:rPr>
        <w:t xml:space="preserve"> </w:t>
      </w:r>
      <w:r w:rsidRPr="001D07B2">
        <w:rPr>
          <w:rFonts w:ascii="Times New Roman" w:eastAsia="Times New Roman" w:hAnsi="Times New Roman" w:cs="Times New Roman"/>
          <w:sz w:val="20"/>
          <w:szCs w:val="20"/>
        </w:rPr>
        <w:t>The results could be improved by combining VSC technique and spectroscopy techniques such as fourier transform infrared (FTIR) spectroscopy in order to get a systematic method in classifying and discriminating automobile paints.</w:t>
      </w:r>
    </w:p>
    <w:p w:rsidR="00E70C98" w:rsidRPr="001D07B2" w:rsidRDefault="00E70C98" w:rsidP="00E70C98">
      <w:pPr>
        <w:pStyle w:val="Body"/>
        <w:tabs>
          <w:tab w:val="left" w:pos="426"/>
        </w:tabs>
        <w:spacing w:after="0" w:line="240" w:lineRule="auto"/>
        <w:jc w:val="both"/>
        <w:rPr>
          <w:rFonts w:ascii="Times New Roman" w:eastAsia="Times New Roman" w:hAnsi="Times New Roman" w:cs="Times New Roman"/>
          <w:sz w:val="20"/>
          <w:szCs w:val="20"/>
        </w:rPr>
      </w:pPr>
    </w:p>
    <w:p w:rsidR="00E70C98" w:rsidRDefault="00E70C98" w:rsidP="00E70C98">
      <w:pPr>
        <w:pStyle w:val="Body"/>
        <w:spacing w:after="0" w:line="240" w:lineRule="auto"/>
        <w:jc w:val="center"/>
        <w:rPr>
          <w:rFonts w:ascii="Times New Roman" w:eastAsia="Times New Roman" w:hAnsi="Times New Roman" w:cs="Times New Roman"/>
          <w:b/>
          <w:bCs/>
          <w:sz w:val="20"/>
          <w:szCs w:val="20"/>
        </w:rPr>
      </w:pPr>
      <w:r w:rsidRPr="00ED7BFE">
        <w:rPr>
          <w:rFonts w:ascii="Times New Roman" w:eastAsia="Times New Roman" w:hAnsi="Times New Roman" w:cs="Times New Roman"/>
          <w:b/>
          <w:bCs/>
          <w:noProof/>
          <w:sz w:val="20"/>
          <w:szCs w:val="20"/>
          <w:lang w:eastAsia="en-US"/>
        </w:rPr>
        <w:lastRenderedPageBreak/>
        <w:drawing>
          <wp:inline distT="0" distB="0" distL="0" distR="0" wp14:anchorId="68469FDC" wp14:editId="786F99C7">
            <wp:extent cx="4030045" cy="2256897"/>
            <wp:effectExtent l="0" t="0" r="0" b="0"/>
            <wp:docPr id="4" name="officeArt obj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rotWithShape="1">
                    <a:blip r:embed="rId13" cstate="print">
                      <a:extLst>
                        <a:ext uri="{BEBA8EAE-BF5A-486C-A8C5-ECC9F3942E4B}">
                          <a14:imgProps xmlns:a14="http://schemas.microsoft.com/office/drawing/2010/main">
                            <a14:imgLayer r:embed="rId14">
                              <a14:imgEffect>
                                <a14:sharpenSoften amount="35000"/>
                              </a14:imgEffect>
                              <a14:imgEffect>
                                <a14:saturation sat="304000"/>
                              </a14:imgEffect>
                            </a14:imgLayer>
                          </a14:imgProps>
                        </a:ext>
                      </a:extLst>
                    </a:blip>
                    <a:srcRect/>
                    <a:stretch>
                      <a:fillRect/>
                    </a:stretch>
                  </pic:blipFill>
                  <pic:spPr>
                    <a:xfrm>
                      <a:off x="0" y="0"/>
                      <a:ext cx="4045211" cy="2265390"/>
                    </a:xfrm>
                    <a:prstGeom prst="rect">
                      <a:avLst/>
                    </a:prstGeom>
                    <a:noFill/>
                    <a:ln>
                      <a:noFill/>
                    </a:ln>
                    <a:effectLst/>
                    <a:extLst/>
                  </pic:spPr>
                </pic:pic>
              </a:graphicData>
            </a:graphic>
          </wp:inline>
        </w:drawing>
      </w:r>
    </w:p>
    <w:p w:rsidR="00E70C98" w:rsidRDefault="00E70C98" w:rsidP="00E70C98">
      <w:pPr>
        <w:pStyle w:val="Body"/>
        <w:spacing w:after="0" w:line="240" w:lineRule="auto"/>
        <w:jc w:val="center"/>
        <w:rPr>
          <w:rFonts w:ascii="Times New Roman" w:eastAsia="Times New Roman" w:hAnsi="Times New Roman" w:cs="Times New Roman"/>
          <w:b/>
          <w:bCs/>
          <w:sz w:val="20"/>
          <w:szCs w:val="20"/>
        </w:rPr>
      </w:pPr>
    </w:p>
    <w:p w:rsidR="00E70C98" w:rsidRDefault="00E70C98" w:rsidP="00E70C98">
      <w:pPr>
        <w:pStyle w:val="Body"/>
        <w:spacing w:after="0" w:line="240" w:lineRule="auto"/>
        <w:jc w:val="center"/>
        <w:rPr>
          <w:rFonts w:ascii="Times New Roman" w:eastAsia="Times New Roman" w:hAnsi="Times New Roman" w:cs="Times New Roman"/>
          <w:sz w:val="20"/>
          <w:szCs w:val="20"/>
        </w:rPr>
      </w:pPr>
      <w:r w:rsidRPr="00BE2F94">
        <w:rPr>
          <w:rFonts w:ascii="Times New Roman" w:eastAsia="Times New Roman" w:hAnsi="Times New Roman" w:cs="Times New Roman"/>
          <w:bCs/>
          <w:sz w:val="20"/>
          <w:szCs w:val="20"/>
        </w:rPr>
        <w:t>Figure 2.</w:t>
      </w:r>
      <w:r w:rsidRPr="001D07B2">
        <w:rPr>
          <w:rFonts w:ascii="Times New Roman" w:eastAsia="Times New Roman" w:hAnsi="Times New Roman" w:cs="Times New Roman"/>
          <w:b/>
          <w:bCs/>
          <w:sz w:val="20"/>
          <w:szCs w:val="20"/>
        </w:rPr>
        <w:t xml:space="preserve"> </w:t>
      </w:r>
      <w:r w:rsidR="00C77975">
        <w:rPr>
          <w:rFonts w:ascii="Times New Roman" w:eastAsia="Times New Roman" w:hAnsi="Times New Roman" w:cs="Times New Roman"/>
          <w:b/>
          <w:bCs/>
          <w:sz w:val="20"/>
          <w:szCs w:val="20"/>
        </w:rPr>
        <w:t xml:space="preserve"> </w:t>
      </w:r>
      <w:r w:rsidRPr="001D07B2">
        <w:rPr>
          <w:rFonts w:ascii="Times New Roman" w:eastAsia="Times New Roman" w:hAnsi="Times New Roman" w:cs="Times New Roman"/>
          <w:sz w:val="20"/>
          <w:szCs w:val="20"/>
        </w:rPr>
        <w:t>Dendro</w:t>
      </w:r>
      <w:r>
        <w:rPr>
          <w:rFonts w:ascii="Times New Roman" w:eastAsia="Times New Roman" w:hAnsi="Times New Roman" w:cs="Times New Roman"/>
          <w:sz w:val="20"/>
          <w:szCs w:val="20"/>
        </w:rPr>
        <w:t>gram showing clustering of colo</w:t>
      </w:r>
      <w:r w:rsidRPr="001D07B2">
        <w:rPr>
          <w:rFonts w:ascii="Times New Roman" w:eastAsia="Times New Roman" w:hAnsi="Times New Roman" w:cs="Times New Roman"/>
          <w:sz w:val="20"/>
          <w:szCs w:val="20"/>
        </w:rPr>
        <w:t>r of automobile paints</w:t>
      </w:r>
    </w:p>
    <w:p w:rsidR="00E70C98" w:rsidRDefault="00E70C98" w:rsidP="00C77975">
      <w:pPr>
        <w:spacing w:after="0" w:line="240" w:lineRule="auto"/>
        <w:jc w:val="center"/>
        <w:rPr>
          <w:rFonts w:ascii="Times New Roman" w:hAnsi="Times New Roman"/>
          <w:noProof/>
          <w:sz w:val="20"/>
          <w:szCs w:val="20"/>
          <w:lang w:bidi="ar-SA"/>
        </w:rPr>
      </w:pPr>
    </w:p>
    <w:p w:rsidR="00E70C98" w:rsidRPr="00F447A7" w:rsidRDefault="00E70C9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77975" w:rsidRPr="00DC2708" w:rsidRDefault="00C77975" w:rsidP="00C77975">
      <w:pPr>
        <w:pStyle w:val="Body"/>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 xml:space="preserve">Using VSC analysis, </w:t>
      </w:r>
      <w:r>
        <w:rPr>
          <w:rFonts w:ascii="Times New Roman" w:eastAsia="Times New Roman" w:hAnsi="Times New Roman" w:cs="Times New Roman"/>
          <w:color w:val="auto"/>
          <w:sz w:val="20"/>
          <w:szCs w:val="20"/>
        </w:rPr>
        <w:t>a</w:t>
      </w:r>
      <w:r w:rsidRPr="00490D89">
        <w:rPr>
          <w:rFonts w:ascii="Times New Roman" w:eastAsia="Times New Roman" w:hAnsi="Times New Roman" w:cs="Times New Roman"/>
          <w:color w:val="auto"/>
          <w:sz w:val="20"/>
          <w:szCs w:val="20"/>
        </w:rPr>
        <w:t>utomobile</w:t>
      </w:r>
      <w:r w:rsidRPr="00606986">
        <w:rPr>
          <w:rFonts w:ascii="Times New Roman" w:eastAsia="Times New Roman" w:hAnsi="Times New Roman" w:cs="Times New Roman"/>
          <w:sz w:val="20"/>
          <w:szCs w:val="20"/>
        </w:rPr>
        <w:t xml:space="preserve"> paints</w:t>
      </w:r>
      <w:r>
        <w:rPr>
          <w:rFonts w:ascii="Times New Roman" w:eastAsia="Times New Roman" w:hAnsi="Times New Roman" w:cs="Times New Roman"/>
          <w:sz w:val="20"/>
          <w:szCs w:val="20"/>
        </w:rPr>
        <w:t xml:space="preserve"> samples</w:t>
      </w:r>
      <w:r w:rsidRPr="00606986">
        <w:rPr>
          <w:rFonts w:ascii="Times New Roman" w:eastAsia="Times New Roman" w:hAnsi="Times New Roman" w:cs="Times New Roman"/>
          <w:sz w:val="20"/>
          <w:szCs w:val="20"/>
        </w:rPr>
        <w:t xml:space="preserve"> generate</w:t>
      </w:r>
      <w:r>
        <w:rPr>
          <w:rFonts w:ascii="Times New Roman" w:eastAsia="Times New Roman" w:hAnsi="Times New Roman" w:cs="Times New Roman"/>
          <w:sz w:val="20"/>
          <w:szCs w:val="20"/>
        </w:rPr>
        <w:t>d a</w:t>
      </w:r>
      <w:r w:rsidRPr="00606986">
        <w:rPr>
          <w:rFonts w:ascii="Times New Roman" w:eastAsia="Times New Roman" w:hAnsi="Times New Roman" w:cs="Times New Roman"/>
          <w:sz w:val="20"/>
          <w:szCs w:val="20"/>
        </w:rPr>
        <w:t xml:space="preserve"> complex multidimensional data sets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auto"/>
          <w:sz w:val="20"/>
          <w:szCs w:val="20"/>
        </w:rPr>
        <w:t>Thus,</w:t>
      </w:r>
      <w:r w:rsidRPr="00FF3BC4">
        <w:rPr>
          <w:rFonts w:ascii="Times New Roman" w:eastAsia="Times New Roman" w:hAnsi="Times New Roman" w:cs="Times New Roman"/>
          <w:color w:val="auto"/>
          <w:sz w:val="20"/>
          <w:szCs w:val="20"/>
        </w:rPr>
        <w:t xml:space="preserve"> </w:t>
      </w:r>
      <w:r w:rsidRPr="00606986">
        <w:rPr>
          <w:rFonts w:ascii="Times New Roman" w:eastAsia="Times New Roman" w:hAnsi="Times New Roman" w:cs="Times New Roman"/>
          <w:sz w:val="20"/>
          <w:szCs w:val="20"/>
        </w:rPr>
        <w:t>chemometric approach</w:t>
      </w:r>
      <w:r>
        <w:rPr>
          <w:rFonts w:ascii="Times New Roman" w:eastAsia="Times New Roman" w:hAnsi="Times New Roman" w:cs="Times New Roman"/>
          <w:sz w:val="20"/>
          <w:szCs w:val="20"/>
        </w:rPr>
        <w:t xml:space="preserve"> was applied for a systematic classification</w:t>
      </w:r>
      <w:r w:rsidRPr="00606986">
        <w:rPr>
          <w:rFonts w:ascii="Times New Roman" w:eastAsia="Times New Roman" w:hAnsi="Times New Roman" w:cs="Times New Roman"/>
          <w:sz w:val="20"/>
          <w:szCs w:val="20"/>
        </w:rPr>
        <w:t xml:space="preserve"> and discriminat</w:t>
      </w:r>
      <w:r>
        <w:rPr>
          <w:rFonts w:ascii="Times New Roman" w:eastAsia="Times New Roman" w:hAnsi="Times New Roman" w:cs="Times New Roman"/>
          <w:sz w:val="20"/>
          <w:szCs w:val="20"/>
        </w:rPr>
        <w:t>ion of their colo</w:t>
      </w:r>
      <w:r w:rsidRPr="00606986">
        <w:rPr>
          <w:rFonts w:ascii="Times New Roman" w:eastAsia="Times New Roman" w:hAnsi="Times New Roman" w:cs="Times New Roman"/>
          <w:sz w:val="20"/>
          <w:szCs w:val="20"/>
        </w:rPr>
        <w:t>r</w:t>
      </w:r>
      <w:r>
        <w:rPr>
          <w:rFonts w:ascii="Times New Roman" w:eastAsia="Times New Roman" w:hAnsi="Times New Roman" w:cs="Times New Roman"/>
          <w:sz w:val="20"/>
          <w:szCs w:val="20"/>
        </w:rPr>
        <w:t>s</w:t>
      </w:r>
      <w:r w:rsidRPr="00606986">
        <w:rPr>
          <w:rFonts w:ascii="Times New Roman" w:eastAsia="Times New Roman" w:hAnsi="Times New Roman" w:cs="Times New Roman"/>
          <w:sz w:val="20"/>
          <w:szCs w:val="20"/>
        </w:rPr>
        <w:t xml:space="preserve">. This approach is rapid and uses non-destructive technique for the analysis of automobile paints. </w:t>
      </w:r>
      <w:r w:rsidRPr="00DC2708">
        <w:rPr>
          <w:rFonts w:ascii="Times New Roman" w:eastAsia="Times New Roman" w:hAnsi="Times New Roman" w:cs="Times New Roman"/>
          <w:color w:val="auto"/>
          <w:sz w:val="20"/>
          <w:szCs w:val="20"/>
        </w:rPr>
        <w:t>From the results obtained by the PCA and HACA, automobile paint samples were grouped in 5 clusters according to their color tone (L, a, b) and light intensity (absorbance and reflectance). This study showed that VSC is a reliable technique in verifying similarities and dissimilarities in colors of paint chips in forensic investigation.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C77975" w:rsidRDefault="00C77975" w:rsidP="00C77975">
      <w:pPr>
        <w:pStyle w:val="Body"/>
        <w:spacing w:after="0" w:line="240" w:lineRule="auto"/>
        <w:jc w:val="both"/>
        <w:rPr>
          <w:rFonts w:ascii="Times New Roman" w:eastAsia="Times New Roman" w:hAnsi="Times New Roman" w:cs="Times New Roman"/>
          <w:b/>
          <w:bCs/>
          <w:sz w:val="20"/>
          <w:szCs w:val="20"/>
        </w:rPr>
      </w:pPr>
      <w:r w:rsidRPr="00606986">
        <w:rPr>
          <w:rFonts w:ascii="Times New Roman" w:eastAsia="Times New Roman" w:hAnsi="Times New Roman" w:cs="Times New Roman"/>
          <w:sz w:val="20"/>
          <w:szCs w:val="20"/>
        </w:rPr>
        <w:t>The author would like to acknowledge the financial support obtained from Ministry of Higher Education (MOHE), Malaysia for this project (Project number: 600-RMI/ERGS 5/3 95/2012) and Universiti Teknologi MARA.</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606986">
        <w:rPr>
          <w:rFonts w:ascii="Times New Roman" w:hAnsi="Times New Roman" w:cs="Times New Roman"/>
          <w:sz w:val="20"/>
          <w:szCs w:val="20"/>
        </w:rPr>
        <w:t>Maric, M., Bronswijk, W.v., Lewis, S</w:t>
      </w:r>
      <w:r>
        <w:rPr>
          <w:rFonts w:ascii="Times New Roman" w:hAnsi="Times New Roman" w:cs="Times New Roman"/>
          <w:sz w:val="20"/>
          <w:szCs w:val="20"/>
        </w:rPr>
        <w:t>.W. and</w:t>
      </w:r>
      <w:r w:rsidRPr="00606986">
        <w:rPr>
          <w:rFonts w:ascii="Times New Roman" w:hAnsi="Times New Roman" w:cs="Times New Roman"/>
          <w:sz w:val="20"/>
          <w:szCs w:val="20"/>
        </w:rPr>
        <w:t xml:space="preserve"> Pitts, K. (2014). Synchrotron FTIR characteristic of automotive primer surfacer paint coatings for forensic purposes. </w:t>
      </w:r>
      <w:r>
        <w:rPr>
          <w:rFonts w:ascii="Times New Roman" w:hAnsi="Times New Roman" w:cs="Times New Roman"/>
          <w:i/>
          <w:iCs/>
          <w:sz w:val="20"/>
          <w:szCs w:val="20"/>
        </w:rPr>
        <w:t>Talanta</w:t>
      </w:r>
      <w:r w:rsidRPr="00606986">
        <w:rPr>
          <w:rFonts w:ascii="Times New Roman" w:hAnsi="Times New Roman" w:cs="Times New Roman"/>
          <w:i/>
          <w:iCs/>
          <w:sz w:val="20"/>
          <w:szCs w:val="20"/>
        </w:rPr>
        <w:t xml:space="preserve"> </w:t>
      </w:r>
      <w:r w:rsidRPr="00FE7140">
        <w:rPr>
          <w:rFonts w:ascii="Times New Roman" w:hAnsi="Times New Roman" w:cs="Times New Roman"/>
          <w:iCs/>
          <w:sz w:val="20"/>
          <w:szCs w:val="20"/>
        </w:rPr>
        <w:t>118</w:t>
      </w:r>
      <w:r>
        <w:rPr>
          <w:rFonts w:ascii="Times New Roman" w:hAnsi="Times New Roman" w:cs="Times New Roman"/>
          <w:sz w:val="20"/>
          <w:szCs w:val="20"/>
        </w:rPr>
        <w:t>:</w:t>
      </w:r>
      <w:r w:rsidRPr="00606986">
        <w:rPr>
          <w:rFonts w:ascii="Times New Roman" w:hAnsi="Times New Roman" w:cs="Times New Roman"/>
          <w:sz w:val="20"/>
          <w:szCs w:val="20"/>
        </w:rPr>
        <w:t xml:space="preserve"> 156-161.</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 xml:space="preserve">Zięba-Palus, J. (1999). Application of micro-Fourier transform infrared spectroscopy to the examination of paint samples. </w:t>
      </w:r>
      <w:r w:rsidRPr="00DE5009">
        <w:rPr>
          <w:rFonts w:ascii="Times New Roman" w:hAnsi="Times New Roman" w:cs="Times New Roman"/>
          <w:i/>
          <w:iCs/>
          <w:sz w:val="20"/>
          <w:szCs w:val="20"/>
        </w:rPr>
        <w:t xml:space="preserve">Journal of  Molecular Structure, </w:t>
      </w:r>
      <w:r w:rsidRPr="00DE5009">
        <w:rPr>
          <w:rFonts w:ascii="Times New Roman" w:hAnsi="Times New Roman" w:cs="Times New Roman"/>
          <w:iCs/>
          <w:sz w:val="20"/>
          <w:szCs w:val="20"/>
        </w:rPr>
        <w:t>511-512</w:t>
      </w:r>
      <w:r w:rsidRPr="00DE5009">
        <w:rPr>
          <w:rFonts w:ascii="Times New Roman" w:hAnsi="Times New Roman" w:cs="Times New Roman"/>
          <w:sz w:val="20"/>
          <w:szCs w:val="20"/>
        </w:rPr>
        <w:t>: 327-335.</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 xml:space="preserve">Bentley, J. (2001). Composition, manufacture and use of paint. In: B. Caddy (Ed.), </w:t>
      </w:r>
      <w:r w:rsidRPr="00DE5009">
        <w:rPr>
          <w:rFonts w:ascii="Times New Roman" w:hAnsi="Times New Roman" w:cs="Times New Roman"/>
          <w:i/>
          <w:iCs/>
          <w:sz w:val="20"/>
          <w:szCs w:val="20"/>
        </w:rPr>
        <w:t xml:space="preserve">Forensic Examination of Glass and Paint: Analysis and Interpretation </w:t>
      </w:r>
      <w:r w:rsidRPr="00DE5009">
        <w:rPr>
          <w:rFonts w:ascii="Times New Roman" w:hAnsi="Times New Roman" w:cs="Times New Roman"/>
          <w:sz w:val="20"/>
          <w:szCs w:val="20"/>
        </w:rPr>
        <w:t>(pp. 123-141). Taylor &amp; Francis, London.</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Maric, M., Bronswijk</w:t>
      </w:r>
      <w:r>
        <w:rPr>
          <w:rFonts w:ascii="Times New Roman" w:hAnsi="Times New Roman" w:cs="Times New Roman"/>
          <w:sz w:val="20"/>
          <w:szCs w:val="20"/>
        </w:rPr>
        <w:t>, W.v., Lewis, S.W., Pitts, K. and</w:t>
      </w:r>
      <w:r w:rsidRPr="00DE5009">
        <w:rPr>
          <w:rFonts w:ascii="Times New Roman" w:hAnsi="Times New Roman" w:cs="Times New Roman"/>
          <w:sz w:val="20"/>
          <w:szCs w:val="20"/>
        </w:rPr>
        <w:t xml:space="preserve"> Martin D.E (2013). Characterisation of chemical component migration in automotive paint by synchrotron infrared imaging. </w:t>
      </w:r>
      <w:r w:rsidRPr="00DE5009">
        <w:rPr>
          <w:rFonts w:ascii="Times New Roman" w:hAnsi="Times New Roman" w:cs="Times New Roman"/>
          <w:i/>
          <w:iCs/>
          <w:sz w:val="20"/>
          <w:szCs w:val="20"/>
        </w:rPr>
        <w:t>Forensic Science Internation</w:t>
      </w:r>
      <w:r>
        <w:rPr>
          <w:rFonts w:ascii="Times New Roman" w:hAnsi="Times New Roman" w:cs="Times New Roman"/>
          <w:i/>
          <w:iCs/>
          <w:sz w:val="20"/>
          <w:szCs w:val="20"/>
        </w:rPr>
        <w:t>al</w:t>
      </w:r>
      <w:r w:rsidRPr="00DE5009">
        <w:rPr>
          <w:rFonts w:ascii="Times New Roman" w:hAnsi="Times New Roman" w:cs="Times New Roman"/>
          <w:i/>
          <w:iCs/>
          <w:sz w:val="20"/>
          <w:szCs w:val="20"/>
        </w:rPr>
        <w:t xml:space="preserve"> </w:t>
      </w:r>
      <w:r w:rsidRPr="00DE5009">
        <w:rPr>
          <w:rFonts w:ascii="Times New Roman" w:hAnsi="Times New Roman" w:cs="Times New Roman"/>
          <w:iCs/>
          <w:sz w:val="20"/>
          <w:szCs w:val="20"/>
        </w:rPr>
        <w:t>228</w:t>
      </w:r>
      <w:r w:rsidRPr="00DE5009">
        <w:rPr>
          <w:rFonts w:ascii="Times New Roman" w:hAnsi="Times New Roman" w:cs="Times New Roman"/>
          <w:sz w:val="20"/>
          <w:szCs w:val="20"/>
        </w:rPr>
        <w:t>: 165-169.</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Zię</w:t>
      </w:r>
      <w:r>
        <w:rPr>
          <w:rFonts w:ascii="Times New Roman" w:hAnsi="Times New Roman" w:cs="Times New Roman"/>
          <w:sz w:val="20"/>
          <w:szCs w:val="20"/>
        </w:rPr>
        <w:t>ba-Palus, J. and</w:t>
      </w:r>
      <w:r w:rsidRPr="00DE5009">
        <w:rPr>
          <w:rFonts w:ascii="Times New Roman" w:hAnsi="Times New Roman" w:cs="Times New Roman"/>
          <w:sz w:val="20"/>
          <w:szCs w:val="20"/>
        </w:rPr>
        <w:t xml:space="preserve"> Michalska, A. (2014). Photobleachig as a useful technique in reducing</w:t>
      </w:r>
      <w:r w:rsidRPr="00DE5009">
        <w:rPr>
          <w:rFonts w:ascii="Times New Roman" w:eastAsia="Times New Roman" w:hAnsi="Times New Roman" w:cs="Times New Roman"/>
          <w:sz w:val="20"/>
          <w:szCs w:val="20"/>
        </w:rPr>
        <w:t xml:space="preserve"> of fluorescence in Raman spectra of blue automobile paint samples. </w:t>
      </w:r>
      <w:r>
        <w:rPr>
          <w:rFonts w:ascii="Times New Roman" w:eastAsia="Times New Roman" w:hAnsi="Times New Roman" w:cs="Times New Roman"/>
          <w:i/>
          <w:iCs/>
          <w:sz w:val="20"/>
          <w:szCs w:val="20"/>
        </w:rPr>
        <w:t>Vibrational Spectroscopy</w:t>
      </w:r>
      <w:r w:rsidRPr="00DE5009">
        <w:rPr>
          <w:rFonts w:ascii="Times New Roman" w:eastAsia="Times New Roman" w:hAnsi="Times New Roman" w:cs="Times New Roman"/>
          <w:iCs/>
          <w:sz w:val="20"/>
          <w:szCs w:val="20"/>
        </w:rPr>
        <w:t>74</w:t>
      </w:r>
      <w:r w:rsidRPr="00DE5009">
        <w:rPr>
          <w:rFonts w:ascii="Times New Roman" w:eastAsia="Times New Roman" w:hAnsi="Times New Roman" w:cs="Times New Roman"/>
          <w:sz w:val="20"/>
          <w:szCs w:val="20"/>
        </w:rPr>
        <w:t>: 6-12.</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Herendeen,  D. L., Allen, J.A. and</w:t>
      </w:r>
      <w:r w:rsidRPr="00DE5009">
        <w:rPr>
          <w:rFonts w:ascii="Times New Roman" w:hAnsi="Times New Roman" w:cs="Times New Roman"/>
          <w:sz w:val="20"/>
          <w:szCs w:val="20"/>
        </w:rPr>
        <w:t xml:space="preserve"> Lera T. (2011). Philatelic shade discrimination based on measured colour. Institute for Analytical Philately, Inc. </w:t>
      </w:r>
      <w:r w:rsidRPr="00DE5009">
        <w:rPr>
          <w:rFonts w:ascii="Times New Roman" w:hAnsi="Times New Roman" w:cs="Times New Roman"/>
          <w:i/>
          <w:iCs/>
          <w:sz w:val="20"/>
          <w:szCs w:val="20"/>
        </w:rPr>
        <w:t xml:space="preserve">London Philatelist, </w:t>
      </w:r>
      <w:r w:rsidRPr="00DE5009">
        <w:rPr>
          <w:rFonts w:ascii="Times New Roman" w:hAnsi="Times New Roman" w:cs="Times New Roman"/>
          <w:iCs/>
          <w:sz w:val="20"/>
          <w:szCs w:val="20"/>
        </w:rPr>
        <w:t>120 (1384):</w:t>
      </w:r>
      <w:r w:rsidRPr="00DE5009">
        <w:rPr>
          <w:rFonts w:ascii="Times New Roman" w:hAnsi="Times New Roman" w:cs="Times New Roman"/>
          <w:i/>
          <w:iCs/>
          <w:sz w:val="20"/>
          <w:szCs w:val="20"/>
        </w:rPr>
        <w:t xml:space="preserve"> </w:t>
      </w:r>
      <w:r w:rsidRPr="00DE5009">
        <w:rPr>
          <w:rFonts w:ascii="Times New Roman" w:hAnsi="Times New Roman" w:cs="Times New Roman"/>
          <w:sz w:val="20"/>
          <w:szCs w:val="20"/>
        </w:rPr>
        <w:t>105-117.</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Wyszecki, G. and</w:t>
      </w:r>
      <w:r w:rsidRPr="00DE5009">
        <w:rPr>
          <w:rFonts w:ascii="Times New Roman" w:hAnsi="Times New Roman" w:cs="Times New Roman"/>
          <w:sz w:val="20"/>
          <w:szCs w:val="20"/>
        </w:rPr>
        <w:t xml:space="preserve"> Stiles, W.S. (2000). Colorimetry. In: Wyszecki, G., Stiles, W.S. (Eds.), </w:t>
      </w:r>
      <w:r w:rsidRPr="00DE5009">
        <w:rPr>
          <w:rFonts w:ascii="Times New Roman" w:hAnsi="Times New Roman" w:cs="Times New Roman"/>
          <w:i/>
          <w:iCs/>
          <w:sz w:val="20"/>
          <w:szCs w:val="20"/>
        </w:rPr>
        <w:t xml:space="preserve">Color Science. Concepts and Methods, Quantitative Data and Formulae </w:t>
      </w:r>
      <w:r w:rsidRPr="00DE5009">
        <w:rPr>
          <w:rFonts w:ascii="Times New Roman" w:hAnsi="Times New Roman" w:cs="Times New Roman"/>
          <w:sz w:val="20"/>
          <w:szCs w:val="20"/>
        </w:rPr>
        <w:t>(pp. 117-248). New York, USA: Second Ed. John Wiley &amp; Sons.</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 xml:space="preserve">Hirschler, R., (2010). Electronic colour communication in the textile and apparel industry. </w:t>
      </w:r>
      <w:r w:rsidRPr="00DE5009">
        <w:rPr>
          <w:rFonts w:ascii="Times New Roman" w:hAnsi="Times New Roman" w:cs="Times New Roman"/>
          <w:i/>
          <w:iCs/>
          <w:sz w:val="20"/>
          <w:szCs w:val="20"/>
        </w:rPr>
        <w:t xml:space="preserve">Redige, </w:t>
      </w:r>
      <w:r w:rsidRPr="00DE5009">
        <w:rPr>
          <w:rFonts w:ascii="Times New Roman" w:hAnsi="Times New Roman" w:cs="Times New Roman"/>
          <w:iCs/>
          <w:sz w:val="20"/>
          <w:szCs w:val="20"/>
        </w:rPr>
        <w:t xml:space="preserve">1: </w:t>
      </w:r>
      <w:r w:rsidRPr="00DE5009">
        <w:rPr>
          <w:rFonts w:ascii="Times New Roman" w:hAnsi="Times New Roman" w:cs="Times New Roman"/>
          <w:sz w:val="20"/>
          <w:szCs w:val="20"/>
        </w:rPr>
        <w:t>43-61.</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Neuhauser, S. and</w:t>
      </w:r>
      <w:r w:rsidRPr="00DE5009">
        <w:rPr>
          <w:rFonts w:ascii="Times New Roman" w:hAnsi="Times New Roman" w:cs="Times New Roman"/>
          <w:sz w:val="20"/>
          <w:szCs w:val="20"/>
        </w:rPr>
        <w:t xml:space="preserve"> Handler, J. (2013). Colour analysis of the equine endometrium: Comparison of spectrophotometry and computer-assisted analysis of photographs within the </w:t>
      </w:r>
      <w:r w:rsidRPr="00DE5009">
        <w:rPr>
          <w:rFonts w:ascii="Times New Roman" w:hAnsi="Times New Roman" w:cs="Times New Roman"/>
          <w:i/>
          <w:iCs/>
          <w:sz w:val="20"/>
          <w:szCs w:val="20"/>
        </w:rPr>
        <w:t>L*a*b*</w:t>
      </w:r>
      <w:r w:rsidRPr="00DE5009">
        <w:rPr>
          <w:rFonts w:ascii="Times New Roman" w:hAnsi="Times New Roman" w:cs="Times New Roman"/>
          <w:sz w:val="20"/>
          <w:szCs w:val="20"/>
        </w:rPr>
        <w:t xml:space="preserve"> colour space system. </w:t>
      </w:r>
      <w:r w:rsidRPr="00DE5009">
        <w:rPr>
          <w:rFonts w:ascii="Times New Roman" w:hAnsi="Times New Roman" w:cs="Times New Roman"/>
          <w:i/>
          <w:iCs/>
          <w:sz w:val="20"/>
          <w:szCs w:val="20"/>
        </w:rPr>
        <w:t xml:space="preserve">The Veterinary Journal, </w:t>
      </w:r>
      <w:r w:rsidRPr="00DE5009">
        <w:rPr>
          <w:rFonts w:ascii="Times New Roman" w:hAnsi="Times New Roman" w:cs="Times New Roman"/>
          <w:iCs/>
          <w:sz w:val="20"/>
          <w:szCs w:val="20"/>
        </w:rPr>
        <w:t>197:</w:t>
      </w:r>
      <w:r w:rsidRPr="00DE5009">
        <w:rPr>
          <w:rFonts w:ascii="Times New Roman" w:hAnsi="Times New Roman" w:cs="Times New Roman"/>
          <w:sz w:val="20"/>
          <w:szCs w:val="20"/>
        </w:rPr>
        <w:t xml:space="preserve"> 753-760. </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lastRenderedPageBreak/>
        <w:t>Hammell, K.L., Laforest, J.P. and</w:t>
      </w:r>
      <w:r w:rsidRPr="00DE5009">
        <w:rPr>
          <w:rFonts w:ascii="Times New Roman" w:hAnsi="Times New Roman" w:cs="Times New Roman"/>
          <w:sz w:val="20"/>
          <w:szCs w:val="20"/>
        </w:rPr>
        <w:t xml:space="preserve"> Dufour, J.J. (1994). Evaluation of the lean meat colour of commercial pigs produced in Quebec. </w:t>
      </w:r>
      <w:r w:rsidRPr="00DE5009">
        <w:rPr>
          <w:rFonts w:ascii="Times New Roman" w:hAnsi="Times New Roman" w:cs="Times New Roman"/>
          <w:i/>
          <w:iCs/>
          <w:sz w:val="20"/>
          <w:szCs w:val="20"/>
        </w:rPr>
        <w:t xml:space="preserve">Canadian Journal of Animal Science, </w:t>
      </w:r>
      <w:r w:rsidRPr="00DE5009">
        <w:rPr>
          <w:rFonts w:ascii="Times New Roman" w:hAnsi="Times New Roman" w:cs="Times New Roman"/>
          <w:iCs/>
          <w:sz w:val="20"/>
          <w:szCs w:val="20"/>
        </w:rPr>
        <w:t>74:</w:t>
      </w:r>
      <w:r w:rsidRPr="00DE5009">
        <w:rPr>
          <w:rFonts w:ascii="Times New Roman" w:hAnsi="Times New Roman" w:cs="Times New Roman"/>
          <w:sz w:val="20"/>
          <w:szCs w:val="20"/>
        </w:rPr>
        <w:t xml:space="preserve"> 443-449.</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Northcutt, J.K., Buhr, R.J. and</w:t>
      </w:r>
      <w:r w:rsidRPr="00DE5009">
        <w:rPr>
          <w:rFonts w:ascii="Times New Roman" w:hAnsi="Times New Roman" w:cs="Times New Roman"/>
          <w:sz w:val="20"/>
          <w:szCs w:val="20"/>
        </w:rPr>
        <w:t xml:space="preserve"> Rowland, G.N. (2000). Relationship of broiler bruise age to appearance and tissue histological characteristics. </w:t>
      </w:r>
      <w:r w:rsidRPr="00DE5009">
        <w:rPr>
          <w:rFonts w:ascii="Times New Roman" w:hAnsi="Times New Roman" w:cs="Times New Roman"/>
          <w:i/>
          <w:iCs/>
          <w:sz w:val="20"/>
          <w:szCs w:val="20"/>
        </w:rPr>
        <w:t xml:space="preserve">Journal of Applied Poultry Research, 9, </w:t>
      </w:r>
      <w:r w:rsidRPr="00DE5009">
        <w:rPr>
          <w:rFonts w:ascii="Times New Roman" w:hAnsi="Times New Roman" w:cs="Times New Roman"/>
          <w:sz w:val="20"/>
          <w:szCs w:val="20"/>
        </w:rPr>
        <w:t>13-20.</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 xml:space="preserve">Chatelain, Y., Guggisberg, D., Dufey, P.A., Vergères, G. </w:t>
      </w:r>
      <w:r>
        <w:rPr>
          <w:rFonts w:ascii="Times New Roman" w:hAnsi="Times New Roman" w:cs="Times New Roman"/>
          <w:sz w:val="20"/>
          <w:szCs w:val="20"/>
        </w:rPr>
        <w:t xml:space="preserve">and </w:t>
      </w:r>
      <w:r w:rsidRPr="00DE5009">
        <w:rPr>
          <w:rFonts w:ascii="Times New Roman" w:hAnsi="Times New Roman" w:cs="Times New Roman"/>
          <w:sz w:val="20"/>
          <w:szCs w:val="20"/>
        </w:rPr>
        <w:t xml:space="preserve">Hadorn, R. (2007). farbmessung an Fleisch und fleischerzeugnissen. </w:t>
      </w:r>
      <w:r>
        <w:rPr>
          <w:rFonts w:ascii="Times New Roman" w:hAnsi="Times New Roman" w:cs="Times New Roman"/>
          <w:i/>
          <w:iCs/>
          <w:sz w:val="20"/>
          <w:szCs w:val="20"/>
        </w:rPr>
        <w:t>ALP S</w:t>
      </w:r>
      <w:r w:rsidRPr="00DE5009">
        <w:rPr>
          <w:rFonts w:ascii="Times New Roman" w:hAnsi="Times New Roman" w:cs="Times New Roman"/>
          <w:i/>
          <w:iCs/>
          <w:sz w:val="20"/>
          <w:szCs w:val="20"/>
        </w:rPr>
        <w:t xml:space="preserve">cience </w:t>
      </w:r>
      <w:r w:rsidRPr="00DE5009">
        <w:rPr>
          <w:rFonts w:ascii="Times New Roman" w:hAnsi="Times New Roman" w:cs="Times New Roman"/>
          <w:iCs/>
          <w:sz w:val="20"/>
          <w:szCs w:val="20"/>
        </w:rPr>
        <w:t xml:space="preserve">507: </w:t>
      </w:r>
      <w:r w:rsidRPr="00DE5009">
        <w:rPr>
          <w:rFonts w:ascii="Times New Roman" w:hAnsi="Times New Roman" w:cs="Times New Roman"/>
          <w:sz w:val="20"/>
          <w:szCs w:val="20"/>
        </w:rPr>
        <w:t>1-23.</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Mok, D.K.W. and</w:t>
      </w:r>
      <w:r w:rsidRPr="00DE5009">
        <w:rPr>
          <w:rFonts w:ascii="Times New Roman" w:hAnsi="Times New Roman" w:cs="Times New Roman"/>
          <w:sz w:val="20"/>
          <w:szCs w:val="20"/>
        </w:rPr>
        <w:t xml:space="preserve"> Chau, F.T. (2006). Chemical information of Chinese medicines: a challenge to chem</w:t>
      </w:r>
      <w:r>
        <w:rPr>
          <w:rFonts w:ascii="Times New Roman" w:hAnsi="Times New Roman" w:cs="Times New Roman"/>
          <w:sz w:val="20"/>
          <w:szCs w:val="20"/>
        </w:rPr>
        <w:t>ist, Chemometric</w:t>
      </w:r>
      <w:r w:rsidRPr="00DE5009">
        <w:rPr>
          <w:rFonts w:ascii="Times New Roman" w:hAnsi="Times New Roman" w:cs="Times New Roman"/>
          <w:sz w:val="20"/>
          <w:szCs w:val="20"/>
        </w:rPr>
        <w:t xml:space="preserve"> </w:t>
      </w:r>
      <w:r w:rsidRPr="00DE5009">
        <w:rPr>
          <w:rFonts w:ascii="Times New Roman" w:hAnsi="Times New Roman" w:cs="Times New Roman"/>
          <w:i/>
          <w:iCs/>
          <w:sz w:val="20"/>
          <w:szCs w:val="20"/>
        </w:rPr>
        <w:t>Intell</w:t>
      </w:r>
      <w:r>
        <w:rPr>
          <w:rFonts w:ascii="Times New Roman" w:hAnsi="Times New Roman" w:cs="Times New Roman"/>
          <w:i/>
          <w:iCs/>
          <w:sz w:val="20"/>
          <w:szCs w:val="20"/>
        </w:rPr>
        <w:t xml:space="preserve">igent </w:t>
      </w:r>
      <w:r w:rsidRPr="00DE5009">
        <w:rPr>
          <w:rFonts w:ascii="Times New Roman" w:hAnsi="Times New Roman" w:cs="Times New Roman"/>
          <w:i/>
          <w:iCs/>
          <w:sz w:val="20"/>
          <w:szCs w:val="20"/>
        </w:rPr>
        <w:t>Lab</w:t>
      </w:r>
      <w:r>
        <w:rPr>
          <w:rFonts w:ascii="Times New Roman" w:hAnsi="Times New Roman" w:cs="Times New Roman"/>
          <w:i/>
          <w:iCs/>
          <w:sz w:val="20"/>
          <w:szCs w:val="20"/>
        </w:rPr>
        <w:t>oratory</w:t>
      </w:r>
      <w:r w:rsidRPr="00DE5009">
        <w:rPr>
          <w:rFonts w:ascii="Times New Roman" w:hAnsi="Times New Roman" w:cs="Times New Roman"/>
          <w:i/>
          <w:iCs/>
          <w:sz w:val="20"/>
          <w:szCs w:val="20"/>
        </w:rPr>
        <w:t xml:space="preserve"> Syst</w:t>
      </w:r>
      <w:r>
        <w:rPr>
          <w:rFonts w:ascii="Times New Roman" w:hAnsi="Times New Roman" w:cs="Times New Roman"/>
          <w:i/>
          <w:iCs/>
          <w:sz w:val="20"/>
          <w:szCs w:val="20"/>
        </w:rPr>
        <w:t>em</w:t>
      </w:r>
      <w:r w:rsidRPr="00DE5009">
        <w:rPr>
          <w:rFonts w:ascii="Times New Roman" w:hAnsi="Times New Roman" w:cs="Times New Roman"/>
          <w:i/>
          <w:iCs/>
          <w:sz w:val="20"/>
          <w:szCs w:val="20"/>
        </w:rPr>
        <w:t xml:space="preserve"> </w:t>
      </w:r>
      <w:r w:rsidRPr="00DE5009">
        <w:rPr>
          <w:rFonts w:ascii="Times New Roman" w:hAnsi="Times New Roman" w:cs="Times New Roman"/>
          <w:iCs/>
          <w:sz w:val="20"/>
          <w:szCs w:val="20"/>
        </w:rPr>
        <w:t>82:</w:t>
      </w:r>
      <w:r w:rsidRPr="00DE5009">
        <w:rPr>
          <w:rFonts w:ascii="Times New Roman" w:hAnsi="Times New Roman" w:cs="Times New Roman"/>
          <w:sz w:val="20"/>
          <w:szCs w:val="20"/>
        </w:rPr>
        <w:t xml:space="preserve"> 210-217.</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Maree, J., Kamat</w:t>
      </w:r>
      <w:r>
        <w:rPr>
          <w:rFonts w:ascii="Times New Roman" w:hAnsi="Times New Roman" w:cs="Times New Roman"/>
          <w:sz w:val="20"/>
          <w:szCs w:val="20"/>
        </w:rPr>
        <w:t>ou, G., Gibbons, S., Viljoen A. and</w:t>
      </w:r>
      <w:r w:rsidRPr="00DE5009">
        <w:rPr>
          <w:rFonts w:ascii="Times New Roman" w:hAnsi="Times New Roman" w:cs="Times New Roman"/>
          <w:sz w:val="20"/>
          <w:szCs w:val="20"/>
        </w:rPr>
        <w:t xml:space="preserve"> Vuuren, S.V. (2014). The application of GC-MS combined with chemometrics for the identification of antimicrobial compounds from selected commercial essential oils. </w:t>
      </w:r>
      <w:r w:rsidRPr="00DE5009">
        <w:rPr>
          <w:rFonts w:ascii="Times New Roman" w:hAnsi="Times New Roman" w:cs="Times New Roman"/>
          <w:i/>
          <w:iCs/>
          <w:sz w:val="20"/>
          <w:szCs w:val="20"/>
        </w:rPr>
        <w:t>Chemometrics and Intelligent Laboratory Systems</w:t>
      </w:r>
      <w:r w:rsidRPr="00DE5009">
        <w:rPr>
          <w:rFonts w:ascii="Times New Roman" w:hAnsi="Times New Roman" w:cs="Times New Roman"/>
          <w:iCs/>
          <w:sz w:val="20"/>
          <w:szCs w:val="20"/>
        </w:rPr>
        <w:t xml:space="preserve"> 130:</w:t>
      </w:r>
      <w:r w:rsidRPr="00DE5009">
        <w:rPr>
          <w:rFonts w:ascii="Times New Roman" w:hAnsi="Times New Roman" w:cs="Times New Roman"/>
          <w:sz w:val="20"/>
          <w:szCs w:val="20"/>
        </w:rPr>
        <w:t xml:space="preserve"> 1-10.</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eastAsia="Times New Roman" w:hAnsi="Times New Roman" w:cs="Times New Roman"/>
          <w:sz w:val="20"/>
          <w:szCs w:val="20"/>
        </w:rPr>
        <w:t>Singh, K. P</w:t>
      </w:r>
      <w:r>
        <w:rPr>
          <w:rFonts w:ascii="Times New Roman" w:eastAsia="Times New Roman" w:hAnsi="Times New Roman" w:cs="Times New Roman"/>
          <w:sz w:val="20"/>
          <w:szCs w:val="20"/>
        </w:rPr>
        <w:t>., Malik, A., Mohan, D., Sinha and</w:t>
      </w:r>
      <w:r w:rsidRPr="00DE5009">
        <w:rPr>
          <w:rFonts w:ascii="Times New Roman" w:eastAsia="Times New Roman" w:hAnsi="Times New Roman" w:cs="Times New Roman"/>
          <w:sz w:val="20"/>
          <w:szCs w:val="20"/>
        </w:rPr>
        <w:t xml:space="preserve"> Singh, V. K. (2005). Chemometric data analysis of pollutanys in wastewater-a case study. </w:t>
      </w:r>
      <w:r>
        <w:rPr>
          <w:rFonts w:ascii="Times New Roman" w:eastAsia="Times New Roman" w:hAnsi="Times New Roman" w:cs="Times New Roman"/>
          <w:i/>
          <w:sz w:val="20"/>
          <w:szCs w:val="20"/>
        </w:rPr>
        <w:t>Analytica Chimica Acta</w:t>
      </w:r>
      <w:r w:rsidRPr="00DE5009">
        <w:rPr>
          <w:rFonts w:ascii="Times New Roman" w:eastAsia="Times New Roman" w:hAnsi="Times New Roman" w:cs="Times New Roman"/>
          <w:i/>
          <w:sz w:val="20"/>
          <w:szCs w:val="20"/>
        </w:rPr>
        <w:t xml:space="preserve"> </w:t>
      </w:r>
      <w:r w:rsidRPr="00DE5009">
        <w:rPr>
          <w:rFonts w:ascii="Times New Roman" w:eastAsia="Times New Roman" w:hAnsi="Times New Roman" w:cs="Times New Roman"/>
          <w:sz w:val="20"/>
          <w:szCs w:val="20"/>
        </w:rPr>
        <w:t>532: 15-25.</w:t>
      </w:r>
    </w:p>
    <w:p w:rsidR="00C77975" w:rsidRPr="006B3451"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6B3451">
        <w:rPr>
          <w:rFonts w:ascii="Times New Roman" w:eastAsia="Times New Roman" w:hAnsi="Times New Roman" w:cs="Times New Roman"/>
          <w:sz w:val="20"/>
          <w:szCs w:val="20"/>
        </w:rPr>
        <w:t xml:space="preserve">Vega, M., Pardo, R., Barrado, E. and  Deban, L. (1998). Assessment of seasonal and polluting effects on the quality of river water by exploratory data analysis. </w:t>
      </w:r>
      <w:r w:rsidRPr="006B3451">
        <w:rPr>
          <w:rFonts w:ascii="Times New Roman" w:eastAsia="Times New Roman" w:hAnsi="Times New Roman" w:cs="Times New Roman"/>
          <w:i/>
          <w:sz w:val="20"/>
          <w:szCs w:val="20"/>
        </w:rPr>
        <w:t>Water Research</w:t>
      </w:r>
      <w:r w:rsidRPr="006B3451">
        <w:rPr>
          <w:rFonts w:ascii="Times New Roman" w:eastAsia="Times New Roman" w:hAnsi="Times New Roman" w:cs="Times New Roman"/>
          <w:sz w:val="20"/>
          <w:szCs w:val="20"/>
        </w:rPr>
        <w:t xml:space="preserve"> 32: 3581-3592.</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eastAsia="Times New Roman" w:hAnsi="Times New Roman" w:cs="Times New Roman"/>
          <w:sz w:val="20"/>
          <w:szCs w:val="20"/>
        </w:rPr>
        <w:t>Otto, M. (1998). Multivariate methods. In R.</w:t>
      </w:r>
      <w:r>
        <w:rPr>
          <w:rFonts w:ascii="Times New Roman" w:eastAsia="Times New Roman" w:hAnsi="Times New Roman" w:cs="Times New Roman"/>
          <w:sz w:val="20"/>
          <w:szCs w:val="20"/>
        </w:rPr>
        <w:t xml:space="preserve"> Kellner, J.M. Mermet, M. Otto and</w:t>
      </w:r>
      <w:r w:rsidRPr="00DE5009">
        <w:rPr>
          <w:rFonts w:ascii="Times New Roman" w:eastAsia="Times New Roman" w:hAnsi="Times New Roman" w:cs="Times New Roman"/>
          <w:sz w:val="20"/>
          <w:szCs w:val="20"/>
        </w:rPr>
        <w:t xml:space="preserve"> H.M. Widmer (Eds.), </w:t>
      </w:r>
      <w:r w:rsidRPr="00DE5009">
        <w:rPr>
          <w:rFonts w:ascii="Times New Roman" w:eastAsia="Times New Roman" w:hAnsi="Times New Roman" w:cs="Times New Roman"/>
          <w:i/>
          <w:sz w:val="20"/>
          <w:szCs w:val="20"/>
        </w:rPr>
        <w:t xml:space="preserve">Analytical Chemistry </w:t>
      </w:r>
      <w:r w:rsidRPr="00DE5009">
        <w:rPr>
          <w:rFonts w:ascii="Times New Roman" w:eastAsia="Times New Roman" w:hAnsi="Times New Roman" w:cs="Times New Roman"/>
          <w:sz w:val="20"/>
          <w:szCs w:val="20"/>
        </w:rPr>
        <w:t>(pp. 916). Wiley-VCH, Weinheim, Germany.</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Alonso-Slaces, R.M., Guyot, S., Herrero, C., Berrueta, L</w:t>
      </w:r>
      <w:r>
        <w:rPr>
          <w:rFonts w:ascii="Times New Roman" w:hAnsi="Times New Roman" w:cs="Times New Roman"/>
          <w:sz w:val="20"/>
          <w:szCs w:val="20"/>
        </w:rPr>
        <w:t>.A., Drilleau, J-F., Gallo, B. and</w:t>
      </w:r>
      <w:r w:rsidRPr="00DE5009">
        <w:rPr>
          <w:rFonts w:ascii="Times New Roman" w:hAnsi="Times New Roman" w:cs="Times New Roman"/>
          <w:sz w:val="20"/>
          <w:szCs w:val="20"/>
        </w:rPr>
        <w:t xml:space="preserve"> Vicente, F. (2005). Chemometric classification of Basque and French ciders based on their total polyphenol contents and CIELab parameters. </w:t>
      </w:r>
      <w:r>
        <w:rPr>
          <w:rFonts w:ascii="Times New Roman" w:hAnsi="Times New Roman" w:cs="Times New Roman"/>
          <w:i/>
          <w:iCs/>
          <w:sz w:val="20"/>
          <w:szCs w:val="20"/>
        </w:rPr>
        <w:t>Food Chemistry</w:t>
      </w:r>
      <w:r w:rsidRPr="00DE5009">
        <w:rPr>
          <w:rFonts w:ascii="Times New Roman" w:hAnsi="Times New Roman" w:cs="Times New Roman"/>
          <w:i/>
          <w:iCs/>
          <w:sz w:val="20"/>
          <w:szCs w:val="20"/>
        </w:rPr>
        <w:t xml:space="preserve"> </w:t>
      </w:r>
      <w:r w:rsidRPr="00DE5009">
        <w:rPr>
          <w:rFonts w:ascii="Times New Roman" w:hAnsi="Times New Roman" w:cs="Times New Roman"/>
          <w:iCs/>
          <w:sz w:val="20"/>
          <w:szCs w:val="20"/>
        </w:rPr>
        <w:t>91:</w:t>
      </w:r>
      <w:r w:rsidRPr="00DE5009">
        <w:rPr>
          <w:rFonts w:ascii="Times New Roman" w:hAnsi="Times New Roman" w:cs="Times New Roman"/>
          <w:sz w:val="20"/>
          <w:szCs w:val="20"/>
        </w:rPr>
        <w:t xml:space="preserve"> 91-98.</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lang w:val="es-ES_tradnl"/>
        </w:rPr>
        <w:t>Helena, B., Pardo, R., Vega, M., Barrado, E., Fernandez, J. M.</w:t>
      </w:r>
      <w:r>
        <w:rPr>
          <w:rFonts w:ascii="Times New Roman" w:hAnsi="Times New Roman" w:cs="Times New Roman"/>
          <w:sz w:val="20"/>
          <w:szCs w:val="20"/>
          <w:lang w:val="es-ES_tradnl"/>
        </w:rPr>
        <w:t xml:space="preserve"> and</w:t>
      </w:r>
      <w:r w:rsidRPr="00DE5009">
        <w:rPr>
          <w:rFonts w:ascii="Times New Roman" w:hAnsi="Times New Roman" w:cs="Times New Roman"/>
          <w:sz w:val="20"/>
          <w:szCs w:val="20"/>
          <w:lang w:val="es-ES_tradnl"/>
        </w:rPr>
        <w:t xml:space="preserve"> Fernan, L. (2000). </w:t>
      </w:r>
      <w:r w:rsidRPr="00DE5009">
        <w:rPr>
          <w:rFonts w:ascii="Times New Roman" w:hAnsi="Times New Roman" w:cs="Times New Roman"/>
          <w:sz w:val="20"/>
          <w:szCs w:val="20"/>
        </w:rPr>
        <w:t xml:space="preserve">Temporal evaluation of groundwater composition in an alluvial aquifer (Pisurga River, Spain) by Principle Component Analysis. </w:t>
      </w:r>
      <w:r w:rsidRPr="00DE5009">
        <w:rPr>
          <w:rFonts w:ascii="Times New Roman" w:hAnsi="Times New Roman" w:cs="Times New Roman"/>
          <w:i/>
          <w:iCs/>
          <w:sz w:val="20"/>
          <w:szCs w:val="20"/>
        </w:rPr>
        <w:t xml:space="preserve">Water Research </w:t>
      </w:r>
      <w:r w:rsidRPr="00DE5009">
        <w:rPr>
          <w:rFonts w:ascii="Times New Roman" w:hAnsi="Times New Roman" w:cs="Times New Roman"/>
          <w:iCs/>
          <w:sz w:val="20"/>
          <w:szCs w:val="20"/>
        </w:rPr>
        <w:t>34</w:t>
      </w:r>
      <w:r w:rsidRPr="00DE5009">
        <w:rPr>
          <w:rFonts w:ascii="Times New Roman" w:hAnsi="Times New Roman" w:cs="Times New Roman"/>
          <w:sz w:val="20"/>
          <w:szCs w:val="20"/>
        </w:rPr>
        <w:t>(3): 807-816.</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Sing</w:t>
      </w:r>
      <w:r>
        <w:rPr>
          <w:rFonts w:ascii="Times New Roman" w:hAnsi="Times New Roman" w:cs="Times New Roman"/>
          <w:sz w:val="20"/>
          <w:szCs w:val="20"/>
        </w:rPr>
        <w:t>h, K. P., Malik, A., Mohan, D. and</w:t>
      </w:r>
      <w:r w:rsidRPr="00DE5009">
        <w:rPr>
          <w:rFonts w:ascii="Times New Roman" w:hAnsi="Times New Roman" w:cs="Times New Roman"/>
          <w:sz w:val="20"/>
          <w:szCs w:val="20"/>
        </w:rPr>
        <w:t xml:space="preserve"> Sinha, S. (2004). Multivariate statistical techniques for the evaluation of spatial and temporal variations in water quality of Gomti River (India)-a case study. </w:t>
      </w:r>
      <w:r w:rsidRPr="00DE5009">
        <w:rPr>
          <w:rFonts w:ascii="Times New Roman" w:hAnsi="Times New Roman" w:cs="Times New Roman"/>
          <w:i/>
          <w:sz w:val="20"/>
          <w:szCs w:val="20"/>
        </w:rPr>
        <w:t>Water Re</w:t>
      </w:r>
      <w:r>
        <w:rPr>
          <w:rFonts w:ascii="Times New Roman" w:hAnsi="Times New Roman" w:cs="Times New Roman"/>
          <w:i/>
          <w:sz w:val="20"/>
          <w:szCs w:val="20"/>
        </w:rPr>
        <w:t>search</w:t>
      </w:r>
      <w:r w:rsidRPr="00DE5009">
        <w:rPr>
          <w:rFonts w:ascii="Times New Roman" w:hAnsi="Times New Roman" w:cs="Times New Roman"/>
          <w:sz w:val="20"/>
          <w:szCs w:val="20"/>
        </w:rPr>
        <w:t xml:space="preserve"> 38: 3980-3992.</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lang w:val="sv-SE"/>
        </w:rPr>
        <w:t>Kannel,</w:t>
      </w:r>
      <w:r>
        <w:rPr>
          <w:rFonts w:ascii="Times New Roman" w:hAnsi="Times New Roman" w:cs="Times New Roman"/>
          <w:sz w:val="20"/>
          <w:szCs w:val="20"/>
          <w:lang w:val="sv-SE"/>
        </w:rPr>
        <w:t xml:space="preserve"> P. R., Lee, S., Kanel, S. R., and</w:t>
      </w:r>
      <w:r w:rsidRPr="00DE5009">
        <w:rPr>
          <w:rFonts w:ascii="Times New Roman" w:hAnsi="Times New Roman" w:cs="Times New Roman"/>
          <w:sz w:val="20"/>
          <w:szCs w:val="20"/>
          <w:lang w:val="sv-SE"/>
        </w:rPr>
        <w:t xml:space="preserve"> Khan, S. P. (2007). </w:t>
      </w:r>
      <w:r w:rsidRPr="00DE5009">
        <w:rPr>
          <w:rFonts w:ascii="Times New Roman" w:hAnsi="Times New Roman" w:cs="Times New Roman"/>
          <w:sz w:val="20"/>
          <w:szCs w:val="20"/>
        </w:rPr>
        <w:t xml:space="preserve">Chemometric application in classifiction and assessment of monitoring locations of an urban river system. </w:t>
      </w:r>
      <w:r>
        <w:rPr>
          <w:rFonts w:ascii="Times New Roman" w:hAnsi="Times New Roman" w:cs="Times New Roman"/>
          <w:i/>
          <w:iCs/>
          <w:sz w:val="20"/>
          <w:szCs w:val="20"/>
        </w:rPr>
        <w:t xml:space="preserve">Analytica Chimica Acta </w:t>
      </w:r>
      <w:r w:rsidRPr="00DE5009">
        <w:rPr>
          <w:rFonts w:ascii="Times New Roman" w:hAnsi="Times New Roman" w:cs="Times New Roman"/>
          <w:iCs/>
          <w:sz w:val="20"/>
          <w:szCs w:val="20"/>
        </w:rPr>
        <w:t>582</w:t>
      </w:r>
      <w:r w:rsidRPr="00DE5009">
        <w:rPr>
          <w:rFonts w:ascii="Times New Roman" w:hAnsi="Times New Roman" w:cs="Times New Roman"/>
          <w:sz w:val="20"/>
          <w:szCs w:val="20"/>
        </w:rPr>
        <w:t>: 390–399.</w:t>
      </w:r>
    </w:p>
    <w:p w:rsid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sidRPr="00DE5009">
        <w:rPr>
          <w:rFonts w:ascii="Times New Roman" w:hAnsi="Times New Roman" w:cs="Times New Roman"/>
          <w:sz w:val="20"/>
          <w:szCs w:val="20"/>
        </w:rPr>
        <w:t>Jackson, J. E. (1991). A User’s Guide to Principal Components. Wiley, New York.</w:t>
      </w:r>
    </w:p>
    <w:p w:rsidR="00E66197" w:rsidRPr="00C77975" w:rsidRDefault="00C77975" w:rsidP="00C77975">
      <w:pPr>
        <w:pStyle w:val="Body"/>
        <w:numPr>
          <w:ilvl w:val="0"/>
          <w:numId w:val="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Liu, C. W., Lin, K.H. and</w:t>
      </w:r>
      <w:r w:rsidRPr="00DE5009">
        <w:rPr>
          <w:rFonts w:ascii="Times New Roman" w:hAnsi="Times New Roman" w:cs="Times New Roman"/>
          <w:sz w:val="20"/>
          <w:szCs w:val="20"/>
        </w:rPr>
        <w:t xml:space="preserve"> Kuo, Y. M. (2003). Application of factor analysis in the assessment of groundwater quality in a blackfoot disease area in Taiwan. </w:t>
      </w:r>
      <w:r w:rsidRPr="00DE5009">
        <w:rPr>
          <w:rFonts w:ascii="Times New Roman" w:hAnsi="Times New Roman" w:cs="Times New Roman"/>
          <w:i/>
          <w:sz w:val="20"/>
          <w:szCs w:val="20"/>
        </w:rPr>
        <w:t>Science Tota</w:t>
      </w:r>
      <w:r>
        <w:rPr>
          <w:rFonts w:ascii="Times New Roman" w:hAnsi="Times New Roman" w:cs="Times New Roman"/>
          <w:i/>
          <w:sz w:val="20"/>
          <w:szCs w:val="20"/>
        </w:rPr>
        <w:t>l Environment</w:t>
      </w:r>
      <w:r w:rsidRPr="00DE5009">
        <w:rPr>
          <w:rFonts w:ascii="Times New Roman" w:hAnsi="Times New Roman" w:cs="Times New Roman"/>
          <w:i/>
          <w:sz w:val="20"/>
          <w:szCs w:val="20"/>
        </w:rPr>
        <w:t xml:space="preserve"> </w:t>
      </w:r>
      <w:r w:rsidRPr="00DE5009">
        <w:rPr>
          <w:rFonts w:ascii="Times New Roman" w:hAnsi="Times New Roman" w:cs="Times New Roman"/>
          <w:sz w:val="20"/>
          <w:szCs w:val="20"/>
        </w:rPr>
        <w:t>313: 77-89</w:t>
      </w:r>
      <w:r w:rsidR="006768E9" w:rsidRPr="00C77975">
        <w:rPr>
          <w:rFonts w:ascii="Times New Roman" w:hAnsi="Times New Roman"/>
          <w:noProof/>
          <w:sz w:val="20"/>
          <w:szCs w:val="20"/>
        </w:rPr>
        <w:t>.</w:t>
      </w:r>
      <w:r w:rsidR="002B3BD8" w:rsidRPr="00C77975">
        <w:rPr>
          <w:rFonts w:ascii="Times New Roman" w:hAnsi="Times New Roman"/>
          <w:noProof/>
          <w:sz w:val="20"/>
          <w:szCs w:val="20"/>
        </w:rPr>
        <w:t xml:space="preserve">  </w:t>
      </w:r>
    </w:p>
    <w:sectPr w:rsidR="00E66197" w:rsidRPr="00C77975" w:rsidSect="00C77975">
      <w:headerReference w:type="even" r:id="rId15"/>
      <w:headerReference w:type="default" r:id="rId16"/>
      <w:footerReference w:type="even" r:id="rId17"/>
      <w:footerReference w:type="default" r:id="rId18"/>
      <w:pgSz w:w="12240" w:h="15840" w:code="1"/>
      <w:pgMar w:top="1800" w:right="1469" w:bottom="1699" w:left="1440" w:header="706" w:footer="706" w:gutter="0"/>
      <w:pgNumType w:start="79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C9002B">
      <w:rPr>
        <w:rFonts w:ascii="Times New Roman" w:hAnsi="Times New Roman"/>
        <w:noProof/>
      </w:rPr>
      <w:t>790</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C9002B">
      <w:rPr>
        <w:rFonts w:ascii="Times New Roman" w:hAnsi="Times New Roman"/>
        <w:noProof/>
      </w:rPr>
      <w:t>797</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C77975"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D377F">
      <w:rPr>
        <w:rFonts w:ascii="Times New Roman" w:hAnsi="Times New Roman"/>
        <w:i/>
        <w:lang w:val="en-US"/>
      </w:rPr>
      <w:t>No 4</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C77975">
      <w:rPr>
        <w:rFonts w:ascii="Times New Roman" w:hAnsi="Times New Roman"/>
        <w:i/>
        <w:lang w:val="en-US"/>
      </w:rPr>
      <w:t>790 - 798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5" w:rsidRPr="00C77975" w:rsidRDefault="00C77975" w:rsidP="00C77975">
    <w:pPr>
      <w:pStyle w:val="Body"/>
      <w:spacing w:after="0" w:line="240" w:lineRule="auto"/>
      <w:ind w:left="1440" w:hanging="1440"/>
      <w:rPr>
        <w:rFonts w:ascii="Times New Roman" w:eastAsia="Times New Roman" w:hAnsi="Times New Roman" w:cs="Times New Roman"/>
        <w:bCs/>
        <w:sz w:val="20"/>
        <w:szCs w:val="20"/>
      </w:rPr>
    </w:pPr>
    <w:r>
      <w:rPr>
        <w:rFonts w:ascii="Times New Roman" w:hAnsi="Times New Roman"/>
        <w:sz w:val="20"/>
        <w:szCs w:val="20"/>
      </w:rPr>
      <w:t>Nur Awatif et al</w:t>
    </w:r>
    <w:r w:rsidR="008E6968" w:rsidRPr="00C77975">
      <w:rPr>
        <w:rFonts w:ascii="Times New Roman" w:hAnsi="Times New Roman"/>
        <w:sz w:val="20"/>
        <w:szCs w:val="20"/>
      </w:rPr>
      <w:t xml:space="preserve">:  </w:t>
    </w:r>
    <w:r w:rsidRPr="00C77975">
      <w:rPr>
        <w:rFonts w:ascii="Times New Roman" w:eastAsia="Times New Roman" w:hAnsi="Times New Roman" w:cs="Times New Roman"/>
        <w:bCs/>
        <w:sz w:val="20"/>
        <w:szCs w:val="20"/>
      </w:rPr>
      <w:t>APPLICATION OF CHEMOMETRIC TECHNIQUES TO COLORIMETRIC DATA IN CLASSIFYING AUTOMOBILE PAINT</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7E594C"/>
    <w:multiLevelType w:val="hybridMultilevel"/>
    <w:tmpl w:val="DFD21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578DF"/>
    <w:rsid w:val="001D035A"/>
    <w:rsid w:val="001D3855"/>
    <w:rsid w:val="001D6F2C"/>
    <w:rsid w:val="002B188F"/>
    <w:rsid w:val="002B3BD8"/>
    <w:rsid w:val="002F3F91"/>
    <w:rsid w:val="00304767"/>
    <w:rsid w:val="00304B34"/>
    <w:rsid w:val="00361BAF"/>
    <w:rsid w:val="00367D1F"/>
    <w:rsid w:val="003D585B"/>
    <w:rsid w:val="003E7DA6"/>
    <w:rsid w:val="003F12FF"/>
    <w:rsid w:val="00430C7E"/>
    <w:rsid w:val="004760D4"/>
    <w:rsid w:val="00481750"/>
    <w:rsid w:val="00494C46"/>
    <w:rsid w:val="005C6768"/>
    <w:rsid w:val="00634C25"/>
    <w:rsid w:val="006416AB"/>
    <w:rsid w:val="006768E9"/>
    <w:rsid w:val="00687982"/>
    <w:rsid w:val="006B3EC8"/>
    <w:rsid w:val="006D695E"/>
    <w:rsid w:val="00725A6A"/>
    <w:rsid w:val="007943F3"/>
    <w:rsid w:val="007A738C"/>
    <w:rsid w:val="007B1349"/>
    <w:rsid w:val="00802C35"/>
    <w:rsid w:val="0082181A"/>
    <w:rsid w:val="008B470E"/>
    <w:rsid w:val="008E5BBF"/>
    <w:rsid w:val="008E6968"/>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77975"/>
    <w:rsid w:val="00C9002B"/>
    <w:rsid w:val="00C94D92"/>
    <w:rsid w:val="00C97340"/>
    <w:rsid w:val="00CA513F"/>
    <w:rsid w:val="00CF05FF"/>
    <w:rsid w:val="00D340BB"/>
    <w:rsid w:val="00D505D5"/>
    <w:rsid w:val="00D75B35"/>
    <w:rsid w:val="00D76E09"/>
    <w:rsid w:val="00D9736F"/>
    <w:rsid w:val="00D9792A"/>
    <w:rsid w:val="00DD377F"/>
    <w:rsid w:val="00E66197"/>
    <w:rsid w:val="00E70C98"/>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ody">
    <w:name w:val="Body"/>
    <w:rsid w:val="00E70C98"/>
    <w:pPr>
      <w:pBdr>
        <w:top w:val="nil"/>
        <w:left w:val="nil"/>
        <w:bottom w:val="nil"/>
        <w:right w:val="nil"/>
        <w:between w:val="nil"/>
        <w:bar w:val="nil"/>
      </w:pBdr>
      <w:spacing w:after="200" w:line="276" w:lineRule="auto"/>
    </w:pPr>
    <w:rPr>
      <w:rFonts w:ascii="Calibri" w:hAnsi="Calibri" w:cs="Calibri"/>
      <w:color w:val="000000"/>
      <w:sz w:val="22"/>
      <w:szCs w:val="22"/>
      <w:u w:color="000000"/>
      <w:bdr w:val="nil"/>
      <w:lang w:eastAsia="ms-MY"/>
    </w:rPr>
  </w:style>
  <w:style w:type="character" w:customStyle="1" w:styleId="Hyperlink0">
    <w:name w:val="Hyperlink.0"/>
    <w:basedOn w:val="DefaultParagraphFont"/>
    <w:rsid w:val="00E70C98"/>
    <w:rPr>
      <w:color w:val="000000"/>
      <w:sz w:val="18"/>
      <w:szCs w:val="18"/>
      <w:u w:val="none" w:color="000000"/>
    </w:rPr>
  </w:style>
  <w:style w:type="character" w:customStyle="1" w:styleId="Hyperlink1">
    <w:name w:val="Hyperlink.1"/>
    <w:basedOn w:val="DefaultParagraphFont"/>
    <w:rsid w:val="00E70C98"/>
    <w:rPr>
      <w:color w:val="000000"/>
      <w:u w:val="none" w:color="000000"/>
      <w:shd w:val="clear" w:color="auto" w:fill="FFFFFF"/>
    </w:rPr>
  </w:style>
  <w:style w:type="paragraph" w:customStyle="1" w:styleId="TableGrid1">
    <w:name w:val="Table Grid1"/>
    <w:rsid w:val="00E70C98"/>
    <w:pPr>
      <w:pBdr>
        <w:top w:val="nil"/>
        <w:left w:val="nil"/>
        <w:bottom w:val="nil"/>
        <w:right w:val="nil"/>
        <w:between w:val="nil"/>
        <w:bar w:val="nil"/>
      </w:pBdr>
    </w:pPr>
    <w:rPr>
      <w:rFonts w:ascii="Times New Roman" w:eastAsia="Times New Roman" w:hAnsi="Times New Roman"/>
      <w:color w:val="000000"/>
      <w:u w:color="000000"/>
      <w:bdr w:val="nil"/>
      <w:lang w:eastAsia="ms-MY"/>
    </w:rPr>
  </w:style>
  <w:style w:type="table" w:styleId="LightShading">
    <w:name w:val="Light Shading"/>
    <w:basedOn w:val="TableNormal"/>
    <w:uiPriority w:val="60"/>
    <w:rsid w:val="00E70C98"/>
    <w:pPr>
      <w:pBdr>
        <w:top w:val="nil"/>
        <w:left w:val="nil"/>
        <w:bottom w:val="nil"/>
        <w:right w:val="nil"/>
        <w:between w:val="nil"/>
        <w:bar w:val="nil"/>
      </w:pBdr>
    </w:pPr>
    <w:rPr>
      <w:rFonts w:ascii="Times New Roman" w:eastAsia="Arial Unicode MS" w:hAnsi="Times New Roman"/>
      <w:color w:val="000000" w:themeColor="text1" w:themeShade="BF"/>
      <w:bdr w:val="nil"/>
      <w:lang w:val="ms-MY" w:eastAsia="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70C98"/>
    <w:pPr>
      <w:pBdr>
        <w:top w:val="nil"/>
        <w:left w:val="nil"/>
        <w:bottom w:val="nil"/>
        <w:right w:val="nil"/>
        <w:between w:val="nil"/>
        <w:bar w:val="nil"/>
      </w:pBdr>
    </w:pPr>
    <w:rPr>
      <w:rFonts w:ascii="Times New Roman" w:eastAsia="Arial Unicode MS" w:hAnsi="Times New Roman"/>
      <w:bdr w:val="nil"/>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ody">
    <w:name w:val="Body"/>
    <w:rsid w:val="00E70C98"/>
    <w:pPr>
      <w:pBdr>
        <w:top w:val="nil"/>
        <w:left w:val="nil"/>
        <w:bottom w:val="nil"/>
        <w:right w:val="nil"/>
        <w:between w:val="nil"/>
        <w:bar w:val="nil"/>
      </w:pBdr>
      <w:spacing w:after="200" w:line="276" w:lineRule="auto"/>
    </w:pPr>
    <w:rPr>
      <w:rFonts w:ascii="Calibri" w:hAnsi="Calibri" w:cs="Calibri"/>
      <w:color w:val="000000"/>
      <w:sz w:val="22"/>
      <w:szCs w:val="22"/>
      <w:u w:color="000000"/>
      <w:bdr w:val="nil"/>
      <w:lang w:eastAsia="ms-MY"/>
    </w:rPr>
  </w:style>
  <w:style w:type="character" w:customStyle="1" w:styleId="Hyperlink0">
    <w:name w:val="Hyperlink.0"/>
    <w:basedOn w:val="DefaultParagraphFont"/>
    <w:rsid w:val="00E70C98"/>
    <w:rPr>
      <w:color w:val="000000"/>
      <w:sz w:val="18"/>
      <w:szCs w:val="18"/>
      <w:u w:val="none" w:color="000000"/>
    </w:rPr>
  </w:style>
  <w:style w:type="character" w:customStyle="1" w:styleId="Hyperlink1">
    <w:name w:val="Hyperlink.1"/>
    <w:basedOn w:val="DefaultParagraphFont"/>
    <w:rsid w:val="00E70C98"/>
    <w:rPr>
      <w:color w:val="000000"/>
      <w:u w:val="none" w:color="000000"/>
      <w:shd w:val="clear" w:color="auto" w:fill="FFFFFF"/>
    </w:rPr>
  </w:style>
  <w:style w:type="paragraph" w:customStyle="1" w:styleId="TableGrid1">
    <w:name w:val="Table Grid1"/>
    <w:rsid w:val="00E70C98"/>
    <w:pPr>
      <w:pBdr>
        <w:top w:val="nil"/>
        <w:left w:val="nil"/>
        <w:bottom w:val="nil"/>
        <w:right w:val="nil"/>
        <w:between w:val="nil"/>
        <w:bar w:val="nil"/>
      </w:pBdr>
    </w:pPr>
    <w:rPr>
      <w:rFonts w:ascii="Times New Roman" w:eastAsia="Times New Roman" w:hAnsi="Times New Roman"/>
      <w:color w:val="000000"/>
      <w:u w:color="000000"/>
      <w:bdr w:val="nil"/>
      <w:lang w:eastAsia="ms-MY"/>
    </w:rPr>
  </w:style>
  <w:style w:type="table" w:styleId="LightShading">
    <w:name w:val="Light Shading"/>
    <w:basedOn w:val="TableNormal"/>
    <w:uiPriority w:val="60"/>
    <w:rsid w:val="00E70C98"/>
    <w:pPr>
      <w:pBdr>
        <w:top w:val="nil"/>
        <w:left w:val="nil"/>
        <w:bottom w:val="nil"/>
        <w:right w:val="nil"/>
        <w:between w:val="nil"/>
        <w:bar w:val="nil"/>
      </w:pBdr>
    </w:pPr>
    <w:rPr>
      <w:rFonts w:ascii="Times New Roman" w:eastAsia="Arial Unicode MS" w:hAnsi="Times New Roman"/>
      <w:color w:val="000000" w:themeColor="text1" w:themeShade="BF"/>
      <w:bdr w:val="nil"/>
      <w:lang w:val="ms-MY" w:eastAsia="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70C98"/>
    <w:pPr>
      <w:pBdr>
        <w:top w:val="nil"/>
        <w:left w:val="nil"/>
        <w:bottom w:val="nil"/>
        <w:right w:val="nil"/>
        <w:between w:val="nil"/>
        <w:bar w:val="nil"/>
      </w:pBdr>
    </w:pPr>
    <w:rPr>
      <w:rFonts w:ascii="Times New Roman" w:eastAsia="Arial Unicode MS" w:hAnsi="Times New Roman"/>
      <w:bdr w:val="nil"/>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n.wikipedia.org/wiki/Chromaticit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DAB3E-D382-47F3-9B58-641AE5A6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5</cp:revision>
  <cp:lastPrinted>2015-08-03T14:26:00Z</cp:lastPrinted>
  <dcterms:created xsi:type="dcterms:W3CDTF">2015-08-03T13:59:00Z</dcterms:created>
  <dcterms:modified xsi:type="dcterms:W3CDTF">2015-08-16T10:07:00Z</dcterms:modified>
</cp:coreProperties>
</file>