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FD0" w:rsidRDefault="00157FD0" w:rsidP="00157FD0">
      <w:pPr>
        <w:spacing w:after="0" w:line="240" w:lineRule="auto"/>
        <w:rPr>
          <w:rFonts w:ascii="Times New Roman" w:hAnsi="Times New Roman"/>
          <w:bCs/>
          <w:color w:val="1E1E1E"/>
          <w:sz w:val="24"/>
          <w:szCs w:val="24"/>
        </w:rPr>
      </w:pPr>
      <w:r>
        <w:rPr>
          <w:rFonts w:ascii="Times New Roman" w:hAnsi="Times New Roman"/>
          <w:bCs/>
          <w:color w:val="1E1E1E"/>
          <w:sz w:val="24"/>
          <w:szCs w:val="24"/>
        </w:rPr>
        <w:t>Malaysian Journal of Analytical Sciences Vol 19 No 3 (2015): 472 – 480</w:t>
      </w:r>
    </w:p>
    <w:p w:rsidR="00157FD0" w:rsidRDefault="00157FD0" w:rsidP="00157FD0">
      <w:pPr>
        <w:spacing w:after="0" w:line="240" w:lineRule="auto"/>
        <w:rPr>
          <w:rFonts w:ascii="Times New Roman" w:hAnsi="Times New Roman"/>
          <w:bCs/>
          <w:color w:val="1E1E1E"/>
          <w:sz w:val="24"/>
          <w:szCs w:val="24"/>
        </w:rPr>
      </w:pPr>
    </w:p>
    <w:p w:rsidR="00157FD0" w:rsidRDefault="00157FD0" w:rsidP="00157FD0">
      <w:pPr>
        <w:spacing w:after="0" w:line="240" w:lineRule="auto"/>
        <w:rPr>
          <w:rFonts w:ascii="Times New Roman" w:hAnsi="Times New Roman"/>
          <w:bCs/>
          <w:color w:val="1E1E1E"/>
          <w:sz w:val="24"/>
          <w:szCs w:val="24"/>
        </w:rPr>
      </w:pPr>
    </w:p>
    <w:p w:rsidR="00157FD0" w:rsidRPr="00157FD0" w:rsidRDefault="00157FD0" w:rsidP="00157FD0">
      <w:pPr>
        <w:spacing w:after="0" w:line="240" w:lineRule="auto"/>
        <w:rPr>
          <w:rFonts w:ascii="Times New Roman" w:hAnsi="Times New Roman"/>
          <w:bCs/>
          <w:color w:val="1E1E1E"/>
          <w:sz w:val="24"/>
          <w:szCs w:val="24"/>
        </w:rPr>
      </w:pPr>
    </w:p>
    <w:p w:rsidR="00157FD0" w:rsidRPr="002A63C5" w:rsidRDefault="00157FD0" w:rsidP="00157FD0">
      <w:pPr>
        <w:spacing w:after="0" w:line="240" w:lineRule="auto"/>
        <w:jc w:val="center"/>
        <w:rPr>
          <w:rFonts w:ascii="Times New Roman" w:hAnsi="Times New Roman"/>
          <w:bCs/>
          <w:color w:val="1E1E1E"/>
          <w:sz w:val="28"/>
          <w:szCs w:val="28"/>
        </w:rPr>
      </w:pPr>
      <w:r w:rsidRPr="002A63C5">
        <w:rPr>
          <w:rFonts w:ascii="Times New Roman" w:hAnsi="Times New Roman"/>
          <w:bCs/>
          <w:color w:val="1E1E1E"/>
          <w:sz w:val="28"/>
          <w:szCs w:val="28"/>
        </w:rPr>
        <w:t>IMMOBILIZATION OF SPENT ION EXCHANGE RESIN FROM PUSPATI TRIGA REACTOR USING FLY ASH-BASED GEOPOLYMER</w:t>
      </w:r>
    </w:p>
    <w:p w:rsidR="00157FD0" w:rsidRPr="00F447A7" w:rsidRDefault="00157FD0" w:rsidP="00157FD0">
      <w:pPr>
        <w:spacing w:after="0" w:line="240" w:lineRule="auto"/>
        <w:jc w:val="center"/>
        <w:rPr>
          <w:rFonts w:ascii="Times New Roman" w:hAnsi="Times New Roman"/>
          <w:noProof/>
          <w:sz w:val="24"/>
          <w:szCs w:val="24"/>
          <w:lang w:bidi="ar-SA"/>
        </w:rPr>
      </w:pPr>
    </w:p>
    <w:p w:rsidR="00157FD0" w:rsidRPr="002A63C5" w:rsidRDefault="00157FD0" w:rsidP="00157FD0">
      <w:pPr>
        <w:spacing w:after="0"/>
        <w:jc w:val="center"/>
        <w:rPr>
          <w:rFonts w:ascii="Times New Roman" w:hAnsi="Times New Roman"/>
          <w:color w:val="1E1E1E"/>
          <w:sz w:val="24"/>
          <w:szCs w:val="24"/>
        </w:rPr>
      </w:pPr>
      <w:r w:rsidRPr="002A63C5">
        <w:rPr>
          <w:rFonts w:ascii="Times New Roman" w:hAnsi="Times New Roman"/>
          <w:color w:val="1E1E1E"/>
          <w:sz w:val="24"/>
          <w:szCs w:val="24"/>
        </w:rPr>
        <w:t>(Pemegunan Resin Penukar Ion Terpakai dari Reaktor TRIGA PUSPATI Menggunakan Geopolimer Berasaskan Abu Terbang)</w:t>
      </w:r>
    </w:p>
    <w:p w:rsidR="00157FD0" w:rsidRPr="00F447A7" w:rsidRDefault="00157FD0" w:rsidP="00157FD0">
      <w:pPr>
        <w:spacing w:after="0" w:line="240" w:lineRule="auto"/>
        <w:jc w:val="center"/>
        <w:rPr>
          <w:rFonts w:ascii="Times New Roman" w:hAnsi="Times New Roman"/>
          <w:noProof/>
          <w:sz w:val="20"/>
          <w:szCs w:val="20"/>
          <w:lang w:bidi="ar-SA"/>
        </w:rPr>
      </w:pPr>
    </w:p>
    <w:p w:rsidR="00157FD0" w:rsidRDefault="00157FD0" w:rsidP="00157FD0">
      <w:pPr>
        <w:spacing w:after="0" w:line="240" w:lineRule="auto"/>
        <w:jc w:val="center"/>
        <w:rPr>
          <w:rFonts w:ascii="Times New Roman" w:hAnsi="Times New Roman"/>
          <w:color w:val="1E1E1E"/>
          <w:sz w:val="20"/>
          <w:szCs w:val="20"/>
        </w:rPr>
      </w:pPr>
      <w:r w:rsidRPr="002A63C5">
        <w:rPr>
          <w:rFonts w:ascii="Times New Roman" w:hAnsi="Times New Roman"/>
          <w:color w:val="1E1E1E"/>
          <w:sz w:val="20"/>
          <w:szCs w:val="20"/>
        </w:rPr>
        <w:t>Nurul Wahida Ahmad Khairudin</w:t>
      </w:r>
      <w:r w:rsidRPr="002A63C5">
        <w:rPr>
          <w:rFonts w:ascii="Times New Roman" w:hAnsi="Times New Roman"/>
          <w:color w:val="1E1E1E"/>
          <w:sz w:val="20"/>
          <w:szCs w:val="20"/>
          <w:vertAlign w:val="superscript"/>
        </w:rPr>
        <w:t>1,2*</w:t>
      </w:r>
      <w:r w:rsidRPr="002A63C5">
        <w:rPr>
          <w:rFonts w:ascii="Times New Roman" w:hAnsi="Times New Roman"/>
          <w:color w:val="1E1E1E"/>
          <w:sz w:val="20"/>
          <w:szCs w:val="20"/>
        </w:rPr>
        <w:t>,Muhamad Samudi Yasir</w:t>
      </w:r>
      <w:r w:rsidRPr="002A63C5">
        <w:rPr>
          <w:rFonts w:ascii="Times New Roman" w:hAnsi="Times New Roman"/>
          <w:color w:val="1E1E1E"/>
          <w:sz w:val="20"/>
          <w:szCs w:val="20"/>
          <w:vertAlign w:val="superscript"/>
        </w:rPr>
        <w:t>1</w:t>
      </w:r>
      <w:r w:rsidRPr="002A63C5">
        <w:rPr>
          <w:rFonts w:ascii="Times New Roman" w:hAnsi="Times New Roman"/>
          <w:color w:val="1E1E1E"/>
          <w:sz w:val="20"/>
          <w:szCs w:val="20"/>
        </w:rPr>
        <w:t>, Amran Ab Majid</w:t>
      </w:r>
      <w:r w:rsidRPr="002A63C5">
        <w:rPr>
          <w:rFonts w:ascii="Times New Roman" w:hAnsi="Times New Roman"/>
          <w:color w:val="1E1E1E"/>
          <w:sz w:val="20"/>
          <w:szCs w:val="20"/>
          <w:vertAlign w:val="superscript"/>
        </w:rPr>
        <w:t>1</w:t>
      </w:r>
      <w:r w:rsidRPr="002A63C5">
        <w:rPr>
          <w:rFonts w:ascii="Times New Roman" w:hAnsi="Times New Roman"/>
          <w:color w:val="1E1E1E"/>
          <w:sz w:val="20"/>
          <w:szCs w:val="20"/>
        </w:rPr>
        <w:t>, Mohd Abd Wahab</w:t>
      </w:r>
      <w:r w:rsidRPr="002A63C5">
        <w:rPr>
          <w:rFonts w:ascii="Times New Roman" w:hAnsi="Times New Roman"/>
          <w:color w:val="1E1E1E"/>
          <w:sz w:val="20"/>
          <w:szCs w:val="20"/>
          <w:vertAlign w:val="superscript"/>
        </w:rPr>
        <w:t>2</w:t>
      </w:r>
      <w:r w:rsidRPr="002A63C5">
        <w:rPr>
          <w:rFonts w:ascii="Times New Roman" w:hAnsi="Times New Roman"/>
          <w:color w:val="1E1E1E"/>
          <w:sz w:val="20"/>
          <w:szCs w:val="20"/>
        </w:rPr>
        <w:t xml:space="preserve">, </w:t>
      </w:r>
    </w:p>
    <w:p w:rsidR="00157FD0" w:rsidRPr="002A63C5" w:rsidRDefault="00157FD0" w:rsidP="00157FD0">
      <w:pPr>
        <w:spacing w:after="0" w:line="240" w:lineRule="auto"/>
        <w:jc w:val="center"/>
        <w:rPr>
          <w:rFonts w:ascii="Times New Roman" w:hAnsi="Times New Roman"/>
          <w:color w:val="1E1E1E"/>
          <w:sz w:val="20"/>
          <w:szCs w:val="20"/>
          <w:vertAlign w:val="superscript"/>
        </w:rPr>
      </w:pPr>
      <w:r w:rsidRPr="002A63C5">
        <w:rPr>
          <w:rFonts w:ascii="Times New Roman" w:hAnsi="Times New Roman"/>
          <w:color w:val="1E1E1E"/>
          <w:sz w:val="20"/>
          <w:szCs w:val="20"/>
        </w:rPr>
        <w:t>Nik Marzukee</w:t>
      </w:r>
      <w:r w:rsidRPr="002A63C5">
        <w:rPr>
          <w:rFonts w:ascii="Times New Roman" w:hAnsi="Times New Roman"/>
          <w:color w:val="1E1E1E"/>
          <w:sz w:val="20"/>
          <w:szCs w:val="20"/>
          <w:vertAlign w:val="superscript"/>
        </w:rPr>
        <w:t>2</w:t>
      </w:r>
      <w:r w:rsidRPr="002A63C5">
        <w:rPr>
          <w:rFonts w:ascii="Times New Roman" w:hAnsi="Times New Roman"/>
          <w:color w:val="1E1E1E"/>
          <w:sz w:val="20"/>
          <w:szCs w:val="20"/>
        </w:rPr>
        <w:t>, Wilfred Paulus</w:t>
      </w:r>
      <w:r w:rsidRPr="002A63C5">
        <w:rPr>
          <w:rFonts w:ascii="Times New Roman" w:hAnsi="Times New Roman"/>
          <w:color w:val="1E1E1E"/>
          <w:sz w:val="20"/>
          <w:szCs w:val="20"/>
          <w:vertAlign w:val="superscript"/>
        </w:rPr>
        <w:t>2</w:t>
      </w:r>
      <w:r w:rsidRPr="002A63C5">
        <w:rPr>
          <w:rFonts w:ascii="Times New Roman" w:hAnsi="Times New Roman"/>
          <w:color w:val="1E1E1E"/>
          <w:sz w:val="20"/>
          <w:szCs w:val="20"/>
        </w:rPr>
        <w:t>, Esther Philip</w:t>
      </w:r>
      <w:r w:rsidRPr="002A63C5">
        <w:rPr>
          <w:rFonts w:ascii="Times New Roman" w:hAnsi="Times New Roman"/>
          <w:color w:val="1E1E1E"/>
          <w:sz w:val="20"/>
          <w:szCs w:val="20"/>
          <w:vertAlign w:val="superscript"/>
        </w:rPr>
        <w:t>2</w:t>
      </w:r>
      <w:r w:rsidRPr="002A63C5">
        <w:rPr>
          <w:rFonts w:ascii="Times New Roman" w:hAnsi="Times New Roman"/>
          <w:color w:val="1E1E1E"/>
          <w:sz w:val="20"/>
          <w:szCs w:val="20"/>
        </w:rPr>
        <w:t>, Thanaletchumy</w:t>
      </w:r>
      <w:r w:rsidRPr="002A63C5">
        <w:rPr>
          <w:rFonts w:ascii="Times New Roman" w:hAnsi="Times New Roman"/>
          <w:color w:val="1E1E1E"/>
          <w:sz w:val="20"/>
          <w:szCs w:val="20"/>
          <w:vertAlign w:val="superscript"/>
        </w:rPr>
        <w:t>2</w:t>
      </w:r>
      <w:r>
        <w:rPr>
          <w:rFonts w:ascii="Times New Roman" w:hAnsi="Times New Roman"/>
          <w:color w:val="1E1E1E"/>
          <w:sz w:val="20"/>
          <w:szCs w:val="20"/>
        </w:rPr>
        <w:t xml:space="preserve">, </w:t>
      </w:r>
      <w:r w:rsidRPr="002A63C5">
        <w:rPr>
          <w:rFonts w:ascii="Times New Roman" w:hAnsi="Times New Roman"/>
          <w:color w:val="1E1E1E"/>
          <w:sz w:val="20"/>
          <w:szCs w:val="20"/>
        </w:rPr>
        <w:t>M.N Irwan</w:t>
      </w:r>
      <w:r w:rsidRPr="002A63C5">
        <w:rPr>
          <w:rFonts w:ascii="Times New Roman" w:hAnsi="Times New Roman"/>
          <w:color w:val="1E1E1E"/>
          <w:sz w:val="20"/>
          <w:szCs w:val="20"/>
          <w:vertAlign w:val="superscript"/>
        </w:rPr>
        <w:t>1</w:t>
      </w:r>
    </w:p>
    <w:p w:rsidR="00157FD0" w:rsidRPr="00157FD0" w:rsidRDefault="00157FD0" w:rsidP="00157FD0">
      <w:pPr>
        <w:spacing w:after="0" w:line="240" w:lineRule="auto"/>
        <w:jc w:val="center"/>
        <w:rPr>
          <w:rFonts w:ascii="Times New Roman" w:hAnsi="Times New Roman"/>
          <w:noProof/>
          <w:sz w:val="20"/>
          <w:szCs w:val="20"/>
          <w:lang w:bidi="ar-SA"/>
        </w:rPr>
      </w:pPr>
    </w:p>
    <w:p w:rsidR="00157FD0" w:rsidRPr="00157FD0" w:rsidRDefault="00157FD0" w:rsidP="00157FD0">
      <w:pPr>
        <w:spacing w:after="0" w:line="240" w:lineRule="auto"/>
        <w:jc w:val="center"/>
        <w:rPr>
          <w:rFonts w:ascii="Times New Roman" w:hAnsi="Times New Roman"/>
          <w:i/>
          <w:iCs/>
          <w:color w:val="1E1E1E"/>
          <w:sz w:val="20"/>
          <w:szCs w:val="20"/>
        </w:rPr>
      </w:pPr>
      <w:r w:rsidRPr="00157FD0">
        <w:rPr>
          <w:rFonts w:ascii="Times New Roman" w:hAnsi="Times New Roman"/>
          <w:i/>
          <w:iCs/>
          <w:color w:val="1E1E1E"/>
          <w:sz w:val="20"/>
          <w:szCs w:val="20"/>
          <w:vertAlign w:val="superscript"/>
        </w:rPr>
        <w:t>1</w:t>
      </w:r>
      <w:r w:rsidRPr="00157FD0">
        <w:rPr>
          <w:rFonts w:ascii="Times New Roman" w:hAnsi="Times New Roman"/>
          <w:i/>
          <w:iCs/>
          <w:color w:val="1E1E1E"/>
          <w:sz w:val="20"/>
          <w:szCs w:val="20"/>
        </w:rPr>
        <w:t>School of Applied Physics, Faculty of Science and Technology,</w:t>
      </w:r>
    </w:p>
    <w:p w:rsidR="00157FD0" w:rsidRPr="00157FD0" w:rsidRDefault="00157FD0" w:rsidP="00157FD0">
      <w:pPr>
        <w:spacing w:after="0" w:line="240" w:lineRule="auto"/>
        <w:jc w:val="center"/>
        <w:rPr>
          <w:rFonts w:ascii="Times New Roman" w:hAnsi="Times New Roman"/>
          <w:i/>
          <w:iCs/>
          <w:color w:val="1E1E1E"/>
          <w:sz w:val="20"/>
          <w:szCs w:val="20"/>
        </w:rPr>
      </w:pPr>
      <w:r w:rsidRPr="00157FD0">
        <w:rPr>
          <w:rFonts w:ascii="Times New Roman" w:hAnsi="Times New Roman"/>
          <w:i/>
          <w:iCs/>
          <w:color w:val="1E1E1E"/>
          <w:sz w:val="20"/>
          <w:szCs w:val="20"/>
        </w:rPr>
        <w:t>Universiti Kebangsaan Malaysia, 43600 Bangi, Selangor, Malaysia</w:t>
      </w:r>
    </w:p>
    <w:p w:rsidR="00157FD0" w:rsidRPr="00157FD0" w:rsidRDefault="00157FD0" w:rsidP="00157FD0">
      <w:pPr>
        <w:spacing w:after="0" w:line="240" w:lineRule="auto"/>
        <w:jc w:val="center"/>
        <w:rPr>
          <w:rFonts w:ascii="Times New Roman" w:hAnsi="Times New Roman"/>
          <w:i/>
          <w:color w:val="1E1E1E"/>
          <w:sz w:val="20"/>
          <w:szCs w:val="20"/>
        </w:rPr>
      </w:pPr>
      <w:r w:rsidRPr="00157FD0">
        <w:rPr>
          <w:rFonts w:ascii="Times New Roman" w:hAnsi="Times New Roman"/>
          <w:i/>
          <w:color w:val="1E1E1E"/>
          <w:sz w:val="20"/>
          <w:szCs w:val="20"/>
          <w:vertAlign w:val="superscript"/>
        </w:rPr>
        <w:t>2</w:t>
      </w:r>
      <w:r w:rsidRPr="00157FD0">
        <w:rPr>
          <w:rFonts w:ascii="Times New Roman" w:hAnsi="Times New Roman"/>
          <w:i/>
          <w:color w:val="1E1E1E"/>
          <w:sz w:val="20"/>
          <w:szCs w:val="20"/>
        </w:rPr>
        <w:t>Malaysian Nuclear Agency, 43000 Kajang, Selangor, Malaysia</w:t>
      </w:r>
    </w:p>
    <w:p w:rsidR="00157FD0" w:rsidRPr="00157FD0" w:rsidRDefault="00157FD0" w:rsidP="00157FD0">
      <w:pPr>
        <w:spacing w:after="0" w:line="240" w:lineRule="auto"/>
        <w:jc w:val="center"/>
        <w:rPr>
          <w:rFonts w:ascii="Times New Roman" w:hAnsi="Times New Roman"/>
          <w:noProof/>
          <w:sz w:val="20"/>
          <w:szCs w:val="20"/>
          <w:lang w:bidi="ar-SA"/>
        </w:rPr>
      </w:pPr>
    </w:p>
    <w:p w:rsidR="00157FD0" w:rsidRPr="00157FD0" w:rsidRDefault="00157FD0" w:rsidP="00157FD0">
      <w:pPr>
        <w:spacing w:after="0" w:line="240" w:lineRule="auto"/>
        <w:jc w:val="center"/>
        <w:rPr>
          <w:rFonts w:ascii="Times New Roman" w:hAnsi="Times New Roman"/>
          <w:i/>
          <w:color w:val="1E1E1E"/>
          <w:sz w:val="20"/>
          <w:szCs w:val="20"/>
        </w:rPr>
      </w:pPr>
      <w:r w:rsidRPr="00157FD0">
        <w:rPr>
          <w:rFonts w:ascii="Times New Roman" w:hAnsi="Times New Roman"/>
          <w:i/>
          <w:noProof/>
          <w:sz w:val="20"/>
          <w:szCs w:val="20"/>
          <w:lang w:bidi="ar-SA"/>
        </w:rPr>
        <w:t xml:space="preserve">*Corresponding author: </w:t>
      </w:r>
      <w:r w:rsidRPr="00157FD0">
        <w:rPr>
          <w:rFonts w:ascii="Times New Roman" w:hAnsi="Times New Roman"/>
          <w:i/>
          <w:color w:val="1E1E1E"/>
          <w:sz w:val="20"/>
          <w:szCs w:val="20"/>
        </w:rPr>
        <w:t>nwahida@nuclearmalaysia.gov.my</w:t>
      </w:r>
    </w:p>
    <w:p w:rsidR="00157FD0" w:rsidRPr="00157FD0" w:rsidRDefault="00157FD0" w:rsidP="00157FD0">
      <w:pPr>
        <w:spacing w:after="0" w:line="240" w:lineRule="auto"/>
        <w:jc w:val="center"/>
        <w:rPr>
          <w:rFonts w:ascii="Times New Roman" w:hAnsi="Times New Roman"/>
          <w:i/>
          <w:noProof/>
          <w:sz w:val="20"/>
          <w:szCs w:val="20"/>
          <w:lang w:bidi="ar-SA"/>
        </w:rPr>
      </w:pPr>
    </w:p>
    <w:p w:rsidR="00157FD0" w:rsidRPr="00157FD0" w:rsidRDefault="00157FD0" w:rsidP="00157FD0">
      <w:pPr>
        <w:spacing w:after="0" w:line="240" w:lineRule="auto"/>
        <w:rPr>
          <w:rFonts w:ascii="Times New Roman" w:hAnsi="Times New Roman"/>
          <w:noProof/>
          <w:sz w:val="20"/>
          <w:szCs w:val="20"/>
          <w:lang w:bidi="ar-SA"/>
        </w:rPr>
      </w:pPr>
    </w:p>
    <w:p w:rsidR="00157FD0" w:rsidRPr="00157FD0" w:rsidRDefault="00157FD0" w:rsidP="00157FD0">
      <w:pPr>
        <w:spacing w:after="0" w:line="240" w:lineRule="auto"/>
        <w:jc w:val="center"/>
        <w:rPr>
          <w:rFonts w:ascii="Times New Roman" w:hAnsi="Times New Roman"/>
          <w:noProof/>
          <w:sz w:val="20"/>
          <w:szCs w:val="20"/>
          <w:lang w:bidi="ar-SA"/>
        </w:rPr>
      </w:pPr>
      <w:r w:rsidRPr="00157FD0">
        <w:rPr>
          <w:rFonts w:ascii="Times New Roman" w:hAnsi="Times New Roman"/>
          <w:noProof/>
          <w:sz w:val="20"/>
          <w:szCs w:val="20"/>
          <w:lang w:bidi="ar-SA"/>
        </w:rPr>
        <w:t>Received: 10 July 2014; Accepted: 1 April 2015</w:t>
      </w:r>
    </w:p>
    <w:p w:rsidR="00157FD0" w:rsidRPr="00157FD0" w:rsidRDefault="00157FD0" w:rsidP="00157FD0">
      <w:pPr>
        <w:spacing w:after="0" w:line="240" w:lineRule="auto"/>
        <w:jc w:val="center"/>
        <w:rPr>
          <w:rFonts w:ascii="Times New Roman" w:hAnsi="Times New Roman"/>
          <w:noProof/>
          <w:sz w:val="20"/>
          <w:szCs w:val="20"/>
          <w:lang w:bidi="ar-SA"/>
        </w:rPr>
      </w:pPr>
    </w:p>
    <w:p w:rsidR="00157FD0" w:rsidRPr="00157FD0" w:rsidRDefault="00157FD0" w:rsidP="00157FD0">
      <w:pPr>
        <w:spacing w:after="0" w:line="240" w:lineRule="auto"/>
        <w:jc w:val="center"/>
        <w:rPr>
          <w:rFonts w:ascii="Times New Roman" w:hAnsi="Times New Roman"/>
          <w:noProof/>
          <w:sz w:val="20"/>
          <w:szCs w:val="20"/>
          <w:lang w:bidi="ar-SA"/>
        </w:rPr>
      </w:pPr>
    </w:p>
    <w:p w:rsidR="00157FD0" w:rsidRPr="00157FD0" w:rsidRDefault="00157FD0" w:rsidP="00157FD0">
      <w:pPr>
        <w:spacing w:after="0" w:line="240" w:lineRule="auto"/>
        <w:jc w:val="center"/>
        <w:rPr>
          <w:rFonts w:ascii="Times New Roman" w:hAnsi="Times New Roman"/>
          <w:b/>
          <w:noProof/>
          <w:sz w:val="20"/>
          <w:szCs w:val="20"/>
          <w:lang w:bidi="ar-SA"/>
        </w:rPr>
      </w:pPr>
      <w:r w:rsidRPr="00157FD0">
        <w:rPr>
          <w:rFonts w:ascii="Times New Roman" w:hAnsi="Times New Roman"/>
          <w:b/>
          <w:noProof/>
          <w:sz w:val="20"/>
          <w:szCs w:val="20"/>
          <w:lang w:bidi="ar-SA"/>
        </w:rPr>
        <w:t>Abstract</w:t>
      </w:r>
    </w:p>
    <w:p w:rsidR="00157FD0" w:rsidRPr="00157FD0" w:rsidRDefault="00157FD0" w:rsidP="00157FD0">
      <w:pPr>
        <w:spacing w:after="0" w:line="240" w:lineRule="auto"/>
        <w:jc w:val="both"/>
        <w:rPr>
          <w:rFonts w:ascii="Times New Roman" w:hAnsi="Times New Roman"/>
          <w:color w:val="1E1E1E"/>
          <w:sz w:val="20"/>
          <w:szCs w:val="20"/>
        </w:rPr>
      </w:pPr>
      <w:r w:rsidRPr="00157FD0">
        <w:rPr>
          <w:rFonts w:ascii="Times New Roman" w:hAnsi="Times New Roman"/>
          <w:color w:val="1E1E1E"/>
          <w:sz w:val="20"/>
          <w:szCs w:val="20"/>
        </w:rPr>
        <w:t>A laboratory study was conducted to evaluate the possibility of immobilizing spent ion exchange resins using geopolymer process that was prepared at room temperature.</w:t>
      </w:r>
      <w:r w:rsidRPr="00157FD0">
        <w:rPr>
          <w:rStyle w:val="hps"/>
          <w:rFonts w:ascii="Times New Roman" w:hAnsi="Times New Roman"/>
          <w:color w:val="1E1E1E"/>
          <w:sz w:val="20"/>
          <w:szCs w:val="20"/>
        </w:rPr>
        <w:t xml:space="preserve"> The main objective of this research is to determine the suitability of using geopolymer</w:t>
      </w:r>
      <w:r w:rsidRPr="00157FD0">
        <w:rPr>
          <w:rFonts w:ascii="Times New Roman" w:hAnsi="Times New Roman"/>
          <w:color w:val="1E1E1E"/>
          <w:sz w:val="20"/>
          <w:szCs w:val="20"/>
        </w:rPr>
        <w:t xml:space="preserve"> in </w:t>
      </w:r>
      <w:r w:rsidRPr="00157FD0">
        <w:rPr>
          <w:rStyle w:val="hps"/>
          <w:rFonts w:ascii="Times New Roman" w:hAnsi="Times New Roman"/>
          <w:color w:val="1E1E1E"/>
          <w:sz w:val="20"/>
          <w:szCs w:val="20"/>
        </w:rPr>
        <w:t>radioactive waste immobilization. The</w:t>
      </w:r>
      <w:r w:rsidRPr="00157FD0">
        <w:rPr>
          <w:rFonts w:ascii="Times New Roman" w:hAnsi="Times New Roman"/>
          <w:color w:val="1E1E1E"/>
          <w:sz w:val="20"/>
          <w:szCs w:val="20"/>
        </w:rPr>
        <w:t xml:space="preserve"> spent ion exchange resins and </w:t>
      </w:r>
      <w:r w:rsidRPr="00157FD0">
        <w:rPr>
          <w:rStyle w:val="hps"/>
          <w:rFonts w:ascii="Times New Roman" w:hAnsi="Times New Roman"/>
          <w:color w:val="1E1E1E"/>
          <w:sz w:val="20"/>
          <w:szCs w:val="20"/>
        </w:rPr>
        <w:t xml:space="preserve">fly ash were obtained </w:t>
      </w:r>
      <w:r w:rsidRPr="00157FD0">
        <w:rPr>
          <w:rFonts w:ascii="Times New Roman" w:hAnsi="Times New Roman"/>
          <w:color w:val="1E1E1E"/>
          <w:sz w:val="20"/>
          <w:szCs w:val="20"/>
        </w:rPr>
        <w:t xml:space="preserve">from PUSPATI TRIGA Reactor and </w:t>
      </w:r>
      <w:r w:rsidRPr="00157FD0">
        <w:rPr>
          <w:rStyle w:val="hps"/>
          <w:rFonts w:ascii="Times New Roman" w:hAnsi="Times New Roman"/>
          <w:color w:val="1E1E1E"/>
          <w:sz w:val="20"/>
          <w:szCs w:val="20"/>
        </w:rPr>
        <w:t>Sultan Salahuddin Abdul Aziz Power Plant, Kapar, Selangor respectively. The geopolymer was activated with NaOH and Na</w:t>
      </w:r>
      <w:r w:rsidRPr="00157FD0">
        <w:rPr>
          <w:rStyle w:val="hps"/>
          <w:rFonts w:ascii="Times New Roman" w:hAnsi="Times New Roman"/>
          <w:color w:val="1E1E1E"/>
          <w:sz w:val="20"/>
          <w:szCs w:val="20"/>
          <w:vertAlign w:val="subscript"/>
        </w:rPr>
        <w:t>2</w:t>
      </w:r>
      <w:r w:rsidRPr="00157FD0">
        <w:rPr>
          <w:rStyle w:val="hps"/>
          <w:rFonts w:ascii="Times New Roman" w:hAnsi="Times New Roman"/>
          <w:color w:val="1E1E1E"/>
          <w:sz w:val="20"/>
          <w:szCs w:val="20"/>
        </w:rPr>
        <w:t>SO</w:t>
      </w:r>
      <w:r w:rsidRPr="00157FD0">
        <w:rPr>
          <w:rStyle w:val="hps"/>
          <w:rFonts w:ascii="Times New Roman" w:hAnsi="Times New Roman"/>
          <w:color w:val="1E1E1E"/>
          <w:sz w:val="20"/>
          <w:szCs w:val="20"/>
          <w:vertAlign w:val="subscript"/>
        </w:rPr>
        <w:t xml:space="preserve">3 </w:t>
      </w:r>
      <w:r w:rsidRPr="00157FD0">
        <w:rPr>
          <w:rStyle w:val="hps"/>
          <w:rFonts w:ascii="Times New Roman" w:hAnsi="Times New Roman"/>
          <w:color w:val="1E1E1E"/>
          <w:sz w:val="20"/>
          <w:szCs w:val="20"/>
        </w:rPr>
        <w:t xml:space="preserve">at room temperature. </w:t>
      </w:r>
      <w:r w:rsidRPr="00157FD0">
        <w:rPr>
          <w:rFonts w:ascii="Times New Roman" w:hAnsi="Times New Roman"/>
          <w:color w:val="1E1E1E"/>
          <w:sz w:val="20"/>
          <w:szCs w:val="20"/>
        </w:rPr>
        <w:t xml:space="preserve">Gamma spectrometry analysis indicated the presence of </w:t>
      </w:r>
      <w:r w:rsidRPr="00157FD0">
        <w:rPr>
          <w:rFonts w:ascii="Times New Roman" w:hAnsi="Times New Roman"/>
          <w:color w:val="1E1E1E"/>
          <w:sz w:val="20"/>
          <w:szCs w:val="20"/>
          <w:vertAlign w:val="superscript"/>
        </w:rPr>
        <w:t>40</w:t>
      </w:r>
      <w:r w:rsidRPr="00157FD0">
        <w:rPr>
          <w:rFonts w:ascii="Times New Roman" w:hAnsi="Times New Roman"/>
          <w:color w:val="1E1E1E"/>
          <w:sz w:val="20"/>
          <w:szCs w:val="20"/>
        </w:rPr>
        <w:t xml:space="preserve">K, </w:t>
      </w:r>
      <w:r w:rsidRPr="00157FD0">
        <w:rPr>
          <w:rFonts w:ascii="Times New Roman" w:hAnsi="Times New Roman"/>
          <w:color w:val="1E1E1E"/>
          <w:sz w:val="20"/>
          <w:szCs w:val="20"/>
          <w:vertAlign w:val="superscript"/>
        </w:rPr>
        <w:t>226</w:t>
      </w:r>
      <w:r w:rsidRPr="00157FD0">
        <w:rPr>
          <w:rFonts w:ascii="Times New Roman" w:hAnsi="Times New Roman"/>
          <w:bCs/>
          <w:color w:val="1E1E1E"/>
          <w:sz w:val="20"/>
          <w:szCs w:val="20"/>
        </w:rPr>
        <w:t>Ra</w:t>
      </w:r>
      <w:r w:rsidRPr="00157FD0">
        <w:rPr>
          <w:rFonts w:ascii="Times New Roman" w:hAnsi="Times New Roman"/>
          <w:color w:val="1E1E1E"/>
          <w:sz w:val="20"/>
          <w:szCs w:val="20"/>
        </w:rPr>
        <w:t xml:space="preserve"> and </w:t>
      </w:r>
      <w:r w:rsidRPr="00157FD0">
        <w:rPr>
          <w:rFonts w:ascii="Times New Roman" w:hAnsi="Times New Roman"/>
          <w:bCs/>
          <w:color w:val="1E1E1E"/>
          <w:sz w:val="20"/>
          <w:szCs w:val="20"/>
          <w:vertAlign w:val="superscript"/>
        </w:rPr>
        <w:t>232</w:t>
      </w:r>
      <w:r w:rsidRPr="00157FD0">
        <w:rPr>
          <w:rFonts w:ascii="Times New Roman" w:hAnsi="Times New Roman"/>
          <w:bCs/>
          <w:color w:val="1E1E1E"/>
          <w:sz w:val="20"/>
          <w:szCs w:val="20"/>
        </w:rPr>
        <w:t>Th</w:t>
      </w:r>
      <w:r w:rsidRPr="00157FD0">
        <w:rPr>
          <w:rFonts w:ascii="Times New Roman" w:hAnsi="Times New Roman"/>
          <w:color w:val="1E1E1E"/>
          <w:sz w:val="20"/>
          <w:szCs w:val="20"/>
        </w:rPr>
        <w:t xml:space="preserve"> in fly ash while in spent ion exchange resins showed the presence of activation and fission products i.e. </w:t>
      </w:r>
      <w:r w:rsidRPr="00157FD0">
        <w:rPr>
          <w:rFonts w:ascii="Times New Roman" w:hAnsi="Times New Roman"/>
          <w:color w:val="1E1E1E"/>
          <w:sz w:val="20"/>
          <w:szCs w:val="20"/>
          <w:vertAlign w:val="superscript"/>
        </w:rPr>
        <w:t>134</w:t>
      </w:r>
      <w:r w:rsidRPr="00157FD0">
        <w:rPr>
          <w:rFonts w:ascii="Times New Roman" w:hAnsi="Times New Roman"/>
          <w:color w:val="1E1E1E"/>
          <w:sz w:val="20"/>
          <w:szCs w:val="20"/>
        </w:rPr>
        <w:t xml:space="preserve">Cs, </w:t>
      </w:r>
      <w:r w:rsidRPr="00157FD0">
        <w:rPr>
          <w:rFonts w:ascii="Times New Roman" w:hAnsi="Times New Roman"/>
          <w:color w:val="1E1E1E"/>
          <w:sz w:val="20"/>
          <w:szCs w:val="20"/>
          <w:vertAlign w:val="superscript"/>
        </w:rPr>
        <w:t>137</w:t>
      </w:r>
      <w:r w:rsidRPr="00157FD0">
        <w:rPr>
          <w:rFonts w:ascii="Times New Roman" w:hAnsi="Times New Roman"/>
          <w:color w:val="1E1E1E"/>
          <w:sz w:val="20"/>
          <w:szCs w:val="20"/>
        </w:rPr>
        <w:t xml:space="preserve">Cs, </w:t>
      </w:r>
      <w:r w:rsidRPr="00157FD0">
        <w:rPr>
          <w:rFonts w:ascii="Times New Roman" w:hAnsi="Times New Roman"/>
          <w:bCs/>
          <w:color w:val="1E1E1E"/>
          <w:sz w:val="20"/>
          <w:szCs w:val="20"/>
          <w:vertAlign w:val="superscript"/>
        </w:rPr>
        <w:t>152</w:t>
      </w:r>
      <w:r w:rsidRPr="00157FD0">
        <w:rPr>
          <w:rFonts w:ascii="Times New Roman" w:hAnsi="Times New Roman"/>
          <w:bCs/>
          <w:color w:val="1E1E1E"/>
          <w:sz w:val="20"/>
          <w:szCs w:val="20"/>
        </w:rPr>
        <w:t xml:space="preserve">Eu, </w:t>
      </w:r>
      <w:r w:rsidRPr="00157FD0">
        <w:rPr>
          <w:rFonts w:ascii="Times New Roman" w:hAnsi="Times New Roman"/>
          <w:color w:val="1E1E1E"/>
          <w:sz w:val="20"/>
          <w:szCs w:val="20"/>
          <w:vertAlign w:val="superscript"/>
        </w:rPr>
        <w:t>54</w:t>
      </w:r>
      <w:r w:rsidRPr="00157FD0">
        <w:rPr>
          <w:rFonts w:ascii="Times New Roman" w:hAnsi="Times New Roman"/>
          <w:color w:val="1E1E1E"/>
          <w:sz w:val="20"/>
          <w:szCs w:val="20"/>
        </w:rPr>
        <w:t xml:space="preserve">Mn, </w:t>
      </w:r>
      <w:r w:rsidRPr="00157FD0">
        <w:rPr>
          <w:rFonts w:ascii="Times New Roman" w:hAnsi="Times New Roman"/>
          <w:color w:val="1E1E1E"/>
          <w:sz w:val="20"/>
          <w:szCs w:val="20"/>
          <w:vertAlign w:val="superscript"/>
        </w:rPr>
        <w:t>58</w:t>
      </w:r>
      <w:r w:rsidRPr="00157FD0">
        <w:rPr>
          <w:rFonts w:ascii="Times New Roman" w:hAnsi="Times New Roman"/>
          <w:color w:val="1E1E1E"/>
          <w:sz w:val="20"/>
          <w:szCs w:val="20"/>
        </w:rPr>
        <w:t xml:space="preserve">Co, </w:t>
      </w:r>
      <w:r w:rsidRPr="00157FD0">
        <w:rPr>
          <w:rFonts w:ascii="Times New Roman" w:hAnsi="Times New Roman"/>
          <w:color w:val="1E1E1E"/>
          <w:sz w:val="20"/>
          <w:szCs w:val="20"/>
          <w:vertAlign w:val="superscript"/>
        </w:rPr>
        <w:t>60</w:t>
      </w:r>
      <w:r w:rsidRPr="00157FD0">
        <w:rPr>
          <w:rFonts w:ascii="Times New Roman" w:hAnsi="Times New Roman"/>
          <w:color w:val="1E1E1E"/>
          <w:sz w:val="20"/>
          <w:szCs w:val="20"/>
        </w:rPr>
        <w:t xml:space="preserve">Co and </w:t>
      </w:r>
      <w:r w:rsidRPr="00157FD0">
        <w:rPr>
          <w:rFonts w:ascii="Times New Roman" w:hAnsi="Times New Roman"/>
          <w:color w:val="1E1E1E"/>
          <w:sz w:val="20"/>
          <w:szCs w:val="20"/>
          <w:vertAlign w:val="superscript"/>
        </w:rPr>
        <w:t>65</w:t>
      </w:r>
      <w:r w:rsidRPr="00157FD0">
        <w:rPr>
          <w:rFonts w:ascii="Times New Roman" w:hAnsi="Times New Roman"/>
          <w:color w:val="1E1E1E"/>
          <w:sz w:val="20"/>
          <w:szCs w:val="20"/>
        </w:rPr>
        <w:t>Zn. The composition of the materials that made up the monolith was 10% (wt) of spent ion exchange resin, with a compressive strength of 6.1 MPa. The l</w:t>
      </w:r>
      <w:r w:rsidRPr="00157FD0">
        <w:rPr>
          <w:rStyle w:val="hps"/>
          <w:rFonts w:ascii="Times New Roman" w:hAnsi="Times New Roman"/>
          <w:color w:val="1E1E1E"/>
          <w:sz w:val="20"/>
          <w:szCs w:val="20"/>
        </w:rPr>
        <w:t xml:space="preserve">eaching rates of the radionuclides were used as indicators of immobilization performance of the solidified waste forms. The leaching test shows </w:t>
      </w:r>
      <w:r w:rsidRPr="00157FD0">
        <w:rPr>
          <w:rFonts w:ascii="Times New Roman" w:hAnsi="Times New Roman"/>
          <w:color w:val="1E1E1E"/>
          <w:sz w:val="20"/>
          <w:szCs w:val="20"/>
        </w:rPr>
        <w:t xml:space="preserve">different leaching rates of </w:t>
      </w:r>
      <w:r w:rsidRPr="00157FD0">
        <w:rPr>
          <w:rFonts w:ascii="Times New Roman" w:hAnsi="Times New Roman"/>
          <w:color w:val="1E1E1E"/>
          <w:sz w:val="20"/>
          <w:szCs w:val="20"/>
          <w:vertAlign w:val="superscript"/>
        </w:rPr>
        <w:t>134</w:t>
      </w:r>
      <w:r w:rsidRPr="00157FD0">
        <w:rPr>
          <w:rFonts w:ascii="Times New Roman" w:hAnsi="Times New Roman"/>
          <w:color w:val="1E1E1E"/>
          <w:sz w:val="20"/>
          <w:szCs w:val="20"/>
        </w:rPr>
        <w:t xml:space="preserve">Cs, </w:t>
      </w:r>
      <w:r w:rsidRPr="00157FD0">
        <w:rPr>
          <w:rFonts w:ascii="Times New Roman" w:hAnsi="Times New Roman"/>
          <w:color w:val="1E1E1E"/>
          <w:sz w:val="20"/>
          <w:szCs w:val="20"/>
          <w:vertAlign w:val="superscript"/>
        </w:rPr>
        <w:t>137</w:t>
      </w:r>
      <w:r w:rsidRPr="00157FD0">
        <w:rPr>
          <w:rFonts w:ascii="Times New Roman" w:hAnsi="Times New Roman"/>
          <w:color w:val="1E1E1E"/>
          <w:sz w:val="20"/>
          <w:szCs w:val="20"/>
        </w:rPr>
        <w:t xml:space="preserve">Cs, </w:t>
      </w:r>
      <w:r w:rsidRPr="00157FD0">
        <w:rPr>
          <w:rFonts w:ascii="Times New Roman" w:hAnsi="Times New Roman"/>
          <w:color w:val="1E1E1E"/>
          <w:sz w:val="20"/>
          <w:szCs w:val="20"/>
          <w:vertAlign w:val="superscript"/>
        </w:rPr>
        <w:t>226</w:t>
      </w:r>
      <w:r w:rsidRPr="00157FD0">
        <w:rPr>
          <w:rFonts w:ascii="Times New Roman" w:hAnsi="Times New Roman"/>
          <w:color w:val="1E1E1E"/>
          <w:sz w:val="20"/>
          <w:szCs w:val="20"/>
        </w:rPr>
        <w:t>Ra,</w:t>
      </w:r>
      <w:r w:rsidRPr="00157FD0">
        <w:rPr>
          <w:rFonts w:ascii="Times New Roman" w:hAnsi="Times New Roman"/>
          <w:color w:val="1E1E1E"/>
          <w:sz w:val="20"/>
          <w:szCs w:val="20"/>
          <w:vertAlign w:val="superscript"/>
        </w:rPr>
        <w:t xml:space="preserve"> 60</w:t>
      </w:r>
      <w:r w:rsidRPr="00157FD0">
        <w:rPr>
          <w:rFonts w:ascii="Times New Roman" w:hAnsi="Times New Roman"/>
          <w:color w:val="1E1E1E"/>
          <w:sz w:val="20"/>
          <w:szCs w:val="20"/>
        </w:rPr>
        <w:t xml:space="preserve">Co and </w:t>
      </w:r>
      <w:r w:rsidRPr="00157FD0">
        <w:rPr>
          <w:rFonts w:ascii="Times New Roman" w:hAnsi="Times New Roman"/>
          <w:color w:val="1E1E1E"/>
          <w:sz w:val="20"/>
          <w:szCs w:val="20"/>
          <w:vertAlign w:val="superscript"/>
        </w:rPr>
        <w:t>40</w:t>
      </w:r>
      <w:r w:rsidRPr="00157FD0">
        <w:rPr>
          <w:rFonts w:ascii="Times New Roman" w:hAnsi="Times New Roman"/>
          <w:color w:val="1E1E1E"/>
          <w:sz w:val="20"/>
          <w:szCs w:val="20"/>
        </w:rPr>
        <w:t>K from the monolith geopolymer</w:t>
      </w:r>
      <w:r w:rsidRPr="00157FD0">
        <w:rPr>
          <w:rStyle w:val="hps"/>
          <w:rFonts w:ascii="Times New Roman" w:hAnsi="Times New Roman"/>
          <w:color w:val="1E1E1E"/>
          <w:sz w:val="20"/>
          <w:szCs w:val="20"/>
        </w:rPr>
        <w:t xml:space="preserve">. </w:t>
      </w:r>
      <w:r w:rsidRPr="00157FD0">
        <w:rPr>
          <w:rFonts w:ascii="Times New Roman" w:hAnsi="Times New Roman"/>
          <w:color w:val="1E1E1E"/>
          <w:sz w:val="20"/>
          <w:szCs w:val="20"/>
        </w:rPr>
        <w:t>The results show that immobilization of spent ion exchange resins using fly ash based geopolymer significantly affect the leaching rate of the radionuclides. This finding could in future benefits the treatment of low level and intermediate waste generated from nuclear power plant operation.</w:t>
      </w:r>
    </w:p>
    <w:p w:rsidR="00157FD0" w:rsidRPr="00157FD0" w:rsidRDefault="00157FD0" w:rsidP="00157FD0">
      <w:pPr>
        <w:tabs>
          <w:tab w:val="left" w:pos="4425"/>
        </w:tabs>
        <w:spacing w:after="0" w:line="240" w:lineRule="auto"/>
        <w:jc w:val="both"/>
        <w:rPr>
          <w:rFonts w:ascii="Times New Roman" w:hAnsi="Times New Roman"/>
          <w:color w:val="1E1E1E"/>
          <w:sz w:val="20"/>
          <w:szCs w:val="20"/>
        </w:rPr>
      </w:pPr>
    </w:p>
    <w:p w:rsidR="00157FD0" w:rsidRPr="00157FD0" w:rsidRDefault="00157FD0" w:rsidP="00157FD0">
      <w:pPr>
        <w:tabs>
          <w:tab w:val="left" w:pos="4425"/>
        </w:tabs>
        <w:spacing w:after="0" w:line="240" w:lineRule="auto"/>
        <w:jc w:val="both"/>
        <w:rPr>
          <w:rFonts w:ascii="Times New Roman" w:hAnsi="Times New Roman"/>
          <w:color w:val="1E1E1E"/>
          <w:sz w:val="20"/>
          <w:szCs w:val="20"/>
        </w:rPr>
      </w:pPr>
      <w:r w:rsidRPr="00157FD0">
        <w:rPr>
          <w:rFonts w:ascii="Times New Roman" w:hAnsi="Times New Roman"/>
          <w:b/>
          <w:bCs/>
          <w:iCs/>
          <w:color w:val="1E1E1E"/>
          <w:sz w:val="20"/>
          <w:szCs w:val="20"/>
        </w:rPr>
        <w:t>Keywords</w:t>
      </w:r>
      <w:r w:rsidRPr="00157FD0">
        <w:rPr>
          <w:rFonts w:ascii="Times New Roman" w:hAnsi="Times New Roman"/>
          <w:bCs/>
          <w:iCs/>
          <w:color w:val="1E1E1E"/>
          <w:sz w:val="20"/>
          <w:szCs w:val="20"/>
        </w:rPr>
        <w:t xml:space="preserve">: </w:t>
      </w:r>
      <w:r w:rsidRPr="00157FD0">
        <w:rPr>
          <w:rFonts w:ascii="Times New Roman" w:hAnsi="Times New Roman"/>
          <w:color w:val="1E1E1E"/>
          <w:sz w:val="20"/>
          <w:szCs w:val="20"/>
        </w:rPr>
        <w:t>spent ion exchange resins, geopolymer, fly ash, radioactive waste</w:t>
      </w:r>
    </w:p>
    <w:p w:rsidR="00157FD0" w:rsidRPr="00157FD0" w:rsidRDefault="00157FD0" w:rsidP="00157FD0">
      <w:pPr>
        <w:spacing w:after="0" w:line="240" w:lineRule="auto"/>
        <w:jc w:val="center"/>
        <w:rPr>
          <w:rFonts w:ascii="Times New Roman" w:hAnsi="Times New Roman"/>
          <w:b/>
          <w:noProof/>
          <w:sz w:val="20"/>
          <w:szCs w:val="20"/>
          <w:lang w:bidi="ar-SA"/>
        </w:rPr>
      </w:pPr>
    </w:p>
    <w:p w:rsidR="00157FD0" w:rsidRPr="00157FD0" w:rsidRDefault="00157FD0" w:rsidP="00157FD0">
      <w:pPr>
        <w:spacing w:after="0" w:line="240" w:lineRule="auto"/>
        <w:jc w:val="center"/>
        <w:rPr>
          <w:rFonts w:ascii="Times New Roman" w:hAnsi="Times New Roman"/>
          <w:b/>
          <w:noProof/>
          <w:sz w:val="20"/>
          <w:szCs w:val="20"/>
          <w:lang w:bidi="ar-SA"/>
        </w:rPr>
      </w:pPr>
      <w:r w:rsidRPr="00157FD0">
        <w:rPr>
          <w:rFonts w:ascii="Times New Roman" w:hAnsi="Times New Roman"/>
          <w:b/>
          <w:noProof/>
          <w:sz w:val="20"/>
          <w:szCs w:val="20"/>
          <w:lang w:bidi="ar-SA"/>
        </w:rPr>
        <w:t>Abstrak</w:t>
      </w:r>
    </w:p>
    <w:p w:rsidR="00157FD0" w:rsidRPr="00157FD0" w:rsidRDefault="00157FD0" w:rsidP="00157FD0">
      <w:pPr>
        <w:spacing w:after="0" w:line="240" w:lineRule="auto"/>
        <w:jc w:val="both"/>
        <w:rPr>
          <w:rFonts w:ascii="Times New Roman" w:hAnsi="Times New Roman"/>
          <w:color w:val="1E1E1E"/>
          <w:sz w:val="20"/>
          <w:szCs w:val="20"/>
        </w:rPr>
      </w:pPr>
      <w:r w:rsidRPr="00157FD0">
        <w:rPr>
          <w:rFonts w:ascii="Times New Roman" w:hAnsi="Times New Roman"/>
          <w:color w:val="1E1E1E"/>
          <w:sz w:val="20"/>
          <w:szCs w:val="20"/>
        </w:rPr>
        <w:t>Kajian makmal telah dijalankan untuk menilai kemungkinan pemegunan resin penukar ion terpakai menggunakan proses geopolimer berasaskan abu terbang yang telah disediakan pada suhu bilik. Objektif utama kajian ini adalah untuk menentukan kesesuaian pemegunan sisa radioaktif menggunakan geopolimer. Resin penukar ion terpakai dan abu terbang diperolehi daripada Reaktor PUSPATI TRIGA (RTP) dan Loji Janakuasa Salahuddin Sultan Abdul Aziz, Kapar, Selangor. Geopolimer ini diaktifkan dengan campuran larutan NaOH dan Na</w:t>
      </w:r>
      <w:r w:rsidRPr="00157FD0">
        <w:rPr>
          <w:rFonts w:ascii="Times New Roman" w:hAnsi="Times New Roman"/>
          <w:color w:val="1E1E1E"/>
          <w:sz w:val="20"/>
          <w:szCs w:val="20"/>
          <w:vertAlign w:val="subscript"/>
        </w:rPr>
        <w:t>2</w:t>
      </w:r>
      <w:r w:rsidRPr="00157FD0">
        <w:rPr>
          <w:rFonts w:ascii="Times New Roman" w:hAnsi="Times New Roman"/>
          <w:color w:val="1E1E1E"/>
          <w:sz w:val="20"/>
          <w:szCs w:val="20"/>
        </w:rPr>
        <w:t>SO</w:t>
      </w:r>
      <w:r w:rsidRPr="00157FD0">
        <w:rPr>
          <w:rFonts w:ascii="Times New Roman" w:hAnsi="Times New Roman"/>
          <w:color w:val="1E1E1E"/>
          <w:sz w:val="20"/>
          <w:szCs w:val="20"/>
          <w:vertAlign w:val="subscript"/>
        </w:rPr>
        <w:t xml:space="preserve">3 </w:t>
      </w:r>
      <w:r w:rsidRPr="00157FD0">
        <w:rPr>
          <w:rFonts w:ascii="Times New Roman" w:hAnsi="Times New Roman"/>
          <w:color w:val="1E1E1E"/>
          <w:sz w:val="20"/>
          <w:szCs w:val="20"/>
        </w:rPr>
        <w:t xml:space="preserve">pada suhu bilik. Analisis spektrometri gama didalam abu terbang menunjukkan kehadiran </w:t>
      </w:r>
      <w:r w:rsidRPr="00157FD0">
        <w:rPr>
          <w:rFonts w:ascii="Times New Roman" w:hAnsi="Times New Roman"/>
          <w:color w:val="1E1E1E"/>
          <w:sz w:val="20"/>
          <w:szCs w:val="20"/>
          <w:vertAlign w:val="superscript"/>
        </w:rPr>
        <w:t>40</w:t>
      </w:r>
      <w:r w:rsidRPr="00157FD0">
        <w:rPr>
          <w:rFonts w:ascii="Times New Roman" w:hAnsi="Times New Roman"/>
          <w:color w:val="1E1E1E"/>
          <w:sz w:val="20"/>
          <w:szCs w:val="20"/>
        </w:rPr>
        <w:t xml:space="preserve">K, </w:t>
      </w:r>
      <w:r w:rsidRPr="00157FD0">
        <w:rPr>
          <w:rFonts w:ascii="Times New Roman" w:hAnsi="Times New Roman"/>
          <w:color w:val="1E1E1E"/>
          <w:sz w:val="20"/>
          <w:szCs w:val="20"/>
          <w:vertAlign w:val="superscript"/>
        </w:rPr>
        <w:t>226</w:t>
      </w:r>
      <w:r w:rsidRPr="00157FD0">
        <w:rPr>
          <w:rFonts w:ascii="Times New Roman" w:hAnsi="Times New Roman"/>
          <w:color w:val="1E1E1E"/>
          <w:sz w:val="20"/>
          <w:szCs w:val="20"/>
        </w:rPr>
        <w:t xml:space="preserve">Ra dan </w:t>
      </w:r>
      <w:r w:rsidRPr="00157FD0">
        <w:rPr>
          <w:rFonts w:ascii="Times New Roman" w:hAnsi="Times New Roman"/>
          <w:color w:val="1E1E1E"/>
          <w:sz w:val="20"/>
          <w:szCs w:val="20"/>
          <w:vertAlign w:val="superscript"/>
        </w:rPr>
        <w:t>232</w:t>
      </w:r>
      <w:r w:rsidRPr="00157FD0">
        <w:rPr>
          <w:rFonts w:ascii="Times New Roman" w:hAnsi="Times New Roman"/>
          <w:color w:val="1E1E1E"/>
          <w:sz w:val="20"/>
          <w:szCs w:val="20"/>
        </w:rPr>
        <w:t xml:space="preserve">Th manakala resin penukar ion terpakai menunjukkan kehadiran radionuklid pengaktifan dan pembelahan iaitu </w:t>
      </w:r>
      <w:r w:rsidRPr="00157FD0">
        <w:rPr>
          <w:rFonts w:ascii="Times New Roman" w:hAnsi="Times New Roman"/>
          <w:color w:val="1E1E1E"/>
          <w:sz w:val="20"/>
          <w:szCs w:val="20"/>
          <w:vertAlign w:val="superscript"/>
        </w:rPr>
        <w:t>134</w:t>
      </w:r>
      <w:r w:rsidRPr="00157FD0">
        <w:rPr>
          <w:rFonts w:ascii="Times New Roman" w:hAnsi="Times New Roman"/>
          <w:color w:val="1E1E1E"/>
          <w:sz w:val="20"/>
          <w:szCs w:val="20"/>
        </w:rPr>
        <w:t xml:space="preserve">Cs, </w:t>
      </w:r>
      <w:r w:rsidRPr="00157FD0">
        <w:rPr>
          <w:rFonts w:ascii="Times New Roman" w:hAnsi="Times New Roman"/>
          <w:color w:val="1E1E1E"/>
          <w:sz w:val="20"/>
          <w:szCs w:val="20"/>
          <w:vertAlign w:val="superscript"/>
        </w:rPr>
        <w:t>137</w:t>
      </w:r>
      <w:r w:rsidRPr="00157FD0">
        <w:rPr>
          <w:rFonts w:ascii="Times New Roman" w:hAnsi="Times New Roman"/>
          <w:color w:val="1E1E1E"/>
          <w:sz w:val="20"/>
          <w:szCs w:val="20"/>
        </w:rPr>
        <w:t xml:space="preserve">Cs, </w:t>
      </w:r>
      <w:r w:rsidRPr="00157FD0">
        <w:rPr>
          <w:rFonts w:ascii="Times New Roman" w:hAnsi="Times New Roman"/>
          <w:color w:val="1E1E1E"/>
          <w:sz w:val="20"/>
          <w:szCs w:val="20"/>
          <w:vertAlign w:val="superscript"/>
        </w:rPr>
        <w:t>152</w:t>
      </w:r>
      <w:r w:rsidRPr="00157FD0">
        <w:rPr>
          <w:rFonts w:ascii="Times New Roman" w:hAnsi="Times New Roman"/>
          <w:color w:val="1E1E1E"/>
          <w:sz w:val="20"/>
          <w:szCs w:val="20"/>
        </w:rPr>
        <w:t xml:space="preserve">Eu, </w:t>
      </w:r>
      <w:r w:rsidRPr="00157FD0">
        <w:rPr>
          <w:rFonts w:ascii="Times New Roman" w:hAnsi="Times New Roman"/>
          <w:color w:val="1E1E1E"/>
          <w:sz w:val="20"/>
          <w:szCs w:val="20"/>
          <w:vertAlign w:val="superscript"/>
        </w:rPr>
        <w:t>54</w:t>
      </w:r>
      <w:r w:rsidRPr="00157FD0">
        <w:rPr>
          <w:rFonts w:ascii="Times New Roman" w:hAnsi="Times New Roman"/>
          <w:color w:val="1E1E1E"/>
          <w:sz w:val="20"/>
          <w:szCs w:val="20"/>
        </w:rPr>
        <w:t xml:space="preserve">Mn, </w:t>
      </w:r>
      <w:r w:rsidRPr="00157FD0">
        <w:rPr>
          <w:rFonts w:ascii="Times New Roman" w:hAnsi="Times New Roman"/>
          <w:color w:val="1E1E1E"/>
          <w:sz w:val="20"/>
          <w:szCs w:val="20"/>
          <w:vertAlign w:val="superscript"/>
        </w:rPr>
        <w:t>58</w:t>
      </w:r>
      <w:r w:rsidRPr="00157FD0">
        <w:rPr>
          <w:rFonts w:ascii="Times New Roman" w:hAnsi="Times New Roman"/>
          <w:color w:val="1E1E1E"/>
          <w:sz w:val="20"/>
          <w:szCs w:val="20"/>
        </w:rPr>
        <w:t xml:space="preserve">Co, </w:t>
      </w:r>
      <w:r w:rsidRPr="00157FD0">
        <w:rPr>
          <w:rFonts w:ascii="Times New Roman" w:hAnsi="Times New Roman"/>
          <w:color w:val="1E1E1E"/>
          <w:sz w:val="20"/>
          <w:szCs w:val="20"/>
          <w:vertAlign w:val="superscript"/>
        </w:rPr>
        <w:t>60</w:t>
      </w:r>
      <w:r w:rsidRPr="00157FD0">
        <w:rPr>
          <w:rFonts w:ascii="Times New Roman" w:hAnsi="Times New Roman"/>
          <w:color w:val="1E1E1E"/>
          <w:sz w:val="20"/>
          <w:szCs w:val="20"/>
        </w:rPr>
        <w:t xml:space="preserve">Co dan </w:t>
      </w:r>
      <w:r w:rsidRPr="00157FD0">
        <w:rPr>
          <w:rFonts w:ascii="Times New Roman" w:hAnsi="Times New Roman"/>
          <w:color w:val="1E1E1E"/>
          <w:sz w:val="20"/>
          <w:szCs w:val="20"/>
          <w:vertAlign w:val="superscript"/>
        </w:rPr>
        <w:t>65</w:t>
      </w:r>
      <w:r w:rsidRPr="00157FD0">
        <w:rPr>
          <w:rFonts w:ascii="Times New Roman" w:hAnsi="Times New Roman"/>
          <w:color w:val="1E1E1E"/>
          <w:sz w:val="20"/>
          <w:szCs w:val="20"/>
        </w:rPr>
        <w:t xml:space="preserve">Zn. Komposisi bahan yang membentuk monolit geopolimer adalah 10 % (berat) daripada resin penukar ion terpakai, dengan kekuatan mampatan sebanyak 6.1 MPa. Kadar larut lesap jangka panjang bagi radionuklid digunakan sebagai petunjuk prestasi pemegunan sisa radioaktif. Ujian larut lesap jangka panjang dari </w:t>
      </w:r>
      <w:r w:rsidRPr="00157FD0">
        <w:rPr>
          <w:rFonts w:ascii="Times New Roman" w:hAnsi="Times New Roman"/>
          <w:color w:val="1E1E1E"/>
          <w:sz w:val="20"/>
          <w:szCs w:val="20"/>
        </w:rPr>
        <w:lastRenderedPageBreak/>
        <w:t xml:space="preserve">monolith geopolimer menunjukkan kadar larut lesap yang berbeza bagi setiap radionuklid berikut: </w:t>
      </w:r>
      <w:r w:rsidRPr="00157FD0">
        <w:rPr>
          <w:rFonts w:ascii="Times New Roman" w:hAnsi="Times New Roman"/>
          <w:color w:val="1E1E1E"/>
          <w:sz w:val="20"/>
          <w:szCs w:val="20"/>
          <w:vertAlign w:val="superscript"/>
        </w:rPr>
        <w:t>134</w:t>
      </w:r>
      <w:r w:rsidRPr="00157FD0">
        <w:rPr>
          <w:rFonts w:ascii="Times New Roman" w:hAnsi="Times New Roman"/>
          <w:color w:val="1E1E1E"/>
          <w:sz w:val="20"/>
          <w:szCs w:val="20"/>
        </w:rPr>
        <w:t xml:space="preserve">Cs, </w:t>
      </w:r>
      <w:r w:rsidRPr="00157FD0">
        <w:rPr>
          <w:rFonts w:ascii="Times New Roman" w:hAnsi="Times New Roman"/>
          <w:color w:val="1E1E1E"/>
          <w:sz w:val="20"/>
          <w:szCs w:val="20"/>
          <w:vertAlign w:val="superscript"/>
        </w:rPr>
        <w:t>137</w:t>
      </w:r>
      <w:r w:rsidRPr="00157FD0">
        <w:rPr>
          <w:rFonts w:ascii="Times New Roman" w:hAnsi="Times New Roman"/>
          <w:color w:val="1E1E1E"/>
          <w:sz w:val="20"/>
          <w:szCs w:val="20"/>
        </w:rPr>
        <w:t xml:space="preserve">Cs, </w:t>
      </w:r>
      <w:r w:rsidRPr="00157FD0">
        <w:rPr>
          <w:rFonts w:ascii="Times New Roman" w:hAnsi="Times New Roman"/>
          <w:color w:val="1E1E1E"/>
          <w:sz w:val="20"/>
          <w:szCs w:val="20"/>
          <w:vertAlign w:val="superscript"/>
        </w:rPr>
        <w:t>226</w:t>
      </w:r>
      <w:r w:rsidRPr="00157FD0">
        <w:rPr>
          <w:rFonts w:ascii="Times New Roman" w:hAnsi="Times New Roman"/>
          <w:color w:val="1E1E1E"/>
          <w:sz w:val="20"/>
          <w:szCs w:val="20"/>
        </w:rPr>
        <w:t xml:space="preserve">Ra, </w:t>
      </w:r>
      <w:r w:rsidRPr="00157FD0">
        <w:rPr>
          <w:rFonts w:ascii="Times New Roman" w:hAnsi="Times New Roman"/>
          <w:color w:val="1E1E1E"/>
          <w:sz w:val="20"/>
          <w:szCs w:val="20"/>
          <w:vertAlign w:val="superscript"/>
        </w:rPr>
        <w:t>60</w:t>
      </w:r>
      <w:r w:rsidRPr="00157FD0">
        <w:rPr>
          <w:rFonts w:ascii="Times New Roman" w:hAnsi="Times New Roman"/>
          <w:color w:val="1E1E1E"/>
          <w:sz w:val="20"/>
          <w:szCs w:val="20"/>
        </w:rPr>
        <w:t xml:space="preserve">Co dan </w:t>
      </w:r>
      <w:r w:rsidRPr="00157FD0">
        <w:rPr>
          <w:rFonts w:ascii="Times New Roman" w:hAnsi="Times New Roman"/>
          <w:color w:val="1E1E1E"/>
          <w:sz w:val="20"/>
          <w:szCs w:val="20"/>
          <w:vertAlign w:val="superscript"/>
        </w:rPr>
        <w:t>40</w:t>
      </w:r>
      <w:r w:rsidRPr="00157FD0">
        <w:rPr>
          <w:rFonts w:ascii="Times New Roman" w:hAnsi="Times New Roman"/>
          <w:color w:val="1E1E1E"/>
          <w:sz w:val="20"/>
          <w:szCs w:val="20"/>
        </w:rPr>
        <w:t>K. Keputusan menunjukkan bahawa pemegunan resin penukar ion terpakai menggunakan geopolimer berasaskan abu terbang memberi kesan ketara kepada kadar larut lesap monolith geopolimer. Penemuan ini boleh memberi manfaat kepada rawatan sisa tahap rendah dan sederhana pada masa depan yang dijana daripada operasi loji kuasa nuklear.</w:t>
      </w:r>
    </w:p>
    <w:p w:rsidR="00157FD0" w:rsidRPr="00157FD0" w:rsidRDefault="00157FD0" w:rsidP="00157FD0">
      <w:pPr>
        <w:spacing w:after="0" w:line="240" w:lineRule="auto"/>
        <w:jc w:val="both"/>
        <w:rPr>
          <w:rStyle w:val="hps"/>
          <w:rFonts w:ascii="Times New Roman" w:hAnsi="Times New Roman"/>
          <w:b/>
          <w:color w:val="1E1E1E"/>
          <w:sz w:val="20"/>
          <w:szCs w:val="20"/>
        </w:rPr>
      </w:pPr>
    </w:p>
    <w:p w:rsidR="00A4404D" w:rsidRDefault="00157FD0" w:rsidP="00157FD0">
      <w:pPr>
        <w:spacing w:after="0" w:line="240" w:lineRule="auto"/>
        <w:jc w:val="both"/>
        <w:rPr>
          <w:rStyle w:val="hps"/>
          <w:rFonts w:ascii="Times New Roman" w:hAnsi="Times New Roman"/>
          <w:color w:val="1E1E1E"/>
          <w:sz w:val="20"/>
          <w:szCs w:val="20"/>
        </w:rPr>
      </w:pPr>
      <w:r w:rsidRPr="00157FD0">
        <w:rPr>
          <w:rStyle w:val="hps"/>
          <w:rFonts w:ascii="Times New Roman" w:hAnsi="Times New Roman"/>
          <w:b/>
          <w:color w:val="1E1E1E"/>
          <w:sz w:val="20"/>
          <w:szCs w:val="20"/>
        </w:rPr>
        <w:t>Kata kunci</w:t>
      </w:r>
      <w:r w:rsidRPr="00157FD0">
        <w:rPr>
          <w:rStyle w:val="hps"/>
          <w:rFonts w:ascii="Times New Roman" w:hAnsi="Times New Roman"/>
          <w:color w:val="1E1E1E"/>
          <w:sz w:val="20"/>
          <w:szCs w:val="20"/>
        </w:rPr>
        <w:t xml:space="preserve">: </w:t>
      </w:r>
      <w:r w:rsidRPr="00157FD0">
        <w:rPr>
          <w:rFonts w:ascii="Times New Roman" w:hAnsi="Times New Roman"/>
          <w:color w:val="1E1E1E"/>
          <w:sz w:val="20"/>
          <w:szCs w:val="20"/>
        </w:rPr>
        <w:t>resin penukar ion terpakai</w:t>
      </w:r>
      <w:r w:rsidRPr="00157FD0">
        <w:rPr>
          <w:rStyle w:val="hps"/>
          <w:rFonts w:ascii="Times New Roman" w:hAnsi="Times New Roman"/>
          <w:color w:val="1E1E1E"/>
          <w:sz w:val="20"/>
          <w:szCs w:val="20"/>
        </w:rPr>
        <w:t>, geopolimer, abu terbang, sisa radioaktif</w:t>
      </w:r>
    </w:p>
    <w:p w:rsidR="00157FD0" w:rsidRDefault="00157FD0" w:rsidP="00157FD0">
      <w:pPr>
        <w:spacing w:after="0" w:line="240" w:lineRule="auto"/>
        <w:jc w:val="center"/>
        <w:rPr>
          <w:rStyle w:val="hps"/>
          <w:rFonts w:ascii="Times New Roman" w:hAnsi="Times New Roman"/>
          <w:color w:val="1E1E1E"/>
          <w:sz w:val="20"/>
          <w:szCs w:val="20"/>
        </w:rPr>
      </w:pPr>
    </w:p>
    <w:p w:rsidR="002070EF" w:rsidRPr="00F447A7" w:rsidRDefault="002070EF" w:rsidP="002070E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070EF" w:rsidRPr="00870007" w:rsidRDefault="002070EF" w:rsidP="002070EF">
      <w:pPr>
        <w:pStyle w:val="Default"/>
        <w:numPr>
          <w:ilvl w:val="0"/>
          <w:numId w:val="1"/>
        </w:numPr>
        <w:spacing w:after="0" w:line="240" w:lineRule="auto"/>
        <w:ind w:left="360"/>
        <w:rPr>
          <w:color w:val="1E1E1E"/>
          <w:sz w:val="20"/>
          <w:szCs w:val="20"/>
        </w:rPr>
      </w:pPr>
      <w:r w:rsidRPr="00870007">
        <w:rPr>
          <w:color w:val="1E1E1E"/>
          <w:sz w:val="20"/>
          <w:szCs w:val="20"/>
        </w:rPr>
        <w:t xml:space="preserve">Xu, H. and Van Deventer, J. S. J. (2000). The Geopolymerisation of Alumino-Silicate Minerals. </w:t>
      </w:r>
      <w:r w:rsidRPr="00870007">
        <w:rPr>
          <w:i/>
          <w:color w:val="1E1E1E"/>
          <w:sz w:val="20"/>
          <w:szCs w:val="20"/>
        </w:rPr>
        <w:t>International Journal of Mineral Processing</w:t>
      </w:r>
      <w:r w:rsidRPr="00870007">
        <w:rPr>
          <w:color w:val="1E1E1E"/>
          <w:sz w:val="20"/>
          <w:szCs w:val="20"/>
        </w:rPr>
        <w:t>, 59: 247-266.</w:t>
      </w:r>
    </w:p>
    <w:p w:rsidR="002070EF" w:rsidRPr="00870007" w:rsidRDefault="002070EF" w:rsidP="002070EF">
      <w:pPr>
        <w:pStyle w:val="Default"/>
        <w:numPr>
          <w:ilvl w:val="0"/>
          <w:numId w:val="1"/>
        </w:numPr>
        <w:spacing w:after="0" w:line="240" w:lineRule="auto"/>
        <w:ind w:left="360"/>
        <w:rPr>
          <w:color w:val="1E1E1E"/>
          <w:sz w:val="20"/>
          <w:szCs w:val="20"/>
        </w:rPr>
      </w:pPr>
      <w:r w:rsidRPr="00870007">
        <w:rPr>
          <w:color w:val="1E1E1E"/>
          <w:sz w:val="20"/>
          <w:szCs w:val="20"/>
        </w:rPr>
        <w:t xml:space="preserve">Davidovits, J. (1999). </w:t>
      </w:r>
      <w:r w:rsidRPr="00870007">
        <w:rPr>
          <w:i/>
          <w:color w:val="1E1E1E"/>
          <w:sz w:val="20"/>
          <w:szCs w:val="20"/>
        </w:rPr>
        <w:t>Chemistry of Geopolymeric System Terminology</w:t>
      </w:r>
      <w:r w:rsidRPr="00870007">
        <w:rPr>
          <w:color w:val="1E1E1E"/>
          <w:sz w:val="20"/>
          <w:szCs w:val="20"/>
        </w:rPr>
        <w:t xml:space="preserve">. </w:t>
      </w:r>
      <w:r w:rsidRPr="00870007">
        <w:rPr>
          <w:bCs/>
          <w:color w:val="1E1E1E"/>
          <w:sz w:val="20"/>
          <w:szCs w:val="20"/>
        </w:rPr>
        <w:t xml:space="preserve">Geopolymere‘99. </w:t>
      </w:r>
      <w:r w:rsidRPr="00870007">
        <w:rPr>
          <w:color w:val="1E1E1E"/>
          <w:sz w:val="20"/>
          <w:szCs w:val="20"/>
        </w:rPr>
        <w:t>Saint-Quentine, France, pp 9-39.</w:t>
      </w:r>
    </w:p>
    <w:p w:rsidR="002070EF" w:rsidRPr="00870007" w:rsidRDefault="002070EF" w:rsidP="002070EF">
      <w:pPr>
        <w:pStyle w:val="Default"/>
        <w:numPr>
          <w:ilvl w:val="0"/>
          <w:numId w:val="1"/>
        </w:numPr>
        <w:spacing w:after="0" w:line="240" w:lineRule="auto"/>
        <w:ind w:left="360"/>
        <w:rPr>
          <w:rStyle w:val="hit"/>
          <w:color w:val="1E1E1E"/>
          <w:sz w:val="20"/>
          <w:szCs w:val="20"/>
        </w:rPr>
      </w:pPr>
      <w:r w:rsidRPr="00870007">
        <w:rPr>
          <w:bCs/>
          <w:color w:val="1E1E1E"/>
          <w:sz w:val="20"/>
          <w:szCs w:val="20"/>
        </w:rPr>
        <w:t>Van Jaarsveld</w:t>
      </w:r>
      <w:r w:rsidRPr="0084408A">
        <w:rPr>
          <w:rStyle w:val="Hyperlink"/>
          <w:bCs/>
          <w:color w:val="1E1E1E"/>
          <w:sz w:val="20"/>
          <w:szCs w:val="20"/>
          <w:u w:val="none"/>
        </w:rPr>
        <w:t>, J. G. S.</w:t>
      </w:r>
      <w:r w:rsidRPr="0084408A">
        <w:rPr>
          <w:rStyle w:val="Strong"/>
          <w:b w:val="0"/>
          <w:color w:val="1E1E1E"/>
          <w:sz w:val="20"/>
          <w:szCs w:val="20"/>
        </w:rPr>
        <w:t>,</w:t>
      </w:r>
      <w:r w:rsidRPr="00870007">
        <w:rPr>
          <w:rStyle w:val="Strong"/>
          <w:b w:val="0"/>
          <w:color w:val="1E1E1E"/>
          <w:sz w:val="20"/>
          <w:szCs w:val="20"/>
        </w:rPr>
        <w:t xml:space="preserve"> </w:t>
      </w:r>
      <w:r w:rsidRPr="00870007">
        <w:rPr>
          <w:bCs/>
          <w:color w:val="1E1E1E"/>
          <w:sz w:val="20"/>
          <w:szCs w:val="20"/>
        </w:rPr>
        <w:t>Van Deventer</w:t>
      </w:r>
      <w:r w:rsidRPr="005630AD">
        <w:rPr>
          <w:rStyle w:val="Hyperlink"/>
          <w:bCs/>
          <w:color w:val="1E1E1E"/>
          <w:sz w:val="20"/>
          <w:szCs w:val="20"/>
          <w:u w:val="none"/>
        </w:rPr>
        <w:t xml:space="preserve">, </w:t>
      </w:r>
      <w:r w:rsidRPr="00870007">
        <w:rPr>
          <w:color w:val="1E1E1E"/>
          <w:sz w:val="20"/>
          <w:szCs w:val="20"/>
        </w:rPr>
        <w:t xml:space="preserve">J. S. J. and </w:t>
      </w:r>
      <w:r w:rsidRPr="00870007">
        <w:rPr>
          <w:bCs/>
          <w:color w:val="1E1E1E"/>
          <w:sz w:val="20"/>
          <w:szCs w:val="20"/>
        </w:rPr>
        <w:t>Lukey</w:t>
      </w:r>
      <w:r w:rsidRPr="0084408A">
        <w:rPr>
          <w:rStyle w:val="Hyperlink"/>
          <w:bCs/>
          <w:color w:val="1E1E1E"/>
          <w:sz w:val="20"/>
          <w:szCs w:val="20"/>
          <w:u w:val="none"/>
        </w:rPr>
        <w:t>, G. C.</w:t>
      </w:r>
      <w:r w:rsidRPr="00870007">
        <w:rPr>
          <w:color w:val="1E1E1E"/>
          <w:sz w:val="20"/>
          <w:szCs w:val="20"/>
        </w:rPr>
        <w:t xml:space="preserve"> (2002). The Effect of Composition and Temperature on the Properties of </w:t>
      </w:r>
      <w:r w:rsidRPr="00870007">
        <w:rPr>
          <w:rStyle w:val="nbapihighlight"/>
          <w:color w:val="1E1E1E"/>
          <w:sz w:val="20"/>
          <w:szCs w:val="20"/>
        </w:rPr>
        <w:t>Fly</w:t>
      </w:r>
      <w:r w:rsidRPr="00870007">
        <w:rPr>
          <w:color w:val="1E1E1E"/>
          <w:sz w:val="20"/>
          <w:szCs w:val="20"/>
        </w:rPr>
        <w:t xml:space="preserve"> Ash and Kaolinite-Based </w:t>
      </w:r>
      <w:r w:rsidRPr="00870007">
        <w:rPr>
          <w:rStyle w:val="hit"/>
          <w:color w:val="1E1E1E"/>
          <w:sz w:val="20"/>
          <w:szCs w:val="20"/>
        </w:rPr>
        <w:t xml:space="preserve">Geopolymers. </w:t>
      </w:r>
      <w:r w:rsidRPr="00870007">
        <w:rPr>
          <w:rStyle w:val="hit"/>
          <w:i/>
          <w:color w:val="1E1E1E"/>
          <w:sz w:val="20"/>
          <w:szCs w:val="20"/>
        </w:rPr>
        <w:t>The Chemical Engineering Journal</w:t>
      </w:r>
      <w:r w:rsidRPr="00870007">
        <w:rPr>
          <w:rStyle w:val="hit"/>
          <w:color w:val="1E1E1E"/>
          <w:sz w:val="20"/>
          <w:szCs w:val="20"/>
        </w:rPr>
        <w:t>, 89(1-3): 63-73</w:t>
      </w:r>
    </w:p>
    <w:p w:rsidR="002070EF" w:rsidRPr="00870007" w:rsidRDefault="002070EF" w:rsidP="002070EF">
      <w:pPr>
        <w:pStyle w:val="Default"/>
        <w:numPr>
          <w:ilvl w:val="0"/>
          <w:numId w:val="1"/>
        </w:numPr>
        <w:spacing w:after="0" w:line="240" w:lineRule="auto"/>
        <w:ind w:left="360"/>
        <w:rPr>
          <w:color w:val="1E1E1E"/>
          <w:sz w:val="20"/>
          <w:szCs w:val="20"/>
        </w:rPr>
      </w:pPr>
      <w:r w:rsidRPr="00870007">
        <w:rPr>
          <w:color w:val="1E1E1E"/>
          <w:sz w:val="20"/>
          <w:szCs w:val="20"/>
        </w:rPr>
        <w:t>De Silva, P., Sagoe-Crenstil, K. and Sirivivatnanon, V. (2007). Kinetics of Geopolymerization: Role of Al</w:t>
      </w:r>
      <w:r w:rsidRPr="00870007">
        <w:rPr>
          <w:color w:val="1E1E1E"/>
          <w:sz w:val="20"/>
          <w:szCs w:val="20"/>
          <w:vertAlign w:val="subscript"/>
        </w:rPr>
        <w:t>2</w:t>
      </w:r>
      <w:r w:rsidRPr="00870007">
        <w:rPr>
          <w:color w:val="1E1E1E"/>
          <w:sz w:val="20"/>
          <w:szCs w:val="20"/>
        </w:rPr>
        <w:t>O</w:t>
      </w:r>
      <w:r w:rsidRPr="00870007">
        <w:rPr>
          <w:color w:val="1E1E1E"/>
          <w:sz w:val="20"/>
          <w:szCs w:val="20"/>
          <w:vertAlign w:val="subscript"/>
        </w:rPr>
        <w:t>3</w:t>
      </w:r>
      <w:r w:rsidRPr="00870007">
        <w:rPr>
          <w:color w:val="1E1E1E"/>
          <w:sz w:val="20"/>
          <w:szCs w:val="20"/>
        </w:rPr>
        <w:t xml:space="preserve"> and SiO</w:t>
      </w:r>
      <w:r w:rsidRPr="00870007">
        <w:rPr>
          <w:color w:val="1E1E1E"/>
          <w:sz w:val="20"/>
          <w:szCs w:val="20"/>
          <w:vertAlign w:val="subscript"/>
        </w:rPr>
        <w:t>2</w:t>
      </w:r>
      <w:r w:rsidRPr="00870007">
        <w:rPr>
          <w:color w:val="1E1E1E"/>
          <w:sz w:val="20"/>
          <w:szCs w:val="20"/>
        </w:rPr>
        <w:t xml:space="preserve">. </w:t>
      </w:r>
      <w:r w:rsidRPr="00870007">
        <w:rPr>
          <w:i/>
          <w:color w:val="1E1E1E"/>
          <w:sz w:val="20"/>
          <w:szCs w:val="20"/>
        </w:rPr>
        <w:t>Cement &amp; Concrete Research</w:t>
      </w:r>
      <w:r w:rsidRPr="00870007">
        <w:rPr>
          <w:color w:val="1E1E1E"/>
          <w:sz w:val="20"/>
          <w:szCs w:val="20"/>
        </w:rPr>
        <w:t>, 37(4): 512 – 518.</w:t>
      </w:r>
    </w:p>
    <w:p w:rsidR="002070EF" w:rsidRPr="00870007" w:rsidRDefault="002070EF" w:rsidP="002070EF">
      <w:pPr>
        <w:pStyle w:val="Default"/>
        <w:numPr>
          <w:ilvl w:val="0"/>
          <w:numId w:val="1"/>
        </w:numPr>
        <w:spacing w:after="0" w:line="240" w:lineRule="auto"/>
        <w:ind w:left="360"/>
        <w:rPr>
          <w:color w:val="1E1E1E"/>
          <w:sz w:val="20"/>
          <w:szCs w:val="20"/>
        </w:rPr>
      </w:pPr>
      <w:r w:rsidRPr="00870007">
        <w:rPr>
          <w:color w:val="1E1E1E"/>
          <w:sz w:val="20"/>
          <w:szCs w:val="20"/>
        </w:rPr>
        <w:t xml:space="preserve">Elimbi, A, Tchakoute, H. K. and Njopwouo, D. (2011).  Effects of Calcination on Kaolinite Clays on the Properties of Geopolymer Cement. </w:t>
      </w:r>
      <w:r w:rsidRPr="00870007">
        <w:rPr>
          <w:i/>
          <w:color w:val="1E1E1E"/>
          <w:sz w:val="20"/>
          <w:szCs w:val="20"/>
        </w:rPr>
        <w:t xml:space="preserve">Construction and Building Materials </w:t>
      </w:r>
      <w:r w:rsidRPr="00870007">
        <w:rPr>
          <w:color w:val="1E1E1E"/>
          <w:sz w:val="20"/>
          <w:szCs w:val="20"/>
        </w:rPr>
        <w:t>25: 2805–2812.</w:t>
      </w:r>
    </w:p>
    <w:p w:rsidR="002070EF" w:rsidRPr="00870007" w:rsidRDefault="002070EF" w:rsidP="002070EF">
      <w:pPr>
        <w:pStyle w:val="Default"/>
        <w:numPr>
          <w:ilvl w:val="0"/>
          <w:numId w:val="1"/>
        </w:numPr>
        <w:spacing w:after="0" w:line="240" w:lineRule="auto"/>
        <w:ind w:left="360"/>
        <w:rPr>
          <w:color w:val="1E1E1E"/>
          <w:sz w:val="20"/>
          <w:szCs w:val="20"/>
        </w:rPr>
      </w:pPr>
      <w:r w:rsidRPr="00870007">
        <w:rPr>
          <w:color w:val="1E1E1E"/>
          <w:sz w:val="20"/>
          <w:szCs w:val="20"/>
        </w:rPr>
        <w:t xml:space="preserve">Wang M. R., Jia D. C., He P. G. and Zhou, Y. (2010). Influence of Calcination Temperature of Kaolin on The Structure and Properties of Final Geopolymer. </w:t>
      </w:r>
      <w:r w:rsidRPr="00870007">
        <w:rPr>
          <w:bCs/>
          <w:i/>
          <w:color w:val="1E1E1E"/>
          <w:sz w:val="20"/>
          <w:szCs w:val="20"/>
          <w:lang w:val="en-MY" w:eastAsia="en-MY"/>
        </w:rPr>
        <w:t>Materials Letters</w:t>
      </w:r>
      <w:r w:rsidRPr="00870007">
        <w:rPr>
          <w:bCs/>
          <w:color w:val="1E1E1E"/>
          <w:sz w:val="20"/>
          <w:szCs w:val="20"/>
          <w:lang w:val="en-MY" w:eastAsia="en-MY"/>
        </w:rPr>
        <w:t xml:space="preserve"> 64: </w:t>
      </w:r>
      <w:r w:rsidRPr="00870007">
        <w:rPr>
          <w:iCs/>
          <w:color w:val="1E1E1E"/>
          <w:sz w:val="20"/>
          <w:szCs w:val="20"/>
          <w:lang w:val="en-MY" w:eastAsia="en-MY"/>
        </w:rPr>
        <w:t>2551-2554</w:t>
      </w:r>
    </w:p>
    <w:p w:rsidR="002070EF" w:rsidRPr="00870007" w:rsidRDefault="002070EF" w:rsidP="002070EF">
      <w:pPr>
        <w:pStyle w:val="Default"/>
        <w:numPr>
          <w:ilvl w:val="0"/>
          <w:numId w:val="1"/>
        </w:numPr>
        <w:spacing w:after="0" w:line="240" w:lineRule="auto"/>
        <w:ind w:left="360"/>
        <w:rPr>
          <w:color w:val="1E1E1E"/>
          <w:sz w:val="20"/>
          <w:szCs w:val="20"/>
        </w:rPr>
      </w:pPr>
      <w:r w:rsidRPr="00870007">
        <w:rPr>
          <w:color w:val="1E1E1E"/>
          <w:sz w:val="20"/>
          <w:szCs w:val="20"/>
        </w:rPr>
        <w:t xml:space="preserve">Harjito, D. and Tsen, M. Z. (2008). Strength and Thermal Stability of Fly Ash-Based Geopolymer Mortar. </w:t>
      </w:r>
      <w:r w:rsidRPr="00870007">
        <w:rPr>
          <w:i/>
          <w:color w:val="1E1E1E"/>
          <w:sz w:val="20"/>
          <w:szCs w:val="20"/>
        </w:rPr>
        <w:t>The 3</w:t>
      </w:r>
      <w:r w:rsidRPr="00870007">
        <w:rPr>
          <w:i/>
          <w:color w:val="1E1E1E"/>
          <w:sz w:val="20"/>
          <w:szCs w:val="20"/>
          <w:vertAlign w:val="superscript"/>
        </w:rPr>
        <w:t>rd</w:t>
      </w:r>
      <w:r w:rsidRPr="00870007">
        <w:rPr>
          <w:i/>
          <w:color w:val="1E1E1E"/>
          <w:sz w:val="20"/>
          <w:szCs w:val="20"/>
        </w:rPr>
        <w:t xml:space="preserve"> International Conference-ACF/VCA</w:t>
      </w:r>
      <w:r w:rsidRPr="00870007">
        <w:rPr>
          <w:color w:val="1E1E1E"/>
          <w:sz w:val="20"/>
          <w:szCs w:val="20"/>
        </w:rPr>
        <w:t>.</w:t>
      </w:r>
    </w:p>
    <w:p w:rsidR="002070EF" w:rsidRPr="00870007" w:rsidRDefault="002070EF" w:rsidP="002070EF">
      <w:pPr>
        <w:pStyle w:val="ListParagraph"/>
        <w:numPr>
          <w:ilvl w:val="0"/>
          <w:numId w:val="1"/>
        </w:numPr>
        <w:spacing w:after="0" w:line="240" w:lineRule="auto"/>
        <w:ind w:left="360"/>
        <w:jc w:val="both"/>
        <w:rPr>
          <w:rFonts w:ascii="Times New Roman" w:hAnsi="Times New Roman"/>
          <w:color w:val="1E1E1E"/>
          <w:sz w:val="20"/>
          <w:szCs w:val="20"/>
        </w:rPr>
      </w:pPr>
      <w:r w:rsidRPr="00870007">
        <w:rPr>
          <w:rFonts w:ascii="Times New Roman" w:eastAsia="PMingLiU" w:hAnsi="Times New Roman"/>
          <w:color w:val="1E1E1E"/>
          <w:sz w:val="20"/>
          <w:szCs w:val="20"/>
        </w:rPr>
        <w:t xml:space="preserve">Geopolymer Alliance. (2009). Geopolymer Technology; An Opportunity to Enhance The Sustainability of The Mining and Construction Industries.             </w:t>
      </w:r>
    </w:p>
    <w:p w:rsidR="002070EF" w:rsidRPr="00870007" w:rsidRDefault="002070EF" w:rsidP="002070EF">
      <w:pPr>
        <w:pStyle w:val="Default"/>
        <w:numPr>
          <w:ilvl w:val="0"/>
          <w:numId w:val="1"/>
        </w:numPr>
        <w:spacing w:after="0" w:line="240" w:lineRule="auto"/>
        <w:ind w:left="360"/>
        <w:rPr>
          <w:color w:val="1E1E1E"/>
          <w:sz w:val="20"/>
          <w:szCs w:val="20"/>
        </w:rPr>
      </w:pPr>
      <w:r w:rsidRPr="00870007">
        <w:rPr>
          <w:rFonts w:eastAsia="Times New Roman"/>
          <w:bCs/>
          <w:color w:val="1E1E1E"/>
          <w:kern w:val="36"/>
          <w:sz w:val="20"/>
          <w:szCs w:val="20"/>
        </w:rPr>
        <w:t>IAEA</w:t>
      </w:r>
      <w:r w:rsidRPr="00870007">
        <w:rPr>
          <w:color w:val="1E1E1E"/>
          <w:sz w:val="20"/>
          <w:szCs w:val="20"/>
        </w:rPr>
        <w:t>. (1983). Treatment of Low and Intermediate Level of Radioactive Waste, IAEA TRS 223, Vienna.</w:t>
      </w:r>
    </w:p>
    <w:p w:rsidR="002070EF" w:rsidRPr="00870007" w:rsidRDefault="002070EF" w:rsidP="002070EF">
      <w:pPr>
        <w:pStyle w:val="Default"/>
        <w:numPr>
          <w:ilvl w:val="0"/>
          <w:numId w:val="1"/>
        </w:numPr>
        <w:spacing w:after="0" w:line="240" w:lineRule="auto"/>
        <w:ind w:left="360"/>
        <w:rPr>
          <w:color w:val="1E1E1E"/>
          <w:sz w:val="20"/>
          <w:szCs w:val="20"/>
        </w:rPr>
      </w:pPr>
      <w:r w:rsidRPr="00870007">
        <w:rPr>
          <w:rFonts w:eastAsia="Times New Roman"/>
          <w:bCs/>
          <w:color w:val="1E1E1E"/>
          <w:kern w:val="36"/>
          <w:sz w:val="20"/>
          <w:szCs w:val="20"/>
        </w:rPr>
        <w:t>IAEA. (2002). Application of Ion Exchange Processes for The Treatment of Radioactive Waste and Management of Spent Ion Exchangers.</w:t>
      </w:r>
      <w:r w:rsidRPr="00870007">
        <w:rPr>
          <w:color w:val="1E1E1E"/>
          <w:sz w:val="20"/>
          <w:szCs w:val="20"/>
        </w:rPr>
        <w:t>Vienna: International Atomic Energy Agency</w:t>
      </w:r>
    </w:p>
    <w:p w:rsidR="002070EF" w:rsidRPr="00870007" w:rsidRDefault="002070EF" w:rsidP="002070EF">
      <w:pPr>
        <w:pStyle w:val="Default"/>
        <w:numPr>
          <w:ilvl w:val="0"/>
          <w:numId w:val="1"/>
        </w:numPr>
        <w:spacing w:after="0" w:line="240" w:lineRule="auto"/>
        <w:ind w:left="360"/>
        <w:rPr>
          <w:color w:val="1E1E1E"/>
          <w:sz w:val="20"/>
          <w:szCs w:val="20"/>
        </w:rPr>
      </w:pPr>
      <w:r w:rsidRPr="00870007">
        <w:rPr>
          <w:color w:val="1E1E1E"/>
          <w:sz w:val="20"/>
          <w:szCs w:val="20"/>
        </w:rPr>
        <w:t xml:space="preserve">Osmanlioglu, A. E. (2007). Progress in Cementation of Reactor Resins. </w:t>
      </w:r>
      <w:r w:rsidRPr="00870007">
        <w:rPr>
          <w:i/>
          <w:iCs/>
          <w:color w:val="1E1E1E"/>
          <w:sz w:val="20"/>
          <w:szCs w:val="20"/>
        </w:rPr>
        <w:t>Progress in Nuclear Energy</w:t>
      </w:r>
      <w:r w:rsidRPr="00870007">
        <w:rPr>
          <w:color w:val="1E1E1E"/>
          <w:sz w:val="20"/>
          <w:szCs w:val="20"/>
        </w:rPr>
        <w:t xml:space="preserve"> 49: 20-26</w:t>
      </w:r>
    </w:p>
    <w:p w:rsidR="002070EF" w:rsidRPr="00870007" w:rsidRDefault="002070EF" w:rsidP="002070EF">
      <w:pPr>
        <w:pStyle w:val="Default"/>
        <w:numPr>
          <w:ilvl w:val="0"/>
          <w:numId w:val="1"/>
        </w:numPr>
        <w:spacing w:after="0" w:line="240" w:lineRule="auto"/>
        <w:ind w:left="360"/>
        <w:rPr>
          <w:color w:val="1E1E1E"/>
          <w:sz w:val="20"/>
          <w:szCs w:val="20"/>
        </w:rPr>
      </w:pPr>
      <w:r w:rsidRPr="00870007">
        <w:rPr>
          <w:rStyle w:val="hit"/>
          <w:color w:val="1E1E1E"/>
          <w:sz w:val="20"/>
          <w:szCs w:val="20"/>
        </w:rPr>
        <w:t xml:space="preserve">Laili, Z., Omar, M., Ibrahim M. Z., Wahab, M. A., Karim, J. A. and Ibrahim, N. M. N. (2010). Characterisation of Spent Ion Exchange Resin from Puspati Triga Nuklear Malaysia. </w:t>
      </w:r>
      <w:r w:rsidRPr="00870007">
        <w:rPr>
          <w:rStyle w:val="hit"/>
          <w:i/>
          <w:iCs/>
          <w:color w:val="1E1E1E"/>
          <w:sz w:val="20"/>
          <w:szCs w:val="20"/>
        </w:rPr>
        <w:t>Proceeding S</w:t>
      </w:r>
      <w:r w:rsidRPr="00870007">
        <w:rPr>
          <w:i/>
          <w:iCs/>
          <w:color w:val="1E1E1E"/>
          <w:sz w:val="20"/>
          <w:szCs w:val="20"/>
        </w:rPr>
        <w:t>eminar R&amp;D 2010</w:t>
      </w:r>
      <w:r w:rsidRPr="00870007">
        <w:rPr>
          <w:iCs/>
          <w:color w:val="1E1E1E"/>
          <w:sz w:val="20"/>
          <w:szCs w:val="20"/>
        </w:rPr>
        <w:t>, 12-15 October, Malaysian Nuclear Agency, Bangi, Selangor</w:t>
      </w:r>
    </w:p>
    <w:p w:rsidR="002070EF" w:rsidRPr="00870007" w:rsidRDefault="002070EF" w:rsidP="002070EF">
      <w:pPr>
        <w:pStyle w:val="ListParagraph"/>
        <w:numPr>
          <w:ilvl w:val="0"/>
          <w:numId w:val="1"/>
        </w:numPr>
        <w:spacing w:after="0" w:line="240" w:lineRule="auto"/>
        <w:ind w:left="360"/>
        <w:jc w:val="both"/>
        <w:rPr>
          <w:rFonts w:ascii="Times New Roman" w:hAnsi="Times New Roman"/>
          <w:color w:val="1E1E1E"/>
          <w:sz w:val="20"/>
          <w:szCs w:val="20"/>
        </w:rPr>
      </w:pPr>
      <w:r w:rsidRPr="00870007">
        <w:rPr>
          <w:rFonts w:ascii="Times New Roman" w:hAnsi="Times New Roman"/>
          <w:color w:val="1E1E1E"/>
          <w:sz w:val="20"/>
          <w:szCs w:val="20"/>
        </w:rPr>
        <w:t>WasTeC. 2014. Rekod Khidmat Tahunan 2014.</w:t>
      </w:r>
    </w:p>
    <w:p w:rsidR="002070EF" w:rsidRPr="00870007" w:rsidRDefault="002070EF" w:rsidP="002070EF">
      <w:pPr>
        <w:pStyle w:val="Default"/>
        <w:numPr>
          <w:ilvl w:val="0"/>
          <w:numId w:val="1"/>
        </w:numPr>
        <w:spacing w:after="0" w:line="240" w:lineRule="auto"/>
        <w:ind w:left="360"/>
        <w:rPr>
          <w:color w:val="1E1E1E"/>
          <w:sz w:val="20"/>
          <w:szCs w:val="20"/>
        </w:rPr>
      </w:pPr>
      <w:r w:rsidRPr="00870007">
        <w:rPr>
          <w:color w:val="1E1E1E"/>
          <w:sz w:val="20"/>
          <w:szCs w:val="20"/>
        </w:rPr>
        <w:t xml:space="preserve">Duxson, P., Provis, J. L, Lukey, G. C, and Van Deventer, J. S. J. (2007). The Role of Inorganic Polymer Technology in the Development of ‘Green Concrete’. </w:t>
      </w:r>
      <w:r w:rsidRPr="00870007">
        <w:rPr>
          <w:i/>
          <w:color w:val="1E1E1E"/>
          <w:sz w:val="20"/>
          <w:szCs w:val="20"/>
        </w:rPr>
        <w:t xml:space="preserve">Cement and Concrete Research, </w:t>
      </w:r>
      <w:r w:rsidRPr="00870007">
        <w:rPr>
          <w:color w:val="1E1E1E"/>
          <w:sz w:val="20"/>
          <w:szCs w:val="20"/>
        </w:rPr>
        <w:t>37 (12): 1590-1587.</w:t>
      </w:r>
    </w:p>
    <w:p w:rsidR="002070EF" w:rsidRPr="00870007" w:rsidRDefault="002070EF" w:rsidP="002070EF">
      <w:pPr>
        <w:pStyle w:val="Default"/>
        <w:numPr>
          <w:ilvl w:val="0"/>
          <w:numId w:val="1"/>
        </w:numPr>
        <w:spacing w:after="0" w:line="240" w:lineRule="auto"/>
        <w:ind w:left="360"/>
        <w:rPr>
          <w:color w:val="1E1E1E"/>
          <w:sz w:val="20"/>
          <w:szCs w:val="20"/>
        </w:rPr>
      </w:pPr>
      <w:r w:rsidRPr="00870007">
        <w:rPr>
          <w:rFonts w:eastAsia="Times New Roman"/>
          <w:bCs/>
          <w:color w:val="1E1E1E"/>
          <w:kern w:val="36"/>
          <w:sz w:val="20"/>
          <w:szCs w:val="20"/>
        </w:rPr>
        <w:t xml:space="preserve">IAEA. (2003). </w:t>
      </w:r>
      <w:r w:rsidRPr="00870007">
        <w:rPr>
          <w:rStyle w:val="hps"/>
          <w:color w:val="1E1E1E"/>
          <w:sz w:val="20"/>
          <w:szCs w:val="20"/>
        </w:rPr>
        <w:t>Radioactive Waste Management Glossary</w:t>
      </w:r>
      <w:r w:rsidRPr="00870007">
        <w:rPr>
          <w:rFonts w:eastAsia="Times New Roman"/>
          <w:bCs/>
          <w:color w:val="1E1E1E"/>
          <w:kern w:val="36"/>
          <w:sz w:val="20"/>
          <w:szCs w:val="20"/>
        </w:rPr>
        <w:t>.</w:t>
      </w:r>
      <w:r w:rsidRPr="00870007">
        <w:rPr>
          <w:color w:val="1E1E1E"/>
          <w:sz w:val="20"/>
          <w:szCs w:val="20"/>
        </w:rPr>
        <w:t>Vienna: International Atomic Energy Agency</w:t>
      </w:r>
    </w:p>
    <w:p w:rsidR="002070EF" w:rsidRPr="00870007" w:rsidRDefault="002070EF" w:rsidP="002070EF">
      <w:pPr>
        <w:pStyle w:val="Default"/>
        <w:numPr>
          <w:ilvl w:val="0"/>
          <w:numId w:val="1"/>
        </w:numPr>
        <w:spacing w:after="0" w:line="240" w:lineRule="auto"/>
        <w:ind w:left="360"/>
        <w:rPr>
          <w:color w:val="1E1E1E"/>
          <w:sz w:val="20"/>
          <w:szCs w:val="20"/>
        </w:rPr>
      </w:pPr>
      <w:r w:rsidRPr="00870007">
        <w:rPr>
          <w:bCs/>
          <w:color w:val="1E1E1E"/>
          <w:sz w:val="20"/>
          <w:szCs w:val="20"/>
        </w:rPr>
        <w:t xml:space="preserve">Sabuti, A. A., Ahmad, Z. and Mohamed, C. A. R. (2010).  Radioactivity of </w:t>
      </w:r>
      <w:r w:rsidRPr="00870007">
        <w:rPr>
          <w:bCs/>
          <w:color w:val="1E1E1E"/>
          <w:sz w:val="20"/>
          <w:szCs w:val="20"/>
          <w:vertAlign w:val="superscript"/>
        </w:rPr>
        <w:t>210</w:t>
      </w:r>
      <w:r w:rsidRPr="00870007">
        <w:rPr>
          <w:bCs/>
          <w:color w:val="1E1E1E"/>
          <w:sz w:val="20"/>
          <w:szCs w:val="20"/>
        </w:rPr>
        <w:t xml:space="preserve">Po in the Environmental Samples from Kapar, Malaysia. </w:t>
      </w:r>
      <w:r w:rsidRPr="00870007">
        <w:rPr>
          <w:bCs/>
          <w:i/>
          <w:color w:val="1E1E1E"/>
          <w:sz w:val="20"/>
          <w:szCs w:val="20"/>
        </w:rPr>
        <w:t>Journal of Nuclear and Related Technology</w:t>
      </w:r>
      <w:r w:rsidRPr="00870007">
        <w:rPr>
          <w:bCs/>
          <w:color w:val="1E1E1E"/>
          <w:sz w:val="20"/>
          <w:szCs w:val="20"/>
        </w:rPr>
        <w:t xml:space="preserve"> 7(1): 29 – 39.</w:t>
      </w:r>
    </w:p>
    <w:p w:rsidR="002070EF" w:rsidRPr="00870007" w:rsidRDefault="002070EF" w:rsidP="002070EF">
      <w:pPr>
        <w:pStyle w:val="ListParagraph"/>
        <w:numPr>
          <w:ilvl w:val="0"/>
          <w:numId w:val="1"/>
        </w:numPr>
        <w:spacing w:after="0" w:line="240" w:lineRule="auto"/>
        <w:ind w:left="360"/>
        <w:jc w:val="both"/>
        <w:rPr>
          <w:rFonts w:ascii="Times New Roman" w:hAnsi="Times New Roman"/>
          <w:color w:val="1E1E1E"/>
          <w:sz w:val="20"/>
          <w:szCs w:val="20"/>
        </w:rPr>
      </w:pPr>
      <w:r w:rsidRPr="00870007">
        <w:rPr>
          <w:rFonts w:ascii="Times New Roman" w:hAnsi="Times New Roman"/>
          <w:color w:val="1E1E1E"/>
          <w:sz w:val="20"/>
          <w:szCs w:val="20"/>
        </w:rPr>
        <w:t>TNB Coal Procurement. (2013). Access online: http://www.tnb.com.my/ application/ uploads/ uploaded/ FAQCoalSpecs.pdf [3 Nov 2013]</w:t>
      </w:r>
    </w:p>
    <w:p w:rsidR="002070EF" w:rsidRPr="00870007" w:rsidRDefault="002070EF" w:rsidP="002070EF">
      <w:pPr>
        <w:pStyle w:val="ListParagraph"/>
        <w:numPr>
          <w:ilvl w:val="0"/>
          <w:numId w:val="1"/>
        </w:numPr>
        <w:spacing w:after="0" w:line="240" w:lineRule="auto"/>
        <w:ind w:left="360"/>
        <w:jc w:val="both"/>
        <w:rPr>
          <w:rFonts w:ascii="Times New Roman" w:hAnsi="Times New Roman"/>
          <w:color w:val="1E1E1E"/>
          <w:sz w:val="20"/>
          <w:szCs w:val="20"/>
        </w:rPr>
      </w:pPr>
      <w:r w:rsidRPr="00870007">
        <w:rPr>
          <w:rFonts w:ascii="Times New Roman" w:hAnsi="Times New Roman"/>
          <w:color w:val="1E1E1E"/>
          <w:sz w:val="20"/>
          <w:szCs w:val="20"/>
        </w:rPr>
        <w:t xml:space="preserve">Omar, M., Laili, Z. and Hamzah, M. S., (2010). Judgment on The Presence of Radionuclides in Sample Analysis: A case Study. </w:t>
      </w:r>
      <w:r w:rsidRPr="00870007">
        <w:rPr>
          <w:rFonts w:ascii="Times New Roman" w:hAnsi="Times New Roman"/>
          <w:i/>
          <w:iCs/>
          <w:color w:val="1E1E1E"/>
          <w:sz w:val="20"/>
          <w:szCs w:val="20"/>
        </w:rPr>
        <w:t>Jurnal Sains Nuklear Malaysia</w:t>
      </w:r>
      <w:r w:rsidRPr="00870007">
        <w:rPr>
          <w:rFonts w:ascii="Times New Roman" w:hAnsi="Times New Roman"/>
          <w:color w:val="1E1E1E"/>
          <w:sz w:val="20"/>
          <w:szCs w:val="20"/>
        </w:rPr>
        <w:t xml:space="preserve"> 24(1): 33 – 42.</w:t>
      </w:r>
    </w:p>
    <w:p w:rsidR="002070EF" w:rsidRPr="00870007" w:rsidRDefault="002070EF" w:rsidP="002070EF">
      <w:pPr>
        <w:pStyle w:val="ListParagraph"/>
        <w:numPr>
          <w:ilvl w:val="0"/>
          <w:numId w:val="1"/>
        </w:numPr>
        <w:spacing w:after="0" w:line="240" w:lineRule="auto"/>
        <w:ind w:left="360"/>
        <w:jc w:val="both"/>
        <w:rPr>
          <w:rFonts w:ascii="Times New Roman" w:hAnsi="Times New Roman"/>
          <w:color w:val="1E1E1E"/>
          <w:sz w:val="20"/>
          <w:szCs w:val="20"/>
        </w:rPr>
      </w:pPr>
      <w:r w:rsidRPr="00870007">
        <w:rPr>
          <w:rFonts w:ascii="Times New Roman" w:hAnsi="Times New Roman"/>
          <w:color w:val="1E1E1E"/>
          <w:sz w:val="20"/>
          <w:szCs w:val="20"/>
        </w:rPr>
        <w:t>Masood, Z. (2010), Inspection of PUSPATI TRIGA reactor (RTP) Core and Control Rod, paper presented at IAEA Technical Meeting on Assessment of Core Structural Materials and Surveillance Programme of Research Reactors, Vienna, 14-18 June 2010.</w:t>
      </w:r>
    </w:p>
    <w:p w:rsidR="002070EF" w:rsidRPr="00870007" w:rsidRDefault="002070EF" w:rsidP="002070EF">
      <w:pPr>
        <w:pStyle w:val="ListParagraph"/>
        <w:numPr>
          <w:ilvl w:val="0"/>
          <w:numId w:val="1"/>
        </w:numPr>
        <w:spacing w:after="0" w:line="240" w:lineRule="auto"/>
        <w:ind w:left="360"/>
        <w:jc w:val="both"/>
        <w:rPr>
          <w:rFonts w:ascii="Times New Roman" w:hAnsi="Times New Roman"/>
          <w:color w:val="1E1E1E"/>
          <w:sz w:val="20"/>
          <w:szCs w:val="20"/>
        </w:rPr>
      </w:pPr>
      <w:r w:rsidRPr="00870007">
        <w:rPr>
          <w:rFonts w:ascii="Times New Roman" w:hAnsi="Times New Roman"/>
          <w:color w:val="1E1E1E"/>
          <w:sz w:val="20"/>
          <w:szCs w:val="20"/>
        </w:rPr>
        <w:t xml:space="preserve">Masood, Z., Ligam, A. S, and Ismail, A.S. (2010). Monitoring Operational Safety Parameters at The PuspatiTriga Reactor: Practices And Findings, </w:t>
      </w:r>
      <w:r w:rsidRPr="00870007">
        <w:rPr>
          <w:rFonts w:ascii="Times New Roman" w:hAnsi="Times New Roman"/>
          <w:i/>
          <w:iCs/>
          <w:color w:val="1E1E1E"/>
          <w:sz w:val="20"/>
          <w:szCs w:val="20"/>
        </w:rPr>
        <w:t>Prod Nuclear Science, Technology and Engineering Conference (NUSTEC)</w:t>
      </w:r>
      <w:r w:rsidRPr="00870007">
        <w:rPr>
          <w:rFonts w:ascii="Times New Roman" w:hAnsi="Times New Roman"/>
          <w:color w:val="1E1E1E"/>
          <w:sz w:val="20"/>
          <w:szCs w:val="20"/>
        </w:rPr>
        <w:t>, Serdang, 4-5 August 2010.</w:t>
      </w:r>
    </w:p>
    <w:p w:rsidR="002070EF" w:rsidRPr="00870007" w:rsidRDefault="002070EF" w:rsidP="002070EF">
      <w:pPr>
        <w:pStyle w:val="Default"/>
        <w:numPr>
          <w:ilvl w:val="0"/>
          <w:numId w:val="1"/>
        </w:numPr>
        <w:spacing w:after="0" w:line="240" w:lineRule="auto"/>
        <w:ind w:left="360"/>
        <w:rPr>
          <w:color w:val="1E1E1E"/>
          <w:sz w:val="20"/>
          <w:szCs w:val="20"/>
        </w:rPr>
      </w:pPr>
      <w:r w:rsidRPr="00870007">
        <w:rPr>
          <w:rFonts w:eastAsia="Times New Roman"/>
          <w:color w:val="1E1E1E"/>
          <w:sz w:val="20"/>
          <w:szCs w:val="20"/>
        </w:rPr>
        <w:t xml:space="preserve">Ramli, N. and Ab Rahim, A.N. (2010), </w:t>
      </w:r>
      <w:r w:rsidRPr="00870007">
        <w:rPr>
          <w:rFonts w:eastAsia="Times New Roman"/>
          <w:i/>
          <w:iCs/>
          <w:color w:val="1E1E1E"/>
          <w:sz w:val="20"/>
          <w:szCs w:val="20"/>
        </w:rPr>
        <w:t>Inspection of Puspati Triga Reactor Components and Structures for Assuring Integrity</w:t>
      </w:r>
      <w:r w:rsidRPr="00870007">
        <w:rPr>
          <w:rFonts w:eastAsia="Times New Roman"/>
          <w:color w:val="1E1E1E"/>
          <w:sz w:val="20"/>
          <w:szCs w:val="20"/>
        </w:rPr>
        <w:t xml:space="preserve">. </w:t>
      </w:r>
      <w:r w:rsidRPr="00870007">
        <w:rPr>
          <w:rFonts w:eastAsia="Times New Roman"/>
          <w:i/>
          <w:iCs/>
          <w:color w:val="1E1E1E"/>
          <w:sz w:val="20"/>
          <w:szCs w:val="20"/>
        </w:rPr>
        <w:t>Proc Nuclear Science, Technology and Engineering Conference (NUSTEC</w:t>
      </w:r>
      <w:r w:rsidRPr="00870007">
        <w:rPr>
          <w:rFonts w:eastAsia="Times New Roman"/>
          <w:color w:val="1E1E1E"/>
          <w:sz w:val="20"/>
          <w:szCs w:val="20"/>
        </w:rPr>
        <w:t>), Serdang 4-5 August 2010.</w:t>
      </w:r>
    </w:p>
    <w:p w:rsidR="002070EF" w:rsidRPr="00870007" w:rsidRDefault="002070EF" w:rsidP="002070EF">
      <w:pPr>
        <w:pStyle w:val="Default"/>
        <w:numPr>
          <w:ilvl w:val="0"/>
          <w:numId w:val="1"/>
        </w:numPr>
        <w:spacing w:after="0" w:line="240" w:lineRule="auto"/>
        <w:ind w:left="360"/>
        <w:rPr>
          <w:color w:val="1E1E1E"/>
          <w:sz w:val="20"/>
          <w:szCs w:val="20"/>
        </w:rPr>
      </w:pPr>
      <w:r w:rsidRPr="00870007">
        <w:rPr>
          <w:rFonts w:eastAsia="Times New Roman"/>
          <w:bCs/>
          <w:color w:val="1E1E1E"/>
          <w:kern w:val="36"/>
          <w:sz w:val="20"/>
          <w:szCs w:val="20"/>
        </w:rPr>
        <w:lastRenderedPageBreak/>
        <w:t>IAEA</w:t>
      </w:r>
      <w:r w:rsidRPr="00870007">
        <w:rPr>
          <w:color w:val="1E1E1E"/>
          <w:sz w:val="20"/>
          <w:szCs w:val="20"/>
        </w:rPr>
        <w:t>. (1982). Nuclear Power, The Environment And Man, International Atomic Energy Agency (IAEA), Vienna.</w:t>
      </w:r>
    </w:p>
    <w:p w:rsidR="002070EF" w:rsidRPr="00870007" w:rsidRDefault="002070EF" w:rsidP="002070EF">
      <w:pPr>
        <w:pStyle w:val="Default"/>
        <w:numPr>
          <w:ilvl w:val="0"/>
          <w:numId w:val="1"/>
        </w:numPr>
        <w:spacing w:after="0" w:line="240" w:lineRule="auto"/>
        <w:ind w:left="360"/>
        <w:rPr>
          <w:color w:val="1E1E1E"/>
          <w:sz w:val="20"/>
          <w:szCs w:val="20"/>
        </w:rPr>
      </w:pPr>
      <w:r w:rsidRPr="00870007">
        <w:rPr>
          <w:iCs/>
          <w:color w:val="1E1E1E"/>
          <w:sz w:val="20"/>
          <w:szCs w:val="20"/>
        </w:rPr>
        <w:t xml:space="preserve">Argonne National Laboratory (2005), EVS Human Health Fact Sheet. Access online: </w:t>
      </w:r>
      <w:r w:rsidR="00950C98">
        <w:rPr>
          <w:iCs/>
          <w:color w:val="1E1E1E"/>
          <w:sz w:val="20"/>
          <w:szCs w:val="20"/>
        </w:rPr>
        <w:t>www.remm.nlm.gov/</w:t>
      </w:r>
      <w:bookmarkStart w:id="0" w:name="_GoBack"/>
      <w:bookmarkEnd w:id="0"/>
      <w:r w:rsidRPr="00201C3F">
        <w:rPr>
          <w:iCs/>
          <w:color w:val="1E1E1E"/>
          <w:sz w:val="20"/>
          <w:szCs w:val="20"/>
        </w:rPr>
        <w:t>ANL_ContaminantFactSheets_All_070418.pdf</w:t>
      </w:r>
    </w:p>
    <w:p w:rsidR="002070EF" w:rsidRPr="00870007" w:rsidRDefault="002070EF" w:rsidP="002070EF">
      <w:pPr>
        <w:pStyle w:val="Default"/>
        <w:numPr>
          <w:ilvl w:val="0"/>
          <w:numId w:val="1"/>
        </w:numPr>
        <w:spacing w:after="0" w:line="240" w:lineRule="auto"/>
        <w:ind w:left="360"/>
        <w:rPr>
          <w:color w:val="1E1E1E"/>
          <w:sz w:val="20"/>
          <w:szCs w:val="20"/>
        </w:rPr>
      </w:pPr>
      <w:r w:rsidRPr="00870007">
        <w:rPr>
          <w:color w:val="1E1E1E"/>
          <w:sz w:val="20"/>
          <w:szCs w:val="20"/>
        </w:rPr>
        <w:t xml:space="preserve">Lin, C.C. (1996). </w:t>
      </w:r>
      <w:r w:rsidRPr="00870007">
        <w:rPr>
          <w:rStyle w:val="Strong"/>
          <w:b w:val="0"/>
          <w:bCs w:val="0"/>
          <w:color w:val="1E1E1E"/>
          <w:sz w:val="20"/>
          <w:szCs w:val="20"/>
        </w:rPr>
        <w:t>Radiochemistry in Nuclear Power Reactors</w:t>
      </w:r>
      <w:r w:rsidRPr="00870007">
        <w:rPr>
          <w:color w:val="1E1E1E"/>
          <w:sz w:val="20"/>
          <w:szCs w:val="20"/>
        </w:rPr>
        <w:t xml:space="preserve">, Vallecito Nuclear Center GE Nuclear Energy Pleasanton, California. </w:t>
      </w:r>
      <w:r w:rsidRPr="008F2C2D">
        <w:rPr>
          <w:rStyle w:val="Emphasis"/>
          <w:b w:val="0"/>
          <w:color w:val="1E1E1E"/>
          <w:sz w:val="20"/>
          <w:szCs w:val="20"/>
          <w:bdr w:val="none" w:sz="0" w:space="0" w:color="auto" w:frame="1"/>
        </w:rPr>
        <w:t>Radiochemical Techniques</w:t>
      </w:r>
      <w:r w:rsidRPr="00870007">
        <w:rPr>
          <w:color w:val="1E1E1E"/>
          <w:sz w:val="20"/>
          <w:szCs w:val="20"/>
        </w:rPr>
        <w:t xml:space="preserve">. Nuclear Science Series, Nas-Ns-3119. </w:t>
      </w:r>
    </w:p>
    <w:p w:rsidR="002070EF" w:rsidRPr="00870007" w:rsidRDefault="002070EF" w:rsidP="002070EF">
      <w:pPr>
        <w:pStyle w:val="ListParagraph"/>
        <w:numPr>
          <w:ilvl w:val="0"/>
          <w:numId w:val="1"/>
        </w:numPr>
        <w:spacing w:after="0" w:line="240" w:lineRule="auto"/>
        <w:ind w:left="360"/>
        <w:jc w:val="both"/>
        <w:rPr>
          <w:rFonts w:ascii="Times New Roman" w:hAnsi="Times New Roman"/>
          <w:color w:val="1E1E1E"/>
          <w:sz w:val="20"/>
          <w:szCs w:val="20"/>
        </w:rPr>
      </w:pPr>
      <w:r w:rsidRPr="00870007">
        <w:rPr>
          <w:rFonts w:ascii="Times New Roman" w:hAnsi="Times New Roman"/>
          <w:color w:val="1E1E1E"/>
          <w:sz w:val="20"/>
          <w:szCs w:val="20"/>
        </w:rPr>
        <w:t>UNSCEAR. (2000)</w:t>
      </w:r>
      <w:r w:rsidRPr="00870007">
        <w:rPr>
          <w:rFonts w:ascii="Times New Roman" w:hAnsi="Times New Roman"/>
          <w:bCs/>
          <w:color w:val="1E1E1E"/>
          <w:sz w:val="20"/>
          <w:szCs w:val="20"/>
        </w:rPr>
        <w:t>. ANNEX B Exposures From Natural Radiation Sources</w:t>
      </w:r>
    </w:p>
    <w:p w:rsidR="002070EF" w:rsidRPr="00870007" w:rsidRDefault="002070EF" w:rsidP="002070EF">
      <w:pPr>
        <w:pStyle w:val="ListParagraph"/>
        <w:numPr>
          <w:ilvl w:val="0"/>
          <w:numId w:val="1"/>
        </w:numPr>
        <w:spacing w:after="0" w:line="240" w:lineRule="auto"/>
        <w:ind w:left="360"/>
        <w:jc w:val="both"/>
        <w:rPr>
          <w:rFonts w:ascii="Times New Roman" w:hAnsi="Times New Roman"/>
          <w:color w:val="1E1E1E"/>
          <w:sz w:val="20"/>
          <w:szCs w:val="20"/>
        </w:rPr>
      </w:pPr>
      <w:r w:rsidRPr="00870007">
        <w:rPr>
          <w:rFonts w:ascii="Times New Roman" w:hAnsi="Times New Roman"/>
          <w:color w:val="1E1E1E"/>
          <w:sz w:val="20"/>
          <w:szCs w:val="20"/>
        </w:rPr>
        <w:t>IAEA. (2003). Extent of Environmental Contamination by Naturally Occurring Radioactive Material (NORM) and Technological Options for Mitigation. IAEA Tech Report 419. Vienna: International Atomic Energy Agency</w:t>
      </w:r>
    </w:p>
    <w:p w:rsidR="002070EF" w:rsidRPr="00870007" w:rsidRDefault="002070EF" w:rsidP="002070EF">
      <w:pPr>
        <w:pStyle w:val="ListParagraph"/>
        <w:numPr>
          <w:ilvl w:val="0"/>
          <w:numId w:val="1"/>
        </w:numPr>
        <w:spacing w:after="0" w:line="240" w:lineRule="auto"/>
        <w:ind w:left="360"/>
        <w:jc w:val="both"/>
        <w:rPr>
          <w:rFonts w:ascii="Times New Roman" w:hAnsi="Times New Roman"/>
          <w:color w:val="1E1E1E"/>
          <w:sz w:val="20"/>
          <w:szCs w:val="20"/>
        </w:rPr>
      </w:pPr>
      <w:r w:rsidRPr="00870007">
        <w:rPr>
          <w:rFonts w:ascii="Times New Roman" w:hAnsi="Times New Roman"/>
          <w:bCs/>
          <w:color w:val="1E1E1E"/>
          <w:kern w:val="36"/>
          <w:sz w:val="20"/>
          <w:szCs w:val="20"/>
        </w:rPr>
        <w:t>IAEA</w:t>
      </w:r>
      <w:r w:rsidRPr="00870007">
        <w:rPr>
          <w:rFonts w:ascii="Times New Roman" w:hAnsi="Times New Roman"/>
          <w:color w:val="1E1E1E"/>
          <w:sz w:val="20"/>
          <w:szCs w:val="20"/>
        </w:rPr>
        <w:t>. (1983). Conditioning of Low and Intermediate Radioactive Wastes. IAEA Tech Report 222. Vienna: International Atomic Energy Agency</w:t>
      </w:r>
    </w:p>
    <w:p w:rsidR="002070EF" w:rsidRPr="00870007" w:rsidRDefault="002070EF" w:rsidP="002070EF">
      <w:pPr>
        <w:pStyle w:val="ListParagraph"/>
        <w:numPr>
          <w:ilvl w:val="0"/>
          <w:numId w:val="1"/>
        </w:numPr>
        <w:spacing w:after="0" w:line="240" w:lineRule="auto"/>
        <w:ind w:left="360"/>
        <w:jc w:val="both"/>
        <w:rPr>
          <w:rFonts w:ascii="Times New Roman" w:hAnsi="Times New Roman"/>
          <w:color w:val="1E1E1E"/>
          <w:sz w:val="20"/>
          <w:szCs w:val="20"/>
        </w:rPr>
      </w:pPr>
      <w:r w:rsidRPr="00870007">
        <w:rPr>
          <w:rFonts w:ascii="Times New Roman" w:hAnsi="Times New Roman"/>
          <w:color w:val="1E1E1E"/>
          <w:sz w:val="20"/>
          <w:szCs w:val="20"/>
          <w:lang w:val="en-GB"/>
        </w:rPr>
        <w:t xml:space="preserve">Perera, D.S., Blackford M.G., Vance, E.R, Hanna, J.V., Finnie, K.S. &amp; Nicholson, C.L. (2004). Geopolymers for the Immobilization of Radioactive Waste. </w:t>
      </w:r>
      <w:r w:rsidRPr="00870007">
        <w:rPr>
          <w:rFonts w:ascii="Times New Roman" w:hAnsi="Times New Roman"/>
          <w:i/>
          <w:color w:val="1E1E1E"/>
          <w:sz w:val="20"/>
          <w:szCs w:val="20"/>
        </w:rPr>
        <w:t>Materials Research Society Symposium Proceedings,</w:t>
      </w:r>
      <w:r w:rsidRPr="00870007">
        <w:rPr>
          <w:rFonts w:ascii="Times New Roman" w:hAnsi="Times New Roman"/>
          <w:color w:val="1E1E1E"/>
          <w:sz w:val="20"/>
          <w:szCs w:val="20"/>
        </w:rPr>
        <w:t xml:space="preserve"> 824: 607-612.</w:t>
      </w:r>
    </w:p>
    <w:p w:rsidR="002070EF" w:rsidRPr="00870007" w:rsidRDefault="002070EF" w:rsidP="002070EF">
      <w:pPr>
        <w:pStyle w:val="ListParagraph"/>
        <w:numPr>
          <w:ilvl w:val="0"/>
          <w:numId w:val="1"/>
        </w:numPr>
        <w:spacing w:after="0" w:line="240" w:lineRule="auto"/>
        <w:ind w:left="360"/>
        <w:jc w:val="both"/>
        <w:rPr>
          <w:rFonts w:ascii="Times New Roman" w:hAnsi="Times New Roman"/>
          <w:color w:val="1E1E1E"/>
          <w:sz w:val="20"/>
          <w:szCs w:val="20"/>
        </w:rPr>
      </w:pPr>
      <w:r w:rsidRPr="008F2C2D">
        <w:rPr>
          <w:rFonts w:ascii="Times New Roman" w:eastAsia="Arial Unicode MS" w:hAnsi="Times New Roman"/>
          <w:color w:val="1E1E1E"/>
          <w:sz w:val="20"/>
          <w:szCs w:val="20"/>
        </w:rPr>
        <w:t>Plecas</w:t>
      </w:r>
      <w:r w:rsidRPr="00870007">
        <w:rPr>
          <w:rFonts w:ascii="Times New Roman" w:eastAsia="Arial Unicode MS" w:hAnsi="Times New Roman"/>
          <w:color w:val="1E1E1E"/>
          <w:sz w:val="20"/>
          <w:szCs w:val="20"/>
        </w:rPr>
        <w:t xml:space="preserve">, I., </w:t>
      </w:r>
      <w:r w:rsidRPr="008F2C2D">
        <w:rPr>
          <w:rFonts w:ascii="Times New Roman" w:eastAsia="Arial Unicode MS" w:hAnsi="Times New Roman"/>
          <w:color w:val="1E1E1E"/>
          <w:sz w:val="20"/>
          <w:szCs w:val="20"/>
        </w:rPr>
        <w:t>Pavlovic</w:t>
      </w:r>
      <w:r w:rsidRPr="00870007">
        <w:rPr>
          <w:rFonts w:ascii="Times New Roman" w:eastAsia="Arial Unicode MS" w:hAnsi="Times New Roman"/>
          <w:color w:val="1E1E1E"/>
          <w:sz w:val="20"/>
          <w:szCs w:val="20"/>
        </w:rPr>
        <w:t>, R. &amp;</w:t>
      </w:r>
      <w:r>
        <w:rPr>
          <w:rFonts w:ascii="Times New Roman" w:eastAsia="Arial Unicode MS" w:hAnsi="Times New Roman"/>
          <w:color w:val="1E1E1E"/>
          <w:sz w:val="20"/>
          <w:szCs w:val="20"/>
        </w:rPr>
        <w:t xml:space="preserve"> </w:t>
      </w:r>
      <w:r w:rsidRPr="008F2C2D">
        <w:rPr>
          <w:rFonts w:ascii="Times New Roman" w:eastAsia="Arial Unicode MS" w:hAnsi="Times New Roman"/>
          <w:color w:val="1E1E1E"/>
          <w:sz w:val="20"/>
          <w:szCs w:val="20"/>
        </w:rPr>
        <w:t>Pavlovic</w:t>
      </w:r>
      <w:r w:rsidRPr="00870007">
        <w:rPr>
          <w:rFonts w:ascii="Times New Roman" w:eastAsia="Arial Unicode MS" w:hAnsi="Times New Roman"/>
          <w:color w:val="1E1E1E"/>
          <w:sz w:val="20"/>
          <w:szCs w:val="20"/>
        </w:rPr>
        <w:t xml:space="preserve">, S. (2004). </w:t>
      </w:r>
      <w:r w:rsidRPr="00870007">
        <w:rPr>
          <w:rFonts w:ascii="Times New Roman" w:eastAsia="Arial Unicode MS" w:hAnsi="Times New Roman"/>
          <w:color w:val="1E1E1E"/>
          <w:kern w:val="36"/>
          <w:sz w:val="20"/>
          <w:szCs w:val="20"/>
        </w:rPr>
        <w:t xml:space="preserve">Leaching Behavior of </w:t>
      </w:r>
      <w:r w:rsidRPr="00870007">
        <w:rPr>
          <w:rFonts w:ascii="Times New Roman" w:eastAsia="Arial Unicode MS" w:hAnsi="Times New Roman"/>
          <w:color w:val="1E1E1E"/>
          <w:kern w:val="36"/>
          <w:sz w:val="20"/>
          <w:szCs w:val="20"/>
          <w:vertAlign w:val="superscript"/>
        </w:rPr>
        <w:t>60</w:t>
      </w:r>
      <w:r w:rsidRPr="00870007">
        <w:rPr>
          <w:rFonts w:ascii="Times New Roman" w:eastAsia="Arial Unicode MS" w:hAnsi="Times New Roman"/>
          <w:color w:val="1E1E1E"/>
          <w:kern w:val="36"/>
          <w:sz w:val="20"/>
          <w:szCs w:val="20"/>
        </w:rPr>
        <w:t xml:space="preserve">Co and </w:t>
      </w:r>
      <w:r w:rsidRPr="00870007">
        <w:rPr>
          <w:rFonts w:ascii="Times New Roman" w:eastAsia="Arial Unicode MS" w:hAnsi="Times New Roman"/>
          <w:color w:val="1E1E1E"/>
          <w:kern w:val="36"/>
          <w:sz w:val="20"/>
          <w:szCs w:val="20"/>
          <w:vertAlign w:val="superscript"/>
        </w:rPr>
        <w:t>137</w:t>
      </w:r>
      <w:r w:rsidRPr="00870007">
        <w:rPr>
          <w:rFonts w:ascii="Times New Roman" w:eastAsia="Arial Unicode MS" w:hAnsi="Times New Roman"/>
          <w:color w:val="1E1E1E"/>
          <w:kern w:val="36"/>
          <w:sz w:val="20"/>
          <w:szCs w:val="20"/>
        </w:rPr>
        <w:t>Cs from Spent Ion Exchange Resins in Cement–Bentonite Clay Matrix. J</w:t>
      </w:r>
      <w:r w:rsidRPr="00870007">
        <w:rPr>
          <w:rFonts w:ascii="Times New Roman" w:hAnsi="Times New Roman"/>
          <w:i/>
          <w:iCs/>
          <w:color w:val="1E1E1E"/>
          <w:sz w:val="20"/>
          <w:szCs w:val="20"/>
          <w:shd w:val="clear" w:color="auto" w:fill="FFFFFF"/>
        </w:rPr>
        <w:t>ournal of Nuclear Materials</w:t>
      </w:r>
      <w:r w:rsidRPr="00870007">
        <w:rPr>
          <w:rFonts w:ascii="Times New Roman" w:hAnsi="Times New Roman"/>
          <w:iCs/>
          <w:color w:val="1E1E1E"/>
          <w:sz w:val="20"/>
          <w:szCs w:val="20"/>
          <w:shd w:val="clear" w:color="auto" w:fill="FFFFFF"/>
        </w:rPr>
        <w:t>327(2–3)</w:t>
      </w:r>
      <w:r w:rsidRPr="00870007">
        <w:rPr>
          <w:rFonts w:ascii="Times New Roman" w:hAnsi="Times New Roman"/>
          <w:color w:val="1E1E1E"/>
          <w:sz w:val="20"/>
          <w:szCs w:val="20"/>
          <w:shd w:val="clear" w:color="auto" w:fill="FFFFFF"/>
        </w:rPr>
        <w:t>:</w:t>
      </w:r>
      <w:r w:rsidRPr="00870007">
        <w:rPr>
          <w:rFonts w:ascii="Times New Roman" w:hAnsi="Times New Roman"/>
          <w:iCs/>
          <w:color w:val="1E1E1E"/>
          <w:sz w:val="20"/>
          <w:szCs w:val="20"/>
          <w:shd w:val="clear" w:color="auto" w:fill="FFFFFF"/>
        </w:rPr>
        <w:t>171-174.</w:t>
      </w:r>
    </w:p>
    <w:p w:rsidR="00157FD0" w:rsidRPr="00157FD0" w:rsidRDefault="00157FD0" w:rsidP="002070EF">
      <w:pPr>
        <w:spacing w:after="0" w:line="240" w:lineRule="auto"/>
        <w:rPr>
          <w:rFonts w:ascii="Times New Roman" w:hAnsi="Times New Roman"/>
          <w:color w:val="1E1E1E"/>
          <w:sz w:val="20"/>
          <w:szCs w:val="20"/>
        </w:rPr>
      </w:pPr>
    </w:p>
    <w:sectPr w:rsidR="00157FD0" w:rsidRPr="00157FD0" w:rsidSect="00157FD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F0BEB"/>
    <w:multiLevelType w:val="hybridMultilevel"/>
    <w:tmpl w:val="BEF8E50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FD0"/>
    <w:rsid w:val="00157FD0"/>
    <w:rsid w:val="002070EF"/>
    <w:rsid w:val="0084408A"/>
    <w:rsid w:val="00950C98"/>
    <w:rsid w:val="00A4404D"/>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FD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157FD0"/>
  </w:style>
  <w:style w:type="character" w:styleId="Strong">
    <w:name w:val="Strong"/>
    <w:uiPriority w:val="22"/>
    <w:qFormat/>
    <w:rsid w:val="00157FD0"/>
    <w:rPr>
      <w:b/>
      <w:bCs/>
    </w:rPr>
  </w:style>
  <w:style w:type="character" w:styleId="Emphasis">
    <w:name w:val="Emphasis"/>
    <w:uiPriority w:val="20"/>
    <w:qFormat/>
    <w:rsid w:val="00157FD0"/>
    <w:rPr>
      <w:b/>
      <w:bCs/>
      <w:i/>
      <w:iCs/>
      <w:spacing w:val="10"/>
    </w:rPr>
  </w:style>
  <w:style w:type="paragraph" w:styleId="ListParagraph">
    <w:name w:val="List Paragraph"/>
    <w:basedOn w:val="Normal"/>
    <w:uiPriority w:val="34"/>
    <w:qFormat/>
    <w:rsid w:val="00157FD0"/>
    <w:pPr>
      <w:ind w:left="720"/>
      <w:contextualSpacing/>
    </w:pPr>
  </w:style>
  <w:style w:type="character" w:styleId="Hyperlink">
    <w:name w:val="Hyperlink"/>
    <w:rsid w:val="00157FD0"/>
    <w:rPr>
      <w:rFonts w:cs="Times New Roman"/>
      <w:color w:val="0000FF"/>
      <w:u w:val="single"/>
    </w:rPr>
  </w:style>
  <w:style w:type="character" w:customStyle="1" w:styleId="hit">
    <w:name w:val="hit"/>
    <w:basedOn w:val="DefaultParagraphFont"/>
    <w:rsid w:val="00157FD0"/>
  </w:style>
  <w:style w:type="character" w:customStyle="1" w:styleId="nbapihighlight">
    <w:name w:val="nbapihighlight"/>
    <w:basedOn w:val="DefaultParagraphFont"/>
    <w:rsid w:val="00157FD0"/>
  </w:style>
  <w:style w:type="paragraph" w:customStyle="1" w:styleId="Default">
    <w:name w:val="Default"/>
    <w:rsid w:val="00157FD0"/>
    <w:pPr>
      <w:autoSpaceDE w:val="0"/>
      <w:autoSpaceDN w:val="0"/>
      <w:adjustRightInd w:val="0"/>
      <w:spacing w:after="120" w:line="480" w:lineRule="auto"/>
      <w:jc w:val="both"/>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FD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157FD0"/>
  </w:style>
  <w:style w:type="character" w:styleId="Strong">
    <w:name w:val="Strong"/>
    <w:uiPriority w:val="22"/>
    <w:qFormat/>
    <w:rsid w:val="00157FD0"/>
    <w:rPr>
      <w:b/>
      <w:bCs/>
    </w:rPr>
  </w:style>
  <w:style w:type="character" w:styleId="Emphasis">
    <w:name w:val="Emphasis"/>
    <w:uiPriority w:val="20"/>
    <w:qFormat/>
    <w:rsid w:val="00157FD0"/>
    <w:rPr>
      <w:b/>
      <w:bCs/>
      <w:i/>
      <w:iCs/>
      <w:spacing w:val="10"/>
    </w:rPr>
  </w:style>
  <w:style w:type="paragraph" w:styleId="ListParagraph">
    <w:name w:val="List Paragraph"/>
    <w:basedOn w:val="Normal"/>
    <w:uiPriority w:val="34"/>
    <w:qFormat/>
    <w:rsid w:val="00157FD0"/>
    <w:pPr>
      <w:ind w:left="720"/>
      <w:contextualSpacing/>
    </w:pPr>
  </w:style>
  <w:style w:type="character" w:styleId="Hyperlink">
    <w:name w:val="Hyperlink"/>
    <w:rsid w:val="00157FD0"/>
    <w:rPr>
      <w:rFonts w:cs="Times New Roman"/>
      <w:color w:val="0000FF"/>
      <w:u w:val="single"/>
    </w:rPr>
  </w:style>
  <w:style w:type="character" w:customStyle="1" w:styleId="hit">
    <w:name w:val="hit"/>
    <w:basedOn w:val="DefaultParagraphFont"/>
    <w:rsid w:val="00157FD0"/>
  </w:style>
  <w:style w:type="character" w:customStyle="1" w:styleId="nbapihighlight">
    <w:name w:val="nbapihighlight"/>
    <w:basedOn w:val="DefaultParagraphFont"/>
    <w:rsid w:val="00157FD0"/>
  </w:style>
  <w:style w:type="paragraph" w:customStyle="1" w:styleId="Default">
    <w:name w:val="Default"/>
    <w:rsid w:val="00157FD0"/>
    <w:pPr>
      <w:autoSpaceDE w:val="0"/>
      <w:autoSpaceDN w:val="0"/>
      <w:adjustRightInd w:val="0"/>
      <w:spacing w:after="120" w:line="480" w:lineRule="auto"/>
      <w:jc w:val="both"/>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2015-05-28T12:02:00Z</dcterms:created>
  <dcterms:modified xsi:type="dcterms:W3CDTF">2015-06-06T05:34:00Z</dcterms:modified>
</cp:coreProperties>
</file>