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4D" w:rsidRDefault="00FE034D" w:rsidP="00FE034D">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19 No 3 (2015): 603 – 610</w:t>
      </w:r>
    </w:p>
    <w:p w:rsidR="00FE034D" w:rsidRDefault="00FE034D" w:rsidP="00FE034D">
      <w:pPr>
        <w:spacing w:after="0" w:line="240" w:lineRule="auto"/>
        <w:rPr>
          <w:rFonts w:ascii="Times New Roman" w:hAnsi="Times New Roman"/>
          <w:bCs/>
          <w:sz w:val="24"/>
          <w:szCs w:val="24"/>
        </w:rPr>
      </w:pPr>
    </w:p>
    <w:p w:rsidR="00FE034D" w:rsidRDefault="00FE034D" w:rsidP="00FE034D">
      <w:pPr>
        <w:spacing w:after="0" w:line="240" w:lineRule="auto"/>
        <w:rPr>
          <w:rFonts w:ascii="Times New Roman" w:hAnsi="Times New Roman"/>
          <w:bCs/>
          <w:sz w:val="24"/>
          <w:szCs w:val="24"/>
        </w:rPr>
      </w:pPr>
    </w:p>
    <w:p w:rsidR="00FE034D" w:rsidRPr="00FE034D" w:rsidRDefault="00FE034D" w:rsidP="00FE034D">
      <w:pPr>
        <w:spacing w:after="0" w:line="240" w:lineRule="auto"/>
        <w:rPr>
          <w:rFonts w:ascii="Times New Roman" w:hAnsi="Times New Roman"/>
          <w:bCs/>
          <w:sz w:val="24"/>
          <w:szCs w:val="24"/>
        </w:rPr>
      </w:pPr>
      <w:bookmarkStart w:id="0" w:name="_GoBack"/>
      <w:bookmarkEnd w:id="0"/>
    </w:p>
    <w:p w:rsidR="00383E0C" w:rsidRPr="0017728B" w:rsidRDefault="00383E0C" w:rsidP="00383E0C">
      <w:pPr>
        <w:spacing w:after="0" w:line="240" w:lineRule="auto"/>
        <w:jc w:val="center"/>
        <w:rPr>
          <w:rFonts w:ascii="Times New Roman" w:hAnsi="Times New Roman"/>
          <w:bCs/>
          <w:sz w:val="28"/>
          <w:szCs w:val="28"/>
        </w:rPr>
      </w:pPr>
      <w:r w:rsidRPr="0017728B">
        <w:rPr>
          <w:rFonts w:ascii="Times New Roman" w:hAnsi="Times New Roman"/>
          <w:bCs/>
          <w:sz w:val="28"/>
          <w:szCs w:val="28"/>
        </w:rPr>
        <w:t xml:space="preserve">COMPARISON OF THREE SAMPLE PREPARATION METHODS FOR ANALYIS OF CHEMICAL WARFARE AGENT </w:t>
      </w:r>
    </w:p>
    <w:p w:rsidR="00383E0C" w:rsidRPr="00802DCC" w:rsidRDefault="00383E0C" w:rsidP="00383E0C">
      <w:pPr>
        <w:spacing w:after="0" w:line="240" w:lineRule="auto"/>
        <w:jc w:val="center"/>
        <w:rPr>
          <w:rFonts w:ascii="Times New Roman" w:hAnsi="Times New Roman"/>
          <w:noProof/>
          <w:sz w:val="24"/>
          <w:szCs w:val="24"/>
          <w:lang w:bidi="ar-SA"/>
        </w:rPr>
      </w:pPr>
      <w:r w:rsidRPr="0017728B">
        <w:rPr>
          <w:rFonts w:ascii="Times New Roman" w:hAnsi="Times New Roman"/>
          <w:bCs/>
          <w:sz w:val="28"/>
          <w:szCs w:val="28"/>
        </w:rPr>
        <w:t>SIMULANTS IN WATER</w:t>
      </w:r>
    </w:p>
    <w:p w:rsidR="00383E0C" w:rsidRDefault="00383E0C" w:rsidP="00383E0C">
      <w:pPr>
        <w:spacing w:after="0" w:line="240" w:lineRule="auto"/>
        <w:jc w:val="center"/>
        <w:rPr>
          <w:rFonts w:ascii="Times New Roman" w:hAnsi="Times New Roman"/>
          <w:noProof/>
          <w:sz w:val="24"/>
          <w:szCs w:val="24"/>
          <w:lang w:bidi="ar-SA"/>
        </w:rPr>
      </w:pPr>
    </w:p>
    <w:p w:rsidR="00383E0C" w:rsidRDefault="00383E0C" w:rsidP="00383E0C">
      <w:pPr>
        <w:pStyle w:val="NoSpacing"/>
        <w:jc w:val="center"/>
        <w:rPr>
          <w:rFonts w:ascii="Times New Roman" w:hAnsi="Times New Roman"/>
          <w:sz w:val="24"/>
          <w:szCs w:val="24"/>
        </w:rPr>
      </w:pPr>
      <w:r w:rsidRPr="0017728B">
        <w:rPr>
          <w:rFonts w:ascii="Times New Roman" w:hAnsi="Times New Roman"/>
          <w:sz w:val="24"/>
          <w:szCs w:val="24"/>
        </w:rPr>
        <w:t xml:space="preserve">(Perbandingan Tiga Kaedah Penyediaan Sampel bagi Analisis Agen Simulan Senjata Kimia </w:t>
      </w:r>
    </w:p>
    <w:p w:rsidR="00383E0C" w:rsidRPr="0017728B" w:rsidRDefault="00383E0C" w:rsidP="00383E0C">
      <w:pPr>
        <w:pStyle w:val="NoSpacing"/>
        <w:jc w:val="center"/>
        <w:rPr>
          <w:rFonts w:ascii="Times New Roman" w:hAnsi="Times New Roman"/>
          <w:sz w:val="24"/>
          <w:szCs w:val="24"/>
        </w:rPr>
      </w:pPr>
      <w:r w:rsidRPr="0017728B">
        <w:rPr>
          <w:rFonts w:ascii="Times New Roman" w:hAnsi="Times New Roman"/>
          <w:sz w:val="24"/>
          <w:szCs w:val="24"/>
        </w:rPr>
        <w:t>di dalam Air)</w:t>
      </w:r>
    </w:p>
    <w:p w:rsidR="00383E0C" w:rsidRPr="00802DCC" w:rsidRDefault="00383E0C" w:rsidP="00383E0C">
      <w:pPr>
        <w:spacing w:after="0" w:line="240" w:lineRule="auto"/>
        <w:jc w:val="center"/>
        <w:rPr>
          <w:rFonts w:ascii="Times New Roman" w:hAnsi="Times New Roman"/>
          <w:noProof/>
          <w:sz w:val="20"/>
          <w:szCs w:val="20"/>
          <w:lang w:bidi="ar-SA"/>
        </w:rPr>
      </w:pPr>
    </w:p>
    <w:p w:rsidR="00383E0C" w:rsidRPr="004C0899" w:rsidRDefault="00383E0C" w:rsidP="00383E0C">
      <w:pPr>
        <w:spacing w:after="0" w:line="240" w:lineRule="auto"/>
        <w:jc w:val="center"/>
        <w:rPr>
          <w:rFonts w:ascii="Times New Roman" w:hAnsi="Times New Roman"/>
          <w:b/>
          <w:sz w:val="20"/>
          <w:szCs w:val="20"/>
        </w:rPr>
      </w:pPr>
      <w:r w:rsidRPr="009E7411">
        <w:rPr>
          <w:rFonts w:ascii="Times New Roman" w:hAnsi="Times New Roman"/>
          <w:bCs/>
          <w:sz w:val="20"/>
          <w:szCs w:val="20"/>
        </w:rPr>
        <w:t>Alessandro Sassolini</w:t>
      </w:r>
      <w:r w:rsidRPr="009E7411">
        <w:rPr>
          <w:rFonts w:ascii="Times New Roman" w:hAnsi="Times New Roman"/>
          <w:bCs/>
          <w:sz w:val="20"/>
          <w:szCs w:val="20"/>
          <w:vertAlign w:val="superscript"/>
        </w:rPr>
        <w:t>1,4</w:t>
      </w:r>
      <w:r w:rsidRPr="00F97587">
        <w:rPr>
          <w:rFonts w:ascii="Times New Roman" w:hAnsi="Times New Roman"/>
          <w:bCs/>
          <w:sz w:val="20"/>
          <w:szCs w:val="20"/>
        </w:rPr>
        <w:t>*</w:t>
      </w:r>
      <w:r w:rsidRPr="009E7411">
        <w:rPr>
          <w:rFonts w:ascii="Times New Roman" w:hAnsi="Times New Roman"/>
          <w:bCs/>
          <w:sz w:val="20"/>
          <w:szCs w:val="20"/>
        </w:rPr>
        <w:t>, Andrea Malizia</w:t>
      </w:r>
      <w:r w:rsidRPr="009E7411">
        <w:rPr>
          <w:rFonts w:ascii="Times New Roman" w:hAnsi="Times New Roman"/>
          <w:bCs/>
          <w:sz w:val="20"/>
          <w:szCs w:val="20"/>
          <w:vertAlign w:val="superscript"/>
        </w:rPr>
        <w:t>1,2</w:t>
      </w:r>
      <w:r w:rsidRPr="009E7411">
        <w:rPr>
          <w:rFonts w:ascii="Times New Roman" w:hAnsi="Times New Roman"/>
          <w:bCs/>
          <w:sz w:val="20"/>
          <w:szCs w:val="20"/>
        </w:rPr>
        <w:t>, Fabrizio D’Amico</w:t>
      </w:r>
      <w:r w:rsidRPr="009E7411">
        <w:rPr>
          <w:rFonts w:ascii="Times New Roman" w:hAnsi="Times New Roman"/>
          <w:bCs/>
          <w:sz w:val="20"/>
          <w:szCs w:val="20"/>
          <w:vertAlign w:val="superscript"/>
        </w:rPr>
        <w:t>1,2</w:t>
      </w:r>
      <w:r w:rsidRPr="009E7411">
        <w:rPr>
          <w:rFonts w:ascii="Times New Roman" w:hAnsi="Times New Roman"/>
          <w:bCs/>
          <w:sz w:val="20"/>
          <w:szCs w:val="20"/>
        </w:rPr>
        <w:t>, Orlando Cenciarelli</w:t>
      </w:r>
      <w:r w:rsidRPr="009E7411">
        <w:rPr>
          <w:rFonts w:ascii="Times New Roman" w:hAnsi="Times New Roman"/>
          <w:bCs/>
          <w:sz w:val="20"/>
          <w:szCs w:val="20"/>
          <w:vertAlign w:val="superscript"/>
        </w:rPr>
        <w:t>1,2</w:t>
      </w:r>
      <w:r w:rsidRPr="009E7411">
        <w:rPr>
          <w:rFonts w:ascii="Times New Roman" w:hAnsi="Times New Roman"/>
          <w:bCs/>
          <w:sz w:val="20"/>
          <w:szCs w:val="20"/>
        </w:rPr>
        <w:t>, Mariachiara Carestia</w:t>
      </w:r>
      <w:r w:rsidRPr="009E7411">
        <w:rPr>
          <w:rFonts w:ascii="Times New Roman" w:hAnsi="Times New Roman"/>
          <w:bCs/>
          <w:sz w:val="20"/>
          <w:szCs w:val="20"/>
          <w:vertAlign w:val="superscript"/>
        </w:rPr>
        <w:t>1,2</w:t>
      </w:r>
      <w:r w:rsidRPr="009E7411">
        <w:rPr>
          <w:rFonts w:ascii="Times New Roman" w:hAnsi="Times New Roman"/>
          <w:bCs/>
          <w:sz w:val="20"/>
          <w:szCs w:val="20"/>
        </w:rPr>
        <w:t>, Daniele Di Giovanni</w:t>
      </w:r>
      <w:r w:rsidRPr="009E7411">
        <w:rPr>
          <w:rFonts w:ascii="Times New Roman" w:hAnsi="Times New Roman"/>
          <w:bCs/>
          <w:sz w:val="20"/>
          <w:szCs w:val="20"/>
          <w:vertAlign w:val="superscript"/>
        </w:rPr>
        <w:t>1,2</w:t>
      </w:r>
      <w:r w:rsidRPr="009E7411">
        <w:rPr>
          <w:rFonts w:ascii="Times New Roman" w:hAnsi="Times New Roman"/>
          <w:bCs/>
          <w:sz w:val="20"/>
          <w:szCs w:val="20"/>
        </w:rPr>
        <w:t>, Leonardo Palombi</w:t>
      </w:r>
      <w:r w:rsidRPr="009E7411">
        <w:rPr>
          <w:rFonts w:ascii="Times New Roman" w:hAnsi="Times New Roman"/>
          <w:bCs/>
          <w:sz w:val="20"/>
          <w:szCs w:val="20"/>
          <w:vertAlign w:val="superscript"/>
        </w:rPr>
        <w:t>2,3</w:t>
      </w:r>
      <w:r w:rsidRPr="009E7411">
        <w:rPr>
          <w:rFonts w:ascii="Times New Roman" w:hAnsi="Times New Roman"/>
          <w:bCs/>
          <w:sz w:val="20"/>
          <w:szCs w:val="20"/>
        </w:rPr>
        <w:t>, Maurizio Guidotti</w:t>
      </w:r>
      <w:r w:rsidRPr="009E7411">
        <w:rPr>
          <w:rFonts w:ascii="Times New Roman" w:hAnsi="Times New Roman"/>
          <w:bCs/>
          <w:sz w:val="20"/>
          <w:szCs w:val="20"/>
          <w:vertAlign w:val="superscript"/>
        </w:rPr>
        <w:t>4</w:t>
      </w:r>
      <w:r w:rsidRPr="009E7411">
        <w:rPr>
          <w:rFonts w:ascii="Times New Roman" w:hAnsi="Times New Roman"/>
          <w:bCs/>
          <w:sz w:val="20"/>
          <w:szCs w:val="20"/>
        </w:rPr>
        <w:t>, Carlo Bellecci</w:t>
      </w:r>
      <w:r w:rsidRPr="009E7411">
        <w:rPr>
          <w:rFonts w:ascii="Times New Roman" w:hAnsi="Times New Roman"/>
          <w:bCs/>
          <w:sz w:val="20"/>
          <w:szCs w:val="20"/>
          <w:vertAlign w:val="superscript"/>
        </w:rPr>
        <w:t>1,2</w:t>
      </w:r>
      <w:r>
        <w:rPr>
          <w:rFonts w:ascii="Times New Roman" w:hAnsi="Times New Roman"/>
          <w:bCs/>
          <w:sz w:val="20"/>
          <w:szCs w:val="20"/>
        </w:rPr>
        <w:t xml:space="preserve">, </w:t>
      </w:r>
      <w:r w:rsidRPr="009E7411">
        <w:rPr>
          <w:rFonts w:ascii="Times New Roman" w:hAnsi="Times New Roman"/>
          <w:bCs/>
          <w:sz w:val="20"/>
          <w:szCs w:val="20"/>
        </w:rPr>
        <w:t>Pasquale Gaudio</w:t>
      </w:r>
      <w:r w:rsidRPr="009E7411">
        <w:rPr>
          <w:rFonts w:ascii="Times New Roman" w:hAnsi="Times New Roman"/>
          <w:bCs/>
          <w:sz w:val="20"/>
          <w:szCs w:val="20"/>
          <w:vertAlign w:val="superscript"/>
        </w:rPr>
        <w:t>1,</w:t>
      </w:r>
      <w:r w:rsidRPr="004C0899">
        <w:rPr>
          <w:rFonts w:ascii="Times New Roman" w:hAnsi="Times New Roman"/>
          <w:b/>
          <w:sz w:val="20"/>
          <w:szCs w:val="20"/>
          <w:vertAlign w:val="superscript"/>
        </w:rPr>
        <w:t>2</w:t>
      </w:r>
    </w:p>
    <w:p w:rsidR="00383E0C" w:rsidRPr="00383E0C" w:rsidRDefault="00383E0C" w:rsidP="00383E0C">
      <w:pPr>
        <w:spacing w:after="0" w:line="240" w:lineRule="auto"/>
        <w:jc w:val="center"/>
        <w:rPr>
          <w:rFonts w:ascii="Times New Roman" w:hAnsi="Times New Roman"/>
          <w:noProof/>
          <w:sz w:val="20"/>
          <w:szCs w:val="20"/>
          <w:lang w:bidi="ar-SA"/>
        </w:rPr>
      </w:pPr>
    </w:p>
    <w:p w:rsidR="00383E0C" w:rsidRPr="00383E0C" w:rsidRDefault="00383E0C" w:rsidP="00383E0C">
      <w:pPr>
        <w:spacing w:after="0" w:line="240" w:lineRule="auto"/>
        <w:jc w:val="center"/>
        <w:rPr>
          <w:rFonts w:ascii="Times New Roman" w:eastAsia="Arial" w:hAnsi="Times New Roman"/>
          <w:i/>
          <w:sz w:val="20"/>
          <w:szCs w:val="20"/>
          <w:lang w:val="en-GB" w:eastAsia="ar-SA"/>
        </w:rPr>
      </w:pPr>
      <w:r w:rsidRPr="00383E0C">
        <w:rPr>
          <w:rFonts w:ascii="Times New Roman" w:eastAsia="Arial" w:hAnsi="Times New Roman"/>
          <w:i/>
          <w:sz w:val="20"/>
          <w:szCs w:val="20"/>
          <w:vertAlign w:val="superscript"/>
          <w:lang w:val="en-GB" w:eastAsia="ar-SA"/>
        </w:rPr>
        <w:t>1</w:t>
      </w:r>
      <w:r w:rsidRPr="00383E0C">
        <w:rPr>
          <w:rFonts w:ascii="Times New Roman" w:eastAsia="Arial" w:hAnsi="Times New Roman"/>
          <w:i/>
          <w:sz w:val="20"/>
          <w:szCs w:val="20"/>
          <w:lang w:val="en-GB" w:eastAsia="ar-SA"/>
        </w:rPr>
        <w:t xml:space="preserve">Department of Industrial Engineering, </w:t>
      </w:r>
    </w:p>
    <w:p w:rsidR="00383E0C" w:rsidRPr="00383E0C" w:rsidRDefault="00383E0C" w:rsidP="00383E0C">
      <w:pPr>
        <w:spacing w:after="0" w:line="240" w:lineRule="auto"/>
        <w:jc w:val="center"/>
        <w:rPr>
          <w:rFonts w:ascii="Times New Roman" w:eastAsia="Arial" w:hAnsi="Times New Roman"/>
          <w:i/>
          <w:sz w:val="20"/>
          <w:szCs w:val="20"/>
          <w:lang w:val="en-GB" w:eastAsia="ar-SA"/>
        </w:rPr>
      </w:pPr>
      <w:r w:rsidRPr="00383E0C">
        <w:rPr>
          <w:rFonts w:ascii="Times New Roman" w:eastAsia="Arial" w:hAnsi="Times New Roman"/>
          <w:i/>
          <w:sz w:val="20"/>
          <w:szCs w:val="20"/>
          <w:vertAlign w:val="superscript"/>
          <w:lang w:val="en-GB" w:eastAsia="ar-SA"/>
        </w:rPr>
        <w:t>2</w:t>
      </w:r>
      <w:r w:rsidRPr="00383E0C">
        <w:rPr>
          <w:rFonts w:ascii="Times New Roman" w:eastAsia="Arial" w:hAnsi="Times New Roman"/>
          <w:i/>
          <w:sz w:val="20"/>
          <w:szCs w:val="20"/>
          <w:lang w:val="en-GB" w:eastAsia="ar-SA"/>
        </w:rPr>
        <w:t xml:space="preserve">Department of Industrial Engineering and School of Medicine and Surgery, </w:t>
      </w:r>
    </w:p>
    <w:p w:rsidR="00383E0C" w:rsidRPr="00383E0C" w:rsidRDefault="00383E0C" w:rsidP="00383E0C">
      <w:pPr>
        <w:spacing w:after="0" w:line="240" w:lineRule="auto"/>
        <w:jc w:val="center"/>
        <w:rPr>
          <w:rFonts w:ascii="Times New Roman" w:eastAsia="Arial" w:hAnsi="Times New Roman"/>
          <w:i/>
          <w:sz w:val="20"/>
          <w:szCs w:val="20"/>
          <w:lang w:val="en-GB" w:eastAsia="ar-SA"/>
        </w:rPr>
      </w:pPr>
      <w:r w:rsidRPr="00383E0C">
        <w:rPr>
          <w:rFonts w:ascii="Times New Roman" w:eastAsia="Arial" w:hAnsi="Times New Roman"/>
          <w:i/>
          <w:sz w:val="20"/>
          <w:szCs w:val="20"/>
          <w:vertAlign w:val="superscript"/>
          <w:lang w:val="en-GB" w:eastAsia="ar-SA"/>
        </w:rPr>
        <w:t>3</w:t>
      </w:r>
      <w:r w:rsidRPr="00383E0C">
        <w:rPr>
          <w:rFonts w:ascii="Times New Roman" w:eastAsia="Arial" w:hAnsi="Times New Roman"/>
          <w:i/>
          <w:sz w:val="20"/>
          <w:szCs w:val="20"/>
          <w:lang w:val="en-GB" w:eastAsia="ar-SA"/>
        </w:rPr>
        <w:t xml:space="preserve">Department of Bio-Medical &amp; Prevention, School of Medicine and Surgery, </w:t>
      </w:r>
    </w:p>
    <w:p w:rsidR="00383E0C" w:rsidRPr="00383E0C" w:rsidRDefault="00383E0C" w:rsidP="00383E0C">
      <w:pPr>
        <w:spacing w:after="0" w:line="240" w:lineRule="auto"/>
        <w:jc w:val="center"/>
        <w:rPr>
          <w:rFonts w:ascii="Times New Roman" w:eastAsia="Arial" w:hAnsi="Times New Roman"/>
          <w:i/>
          <w:sz w:val="20"/>
          <w:szCs w:val="20"/>
          <w:lang w:val="en-GB" w:eastAsia="ar-SA"/>
        </w:rPr>
      </w:pPr>
      <w:r w:rsidRPr="00383E0C">
        <w:rPr>
          <w:rFonts w:ascii="Times New Roman" w:eastAsia="Arial" w:hAnsi="Times New Roman"/>
          <w:i/>
          <w:sz w:val="20"/>
          <w:szCs w:val="20"/>
          <w:lang w:val="en-GB" w:eastAsia="ar-SA"/>
        </w:rPr>
        <w:t>University of Rome Tor Vergata, Rome, Italy</w:t>
      </w:r>
    </w:p>
    <w:p w:rsidR="00383E0C" w:rsidRPr="00383E0C" w:rsidRDefault="00383E0C" w:rsidP="00383E0C">
      <w:pPr>
        <w:spacing w:after="0" w:line="240" w:lineRule="auto"/>
        <w:jc w:val="center"/>
        <w:rPr>
          <w:rFonts w:ascii="Times New Roman" w:eastAsia="Arial" w:hAnsi="Times New Roman"/>
          <w:i/>
          <w:sz w:val="20"/>
          <w:szCs w:val="20"/>
          <w:lang w:val="en-GB" w:eastAsia="ar-SA"/>
        </w:rPr>
      </w:pPr>
      <w:r w:rsidRPr="00383E0C">
        <w:rPr>
          <w:rFonts w:ascii="Times New Roman" w:eastAsia="Arial" w:hAnsi="Times New Roman"/>
          <w:i/>
          <w:sz w:val="20"/>
          <w:szCs w:val="20"/>
          <w:vertAlign w:val="superscript"/>
          <w:lang w:val="en-GB" w:eastAsia="ar-SA"/>
        </w:rPr>
        <w:t>4</w:t>
      </w:r>
      <w:r w:rsidRPr="00383E0C">
        <w:rPr>
          <w:rFonts w:ascii="Times New Roman" w:eastAsia="Arial" w:hAnsi="Times New Roman"/>
          <w:i/>
          <w:sz w:val="20"/>
          <w:szCs w:val="20"/>
          <w:lang w:val="en-GB" w:eastAsia="ar-SA"/>
        </w:rPr>
        <w:t>Regional Agency of Environmental Protection, Rieti, Italy</w:t>
      </w:r>
    </w:p>
    <w:p w:rsidR="00383E0C" w:rsidRPr="00383E0C" w:rsidRDefault="00383E0C" w:rsidP="00383E0C">
      <w:pPr>
        <w:spacing w:after="0" w:line="240" w:lineRule="auto"/>
        <w:jc w:val="center"/>
        <w:rPr>
          <w:rFonts w:ascii="Times New Roman" w:hAnsi="Times New Roman"/>
          <w:noProof/>
          <w:sz w:val="20"/>
          <w:szCs w:val="20"/>
          <w:lang w:bidi="ar-SA"/>
        </w:rPr>
      </w:pPr>
    </w:p>
    <w:p w:rsidR="00383E0C" w:rsidRPr="00383E0C" w:rsidRDefault="00383E0C" w:rsidP="00383E0C">
      <w:pPr>
        <w:spacing w:after="0" w:line="240" w:lineRule="auto"/>
        <w:jc w:val="center"/>
        <w:rPr>
          <w:rFonts w:ascii="Times New Roman" w:hAnsi="Times New Roman"/>
          <w:i/>
          <w:noProof/>
          <w:sz w:val="20"/>
          <w:szCs w:val="20"/>
          <w:lang w:bidi="ar-SA"/>
        </w:rPr>
      </w:pPr>
      <w:r w:rsidRPr="00383E0C">
        <w:rPr>
          <w:rFonts w:ascii="Times New Roman" w:hAnsi="Times New Roman"/>
          <w:i/>
          <w:noProof/>
          <w:sz w:val="20"/>
          <w:szCs w:val="20"/>
          <w:lang w:bidi="ar-SA"/>
        </w:rPr>
        <w:t xml:space="preserve">*Corresponding author: </w:t>
      </w:r>
      <w:r w:rsidRPr="00383E0C">
        <w:rPr>
          <w:rFonts w:ascii="Times New Roman" w:hAnsi="Times New Roman"/>
          <w:i/>
          <w:sz w:val="20"/>
          <w:szCs w:val="20"/>
        </w:rPr>
        <w:t>alessandro.sassolini@arpalazio.it</w:t>
      </w:r>
    </w:p>
    <w:p w:rsidR="00383E0C" w:rsidRPr="00383E0C" w:rsidRDefault="00383E0C" w:rsidP="00383E0C">
      <w:pPr>
        <w:spacing w:after="0" w:line="240" w:lineRule="auto"/>
        <w:jc w:val="center"/>
        <w:rPr>
          <w:rFonts w:ascii="Times New Roman" w:hAnsi="Times New Roman"/>
          <w:i/>
          <w:noProof/>
          <w:sz w:val="20"/>
          <w:szCs w:val="20"/>
          <w:lang w:bidi="ar-SA"/>
        </w:rPr>
      </w:pPr>
    </w:p>
    <w:p w:rsidR="00383E0C" w:rsidRPr="00383E0C" w:rsidRDefault="00383E0C" w:rsidP="00383E0C">
      <w:pPr>
        <w:spacing w:after="0" w:line="240" w:lineRule="auto"/>
        <w:jc w:val="center"/>
        <w:rPr>
          <w:rFonts w:ascii="Times New Roman" w:hAnsi="Times New Roman"/>
          <w:i/>
          <w:noProof/>
          <w:sz w:val="20"/>
          <w:szCs w:val="20"/>
          <w:lang w:bidi="ar-SA"/>
        </w:rPr>
      </w:pPr>
    </w:p>
    <w:p w:rsidR="00383E0C" w:rsidRPr="00383E0C" w:rsidRDefault="00383E0C" w:rsidP="00383E0C">
      <w:pPr>
        <w:spacing w:after="0" w:line="240" w:lineRule="auto"/>
        <w:jc w:val="center"/>
        <w:rPr>
          <w:rFonts w:ascii="Times New Roman" w:hAnsi="Times New Roman"/>
          <w:noProof/>
          <w:sz w:val="20"/>
          <w:szCs w:val="20"/>
          <w:lang w:bidi="ar-SA"/>
        </w:rPr>
      </w:pPr>
      <w:r w:rsidRPr="00383E0C">
        <w:rPr>
          <w:rFonts w:ascii="Times New Roman" w:hAnsi="Times New Roman"/>
          <w:noProof/>
          <w:sz w:val="20"/>
          <w:szCs w:val="20"/>
          <w:lang w:bidi="ar-SA"/>
        </w:rPr>
        <w:t>Received: 9 March 2015; Accepted: 5 April 2015</w:t>
      </w:r>
    </w:p>
    <w:p w:rsidR="00383E0C" w:rsidRPr="00383E0C" w:rsidRDefault="00383E0C" w:rsidP="00383E0C">
      <w:pPr>
        <w:spacing w:after="0" w:line="240" w:lineRule="auto"/>
        <w:jc w:val="center"/>
        <w:rPr>
          <w:rFonts w:ascii="Times New Roman" w:hAnsi="Times New Roman"/>
          <w:noProof/>
          <w:sz w:val="20"/>
          <w:szCs w:val="20"/>
          <w:lang w:bidi="ar-SA"/>
        </w:rPr>
      </w:pPr>
    </w:p>
    <w:p w:rsidR="00383E0C" w:rsidRPr="00383E0C" w:rsidRDefault="00383E0C" w:rsidP="00383E0C">
      <w:pPr>
        <w:spacing w:after="0" w:line="240" w:lineRule="auto"/>
        <w:jc w:val="center"/>
        <w:rPr>
          <w:rFonts w:ascii="Times New Roman" w:hAnsi="Times New Roman"/>
          <w:noProof/>
          <w:sz w:val="20"/>
          <w:szCs w:val="20"/>
          <w:lang w:bidi="ar-SA"/>
        </w:rPr>
      </w:pPr>
    </w:p>
    <w:p w:rsidR="00383E0C" w:rsidRPr="00383E0C" w:rsidRDefault="00383E0C" w:rsidP="00383E0C">
      <w:pPr>
        <w:spacing w:after="0" w:line="240" w:lineRule="auto"/>
        <w:jc w:val="center"/>
        <w:rPr>
          <w:rFonts w:ascii="Times New Roman" w:hAnsi="Times New Roman"/>
          <w:b/>
          <w:noProof/>
          <w:sz w:val="20"/>
          <w:szCs w:val="20"/>
          <w:lang w:bidi="ar-SA"/>
        </w:rPr>
      </w:pPr>
      <w:r w:rsidRPr="00383E0C">
        <w:rPr>
          <w:rFonts w:ascii="Times New Roman" w:hAnsi="Times New Roman"/>
          <w:b/>
          <w:noProof/>
          <w:sz w:val="20"/>
          <w:szCs w:val="20"/>
          <w:lang w:bidi="ar-SA"/>
        </w:rPr>
        <w:t>Abstract</w:t>
      </w:r>
    </w:p>
    <w:p w:rsidR="00383E0C" w:rsidRPr="00383E0C" w:rsidRDefault="00383E0C" w:rsidP="00383E0C">
      <w:pPr>
        <w:spacing w:after="0" w:line="240" w:lineRule="auto"/>
        <w:jc w:val="both"/>
        <w:rPr>
          <w:rFonts w:ascii="Times New Roman" w:hAnsi="Times New Roman"/>
          <w:sz w:val="20"/>
          <w:szCs w:val="20"/>
          <w:lang w:val="en-GB"/>
        </w:rPr>
      </w:pPr>
      <w:r w:rsidRPr="00383E0C">
        <w:rPr>
          <w:rFonts w:ascii="Times New Roman" w:hAnsi="Times New Roman"/>
          <w:sz w:val="20"/>
          <w:szCs w:val="20"/>
        </w:rPr>
        <w:t xml:space="preserve">Analytical chemistry in CBRNe (Chemical Biological Radiological Nuclear explosive) context requires not only high quality data; quickness, ruggedness and robustness are also mandatory. In this work, three samples preparation methods were compared using several organophosphorus pesticides as test compounds, used as simulants of nerve CWA (Chemical Warfare Agents) to choose the one with best characteristics. Result was obtained better with the Dispersive Liquid-Liquid Micro Extraction (DLLME), relatively new in CBRNe field, obtaining uncertainty for different simulants between 8 and 15% while a quantification limit between 0.01 and 0.08 </w:t>
      </w:r>
      <w:r w:rsidRPr="00383E0C">
        <w:rPr>
          <w:rFonts w:ascii="Times New Roman" w:hAnsi="Times New Roman"/>
          <w:sz w:val="20"/>
          <w:szCs w:val="20"/>
          <w:lang w:val="en-GB"/>
        </w:rPr>
        <w:t xml:space="preserve">µg/l. </w:t>
      </w:r>
      <w:r w:rsidRPr="00383E0C">
        <w:rPr>
          <w:rFonts w:ascii="Times New Roman" w:hAnsi="Times New Roman"/>
          <w:sz w:val="20"/>
          <w:szCs w:val="20"/>
        </w:rPr>
        <w:t>To optimize this extraction method, different organochlorinated solvents also tested but not relevant difference in these tests was obtained. In this work, all samples were analyzed by using a gas chromatography coupled with mass spectrometer (GC-MS) and also with Gas Chromatograph coupled with Nitrogen Phosphorous Detector (NPD) for DLLME samples to evaluate a low cost and rugged instrument adapt to field analytical methods with good performance in terms of uncertainty and sensibility even if poorer respect to the mass spectrometry.</w:t>
      </w:r>
    </w:p>
    <w:p w:rsidR="00383E0C" w:rsidRPr="00383E0C" w:rsidRDefault="00383E0C" w:rsidP="00383E0C">
      <w:pPr>
        <w:pStyle w:val="NoSpacing"/>
        <w:rPr>
          <w:rFonts w:ascii="Times New Roman" w:hAnsi="Times New Roman"/>
          <w:sz w:val="20"/>
          <w:szCs w:val="20"/>
        </w:rPr>
      </w:pPr>
    </w:p>
    <w:p w:rsidR="00383E0C" w:rsidRPr="00383E0C" w:rsidRDefault="00383E0C" w:rsidP="00383E0C">
      <w:pPr>
        <w:spacing w:after="0" w:line="240" w:lineRule="auto"/>
        <w:ind w:left="1080" w:hanging="1080"/>
        <w:jc w:val="both"/>
        <w:rPr>
          <w:rFonts w:ascii="Times New Roman" w:hAnsi="Times New Roman"/>
          <w:sz w:val="20"/>
          <w:szCs w:val="20"/>
        </w:rPr>
      </w:pPr>
      <w:r w:rsidRPr="00383E0C">
        <w:rPr>
          <w:rFonts w:ascii="Times New Roman" w:hAnsi="Times New Roman"/>
          <w:b/>
          <w:sz w:val="20"/>
          <w:szCs w:val="20"/>
        </w:rPr>
        <w:t>Keywords:</w:t>
      </w:r>
      <w:r w:rsidRPr="00383E0C">
        <w:rPr>
          <w:rFonts w:ascii="Times New Roman" w:hAnsi="Times New Roman"/>
          <w:b/>
          <w:sz w:val="20"/>
          <w:szCs w:val="20"/>
        </w:rPr>
        <w:tab/>
      </w:r>
      <w:r w:rsidRPr="00383E0C">
        <w:rPr>
          <w:rFonts w:ascii="Times New Roman" w:hAnsi="Times New Roman"/>
          <w:sz w:val="20"/>
          <w:szCs w:val="20"/>
        </w:rPr>
        <w:t>NBC deployable laboratory, CBRNe, chemical warfare agents, dispersive micro liquid - liquid extraction, nerve agent simulants</w:t>
      </w:r>
    </w:p>
    <w:p w:rsidR="00383E0C" w:rsidRPr="00383E0C" w:rsidRDefault="00383E0C" w:rsidP="00383E0C">
      <w:pPr>
        <w:spacing w:after="0" w:line="240" w:lineRule="auto"/>
        <w:jc w:val="center"/>
        <w:rPr>
          <w:rFonts w:ascii="Times New Roman" w:hAnsi="Times New Roman"/>
          <w:noProof/>
          <w:sz w:val="20"/>
          <w:szCs w:val="20"/>
          <w:lang w:bidi="ar-SA"/>
        </w:rPr>
      </w:pPr>
    </w:p>
    <w:p w:rsidR="00383E0C" w:rsidRPr="00383E0C" w:rsidRDefault="00383E0C" w:rsidP="00383E0C">
      <w:pPr>
        <w:spacing w:after="0" w:line="240" w:lineRule="auto"/>
        <w:jc w:val="center"/>
        <w:rPr>
          <w:rFonts w:ascii="Times New Roman" w:hAnsi="Times New Roman"/>
          <w:b/>
          <w:noProof/>
          <w:sz w:val="20"/>
          <w:szCs w:val="20"/>
          <w:lang w:bidi="ar-SA"/>
        </w:rPr>
      </w:pPr>
      <w:r w:rsidRPr="00383E0C">
        <w:rPr>
          <w:rFonts w:ascii="Times New Roman" w:hAnsi="Times New Roman"/>
          <w:b/>
          <w:noProof/>
          <w:sz w:val="20"/>
          <w:szCs w:val="20"/>
          <w:lang w:bidi="ar-SA"/>
        </w:rPr>
        <w:t>Abstrak</w:t>
      </w:r>
    </w:p>
    <w:p w:rsidR="00383E0C" w:rsidRPr="00383E0C" w:rsidRDefault="00383E0C" w:rsidP="00383E0C">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rPr>
      </w:pPr>
      <w:r w:rsidRPr="00383E0C">
        <w:rPr>
          <w:rFonts w:ascii="Times New Roman" w:eastAsia="SimSun" w:hAnsi="Times New Roman"/>
          <w:kern w:val="2"/>
          <w:sz w:val="20"/>
          <w:szCs w:val="20"/>
          <w:lang w:eastAsia="ko-KR"/>
        </w:rPr>
        <w:t xml:space="preserve">Kontek analisis kimia di CBRNe (letupan radiologikal nuclear kimia biologi) memerlukan bukan hanya data yang berkualiti tinggi; kepantasan, kelasakan dan ketegugan juga adalah mandatori. Di dalam kajian ini, tiga kaedah penyediaan sampel dibandingkan menggunakan beberapa racun perosak organofosforus sebagai sebatian ujian, yang digunakan sebagai simulan CWA (Agen Senjata Kimia) untuk memilih ciri-ciri terbaik. Keputusan yang diperolehi adalah lebih baik dengan kaedah Pengekstrakan Mikro Cecair - Cecair Serakan (DLLME), yang agak baru di dalam bidang CBRNe, yakni ujian ketakpastian bagi simulant berbeza di antara 8 dan 15% manakala had kuantifikasi di antara 0.01 dan 0.08 μg/l. Untuk mengoptimumkan kaedah pengekstrakan ini, pelarut organoklorin berbeza juga diuji tetapi perbezaan tidak relevan telah diperolehi di dalam kajian ini. Di dalam kajian ini, semua sampel telah </w:t>
      </w:r>
      <w:r w:rsidRPr="00383E0C">
        <w:rPr>
          <w:rFonts w:ascii="Times New Roman" w:eastAsia="SimSun" w:hAnsi="Times New Roman"/>
          <w:kern w:val="2"/>
          <w:sz w:val="20"/>
          <w:szCs w:val="20"/>
          <w:lang w:eastAsia="ko-KR"/>
        </w:rPr>
        <w:lastRenderedPageBreak/>
        <w:t>dianalisis dengan menggunakan kromatografi  gas bergabung dengan pengesan spektrometer jism (GC-MS) dan juga kromatografi gas bergabung dengan pengesan nitrogen fosforus (NPD) untuk sampel DLLME untuk menilai kebolehupayaan instumen yang kos rendah dan lasak dengan prestasi yang baik dari aspek ketakpastian dan sensitif meskipun kurang berbanding spektrometri jisim</w:t>
      </w:r>
    </w:p>
    <w:p w:rsidR="00383E0C" w:rsidRPr="00383E0C" w:rsidRDefault="00383E0C" w:rsidP="00383E0C">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rPr>
      </w:pPr>
    </w:p>
    <w:p w:rsidR="00383E0C" w:rsidRDefault="00383E0C" w:rsidP="00383E0C">
      <w:pPr>
        <w:widowControl w:val="0"/>
        <w:wordWrap w:val="0"/>
        <w:autoSpaceDE w:val="0"/>
        <w:autoSpaceDN w:val="0"/>
        <w:spacing w:after="0" w:line="240" w:lineRule="auto"/>
        <w:ind w:left="1080" w:hanging="1080"/>
        <w:jc w:val="both"/>
        <w:outlineLvl w:val="0"/>
        <w:rPr>
          <w:rFonts w:ascii="Times New Roman" w:eastAsia="SimSun" w:hAnsi="Times New Roman"/>
          <w:bCs/>
          <w:kern w:val="2"/>
          <w:sz w:val="20"/>
          <w:szCs w:val="20"/>
          <w:lang w:eastAsia="ko-KR"/>
        </w:rPr>
      </w:pPr>
      <w:r w:rsidRPr="00383E0C">
        <w:rPr>
          <w:rFonts w:ascii="Times New Roman" w:eastAsia="SimSun" w:hAnsi="Times New Roman"/>
          <w:b/>
          <w:kern w:val="2"/>
          <w:sz w:val="20"/>
          <w:szCs w:val="20"/>
          <w:lang w:eastAsia="ko-KR"/>
        </w:rPr>
        <w:t xml:space="preserve">Kata kunci: </w:t>
      </w:r>
      <w:r>
        <w:rPr>
          <w:rFonts w:ascii="Times New Roman" w:eastAsia="SimSun" w:hAnsi="Times New Roman"/>
          <w:b/>
          <w:kern w:val="2"/>
          <w:sz w:val="20"/>
          <w:szCs w:val="20"/>
          <w:lang w:eastAsia="ko-KR"/>
        </w:rPr>
        <w:tab/>
      </w:r>
      <w:r w:rsidRPr="00383E0C">
        <w:rPr>
          <w:rFonts w:ascii="Times New Roman" w:eastAsia="SimSun" w:hAnsi="Times New Roman"/>
          <w:bCs/>
          <w:kern w:val="2"/>
          <w:sz w:val="20"/>
          <w:szCs w:val="20"/>
          <w:lang w:eastAsia="ko-KR"/>
        </w:rPr>
        <w:t>Makmal</w:t>
      </w:r>
      <w:r w:rsidRPr="00383E0C">
        <w:rPr>
          <w:rFonts w:ascii="Times New Roman" w:eastAsia="SimSun" w:hAnsi="Times New Roman"/>
          <w:b/>
          <w:kern w:val="2"/>
          <w:sz w:val="20"/>
          <w:szCs w:val="20"/>
          <w:lang w:eastAsia="ko-KR"/>
        </w:rPr>
        <w:t xml:space="preserve"> </w:t>
      </w:r>
      <w:r w:rsidRPr="00383E0C">
        <w:rPr>
          <w:rFonts w:ascii="Times New Roman" w:eastAsia="SimSun" w:hAnsi="Times New Roman"/>
          <w:bCs/>
          <w:kern w:val="2"/>
          <w:sz w:val="20"/>
          <w:szCs w:val="20"/>
          <w:lang w:eastAsia="ko-KR"/>
        </w:rPr>
        <w:t>NBC, CBRNe, agen senjata kimia, pengekstrakan mikro cecair – cecair serakan, ejen saraf simulan</w:t>
      </w:r>
    </w:p>
    <w:p w:rsidR="00383E0C" w:rsidRDefault="00383E0C" w:rsidP="00383E0C">
      <w:pPr>
        <w:widowControl w:val="0"/>
        <w:wordWrap w:val="0"/>
        <w:autoSpaceDE w:val="0"/>
        <w:autoSpaceDN w:val="0"/>
        <w:spacing w:after="0" w:line="240" w:lineRule="auto"/>
        <w:ind w:left="1080" w:hanging="1080"/>
        <w:jc w:val="both"/>
        <w:outlineLvl w:val="0"/>
        <w:rPr>
          <w:rFonts w:ascii="Times New Roman" w:eastAsia="SimSun" w:hAnsi="Times New Roman"/>
          <w:sz w:val="20"/>
          <w:szCs w:val="20"/>
          <w:lang w:eastAsia="ko-KR"/>
        </w:rPr>
      </w:pPr>
    </w:p>
    <w:p w:rsidR="00383E0C" w:rsidRPr="00802DCC" w:rsidRDefault="00383E0C" w:rsidP="00383E0C">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83E0C" w:rsidRDefault="00383E0C" w:rsidP="00383E0C">
      <w:pPr>
        <w:numPr>
          <w:ilvl w:val="0"/>
          <w:numId w:val="1"/>
        </w:numPr>
        <w:spacing w:after="0" w:line="240" w:lineRule="auto"/>
        <w:ind w:left="360"/>
        <w:jc w:val="both"/>
        <w:rPr>
          <w:rFonts w:ascii="Times New Roman" w:hAnsi="Times New Roman"/>
          <w:sz w:val="20"/>
          <w:szCs w:val="20"/>
        </w:rPr>
      </w:pPr>
      <w:r w:rsidRPr="00A70674">
        <w:rPr>
          <w:rFonts w:ascii="Times New Roman" w:hAnsi="Times New Roman"/>
          <w:sz w:val="20"/>
          <w:szCs w:val="20"/>
        </w:rPr>
        <w:t xml:space="preserve">Brown, </w:t>
      </w:r>
      <w:r>
        <w:rPr>
          <w:rFonts w:ascii="Times New Roman" w:hAnsi="Times New Roman"/>
          <w:sz w:val="20"/>
          <w:szCs w:val="20"/>
        </w:rPr>
        <w:t>G., Carlyle, M., Salmerón, J., and</w:t>
      </w:r>
      <w:r w:rsidRPr="00A70674">
        <w:rPr>
          <w:rFonts w:ascii="Times New Roman" w:hAnsi="Times New Roman"/>
          <w:sz w:val="20"/>
          <w:szCs w:val="20"/>
        </w:rPr>
        <w:t xml:space="preserve"> Wood, K. (2006). Defending critical infrastructure. </w:t>
      </w:r>
      <w:r w:rsidRPr="00A70674">
        <w:rPr>
          <w:rFonts w:ascii="Times New Roman" w:hAnsi="Times New Roman"/>
          <w:i/>
          <w:iCs/>
          <w:sz w:val="20"/>
          <w:szCs w:val="20"/>
        </w:rPr>
        <w:t>Interfaces</w:t>
      </w:r>
      <w:r w:rsidRPr="00A70674">
        <w:rPr>
          <w:rFonts w:ascii="Times New Roman" w:hAnsi="Times New Roman"/>
          <w:sz w:val="20"/>
          <w:szCs w:val="20"/>
        </w:rPr>
        <w:t>, </w:t>
      </w:r>
      <w:r w:rsidRPr="00A70674">
        <w:rPr>
          <w:rFonts w:ascii="Times New Roman" w:hAnsi="Times New Roman"/>
          <w:i/>
          <w:iCs/>
          <w:sz w:val="20"/>
          <w:szCs w:val="20"/>
        </w:rPr>
        <w:t>36</w:t>
      </w:r>
      <w:r>
        <w:rPr>
          <w:rFonts w:ascii="Times New Roman" w:hAnsi="Times New Roman"/>
          <w:sz w:val="20"/>
          <w:szCs w:val="20"/>
        </w:rPr>
        <w:t>(6):</w:t>
      </w:r>
      <w:r w:rsidRPr="00A70674">
        <w:rPr>
          <w:rFonts w:ascii="Times New Roman" w:hAnsi="Times New Roman"/>
          <w:sz w:val="20"/>
          <w:szCs w:val="20"/>
        </w:rPr>
        <w:t xml:space="preserve"> 530-544.</w:t>
      </w:r>
    </w:p>
    <w:p w:rsidR="00383E0C" w:rsidRDefault="00383E0C" w:rsidP="00383E0C">
      <w:pPr>
        <w:numPr>
          <w:ilvl w:val="0"/>
          <w:numId w:val="1"/>
        </w:numPr>
        <w:spacing w:after="0" w:line="240" w:lineRule="auto"/>
        <w:ind w:left="360"/>
        <w:jc w:val="both"/>
        <w:rPr>
          <w:rFonts w:ascii="Times New Roman" w:hAnsi="Times New Roman"/>
          <w:sz w:val="20"/>
          <w:szCs w:val="20"/>
        </w:rPr>
      </w:pPr>
      <w:r w:rsidRPr="0060654A">
        <w:rPr>
          <w:rFonts w:ascii="Times New Roman" w:hAnsi="Times New Roman"/>
          <w:sz w:val="20"/>
          <w:szCs w:val="20"/>
          <w:shd w:val="clear" w:color="auto" w:fill="FFFFFF"/>
        </w:rPr>
        <w:t>Ri</w:t>
      </w:r>
      <w:r>
        <w:rPr>
          <w:rFonts w:ascii="Times New Roman" w:hAnsi="Times New Roman"/>
          <w:sz w:val="20"/>
          <w:szCs w:val="20"/>
          <w:shd w:val="clear" w:color="auto" w:fill="FFFFFF"/>
        </w:rPr>
        <w:t>naldi, S.M., Peerenboom, J.P., and</w:t>
      </w:r>
      <w:r w:rsidRPr="0060654A">
        <w:rPr>
          <w:rFonts w:ascii="Times New Roman" w:hAnsi="Times New Roman"/>
          <w:sz w:val="20"/>
          <w:szCs w:val="20"/>
          <w:shd w:val="clear" w:color="auto" w:fill="FFFFFF"/>
        </w:rPr>
        <w:t xml:space="preserve"> Kelly, T.K. (2001). Identifying, understanding, and analyzing critical infrastructure interdependencies.</w:t>
      </w:r>
      <w:r w:rsidRPr="0060654A">
        <w:rPr>
          <w:rStyle w:val="apple-converted-space"/>
          <w:rFonts w:ascii="Times New Roman" w:hAnsi="Times New Roman"/>
          <w:sz w:val="20"/>
          <w:szCs w:val="20"/>
          <w:shd w:val="clear" w:color="auto" w:fill="FFFFFF"/>
        </w:rPr>
        <w:t> </w:t>
      </w:r>
      <w:r w:rsidRPr="0060654A">
        <w:rPr>
          <w:rFonts w:ascii="Times New Roman" w:hAnsi="Times New Roman"/>
          <w:i/>
          <w:iCs/>
          <w:sz w:val="20"/>
          <w:szCs w:val="20"/>
          <w:shd w:val="clear" w:color="auto" w:fill="FFFFFF"/>
        </w:rPr>
        <w:t>Control Systems, IEEE</w:t>
      </w:r>
      <w:r w:rsidRPr="0060654A">
        <w:rPr>
          <w:rFonts w:ascii="Times New Roman" w:hAnsi="Times New Roman"/>
          <w:sz w:val="20"/>
          <w:szCs w:val="20"/>
          <w:shd w:val="clear" w:color="auto" w:fill="FFFFFF"/>
        </w:rPr>
        <w:t>,</w:t>
      </w:r>
      <w:r w:rsidRPr="0060654A">
        <w:rPr>
          <w:rStyle w:val="apple-converted-space"/>
          <w:rFonts w:ascii="Times New Roman" w:hAnsi="Times New Roman"/>
          <w:sz w:val="20"/>
          <w:szCs w:val="20"/>
          <w:shd w:val="clear" w:color="auto" w:fill="FFFFFF"/>
        </w:rPr>
        <w:t> </w:t>
      </w:r>
      <w:r w:rsidRPr="0060654A">
        <w:rPr>
          <w:rFonts w:ascii="Times New Roman" w:hAnsi="Times New Roman"/>
          <w:i/>
          <w:iCs/>
          <w:sz w:val="20"/>
          <w:szCs w:val="20"/>
          <w:shd w:val="clear" w:color="auto" w:fill="FFFFFF"/>
        </w:rPr>
        <w:t>21</w:t>
      </w:r>
      <w:r>
        <w:rPr>
          <w:rFonts w:ascii="Times New Roman" w:hAnsi="Times New Roman"/>
          <w:sz w:val="20"/>
          <w:szCs w:val="20"/>
          <w:shd w:val="clear" w:color="auto" w:fill="FFFFFF"/>
        </w:rPr>
        <w:t>(6):</w:t>
      </w:r>
      <w:r w:rsidRPr="0060654A">
        <w:rPr>
          <w:rFonts w:ascii="Times New Roman" w:hAnsi="Times New Roman"/>
          <w:sz w:val="20"/>
          <w:szCs w:val="20"/>
          <w:shd w:val="clear" w:color="auto" w:fill="FFFFFF"/>
        </w:rPr>
        <w:t>11-25.</w:t>
      </w:r>
    </w:p>
    <w:p w:rsidR="00383E0C" w:rsidRDefault="00383E0C" w:rsidP="00383E0C">
      <w:pPr>
        <w:numPr>
          <w:ilvl w:val="0"/>
          <w:numId w:val="1"/>
        </w:numPr>
        <w:spacing w:after="0" w:line="240" w:lineRule="auto"/>
        <w:ind w:left="360"/>
        <w:jc w:val="both"/>
        <w:rPr>
          <w:rFonts w:ascii="Times New Roman" w:hAnsi="Times New Roman"/>
          <w:sz w:val="20"/>
          <w:szCs w:val="20"/>
        </w:rPr>
      </w:pPr>
      <w:r w:rsidRPr="0060654A">
        <w:rPr>
          <w:rFonts w:ascii="Times New Roman" w:hAnsi="Times New Roman"/>
          <w:iCs/>
          <w:sz w:val="20"/>
          <w:szCs w:val="20"/>
        </w:rPr>
        <w:t xml:space="preserve">Sassolini, A., Malizia, A., D’Amico, F., Carestia, M., Di Giovanni, D., </w:t>
      </w:r>
      <w:r>
        <w:rPr>
          <w:rFonts w:ascii="Times New Roman" w:hAnsi="Times New Roman"/>
          <w:iCs/>
          <w:sz w:val="20"/>
          <w:szCs w:val="20"/>
        </w:rPr>
        <w:t>Cenciarelli, O., Bellecci, C., and</w:t>
      </w:r>
      <w:r w:rsidRPr="0060654A">
        <w:rPr>
          <w:rFonts w:ascii="Times New Roman" w:hAnsi="Times New Roman"/>
          <w:iCs/>
          <w:sz w:val="20"/>
          <w:szCs w:val="20"/>
        </w:rPr>
        <w:t xml:space="preserve"> Gaudio, P. (2014). Evaluation of the effectiveness of titanium dioxide (TiO</w:t>
      </w:r>
      <w:r w:rsidRPr="0060654A">
        <w:rPr>
          <w:rFonts w:ascii="Times New Roman" w:hAnsi="Times New Roman"/>
          <w:iCs/>
          <w:sz w:val="20"/>
          <w:szCs w:val="20"/>
          <w:vertAlign w:val="subscript"/>
        </w:rPr>
        <w:t>2</w:t>
      </w:r>
      <w:r w:rsidRPr="0060654A">
        <w:rPr>
          <w:rFonts w:ascii="Times New Roman" w:hAnsi="Times New Roman"/>
          <w:iCs/>
          <w:sz w:val="20"/>
          <w:szCs w:val="20"/>
        </w:rPr>
        <w:t xml:space="preserve">) self cleaning coating for increased protection against CBRN incidents in critical infrastructures. </w:t>
      </w:r>
      <w:r w:rsidRPr="0060654A">
        <w:rPr>
          <w:rFonts w:ascii="Times New Roman" w:hAnsi="Times New Roman"/>
          <w:i/>
          <w:iCs/>
          <w:sz w:val="20"/>
          <w:szCs w:val="20"/>
        </w:rPr>
        <w:t>Defense S&amp;T Technical Bulletin, 7</w:t>
      </w:r>
      <w:r>
        <w:rPr>
          <w:rFonts w:ascii="Times New Roman" w:hAnsi="Times New Roman"/>
          <w:iCs/>
          <w:sz w:val="20"/>
          <w:szCs w:val="20"/>
        </w:rPr>
        <w:t>(1):</w:t>
      </w:r>
      <w:r w:rsidRPr="0060654A">
        <w:rPr>
          <w:rFonts w:ascii="Times New Roman" w:hAnsi="Times New Roman"/>
          <w:iCs/>
          <w:sz w:val="20"/>
          <w:szCs w:val="20"/>
        </w:rPr>
        <w:t xml:space="preserve"> 9-17.</w:t>
      </w:r>
    </w:p>
    <w:p w:rsidR="00383E0C" w:rsidRDefault="00383E0C" w:rsidP="00383E0C">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Wein, L.M., and</w:t>
      </w:r>
      <w:r w:rsidRPr="0060654A">
        <w:rPr>
          <w:rFonts w:ascii="Times New Roman" w:hAnsi="Times New Roman"/>
          <w:sz w:val="20"/>
          <w:szCs w:val="20"/>
        </w:rPr>
        <w:t xml:space="preserve"> Liu, Y. (2005). Analyzing a bioterror attack on the food supply: the case of botulinum toxin in milk. </w:t>
      </w:r>
      <w:r w:rsidRPr="0060654A">
        <w:rPr>
          <w:rFonts w:ascii="Times New Roman" w:hAnsi="Times New Roman"/>
          <w:i/>
          <w:iCs/>
          <w:sz w:val="20"/>
          <w:szCs w:val="20"/>
        </w:rPr>
        <w:t>Proceedings of the National Academy of Sciences of the United States of America</w:t>
      </w:r>
      <w:r w:rsidRPr="0060654A">
        <w:rPr>
          <w:rFonts w:ascii="Times New Roman" w:hAnsi="Times New Roman"/>
          <w:sz w:val="20"/>
          <w:szCs w:val="20"/>
        </w:rPr>
        <w:t>, </w:t>
      </w:r>
      <w:r w:rsidRPr="0060654A">
        <w:rPr>
          <w:rFonts w:ascii="Times New Roman" w:hAnsi="Times New Roman"/>
          <w:i/>
          <w:iCs/>
          <w:sz w:val="20"/>
          <w:szCs w:val="20"/>
        </w:rPr>
        <w:t>102</w:t>
      </w:r>
      <w:r>
        <w:rPr>
          <w:rFonts w:ascii="Times New Roman" w:hAnsi="Times New Roman"/>
          <w:sz w:val="20"/>
          <w:szCs w:val="20"/>
        </w:rPr>
        <w:t>(28):</w:t>
      </w:r>
      <w:r w:rsidRPr="0060654A">
        <w:rPr>
          <w:rFonts w:ascii="Times New Roman" w:hAnsi="Times New Roman"/>
          <w:sz w:val="20"/>
          <w:szCs w:val="20"/>
        </w:rPr>
        <w:t xml:space="preserve"> 9984-9989.</w:t>
      </w:r>
    </w:p>
    <w:p w:rsidR="00383E0C" w:rsidRDefault="00383E0C" w:rsidP="00383E0C">
      <w:pPr>
        <w:numPr>
          <w:ilvl w:val="0"/>
          <w:numId w:val="1"/>
        </w:numPr>
        <w:spacing w:after="0" w:line="240" w:lineRule="auto"/>
        <w:ind w:left="360"/>
        <w:jc w:val="both"/>
        <w:rPr>
          <w:rFonts w:ascii="Times New Roman" w:hAnsi="Times New Roman"/>
          <w:sz w:val="20"/>
          <w:szCs w:val="20"/>
        </w:rPr>
      </w:pPr>
      <w:r w:rsidRPr="0060654A">
        <w:rPr>
          <w:rFonts w:ascii="Times New Roman" w:hAnsi="Times New Roman"/>
          <w:iCs/>
          <w:sz w:val="20"/>
          <w:szCs w:val="20"/>
        </w:rPr>
        <w:t>Cacciotti, I., Aspetti, P.C., Cenciarelli, O., Carestia, M., Di Giovanni, D., Malizia, A., D’Amico, F.</w:t>
      </w:r>
      <w:r>
        <w:rPr>
          <w:rFonts w:ascii="Times New Roman" w:hAnsi="Times New Roman"/>
          <w:iCs/>
          <w:sz w:val="20"/>
          <w:szCs w:val="20"/>
        </w:rPr>
        <w:t>, Sassolini, A., Bellecci, C., and</w:t>
      </w:r>
      <w:r w:rsidRPr="0060654A">
        <w:rPr>
          <w:rFonts w:ascii="Times New Roman" w:hAnsi="Times New Roman"/>
          <w:iCs/>
          <w:sz w:val="20"/>
          <w:szCs w:val="20"/>
        </w:rPr>
        <w:t xml:space="preserve"> Gaudio, P. (2014). Simulation of Caesium-137 (</w:t>
      </w:r>
      <w:r w:rsidRPr="0060654A">
        <w:rPr>
          <w:rFonts w:ascii="Times New Roman" w:hAnsi="Times New Roman"/>
          <w:iCs/>
          <w:sz w:val="20"/>
          <w:szCs w:val="20"/>
          <w:vertAlign w:val="superscript"/>
        </w:rPr>
        <w:t>137</w:t>
      </w:r>
      <w:r w:rsidRPr="0060654A">
        <w:rPr>
          <w:rFonts w:ascii="Times New Roman" w:hAnsi="Times New Roman"/>
          <w:iCs/>
          <w:sz w:val="20"/>
          <w:szCs w:val="20"/>
        </w:rPr>
        <w:t xml:space="preserve">Cs) local diffusion as a consequence of the Chernobyl Accident Using Hotspot. </w:t>
      </w:r>
      <w:r w:rsidRPr="0060654A">
        <w:rPr>
          <w:rFonts w:ascii="Times New Roman" w:hAnsi="Times New Roman"/>
          <w:i/>
          <w:iCs/>
          <w:sz w:val="20"/>
          <w:szCs w:val="20"/>
        </w:rPr>
        <w:t>Defence S&amp;T Technical Bulletin, 7</w:t>
      </w:r>
      <w:r>
        <w:rPr>
          <w:rFonts w:ascii="Times New Roman" w:hAnsi="Times New Roman"/>
          <w:iCs/>
          <w:sz w:val="20"/>
          <w:szCs w:val="20"/>
        </w:rPr>
        <w:t>(1):</w:t>
      </w:r>
      <w:r w:rsidRPr="0060654A">
        <w:rPr>
          <w:rFonts w:ascii="Times New Roman" w:hAnsi="Times New Roman"/>
          <w:iCs/>
          <w:sz w:val="20"/>
          <w:szCs w:val="20"/>
        </w:rPr>
        <w:t xml:space="preserve"> 18-26.</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iCs/>
          <w:sz w:val="20"/>
          <w:szCs w:val="20"/>
        </w:rPr>
        <w:t xml:space="preserve">Cenciarelli, O., Pietropaoli, S., Frusteri, L., Malizia, A., Carestia, M., D'Amico, F., Sassolini, A., Di Giovanni, D., Tamburrini, </w:t>
      </w:r>
      <w:r>
        <w:rPr>
          <w:rFonts w:ascii="Times New Roman" w:hAnsi="Times New Roman"/>
          <w:iCs/>
          <w:sz w:val="20"/>
          <w:szCs w:val="20"/>
        </w:rPr>
        <w:t>A., Palombi, L., Bellecci, C., and</w:t>
      </w:r>
      <w:r w:rsidRPr="009C37CB">
        <w:rPr>
          <w:rFonts w:ascii="Times New Roman" w:hAnsi="Times New Roman"/>
          <w:iCs/>
          <w:sz w:val="20"/>
          <w:szCs w:val="20"/>
        </w:rPr>
        <w:t xml:space="preserve"> Gaudio, P. (2014). Biological emergency management: the case of Ebola 2014 and the air transportation involvement. </w:t>
      </w:r>
      <w:r>
        <w:rPr>
          <w:rFonts w:ascii="Times New Roman" w:hAnsi="Times New Roman"/>
          <w:i/>
          <w:iCs/>
          <w:sz w:val="20"/>
          <w:szCs w:val="20"/>
        </w:rPr>
        <w:t>Journal of Microbial</w:t>
      </w:r>
      <w:r w:rsidRPr="009C37CB">
        <w:rPr>
          <w:rFonts w:ascii="Times New Roman" w:hAnsi="Times New Roman"/>
          <w:i/>
          <w:iCs/>
          <w:sz w:val="20"/>
          <w:szCs w:val="20"/>
        </w:rPr>
        <w:t xml:space="preserve"> B</w:t>
      </w:r>
      <w:r>
        <w:rPr>
          <w:rFonts w:ascii="Times New Roman" w:hAnsi="Times New Roman"/>
          <w:i/>
          <w:iCs/>
          <w:sz w:val="20"/>
          <w:szCs w:val="20"/>
        </w:rPr>
        <w:t>iochemistry and Technology, 6:</w:t>
      </w:r>
      <w:r w:rsidRPr="009C37CB">
        <w:rPr>
          <w:rFonts w:ascii="Times New Roman" w:hAnsi="Times New Roman"/>
          <w:iCs/>
          <w:sz w:val="20"/>
          <w:szCs w:val="20"/>
        </w:rPr>
        <w:t xml:space="preserve"> 247-253.</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Steiner, W.E., Klopsch, S.J.,</w:t>
      </w:r>
      <w:r>
        <w:rPr>
          <w:rFonts w:ascii="Times New Roman" w:hAnsi="Times New Roman"/>
          <w:sz w:val="20"/>
          <w:szCs w:val="20"/>
          <w:shd w:val="clear" w:color="auto" w:fill="FFFFFF"/>
        </w:rPr>
        <w:t xml:space="preserve"> English, W.A., Clowers, B.H., and</w:t>
      </w:r>
      <w:r w:rsidRPr="009C37CB">
        <w:rPr>
          <w:rFonts w:ascii="Times New Roman" w:hAnsi="Times New Roman"/>
          <w:sz w:val="20"/>
          <w:szCs w:val="20"/>
          <w:shd w:val="clear" w:color="auto" w:fill="FFFFFF"/>
        </w:rPr>
        <w:t xml:space="preserve"> Hill, H.H. (2005). Detection of a chemical warfare agent simulant in various aerosol matrixes by ion mobility time-of-flight mass spectrometry.</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Analytical chemistry</w:t>
      </w:r>
      <w:r w:rsidRPr="009C37CB">
        <w:rPr>
          <w:rFonts w:ascii="Times New Roman" w:hAnsi="Times New Roman"/>
          <w:sz w:val="20"/>
          <w:szCs w:val="20"/>
          <w:shd w:val="clear" w:color="auto" w:fill="FFFFFF"/>
        </w:rPr>
        <w:t xml:space="preserve">, </w:t>
      </w:r>
      <w:r w:rsidRPr="009C37CB">
        <w:rPr>
          <w:rFonts w:ascii="Times New Roman" w:hAnsi="Times New Roman"/>
          <w:i/>
          <w:iCs/>
          <w:sz w:val="20"/>
          <w:szCs w:val="20"/>
          <w:shd w:val="clear" w:color="auto" w:fill="FFFFFF"/>
        </w:rPr>
        <w:t>77</w:t>
      </w:r>
      <w:r w:rsidRPr="009C37CB">
        <w:rPr>
          <w:rFonts w:ascii="Times New Roman" w:hAnsi="Times New Roman"/>
          <w:sz w:val="20"/>
          <w:szCs w:val="20"/>
          <w:shd w:val="clear" w:color="auto" w:fill="FFFFFF"/>
        </w:rPr>
        <w:t>(15), 4792-4799.</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Mäkin</w:t>
      </w:r>
      <w:r>
        <w:rPr>
          <w:rFonts w:ascii="Times New Roman" w:hAnsi="Times New Roman"/>
          <w:sz w:val="20"/>
          <w:szCs w:val="20"/>
          <w:shd w:val="clear" w:color="auto" w:fill="FFFFFF"/>
        </w:rPr>
        <w:t>en, M. A., Anttalainen, O. A., and</w:t>
      </w:r>
      <w:r w:rsidRPr="009C37CB">
        <w:rPr>
          <w:rFonts w:ascii="Times New Roman" w:hAnsi="Times New Roman"/>
          <w:sz w:val="20"/>
          <w:szCs w:val="20"/>
          <w:shd w:val="clear" w:color="auto" w:fill="FFFFFF"/>
        </w:rPr>
        <w:t xml:space="preserve"> Sillanpää, M. E. (2010). Ion mobility spectrometry and its applications in detection of chemical warfare agents. </w:t>
      </w:r>
      <w:r w:rsidRPr="009C37CB">
        <w:rPr>
          <w:rFonts w:ascii="Times New Roman" w:hAnsi="Times New Roman"/>
          <w:i/>
          <w:iCs/>
          <w:sz w:val="20"/>
          <w:szCs w:val="20"/>
          <w:shd w:val="clear" w:color="auto" w:fill="FFFFFF"/>
        </w:rPr>
        <w:t>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82</w:t>
      </w:r>
      <w:r>
        <w:rPr>
          <w:rFonts w:ascii="Times New Roman" w:hAnsi="Times New Roman"/>
          <w:sz w:val="20"/>
          <w:szCs w:val="20"/>
          <w:shd w:val="clear" w:color="auto" w:fill="FFFFFF"/>
        </w:rPr>
        <w:t>(23):</w:t>
      </w:r>
      <w:r w:rsidRPr="009C37CB">
        <w:rPr>
          <w:rFonts w:ascii="Times New Roman" w:hAnsi="Times New Roman"/>
          <w:sz w:val="20"/>
          <w:szCs w:val="20"/>
          <w:shd w:val="clear" w:color="auto" w:fill="FFFFFF"/>
        </w:rPr>
        <w:t xml:space="preserve"> 9594-9600.</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Smith, P. A., Koch, D., Hook, G.L., Erickson, R.P., Jackson Lepage, C.R</w:t>
      </w:r>
      <w:r>
        <w:rPr>
          <w:rFonts w:ascii="Times New Roman" w:hAnsi="Times New Roman"/>
          <w:sz w:val="20"/>
          <w:szCs w:val="20"/>
          <w:shd w:val="clear" w:color="auto" w:fill="FFFFFF"/>
        </w:rPr>
        <w:t>., Wyatt, H.D., Betsinger, G., and</w:t>
      </w:r>
      <w:r w:rsidRPr="009C37CB">
        <w:rPr>
          <w:rFonts w:ascii="Times New Roman" w:hAnsi="Times New Roman"/>
          <w:sz w:val="20"/>
          <w:szCs w:val="20"/>
          <w:shd w:val="clear" w:color="auto" w:fill="FFFFFF"/>
        </w:rPr>
        <w:t xml:space="preserve"> Eckenrode, B.A. (2004). Detection of gas-phase chemical warfare agents using field-portable gas chromatography–mass spectrometry systems: instrument and sampling strategy considerations.</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TrAC Trends in 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23</w:t>
      </w:r>
      <w:r>
        <w:rPr>
          <w:rFonts w:ascii="Times New Roman" w:hAnsi="Times New Roman"/>
          <w:sz w:val="20"/>
          <w:szCs w:val="20"/>
          <w:shd w:val="clear" w:color="auto" w:fill="FFFFFF"/>
        </w:rPr>
        <w:t>(4):</w:t>
      </w:r>
      <w:r w:rsidRPr="009C37CB">
        <w:rPr>
          <w:rFonts w:ascii="Times New Roman" w:hAnsi="Times New Roman"/>
          <w:sz w:val="20"/>
          <w:szCs w:val="20"/>
          <w:shd w:val="clear" w:color="auto" w:fill="FFFFFF"/>
        </w:rPr>
        <w:t xml:space="preserve"> 296-306.</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 xml:space="preserve">Hooijschuur, E.W., Hulst, A.G., De Jong, A.L., de Reuver, L.P., van Krimpen, S.H., van Baar, B.L., </w:t>
      </w:r>
      <w:r w:rsidRPr="009C37CB">
        <w:rPr>
          <w:rFonts w:ascii="Times New Roman" w:hAnsi="Times New Roman"/>
          <w:sz w:val="20"/>
          <w:szCs w:val="20"/>
        </w:rPr>
        <w:t>Wils, E.R.J., Kientz. C.E.,</w:t>
      </w:r>
      <w:r>
        <w:rPr>
          <w:rFonts w:ascii="Times New Roman" w:hAnsi="Times New Roman"/>
          <w:sz w:val="20"/>
          <w:szCs w:val="20"/>
          <w:shd w:val="clear" w:color="auto" w:fill="FFFFFF"/>
        </w:rPr>
        <w:t xml:space="preserve"> and</w:t>
      </w:r>
      <w:r w:rsidRPr="009C37CB">
        <w:rPr>
          <w:rFonts w:ascii="Times New Roman" w:hAnsi="Times New Roman"/>
          <w:sz w:val="20"/>
          <w:szCs w:val="20"/>
          <w:shd w:val="clear" w:color="auto" w:fill="FFFFFF"/>
        </w:rPr>
        <w:t xml:space="preserve"> Brinkman, U.A.T. (2002). Identification of chemicals related to the chemical weapons convention during an interlaboratory proficiency test.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TrAC Trends in 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21</w:t>
      </w:r>
      <w:r>
        <w:rPr>
          <w:rFonts w:ascii="Times New Roman" w:hAnsi="Times New Roman"/>
          <w:sz w:val="20"/>
          <w:szCs w:val="20"/>
          <w:shd w:val="clear" w:color="auto" w:fill="FFFFFF"/>
        </w:rPr>
        <w:t>(2):</w:t>
      </w:r>
      <w:r w:rsidRPr="009C37CB">
        <w:rPr>
          <w:rFonts w:ascii="Times New Roman" w:hAnsi="Times New Roman"/>
          <w:sz w:val="20"/>
          <w:szCs w:val="20"/>
          <w:shd w:val="clear" w:color="auto" w:fill="FFFFFF"/>
        </w:rPr>
        <w:t xml:space="preserve"> 116-130.</w:t>
      </w:r>
      <w:r w:rsidRPr="009C37CB">
        <w:rPr>
          <w:rFonts w:ascii="Times New Roman" w:hAnsi="Times New Roman"/>
          <w:sz w:val="20"/>
          <w:szCs w:val="20"/>
        </w:rPr>
        <w:t xml:space="preserve">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Hooijschuur, E. W., Kientz, C. E., &amp; Brinkman, U. A. T. (2002). Analytical separation techniques for the determination of chemical warfare agents.</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982</w:t>
      </w:r>
      <w:r>
        <w:rPr>
          <w:rFonts w:ascii="Times New Roman" w:hAnsi="Times New Roman"/>
          <w:sz w:val="20"/>
          <w:szCs w:val="20"/>
          <w:shd w:val="clear" w:color="auto" w:fill="FFFFFF"/>
        </w:rPr>
        <w:t>(2):</w:t>
      </w:r>
      <w:r w:rsidRPr="009C37CB">
        <w:rPr>
          <w:rFonts w:ascii="Times New Roman" w:hAnsi="Times New Roman"/>
          <w:sz w:val="20"/>
          <w:szCs w:val="20"/>
          <w:shd w:val="clear" w:color="auto" w:fill="FFFFFF"/>
        </w:rPr>
        <w:t xml:space="preserve"> 177-200.</w:t>
      </w:r>
      <w:r w:rsidRPr="009C37CB">
        <w:rPr>
          <w:rFonts w:ascii="Times New Roman" w:hAnsi="Times New Roman"/>
          <w:iCs/>
          <w:sz w:val="20"/>
          <w:szCs w:val="20"/>
        </w:rPr>
        <w:t xml:space="preserve">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rPr>
        <w:t>S</w:t>
      </w:r>
      <w:r>
        <w:rPr>
          <w:rFonts w:ascii="Times New Roman" w:hAnsi="Times New Roman"/>
          <w:sz w:val="20"/>
          <w:szCs w:val="20"/>
        </w:rPr>
        <w:t>igeikin G., Rybalchencko I.V., and</w:t>
      </w:r>
      <w:r w:rsidRPr="009C37CB">
        <w:rPr>
          <w:rFonts w:ascii="Times New Roman" w:hAnsi="Times New Roman"/>
          <w:sz w:val="20"/>
          <w:szCs w:val="20"/>
        </w:rPr>
        <w:t xml:space="preserve"> Kireyev A.F. (2007). General strategy for identification of toxic chemicals and relevant compounds in verification laboratory. </w:t>
      </w:r>
      <w:r w:rsidRPr="009C37CB">
        <w:rPr>
          <w:rFonts w:ascii="Times New Roman" w:hAnsi="Times New Roman"/>
          <w:i/>
          <w:sz w:val="20"/>
          <w:szCs w:val="20"/>
        </w:rPr>
        <w:t xml:space="preserve">Atlantic Association for Research in the Mathematical Sciences, </w:t>
      </w:r>
      <w:r w:rsidRPr="009C37CB">
        <w:rPr>
          <w:rFonts w:ascii="Times New Roman" w:hAnsi="Times New Roman"/>
          <w:i/>
          <w:iCs/>
          <w:sz w:val="20"/>
          <w:szCs w:val="20"/>
          <w:shd w:val="clear" w:color="auto" w:fill="FFFFFF"/>
        </w:rPr>
        <w:t>6</w:t>
      </w:r>
      <w:r>
        <w:rPr>
          <w:rFonts w:ascii="Times New Roman" w:hAnsi="Times New Roman"/>
          <w:sz w:val="20"/>
          <w:szCs w:val="20"/>
          <w:shd w:val="clear" w:color="auto" w:fill="FFFFFF"/>
        </w:rPr>
        <w:t>(1):</w:t>
      </w:r>
      <w:r w:rsidRPr="009C37CB">
        <w:rPr>
          <w:rFonts w:ascii="Times New Roman" w:hAnsi="Times New Roman"/>
          <w:sz w:val="20"/>
          <w:szCs w:val="20"/>
          <w:shd w:val="clear" w:color="auto" w:fill="FFFFFF"/>
        </w:rPr>
        <w:t xml:space="preserve"> 9-15.</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lang w:val="en-GB"/>
        </w:rPr>
        <w:t>Technical Secretariat of the OPCW. (2009). Agilent 6850 GC with 5975 series or upgraded 5973 inert MSD on-site analysis. The Hague, QDOC/LAB/WI/GCMS10, Rev. 0, Annex 3.</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rPr>
        <w:t xml:space="preserve">United States Environmental Protection Agency (EPA). (2007). Method 3571: Extraction of solid and aqueous samples </w:t>
      </w:r>
      <w:r>
        <w:rPr>
          <w:rFonts w:ascii="Times New Roman" w:hAnsi="Times New Roman"/>
          <w:sz w:val="20"/>
          <w:szCs w:val="20"/>
        </w:rPr>
        <w:t>for chemical agents. Available o</w:t>
      </w:r>
      <w:r w:rsidRPr="009C37CB">
        <w:rPr>
          <w:rFonts w:ascii="Times New Roman" w:hAnsi="Times New Roman"/>
          <w:sz w:val="20"/>
          <w:szCs w:val="20"/>
        </w:rPr>
        <w:t>n Line at: http://www.epa.gov/osw/hazard/testmethods/pdfs/3571.pdf. Last Access: July 28, 2014.</w:t>
      </w:r>
    </w:p>
    <w:p w:rsidR="00383E0C" w:rsidRDefault="00383E0C" w:rsidP="00383E0C">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shd w:val="clear" w:color="auto" w:fill="FFFFFF"/>
        </w:rPr>
        <w:t>Popiel, S., and</w:t>
      </w:r>
      <w:r w:rsidRPr="009C37CB">
        <w:rPr>
          <w:rFonts w:ascii="Times New Roman" w:hAnsi="Times New Roman"/>
          <w:sz w:val="20"/>
          <w:szCs w:val="20"/>
          <w:shd w:val="clear" w:color="auto" w:fill="FFFFFF"/>
        </w:rPr>
        <w:t xml:space="preserve"> Sankowska, M. (2011). Determination of chemical warfare agents and related compounds in environmental samples by solid-phase microextraction with gas chromatography.</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 xml:space="preserve">, </w:t>
      </w:r>
      <w:r w:rsidRPr="009C37CB">
        <w:rPr>
          <w:rFonts w:ascii="Times New Roman" w:hAnsi="Times New Roman"/>
          <w:i/>
          <w:iCs/>
          <w:sz w:val="20"/>
          <w:szCs w:val="20"/>
          <w:shd w:val="clear" w:color="auto" w:fill="FFFFFF"/>
        </w:rPr>
        <w:t xml:space="preserve">1218 </w:t>
      </w:r>
      <w:r w:rsidRPr="009C37CB">
        <w:rPr>
          <w:rFonts w:ascii="Times New Roman" w:hAnsi="Times New Roman"/>
          <w:sz w:val="20"/>
          <w:szCs w:val="20"/>
          <w:shd w:val="clear" w:color="auto" w:fill="FFFFFF"/>
        </w:rPr>
        <w:t>(47), 8457-8479.</w:t>
      </w:r>
      <w:r w:rsidRPr="009C37CB">
        <w:rPr>
          <w:rFonts w:ascii="Times New Roman" w:hAnsi="Times New Roman"/>
          <w:iCs/>
          <w:sz w:val="20"/>
          <w:szCs w:val="20"/>
        </w:rPr>
        <w:t xml:space="preserve">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Kimm, G. L. (2002).</w:t>
      </w:r>
      <w:r w:rsidRPr="009C37CB">
        <w:rPr>
          <w:rStyle w:val="apple-converted-space"/>
          <w:rFonts w:ascii="Times New Roman" w:hAnsi="Times New Roman"/>
          <w:sz w:val="20"/>
          <w:szCs w:val="20"/>
          <w:shd w:val="clear" w:color="auto" w:fill="FFFFFF"/>
        </w:rPr>
        <w:t> </w:t>
      </w:r>
      <w:r w:rsidRPr="009C37CB">
        <w:rPr>
          <w:rFonts w:ascii="Times New Roman" w:hAnsi="Times New Roman"/>
          <w:sz w:val="20"/>
          <w:szCs w:val="20"/>
          <w:shd w:val="clear" w:color="auto" w:fill="FFFFFF"/>
        </w:rPr>
        <w:t>Application of Headspace Solid Phase Microextraction and Gas Chromatography/Mass Spectrometry for Rapid Detection of the Chemical Warfare Agent Sulfur Mustard. Uniformed Services University of The Health Sciences, Bethesda, MD. Department of Preventive Medicine and Biometrics.</w:t>
      </w:r>
      <w:r w:rsidRPr="009C37CB">
        <w:rPr>
          <w:rFonts w:ascii="Times New Roman" w:hAnsi="Times New Roman"/>
          <w:iCs/>
          <w:sz w:val="20"/>
          <w:szCs w:val="20"/>
        </w:rPr>
        <w:t xml:space="preserve">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rPr>
        <w:lastRenderedPageBreak/>
        <w:t>Berijani, S., Assadi, Y., Anbia, M., Milani Hossein</w:t>
      </w:r>
      <w:r>
        <w:rPr>
          <w:rFonts w:ascii="Times New Roman" w:hAnsi="Times New Roman"/>
          <w:sz w:val="20"/>
          <w:szCs w:val="20"/>
        </w:rPr>
        <w:t>i, M.R., and</w:t>
      </w:r>
      <w:r w:rsidRPr="009C37CB">
        <w:rPr>
          <w:rFonts w:ascii="Times New Roman" w:hAnsi="Times New Roman"/>
          <w:sz w:val="20"/>
          <w:szCs w:val="20"/>
        </w:rPr>
        <w:t xml:space="preserve"> Aghaee, E. (2006). Dispersive liquid–liquid microextraction combined with gas chromatography-flame photometric detection: Very simple, rapid and sensitive method for the determination of organophosphorus pesticides in water. </w:t>
      </w:r>
      <w:r w:rsidRPr="009C37CB">
        <w:rPr>
          <w:rFonts w:ascii="Times New Roman" w:hAnsi="Times New Roman"/>
          <w:i/>
          <w:sz w:val="20"/>
          <w:szCs w:val="20"/>
        </w:rPr>
        <w:t>Journal of Chromatography A, 1123</w:t>
      </w:r>
      <w:r>
        <w:rPr>
          <w:rFonts w:ascii="Times New Roman" w:hAnsi="Times New Roman"/>
          <w:sz w:val="20"/>
          <w:szCs w:val="20"/>
        </w:rPr>
        <w:t>(1):</w:t>
      </w:r>
      <w:r w:rsidRPr="009C37CB">
        <w:rPr>
          <w:rFonts w:ascii="Times New Roman" w:hAnsi="Times New Roman"/>
          <w:sz w:val="20"/>
          <w:szCs w:val="20"/>
        </w:rPr>
        <w:t xml:space="preserve"> 1-9.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Cheng, J</w:t>
      </w:r>
      <w:r>
        <w:rPr>
          <w:rFonts w:ascii="Times New Roman" w:hAnsi="Times New Roman"/>
          <w:sz w:val="20"/>
          <w:szCs w:val="20"/>
          <w:shd w:val="clear" w:color="auto" w:fill="FFFFFF"/>
        </w:rPr>
        <w:t>., Zhou, Y., Zuo, M., Dai, L., and</w:t>
      </w:r>
      <w:r w:rsidRPr="009C37CB">
        <w:rPr>
          <w:rFonts w:ascii="Times New Roman" w:hAnsi="Times New Roman"/>
          <w:sz w:val="20"/>
          <w:szCs w:val="20"/>
          <w:shd w:val="clear" w:color="auto" w:fill="FFFFFF"/>
        </w:rPr>
        <w:t xml:space="preserve"> Guo, X. (2010). Application of dispersive liquid–liquid microextraction and reversed phase-high performance liquid chromatography for the determination of two fungicides in environmental water samples.</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International Journal of Environmental and Analytical Chemistry</w:t>
      </w:r>
      <w:r w:rsidRPr="009C37CB">
        <w:rPr>
          <w:rFonts w:ascii="Times New Roman" w:hAnsi="Times New Roman"/>
          <w:sz w:val="20"/>
          <w:szCs w:val="20"/>
          <w:shd w:val="clear" w:color="auto" w:fill="FFFFFF"/>
        </w:rPr>
        <w:t xml:space="preserve">, </w:t>
      </w:r>
      <w:r w:rsidRPr="009C37CB">
        <w:rPr>
          <w:rFonts w:ascii="Times New Roman" w:hAnsi="Times New Roman"/>
          <w:i/>
          <w:iCs/>
          <w:sz w:val="20"/>
          <w:szCs w:val="20"/>
          <w:shd w:val="clear" w:color="auto" w:fill="FFFFFF"/>
        </w:rPr>
        <w:t>90</w:t>
      </w:r>
      <w:r>
        <w:rPr>
          <w:rFonts w:ascii="Times New Roman" w:hAnsi="Times New Roman"/>
          <w:sz w:val="20"/>
          <w:szCs w:val="20"/>
          <w:shd w:val="clear" w:color="auto" w:fill="FFFFFF"/>
        </w:rPr>
        <w:t>(11):</w:t>
      </w:r>
      <w:r w:rsidRPr="009C37CB">
        <w:rPr>
          <w:rFonts w:ascii="Times New Roman" w:hAnsi="Times New Roman"/>
          <w:sz w:val="20"/>
          <w:szCs w:val="20"/>
          <w:shd w:val="clear" w:color="auto" w:fill="FFFFFF"/>
        </w:rPr>
        <w:t xml:space="preserve"> 845-855.</w:t>
      </w:r>
      <w:r w:rsidRPr="009C37CB">
        <w:rPr>
          <w:rFonts w:ascii="Times New Roman" w:hAnsi="Times New Roman"/>
          <w:sz w:val="20"/>
          <w:szCs w:val="20"/>
        </w:rPr>
        <w:t xml:space="preserve">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Fattahi, N.,</w:t>
      </w:r>
      <w:r>
        <w:rPr>
          <w:rFonts w:ascii="Times New Roman" w:hAnsi="Times New Roman"/>
          <w:sz w:val="20"/>
          <w:szCs w:val="20"/>
          <w:shd w:val="clear" w:color="auto" w:fill="FFFFFF"/>
        </w:rPr>
        <w:t xml:space="preserve"> Assadi, Y., Hosseini, M.R.M., and</w:t>
      </w:r>
      <w:r w:rsidRPr="009C37CB">
        <w:rPr>
          <w:rFonts w:ascii="Times New Roman" w:hAnsi="Times New Roman"/>
          <w:sz w:val="20"/>
          <w:szCs w:val="20"/>
          <w:shd w:val="clear" w:color="auto" w:fill="FFFFFF"/>
        </w:rPr>
        <w:t xml:space="preserve"> Jahromi, E.Z. (2007). Determination of chlorophenols in water samples using simultaneous dispersive liquid–liquid microextraction and derivatization followed by gas chromatography-electron-capture detection.</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1157</w:t>
      </w:r>
      <w:r w:rsidRPr="009C37CB">
        <w:rPr>
          <w:rFonts w:ascii="Times New Roman" w:hAnsi="Times New Roman"/>
          <w:sz w:val="20"/>
          <w:szCs w:val="20"/>
          <w:shd w:val="clear" w:color="auto" w:fill="FFFFFF"/>
        </w:rPr>
        <w:t>(1), 23-29.</w:t>
      </w:r>
      <w:r w:rsidRPr="009C37CB">
        <w:rPr>
          <w:rFonts w:ascii="Times New Roman" w:hAnsi="Times New Roman"/>
          <w:iCs/>
          <w:sz w:val="20"/>
          <w:szCs w:val="20"/>
          <w:lang w:val="en-GB"/>
        </w:rPr>
        <w:t xml:space="preserve">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Rezaee, M., Assadi, Y., Milani Hosseini,</w:t>
      </w:r>
      <w:r>
        <w:rPr>
          <w:rFonts w:ascii="Times New Roman" w:hAnsi="Times New Roman"/>
          <w:sz w:val="20"/>
          <w:szCs w:val="20"/>
          <w:shd w:val="clear" w:color="auto" w:fill="FFFFFF"/>
        </w:rPr>
        <w:t xml:space="preserve"> M.R., Aghaee, E., Ahmadi, F., and</w:t>
      </w:r>
      <w:r w:rsidRPr="009C37CB">
        <w:rPr>
          <w:rFonts w:ascii="Times New Roman" w:hAnsi="Times New Roman"/>
          <w:sz w:val="20"/>
          <w:szCs w:val="20"/>
          <w:shd w:val="clear" w:color="auto" w:fill="FFFFFF"/>
        </w:rPr>
        <w:t xml:space="preserve"> Berijani, S. (2006). Determination of organic compounds in water using dispersive liquid–liquid microextraction.</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1116</w:t>
      </w:r>
      <w:r>
        <w:rPr>
          <w:rFonts w:ascii="Times New Roman" w:hAnsi="Times New Roman"/>
          <w:sz w:val="20"/>
          <w:szCs w:val="20"/>
          <w:shd w:val="clear" w:color="auto" w:fill="FFFFFF"/>
        </w:rPr>
        <w:t>(1):</w:t>
      </w:r>
      <w:r w:rsidRPr="009C37CB">
        <w:rPr>
          <w:rFonts w:ascii="Times New Roman" w:hAnsi="Times New Roman"/>
          <w:sz w:val="20"/>
          <w:szCs w:val="20"/>
          <w:shd w:val="clear" w:color="auto" w:fill="FFFFFF"/>
        </w:rPr>
        <w:t xml:space="preserve"> 1-9.</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Sarafraz-Yazdi, A., and Amiri, A. (2010). Liquid-phase microextraction.</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TrAC Trends in 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29</w:t>
      </w:r>
      <w:r>
        <w:rPr>
          <w:rFonts w:ascii="Times New Roman" w:hAnsi="Times New Roman"/>
          <w:sz w:val="20"/>
          <w:szCs w:val="20"/>
          <w:shd w:val="clear" w:color="auto" w:fill="FFFFFF"/>
        </w:rPr>
        <w:t>(1):</w:t>
      </w:r>
      <w:r w:rsidRPr="009C37CB">
        <w:rPr>
          <w:rFonts w:ascii="Times New Roman" w:hAnsi="Times New Roman"/>
          <w:sz w:val="20"/>
          <w:szCs w:val="20"/>
          <w:shd w:val="clear" w:color="auto" w:fill="FFFFFF"/>
        </w:rPr>
        <w:t xml:space="preserve"> 1-14.</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rPr>
        <w:t>Bartelt-Hunt, S. L., Knapp</w:t>
      </w:r>
      <w:r>
        <w:rPr>
          <w:rFonts w:ascii="Times New Roman" w:hAnsi="Times New Roman"/>
          <w:sz w:val="20"/>
          <w:szCs w:val="20"/>
        </w:rPr>
        <w:t>e, D. R., and</w:t>
      </w:r>
      <w:r w:rsidRPr="009C37CB">
        <w:rPr>
          <w:rFonts w:ascii="Times New Roman" w:hAnsi="Times New Roman"/>
          <w:sz w:val="20"/>
          <w:szCs w:val="20"/>
        </w:rPr>
        <w:t xml:space="preserve"> Barlaz, M. A. (2008). A review of chemical warfare agent simulants for the study of environmental behavior. </w:t>
      </w:r>
      <w:r w:rsidRPr="009C37CB">
        <w:rPr>
          <w:rFonts w:ascii="Times New Roman" w:hAnsi="Times New Roman"/>
          <w:i/>
          <w:sz w:val="20"/>
          <w:szCs w:val="20"/>
        </w:rPr>
        <w:t xml:space="preserve">Critical </w:t>
      </w:r>
      <w:r>
        <w:rPr>
          <w:rFonts w:ascii="Times New Roman" w:hAnsi="Times New Roman"/>
          <w:i/>
          <w:sz w:val="20"/>
          <w:szCs w:val="20"/>
        </w:rPr>
        <w:t xml:space="preserve">Reviews in Environmental Science and Technology </w:t>
      </w:r>
      <w:r w:rsidRPr="009C37CB">
        <w:rPr>
          <w:rFonts w:ascii="Times New Roman" w:hAnsi="Times New Roman"/>
          <w:i/>
          <w:sz w:val="20"/>
          <w:szCs w:val="20"/>
        </w:rPr>
        <w:t>38</w:t>
      </w:r>
      <w:r>
        <w:rPr>
          <w:rFonts w:ascii="Times New Roman" w:hAnsi="Times New Roman"/>
          <w:sz w:val="20"/>
          <w:szCs w:val="20"/>
        </w:rPr>
        <w:t>(2):</w:t>
      </w:r>
      <w:r w:rsidRPr="009C37CB">
        <w:rPr>
          <w:rFonts w:ascii="Times New Roman" w:hAnsi="Times New Roman"/>
          <w:sz w:val="20"/>
          <w:szCs w:val="20"/>
        </w:rPr>
        <w:t xml:space="preserve"> 112-136. </w:t>
      </w:r>
    </w:p>
    <w:p w:rsidR="00383E0C" w:rsidRDefault="00383E0C" w:rsidP="00383E0C">
      <w:pPr>
        <w:numPr>
          <w:ilvl w:val="0"/>
          <w:numId w:val="1"/>
        </w:numPr>
        <w:spacing w:after="0" w:line="240" w:lineRule="auto"/>
        <w:ind w:left="360"/>
        <w:jc w:val="both"/>
        <w:rPr>
          <w:rFonts w:ascii="Times New Roman" w:hAnsi="Times New Roman"/>
          <w:sz w:val="20"/>
          <w:szCs w:val="20"/>
        </w:rPr>
      </w:pPr>
      <w:r w:rsidRPr="009C37CB">
        <w:rPr>
          <w:rFonts w:ascii="Times New Roman" w:hAnsi="Times New Roman"/>
          <w:sz w:val="20"/>
          <w:szCs w:val="20"/>
        </w:rPr>
        <w:t xml:space="preserve">Application Note 794-0717 SUPELCO GC Analysis of Organophosphorus Pesticides (OP-Pest) on a 5% Phenyl Column after SPME using 100 μm PDMS Fiber </w:t>
      </w:r>
      <w:r>
        <w:rPr>
          <w:rFonts w:ascii="Times New Roman" w:hAnsi="Times New Roman"/>
          <w:sz w:val="20"/>
          <w:szCs w:val="20"/>
        </w:rPr>
        <w:t xml:space="preserve">Access Online: </w:t>
      </w:r>
      <w:r w:rsidRPr="00F97587">
        <w:rPr>
          <w:rFonts w:ascii="Times New Roman" w:hAnsi="Times New Roman"/>
          <w:sz w:val="20"/>
          <w:szCs w:val="20"/>
        </w:rPr>
        <w:t>http://www.sigmaaldrich.com/catalog/product/supelco/7940717?lang=it&amp;region=IT#</w:t>
      </w:r>
    </w:p>
    <w:p w:rsidR="00383E0C" w:rsidRPr="009C37CB" w:rsidRDefault="00383E0C" w:rsidP="00383E0C">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Eisert, R., and</w:t>
      </w:r>
      <w:r w:rsidRPr="009C37CB">
        <w:rPr>
          <w:rFonts w:ascii="Times New Roman" w:hAnsi="Times New Roman"/>
          <w:sz w:val="20"/>
          <w:szCs w:val="20"/>
        </w:rPr>
        <w:t xml:space="preserve"> Levsen, K. (1995). Determination of organophosphorus, triazine and 2, 6-dinitroaniline pesticides in aqueous samples via solid-phase microextraction (SPME) and gas chromatography with nitrogen-phosphorus detection. </w:t>
      </w:r>
      <w:r w:rsidRPr="009C37CB">
        <w:rPr>
          <w:rFonts w:ascii="Times New Roman" w:hAnsi="Times New Roman"/>
          <w:i/>
          <w:iCs/>
          <w:sz w:val="20"/>
          <w:szCs w:val="20"/>
        </w:rPr>
        <w:t>Fresenius' Journal of Analytical Chemistry</w:t>
      </w:r>
      <w:r>
        <w:rPr>
          <w:rFonts w:ascii="Times New Roman" w:hAnsi="Times New Roman"/>
          <w:sz w:val="20"/>
          <w:szCs w:val="20"/>
        </w:rPr>
        <w:t xml:space="preserve">, 351(6): </w:t>
      </w:r>
      <w:r w:rsidRPr="009C37CB">
        <w:rPr>
          <w:rFonts w:ascii="Times New Roman" w:hAnsi="Times New Roman"/>
          <w:sz w:val="20"/>
          <w:szCs w:val="20"/>
        </w:rPr>
        <w:t>555-562.</w:t>
      </w:r>
    </w:p>
    <w:p w:rsidR="00383E0C" w:rsidRPr="00383E0C" w:rsidRDefault="00383E0C" w:rsidP="00383E0C">
      <w:pPr>
        <w:widowControl w:val="0"/>
        <w:wordWrap w:val="0"/>
        <w:autoSpaceDE w:val="0"/>
        <w:autoSpaceDN w:val="0"/>
        <w:spacing w:after="0" w:line="240" w:lineRule="auto"/>
        <w:jc w:val="both"/>
        <w:outlineLvl w:val="0"/>
        <w:rPr>
          <w:rFonts w:ascii="Times New Roman" w:eastAsia="SimSun" w:hAnsi="Times New Roman"/>
          <w:bCs/>
          <w:kern w:val="2"/>
          <w:sz w:val="20"/>
          <w:szCs w:val="20"/>
          <w:lang w:eastAsia="ko-KR"/>
        </w:rPr>
      </w:pPr>
    </w:p>
    <w:sectPr w:rsidR="00383E0C" w:rsidRPr="00383E0C" w:rsidSect="00383E0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D67"/>
    <w:multiLevelType w:val="hybridMultilevel"/>
    <w:tmpl w:val="0860A2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0C"/>
    <w:rsid w:val="00383E0C"/>
    <w:rsid w:val="00D0718B"/>
    <w:rsid w:val="00D40B1F"/>
    <w:rsid w:val="00FE034D"/>
    <w:rsid w:val="00FE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0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83E0C"/>
    <w:pPr>
      <w:spacing w:after="0" w:line="240" w:lineRule="auto"/>
    </w:pPr>
  </w:style>
  <w:style w:type="character" w:customStyle="1" w:styleId="apple-converted-space">
    <w:name w:val="apple-converted-space"/>
    <w:basedOn w:val="DefaultParagraphFont"/>
    <w:rsid w:val="00383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0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83E0C"/>
    <w:pPr>
      <w:spacing w:after="0" w:line="240" w:lineRule="auto"/>
    </w:pPr>
  </w:style>
  <w:style w:type="character" w:customStyle="1" w:styleId="apple-converted-space">
    <w:name w:val="apple-converted-space"/>
    <w:basedOn w:val="DefaultParagraphFont"/>
    <w:rsid w:val="0038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2015-06-04T08:53:00Z</dcterms:created>
  <dcterms:modified xsi:type="dcterms:W3CDTF">2015-06-04T08:53:00Z</dcterms:modified>
</cp:coreProperties>
</file>