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E00" w:rsidRDefault="00A91E00" w:rsidP="00A91E00">
      <w:pPr>
        <w:pStyle w:val="NoSpacing"/>
        <w:rPr>
          <w:rFonts w:ascii="Times New Roman" w:hAnsi="Times New Roman"/>
          <w:bCs/>
          <w:sz w:val="24"/>
          <w:szCs w:val="24"/>
        </w:rPr>
      </w:pPr>
      <w:r>
        <w:rPr>
          <w:rFonts w:ascii="Times New Roman" w:hAnsi="Times New Roman"/>
          <w:bCs/>
          <w:sz w:val="24"/>
          <w:szCs w:val="24"/>
        </w:rPr>
        <w:t>Malaysian Journal of Analytical Sciences Vol 19 No 3 (2015): 595 – 602</w:t>
      </w:r>
    </w:p>
    <w:p w:rsidR="00A91E00" w:rsidRDefault="00A91E00" w:rsidP="00A91E00">
      <w:pPr>
        <w:pStyle w:val="NoSpacing"/>
        <w:rPr>
          <w:rFonts w:ascii="Times New Roman" w:hAnsi="Times New Roman"/>
          <w:bCs/>
          <w:sz w:val="24"/>
          <w:szCs w:val="24"/>
        </w:rPr>
      </w:pPr>
    </w:p>
    <w:p w:rsidR="00A91E00" w:rsidRDefault="00A91E00" w:rsidP="00A91E00">
      <w:pPr>
        <w:pStyle w:val="NoSpacing"/>
        <w:rPr>
          <w:rFonts w:ascii="Times New Roman" w:hAnsi="Times New Roman"/>
          <w:bCs/>
          <w:sz w:val="24"/>
          <w:szCs w:val="24"/>
        </w:rPr>
      </w:pPr>
    </w:p>
    <w:p w:rsidR="00A91E00" w:rsidRPr="00A91E00" w:rsidRDefault="00A91E00" w:rsidP="00A91E00">
      <w:pPr>
        <w:pStyle w:val="NoSpacing"/>
        <w:rPr>
          <w:rFonts w:ascii="Times New Roman" w:hAnsi="Times New Roman"/>
          <w:bCs/>
          <w:sz w:val="24"/>
          <w:szCs w:val="24"/>
        </w:rPr>
      </w:pPr>
    </w:p>
    <w:p w:rsidR="00A91E00" w:rsidRPr="00472E2E" w:rsidRDefault="00A91E00" w:rsidP="00A91E00">
      <w:pPr>
        <w:pStyle w:val="NoSpacing"/>
        <w:jc w:val="center"/>
        <w:rPr>
          <w:rFonts w:ascii="Times New Roman" w:hAnsi="Times New Roman"/>
          <w:bCs/>
          <w:sz w:val="28"/>
          <w:szCs w:val="28"/>
        </w:rPr>
      </w:pPr>
      <w:r w:rsidRPr="00472E2E">
        <w:rPr>
          <w:rFonts w:ascii="Times New Roman" w:hAnsi="Times New Roman"/>
          <w:bCs/>
          <w:sz w:val="28"/>
          <w:szCs w:val="28"/>
        </w:rPr>
        <w:t>DEVELOPMENT AND VALIDATION OF A STABILITY-INDICATING RP-HPLC METHOD FOR DETERMINATION OF AMBRISENTAN IN BULK DRUGS</w:t>
      </w:r>
    </w:p>
    <w:p w:rsidR="00A91E00" w:rsidRPr="00802DCC" w:rsidRDefault="00A91E00" w:rsidP="00A91E00">
      <w:pPr>
        <w:spacing w:after="0" w:line="240" w:lineRule="auto"/>
        <w:jc w:val="center"/>
        <w:rPr>
          <w:rFonts w:ascii="Times New Roman" w:hAnsi="Times New Roman"/>
          <w:noProof/>
          <w:sz w:val="24"/>
          <w:szCs w:val="24"/>
          <w:lang w:bidi="ar-SA"/>
        </w:rPr>
      </w:pPr>
    </w:p>
    <w:p w:rsidR="00A91E00" w:rsidRPr="00472E2E" w:rsidRDefault="00A91E00" w:rsidP="00A91E00">
      <w:pPr>
        <w:pStyle w:val="NoSpacing"/>
        <w:jc w:val="center"/>
        <w:rPr>
          <w:rFonts w:ascii="Times New Roman" w:hAnsi="Times New Roman"/>
          <w:sz w:val="24"/>
          <w:szCs w:val="24"/>
        </w:rPr>
      </w:pPr>
      <w:r w:rsidRPr="00472E2E">
        <w:rPr>
          <w:rStyle w:val="hps"/>
          <w:rFonts w:ascii="Times New Roman" w:hAnsi="Times New Roman"/>
          <w:sz w:val="24"/>
          <w:szCs w:val="24"/>
          <w:lang w:val="ms-MY"/>
        </w:rPr>
        <w:t>(Pembangunan dan Validasi Kaedah KCPT-Fasa Terbalik yang Stabil bagi Penentuan Ambrisentan  di dalam Dadah Pukal)</w:t>
      </w:r>
    </w:p>
    <w:p w:rsidR="00A91E00" w:rsidRPr="00802DCC" w:rsidRDefault="00A91E00" w:rsidP="00A91E00">
      <w:pPr>
        <w:spacing w:after="0" w:line="240" w:lineRule="auto"/>
        <w:jc w:val="center"/>
        <w:rPr>
          <w:rFonts w:ascii="Times New Roman" w:hAnsi="Times New Roman"/>
          <w:noProof/>
          <w:sz w:val="20"/>
          <w:szCs w:val="20"/>
          <w:lang w:bidi="ar-SA"/>
        </w:rPr>
      </w:pPr>
    </w:p>
    <w:p w:rsidR="00A91E00" w:rsidRDefault="00A91E00" w:rsidP="00A91E00">
      <w:pPr>
        <w:tabs>
          <w:tab w:val="left" w:pos="90"/>
        </w:tabs>
        <w:spacing w:after="0" w:line="240" w:lineRule="auto"/>
        <w:jc w:val="center"/>
        <w:rPr>
          <w:rFonts w:ascii="Times New Roman" w:hAnsi="Times New Roman"/>
          <w:bCs/>
          <w:sz w:val="20"/>
        </w:rPr>
      </w:pPr>
      <w:r>
        <w:rPr>
          <w:rFonts w:ascii="Times New Roman" w:hAnsi="Times New Roman"/>
          <w:bCs/>
          <w:sz w:val="20"/>
        </w:rPr>
        <w:t>Mohammed Nazeerunnisa</w:t>
      </w:r>
      <w:r>
        <w:rPr>
          <w:rFonts w:ascii="Times New Roman" w:hAnsi="Times New Roman"/>
          <w:bCs/>
          <w:sz w:val="20"/>
          <w:vertAlign w:val="superscript"/>
        </w:rPr>
        <w:t>1</w:t>
      </w:r>
      <w:r w:rsidRPr="00A273DC">
        <w:rPr>
          <w:rFonts w:ascii="Times New Roman" w:hAnsi="Times New Roman"/>
          <w:bCs/>
          <w:sz w:val="20"/>
        </w:rPr>
        <w:t xml:space="preserve">, </w:t>
      </w:r>
      <w:r>
        <w:rPr>
          <w:rFonts w:ascii="Times New Roman" w:hAnsi="Times New Roman"/>
          <w:bCs/>
          <w:sz w:val="20"/>
        </w:rPr>
        <w:t>Lakshmi Garikapati</w:t>
      </w:r>
      <w:r>
        <w:rPr>
          <w:rFonts w:ascii="Times New Roman" w:hAnsi="Times New Roman"/>
          <w:bCs/>
          <w:sz w:val="20"/>
          <w:vertAlign w:val="superscript"/>
        </w:rPr>
        <w:t>2</w:t>
      </w:r>
      <w:r>
        <w:rPr>
          <w:rFonts w:ascii="Times New Roman" w:hAnsi="Times New Roman"/>
          <w:bCs/>
          <w:sz w:val="20"/>
        </w:rPr>
        <w:t>, Syama Sundar Bethanabhatla</w:t>
      </w:r>
      <w:r>
        <w:rPr>
          <w:rFonts w:ascii="Times New Roman" w:hAnsi="Times New Roman"/>
          <w:bCs/>
          <w:sz w:val="20"/>
          <w:vertAlign w:val="superscript"/>
        </w:rPr>
        <w:t>1,3</w:t>
      </w:r>
      <w:r w:rsidRPr="00A273DC">
        <w:rPr>
          <w:rFonts w:ascii="Times New Roman" w:hAnsi="Times New Roman"/>
          <w:bCs/>
          <w:sz w:val="20"/>
        </w:rPr>
        <w:t>*</w:t>
      </w:r>
    </w:p>
    <w:p w:rsidR="00A91E00" w:rsidRPr="00A91E00" w:rsidRDefault="00A91E00" w:rsidP="00A91E00">
      <w:pPr>
        <w:spacing w:after="0" w:line="240" w:lineRule="auto"/>
        <w:jc w:val="center"/>
        <w:rPr>
          <w:rFonts w:ascii="Times New Roman" w:hAnsi="Times New Roman"/>
          <w:noProof/>
          <w:sz w:val="20"/>
          <w:szCs w:val="20"/>
          <w:lang w:bidi="ar-SA"/>
        </w:rPr>
      </w:pP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vertAlign w:val="superscript"/>
        </w:rPr>
        <w:t>1</w:t>
      </w:r>
      <w:r w:rsidRPr="00A91E00">
        <w:rPr>
          <w:rFonts w:ascii="Times New Roman" w:hAnsi="Times New Roman"/>
          <w:bCs/>
          <w:i/>
          <w:sz w:val="20"/>
          <w:szCs w:val="20"/>
        </w:rPr>
        <w:t xml:space="preserve">Department of Chemistry, </w:t>
      </w: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rPr>
        <w:t>Acharya Nagarjuna University, Nagarjuna Nagar-522510, India</w:t>
      </w: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vertAlign w:val="superscript"/>
        </w:rPr>
        <w:t xml:space="preserve">2 </w:t>
      </w:r>
      <w:r w:rsidRPr="00A91E00">
        <w:rPr>
          <w:rFonts w:ascii="Times New Roman" w:hAnsi="Times New Roman"/>
          <w:bCs/>
          <w:i/>
          <w:sz w:val="20"/>
          <w:szCs w:val="20"/>
        </w:rPr>
        <w:t xml:space="preserve">Centre for Pharmaceutical Sciences, </w:t>
      </w: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rPr>
        <w:t>Jawaharlal Nehru Technological University, Hyderabad – 500085, India.</w:t>
      </w: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vertAlign w:val="superscript"/>
        </w:rPr>
        <w:t>3</w:t>
      </w:r>
      <w:r w:rsidRPr="00A91E00">
        <w:rPr>
          <w:rFonts w:ascii="Times New Roman" w:hAnsi="Times New Roman"/>
          <w:bCs/>
          <w:i/>
          <w:sz w:val="20"/>
          <w:szCs w:val="20"/>
        </w:rPr>
        <w:t xml:space="preserve">Vice Chancellor, </w:t>
      </w:r>
    </w:p>
    <w:p w:rsidR="00A91E00" w:rsidRPr="00A91E00" w:rsidRDefault="00A91E00" w:rsidP="00A91E00">
      <w:pPr>
        <w:tabs>
          <w:tab w:val="left" w:pos="90"/>
        </w:tabs>
        <w:spacing w:after="0" w:line="240" w:lineRule="auto"/>
        <w:jc w:val="center"/>
        <w:rPr>
          <w:rFonts w:ascii="Times New Roman" w:hAnsi="Times New Roman"/>
          <w:bCs/>
          <w:i/>
          <w:sz w:val="20"/>
          <w:szCs w:val="20"/>
        </w:rPr>
      </w:pPr>
      <w:r w:rsidRPr="00A91E00">
        <w:rPr>
          <w:rFonts w:ascii="Times New Roman" w:hAnsi="Times New Roman"/>
          <w:bCs/>
          <w:i/>
          <w:sz w:val="20"/>
          <w:szCs w:val="20"/>
        </w:rPr>
        <w:t>Yogi Vemana University, Kadapa-516003, India.</w:t>
      </w:r>
    </w:p>
    <w:p w:rsidR="00A91E00" w:rsidRPr="00A91E00" w:rsidRDefault="00A91E00" w:rsidP="00A91E00">
      <w:pPr>
        <w:spacing w:after="0" w:line="240" w:lineRule="auto"/>
        <w:jc w:val="center"/>
        <w:rPr>
          <w:rFonts w:ascii="Times New Roman" w:hAnsi="Times New Roman"/>
          <w:noProof/>
          <w:sz w:val="20"/>
          <w:szCs w:val="20"/>
          <w:lang w:bidi="ar-SA"/>
        </w:rPr>
      </w:pPr>
    </w:p>
    <w:p w:rsidR="00A91E00" w:rsidRPr="00A91E00" w:rsidRDefault="00A91E00" w:rsidP="00A91E00">
      <w:pPr>
        <w:tabs>
          <w:tab w:val="left" w:pos="90"/>
        </w:tabs>
        <w:spacing w:after="0" w:line="240" w:lineRule="auto"/>
        <w:jc w:val="center"/>
        <w:rPr>
          <w:rFonts w:ascii="Times New Roman" w:hAnsi="Times New Roman"/>
          <w:i/>
          <w:sz w:val="20"/>
          <w:szCs w:val="20"/>
        </w:rPr>
      </w:pPr>
      <w:r w:rsidRPr="00A91E00">
        <w:rPr>
          <w:rFonts w:ascii="Times New Roman" w:hAnsi="Times New Roman"/>
          <w:i/>
          <w:noProof/>
          <w:sz w:val="20"/>
          <w:szCs w:val="20"/>
          <w:lang w:bidi="ar-SA"/>
        </w:rPr>
        <w:t xml:space="preserve">*Corresponding author: </w:t>
      </w:r>
      <w:r w:rsidRPr="00A91E00">
        <w:rPr>
          <w:rFonts w:ascii="Times New Roman" w:hAnsi="Times New Roman"/>
          <w:i/>
          <w:sz w:val="20"/>
          <w:szCs w:val="20"/>
        </w:rPr>
        <w:t>profbsyamsundar@yahoo.co.in</w:t>
      </w:r>
    </w:p>
    <w:p w:rsidR="00A91E00" w:rsidRPr="00A91E00" w:rsidRDefault="00A91E00" w:rsidP="00A91E00">
      <w:pPr>
        <w:spacing w:after="0" w:line="240" w:lineRule="auto"/>
        <w:jc w:val="center"/>
        <w:rPr>
          <w:rFonts w:ascii="Times New Roman" w:hAnsi="Times New Roman"/>
          <w:i/>
          <w:noProof/>
          <w:sz w:val="20"/>
          <w:szCs w:val="20"/>
          <w:lang w:bidi="ar-SA"/>
        </w:rPr>
      </w:pPr>
    </w:p>
    <w:p w:rsidR="00A91E00" w:rsidRPr="00A91E00" w:rsidRDefault="00A91E00" w:rsidP="00A91E00">
      <w:pPr>
        <w:spacing w:after="0" w:line="240" w:lineRule="auto"/>
        <w:jc w:val="center"/>
        <w:rPr>
          <w:rFonts w:ascii="Times New Roman" w:hAnsi="Times New Roman"/>
          <w:i/>
          <w:noProof/>
          <w:sz w:val="20"/>
          <w:szCs w:val="20"/>
          <w:lang w:bidi="ar-SA"/>
        </w:rPr>
      </w:pPr>
    </w:p>
    <w:p w:rsidR="00A91E00" w:rsidRPr="00A91E00" w:rsidRDefault="00A91E00" w:rsidP="00A91E00">
      <w:pPr>
        <w:spacing w:after="0" w:line="240" w:lineRule="auto"/>
        <w:jc w:val="center"/>
        <w:rPr>
          <w:rFonts w:ascii="Times New Roman" w:hAnsi="Times New Roman"/>
          <w:noProof/>
          <w:sz w:val="20"/>
          <w:szCs w:val="20"/>
          <w:lang w:bidi="ar-SA"/>
        </w:rPr>
      </w:pPr>
      <w:r w:rsidRPr="00A91E00">
        <w:rPr>
          <w:rFonts w:ascii="Times New Roman" w:hAnsi="Times New Roman"/>
          <w:noProof/>
          <w:sz w:val="20"/>
          <w:szCs w:val="20"/>
          <w:lang w:bidi="ar-SA"/>
        </w:rPr>
        <w:t>Received: 18 February 2015; Accepted: 17 April 2015</w:t>
      </w:r>
    </w:p>
    <w:p w:rsidR="00A91E00" w:rsidRPr="00A91E00" w:rsidRDefault="00A91E00" w:rsidP="00A91E00">
      <w:pPr>
        <w:spacing w:after="0" w:line="240" w:lineRule="auto"/>
        <w:jc w:val="center"/>
        <w:rPr>
          <w:rFonts w:ascii="Times New Roman" w:hAnsi="Times New Roman"/>
          <w:noProof/>
          <w:sz w:val="20"/>
          <w:szCs w:val="20"/>
          <w:lang w:bidi="ar-SA"/>
        </w:rPr>
      </w:pPr>
    </w:p>
    <w:p w:rsidR="00A91E00" w:rsidRPr="00A91E00" w:rsidRDefault="00A91E00" w:rsidP="00A91E00">
      <w:pPr>
        <w:spacing w:after="0" w:line="240" w:lineRule="auto"/>
        <w:jc w:val="center"/>
        <w:rPr>
          <w:rFonts w:ascii="Times New Roman" w:hAnsi="Times New Roman"/>
          <w:noProof/>
          <w:sz w:val="20"/>
          <w:szCs w:val="20"/>
          <w:lang w:bidi="ar-SA"/>
        </w:rPr>
      </w:pPr>
    </w:p>
    <w:p w:rsidR="00A91E00" w:rsidRPr="00A91E00" w:rsidRDefault="00A91E00" w:rsidP="00A91E00">
      <w:pPr>
        <w:spacing w:after="0" w:line="240" w:lineRule="auto"/>
        <w:jc w:val="center"/>
        <w:rPr>
          <w:rFonts w:ascii="Times New Roman" w:hAnsi="Times New Roman"/>
          <w:b/>
          <w:noProof/>
          <w:sz w:val="20"/>
          <w:szCs w:val="20"/>
          <w:lang w:bidi="ar-SA"/>
        </w:rPr>
      </w:pPr>
      <w:r w:rsidRPr="00A91E00">
        <w:rPr>
          <w:rFonts w:ascii="Times New Roman" w:hAnsi="Times New Roman"/>
          <w:b/>
          <w:noProof/>
          <w:sz w:val="20"/>
          <w:szCs w:val="20"/>
          <w:lang w:bidi="ar-SA"/>
        </w:rPr>
        <w:t>Abstract</w:t>
      </w:r>
    </w:p>
    <w:p w:rsidR="00A91E00" w:rsidRPr="00A91E00" w:rsidRDefault="00A91E00" w:rsidP="00A91E00">
      <w:pPr>
        <w:autoSpaceDE w:val="0"/>
        <w:autoSpaceDN w:val="0"/>
        <w:adjustRightInd w:val="0"/>
        <w:spacing w:after="0" w:line="240" w:lineRule="auto"/>
        <w:jc w:val="both"/>
        <w:rPr>
          <w:rFonts w:ascii="Times New Roman" w:hAnsi="Times New Roman"/>
          <w:sz w:val="20"/>
          <w:szCs w:val="20"/>
        </w:rPr>
      </w:pPr>
      <w:r w:rsidRPr="00A91E00">
        <w:rPr>
          <w:rFonts w:ascii="Times New Roman" w:hAnsi="Times New Roman"/>
          <w:sz w:val="20"/>
          <w:szCs w:val="20"/>
        </w:rPr>
        <w:t xml:space="preserve">A stability-indicating reversed phase high-performance liquid chromatographic (RP-HPLC) method was developed for quantitative determination of ambrisentan and its potential related substances in bulk drugs. Drug substance was subjected to various stress conditions such as hydrolysis, oxidation, photolysis and thermal degradation as per </w:t>
      </w:r>
      <w:r w:rsidRPr="00A91E00">
        <w:rPr>
          <w:rFonts w:ascii="Times New Roman" w:hAnsi="Times New Roman"/>
          <w:i/>
          <w:iCs/>
          <w:sz w:val="20"/>
          <w:szCs w:val="20"/>
        </w:rPr>
        <w:t>International Conference on Harmonization</w:t>
      </w:r>
      <w:r w:rsidRPr="00A91E00">
        <w:rPr>
          <w:rFonts w:ascii="Times New Roman" w:hAnsi="Times New Roman"/>
          <w:sz w:val="20"/>
          <w:szCs w:val="20"/>
        </w:rPr>
        <w:t xml:space="preserve"> (ICH) guidelines to investigate the stability indicating nature of the method. Significant degradation was found in acidic stress conditions. Efficient chromatographic separation was accomplished on a Phenomenex Luna C</w:t>
      </w:r>
      <w:r w:rsidRPr="00A91E00">
        <w:rPr>
          <w:rFonts w:ascii="Times New Roman" w:hAnsi="Times New Roman"/>
          <w:sz w:val="20"/>
          <w:szCs w:val="20"/>
          <w:vertAlign w:val="subscript"/>
        </w:rPr>
        <w:t>18</w:t>
      </w:r>
      <w:r w:rsidRPr="00A91E00">
        <w:rPr>
          <w:rFonts w:ascii="Times New Roman" w:hAnsi="Times New Roman"/>
          <w:sz w:val="20"/>
          <w:szCs w:val="20"/>
        </w:rPr>
        <w:t xml:space="preserve"> (250 × 4.6 mm, 5 µm) column with a mobile phase composed of 0.02 M ammonium acetate buffer (pH = 4.2), and acetonitrile in 52:48 (v/v) ratio at a flow rate of 1.0 mL/min and column temperature of 25 ˚C. The eluents were monitored with a photo diode array (PDA) detector at a wavelength of 215 nm. The developed liquid chromatographic method was validated with respect to linearity, accuracy, precision, limits of detection and quantitation, and robustness. Regression analysis showed correlation co-efficient values greater than 0.997 for ambrisentan and its five impurities. Accuracy of the method was established based on the recovery obtained between 92.8 – 103.5% and 99.2 – 100.7% for impurities and ambrisentan, respectively.</w:t>
      </w:r>
    </w:p>
    <w:p w:rsidR="00A91E00" w:rsidRPr="00A91E00" w:rsidRDefault="00A91E00" w:rsidP="00A91E00">
      <w:pPr>
        <w:autoSpaceDE w:val="0"/>
        <w:autoSpaceDN w:val="0"/>
        <w:adjustRightInd w:val="0"/>
        <w:spacing w:after="0" w:line="240" w:lineRule="auto"/>
        <w:ind w:firstLine="720"/>
        <w:jc w:val="both"/>
        <w:rPr>
          <w:rFonts w:ascii="Times New Roman" w:hAnsi="Times New Roman"/>
          <w:sz w:val="20"/>
          <w:szCs w:val="20"/>
        </w:rPr>
      </w:pPr>
    </w:p>
    <w:p w:rsidR="00A91E00" w:rsidRPr="00A91E00" w:rsidRDefault="00A91E00" w:rsidP="00A91E00">
      <w:pPr>
        <w:autoSpaceDE w:val="0"/>
        <w:autoSpaceDN w:val="0"/>
        <w:adjustRightInd w:val="0"/>
        <w:spacing w:after="0" w:line="240" w:lineRule="auto"/>
        <w:rPr>
          <w:rFonts w:ascii="Times New Roman" w:hAnsi="Times New Roman"/>
          <w:sz w:val="20"/>
          <w:szCs w:val="20"/>
        </w:rPr>
      </w:pPr>
      <w:r w:rsidRPr="00A91E00">
        <w:rPr>
          <w:rFonts w:ascii="Times New Roman" w:hAnsi="Times New Roman"/>
          <w:b/>
          <w:sz w:val="20"/>
          <w:szCs w:val="20"/>
        </w:rPr>
        <w:t>Keywords:</w:t>
      </w:r>
      <w:r w:rsidRPr="00A91E00">
        <w:rPr>
          <w:rFonts w:ascii="Times New Roman" w:hAnsi="Times New Roman"/>
          <w:sz w:val="20"/>
          <w:szCs w:val="20"/>
        </w:rPr>
        <w:t xml:space="preserve"> ambrisentan, RP-HPLC, forced degradation, stability indicating, validation</w:t>
      </w:r>
    </w:p>
    <w:p w:rsidR="00A91E00" w:rsidRPr="00A91E00" w:rsidRDefault="00A91E00" w:rsidP="00A91E00">
      <w:pPr>
        <w:spacing w:after="0" w:line="240" w:lineRule="auto"/>
        <w:jc w:val="center"/>
        <w:rPr>
          <w:rFonts w:ascii="Times New Roman" w:hAnsi="Times New Roman"/>
          <w:noProof/>
          <w:sz w:val="20"/>
          <w:szCs w:val="20"/>
          <w:lang w:bidi="ar-SA"/>
        </w:rPr>
      </w:pPr>
    </w:p>
    <w:p w:rsidR="00A91E00" w:rsidRPr="00A91E00" w:rsidRDefault="00A91E00" w:rsidP="00A91E00">
      <w:pPr>
        <w:spacing w:after="0" w:line="240" w:lineRule="auto"/>
        <w:jc w:val="center"/>
        <w:rPr>
          <w:rFonts w:ascii="Times New Roman" w:hAnsi="Times New Roman"/>
          <w:b/>
          <w:noProof/>
          <w:sz w:val="20"/>
          <w:szCs w:val="20"/>
          <w:lang w:bidi="ar-SA"/>
        </w:rPr>
      </w:pPr>
      <w:r w:rsidRPr="00A91E00">
        <w:rPr>
          <w:rFonts w:ascii="Times New Roman" w:hAnsi="Times New Roman"/>
          <w:b/>
          <w:noProof/>
          <w:sz w:val="20"/>
          <w:szCs w:val="20"/>
          <w:lang w:bidi="ar-SA"/>
        </w:rPr>
        <w:t>Abstrak</w:t>
      </w:r>
    </w:p>
    <w:p w:rsidR="00A91E00" w:rsidRPr="00A91E00" w:rsidRDefault="00A91E00" w:rsidP="00A91E00">
      <w:pPr>
        <w:autoSpaceDE w:val="0"/>
        <w:autoSpaceDN w:val="0"/>
        <w:adjustRightInd w:val="0"/>
        <w:spacing w:after="0" w:line="240" w:lineRule="auto"/>
        <w:jc w:val="both"/>
        <w:rPr>
          <w:rFonts w:ascii="Times New Roman" w:hAnsi="Times New Roman"/>
          <w:sz w:val="20"/>
          <w:szCs w:val="20"/>
          <w:lang w:val="ms-MY"/>
        </w:rPr>
      </w:pPr>
      <w:r w:rsidRPr="00A91E00">
        <w:rPr>
          <w:rFonts w:ascii="Times New Roman" w:hAnsi="Times New Roman"/>
          <w:sz w:val="20"/>
          <w:szCs w:val="20"/>
          <w:lang w:val="ms-MY"/>
        </w:rPr>
        <w:t xml:space="preserve">Kestabilan kaedah kromatografi cecair berprestasi tinggi - fasa terbalik (KCPT-Fasa Terbalik) telah dibangunkan bagi penentuan kuantitatif terhadap ambrisentan dan potensi bahan berkaitannya di dalam dadah pukal. Peubahan dadah adalah tertakluk kepada pelbagai keadaan tekanan seperti hidrolisis, pengoksidaan, fotolisis dan degradasi terma seperti dinyatakan di dalam garis panduan </w:t>
      </w:r>
      <w:r w:rsidRPr="00A91E00">
        <w:rPr>
          <w:rFonts w:ascii="Times New Roman" w:hAnsi="Times New Roman"/>
          <w:i/>
          <w:iCs/>
          <w:sz w:val="20"/>
          <w:szCs w:val="20"/>
        </w:rPr>
        <w:t>International Conference on Harmonization</w:t>
      </w:r>
      <w:r w:rsidRPr="00A91E00">
        <w:rPr>
          <w:rFonts w:ascii="Times New Roman" w:hAnsi="Times New Roman"/>
          <w:sz w:val="20"/>
          <w:szCs w:val="20"/>
        </w:rPr>
        <w:t xml:space="preserve"> </w:t>
      </w:r>
      <w:r w:rsidRPr="00A91E00">
        <w:rPr>
          <w:rFonts w:ascii="Times New Roman" w:hAnsi="Times New Roman"/>
          <w:sz w:val="20"/>
          <w:szCs w:val="20"/>
          <w:lang w:val="ms-MY"/>
        </w:rPr>
        <w:t xml:space="preserve">(ICH) bagi menkaji kaedah kestabilan. Kemerosotan yang ketara telah ditemui dalam keadaan tekanan berasid. Pemisahan kromatografi yang berkesan telah dicapai oleh turus Phenomenex Luna C18 (250 × 4.6 mm, 5 μm) dengan fasa bergerak terdiri daripada 0.02 M larutan penampan ammonium asetat (pH = 4.2), dan asetonitril dalam nisbah 52:48 (v/v) pada kadar aliran 1.0 mL/min dan suhu turus adalah 25 ˚C. Eluen dipantau oleh pengesan photo diode array (PDA) pada </w:t>
      </w:r>
      <w:r w:rsidRPr="00A91E00">
        <w:rPr>
          <w:rFonts w:ascii="Times New Roman" w:hAnsi="Times New Roman"/>
          <w:sz w:val="20"/>
          <w:szCs w:val="20"/>
          <w:lang w:val="ms-MY"/>
        </w:rPr>
        <w:lastRenderedPageBreak/>
        <w:t xml:space="preserve">panjang gelombang adalah 215 nm. Kaedah kromatografi cecair yang dibangunkan kemudian telah ditentusahkan terhadap kelinearan, ketepatan, ketepatan, had pengesanan dan kauntifikasi, dan keteguhan. Analisis regresi menunjukkan nilai korelasi bersama mencapai 0.997 untuk ambrisentan dan lima bendasing. Ketepatan kaedah yang dibangunkan berdasarkan perolehan semula masing – masing di antara 92.8 – 103.5% dan 99.2 – 100.7% untuk bendasing dan ambrisentan. </w:t>
      </w:r>
    </w:p>
    <w:p w:rsidR="00A91E00" w:rsidRPr="00A91E00" w:rsidRDefault="00A91E00" w:rsidP="00A91E00">
      <w:pPr>
        <w:autoSpaceDE w:val="0"/>
        <w:autoSpaceDN w:val="0"/>
        <w:adjustRightInd w:val="0"/>
        <w:spacing w:after="0" w:line="240" w:lineRule="auto"/>
        <w:jc w:val="both"/>
        <w:rPr>
          <w:rFonts w:ascii="Times New Roman" w:hAnsi="Times New Roman"/>
          <w:sz w:val="20"/>
          <w:szCs w:val="20"/>
          <w:lang w:val="ms-MY"/>
        </w:rPr>
      </w:pPr>
    </w:p>
    <w:p w:rsidR="00073EDA" w:rsidRDefault="00A91E00" w:rsidP="00A91E00">
      <w:pPr>
        <w:autoSpaceDE w:val="0"/>
        <w:autoSpaceDN w:val="0"/>
        <w:adjustRightInd w:val="0"/>
        <w:spacing w:after="0" w:line="240" w:lineRule="auto"/>
        <w:jc w:val="both"/>
        <w:rPr>
          <w:rFonts w:ascii="Times New Roman" w:hAnsi="Times New Roman"/>
          <w:sz w:val="20"/>
          <w:szCs w:val="20"/>
          <w:lang w:val="ms-MY"/>
        </w:rPr>
      </w:pPr>
      <w:r w:rsidRPr="00A91E00">
        <w:rPr>
          <w:rFonts w:ascii="Times New Roman" w:hAnsi="Times New Roman"/>
          <w:b/>
          <w:sz w:val="20"/>
          <w:szCs w:val="20"/>
          <w:lang w:val="ms-MY"/>
        </w:rPr>
        <w:t>Kata Kunci:</w:t>
      </w:r>
      <w:r w:rsidRPr="00A91E00">
        <w:rPr>
          <w:rFonts w:ascii="Times New Roman" w:hAnsi="Times New Roman"/>
          <w:sz w:val="20"/>
          <w:szCs w:val="20"/>
          <w:lang w:val="ms-MY"/>
        </w:rPr>
        <w:t xml:space="preserve"> ambrisentan, RP-HPLC, degradasi paksa, petunjuk kestabilan, validasi</w:t>
      </w:r>
    </w:p>
    <w:p w:rsidR="00A91E00" w:rsidRDefault="00A91E00" w:rsidP="00A91E00">
      <w:pPr>
        <w:autoSpaceDE w:val="0"/>
        <w:autoSpaceDN w:val="0"/>
        <w:adjustRightInd w:val="0"/>
        <w:spacing w:after="0" w:line="240" w:lineRule="auto"/>
        <w:jc w:val="both"/>
        <w:rPr>
          <w:rFonts w:ascii="Times New Roman" w:hAnsi="Times New Roman"/>
          <w:sz w:val="20"/>
          <w:szCs w:val="20"/>
          <w:lang w:val="ms-MY"/>
        </w:rPr>
      </w:pPr>
    </w:p>
    <w:p w:rsidR="00A91E00" w:rsidRPr="00802DCC" w:rsidRDefault="00A91E00" w:rsidP="00A91E00">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A91E00" w:rsidRDefault="00A91E00" w:rsidP="00A91E00">
      <w:pPr>
        <w:numPr>
          <w:ilvl w:val="0"/>
          <w:numId w:val="1"/>
        </w:numPr>
        <w:spacing w:after="0" w:line="240" w:lineRule="auto"/>
        <w:ind w:left="360"/>
        <w:rPr>
          <w:rFonts w:ascii="Times New Roman" w:hAnsi="Times New Roman"/>
          <w:iCs/>
          <w:sz w:val="20"/>
          <w:szCs w:val="20"/>
        </w:rPr>
      </w:pPr>
      <w:r w:rsidRPr="000868AC">
        <w:rPr>
          <w:rFonts w:ascii="Times New Roman" w:hAnsi="Times New Roman"/>
          <w:iCs/>
          <w:sz w:val="20"/>
          <w:szCs w:val="20"/>
        </w:rPr>
        <w:t>F</w:t>
      </w:r>
      <w:bookmarkStart w:id="0" w:name="_GoBack"/>
      <w:bookmarkEnd w:id="0"/>
      <w:r w:rsidRPr="000868AC">
        <w:rPr>
          <w:rFonts w:ascii="Times New Roman" w:hAnsi="Times New Roman"/>
          <w:iCs/>
          <w:sz w:val="20"/>
          <w:szCs w:val="20"/>
        </w:rPr>
        <w:t>rampton, J.</w:t>
      </w:r>
      <w:r>
        <w:rPr>
          <w:rFonts w:ascii="Times New Roman" w:hAnsi="Times New Roman"/>
          <w:iCs/>
          <w:sz w:val="20"/>
          <w:szCs w:val="20"/>
        </w:rPr>
        <w:t xml:space="preserve"> </w:t>
      </w:r>
      <w:r w:rsidRPr="000868AC">
        <w:rPr>
          <w:rFonts w:ascii="Times New Roman" w:hAnsi="Times New Roman"/>
          <w:iCs/>
          <w:sz w:val="20"/>
          <w:szCs w:val="20"/>
        </w:rPr>
        <w:t>E. (2011). Ambrisentan.</w:t>
      </w:r>
      <w:r w:rsidRPr="000868AC">
        <w:t xml:space="preserve"> </w:t>
      </w:r>
      <w:r w:rsidRPr="000868AC">
        <w:rPr>
          <w:rFonts w:ascii="Times New Roman" w:hAnsi="Times New Roman"/>
          <w:i/>
          <w:iCs/>
          <w:sz w:val="20"/>
          <w:szCs w:val="20"/>
        </w:rPr>
        <w:t>American Journal of Cardiovascular Drugs</w:t>
      </w:r>
      <w:r w:rsidRPr="000868AC">
        <w:rPr>
          <w:rFonts w:ascii="Times New Roman" w:hAnsi="Times New Roman"/>
          <w:iCs/>
          <w:sz w:val="20"/>
          <w:szCs w:val="20"/>
        </w:rPr>
        <w:t>, 11(4)</w:t>
      </w:r>
      <w:r>
        <w:rPr>
          <w:rFonts w:ascii="Times New Roman" w:hAnsi="Times New Roman"/>
          <w:iCs/>
          <w:sz w:val="20"/>
          <w:szCs w:val="20"/>
        </w:rPr>
        <w:t>:</w:t>
      </w:r>
      <w:r w:rsidRPr="000868AC">
        <w:rPr>
          <w:rFonts w:ascii="Times New Roman" w:hAnsi="Times New Roman"/>
          <w:iCs/>
          <w:sz w:val="20"/>
          <w:szCs w:val="20"/>
        </w:rPr>
        <w:t xml:space="preserve"> 215–226.</w:t>
      </w:r>
    </w:p>
    <w:p w:rsidR="00A91E00" w:rsidRDefault="00A91E00" w:rsidP="00A91E00">
      <w:pPr>
        <w:numPr>
          <w:ilvl w:val="0"/>
          <w:numId w:val="1"/>
        </w:numPr>
        <w:spacing w:after="0" w:line="240" w:lineRule="auto"/>
        <w:ind w:left="360"/>
        <w:rPr>
          <w:rFonts w:ascii="Times New Roman" w:hAnsi="Times New Roman"/>
          <w:iCs/>
          <w:sz w:val="20"/>
          <w:szCs w:val="20"/>
        </w:rPr>
      </w:pPr>
      <w:r w:rsidRPr="00F777D4">
        <w:rPr>
          <w:rFonts w:ascii="Times New Roman" w:hAnsi="Times New Roman"/>
          <w:iCs/>
          <w:sz w:val="20"/>
          <w:szCs w:val="20"/>
        </w:rPr>
        <w:t xml:space="preserve">Barst, R.J. (2007). A review of pulmonary arterial hypertension: role of ambrisentan. </w:t>
      </w:r>
      <w:r w:rsidRPr="00F777D4">
        <w:rPr>
          <w:rFonts w:ascii="Times New Roman" w:hAnsi="Times New Roman"/>
          <w:i/>
          <w:iCs/>
          <w:sz w:val="20"/>
          <w:szCs w:val="20"/>
        </w:rPr>
        <w:t>Vascular Health and Risk Management</w:t>
      </w:r>
      <w:r w:rsidRPr="00F777D4">
        <w:rPr>
          <w:rFonts w:ascii="Times New Roman" w:hAnsi="Times New Roman"/>
          <w:iCs/>
          <w:sz w:val="20"/>
          <w:szCs w:val="20"/>
        </w:rPr>
        <w:t>, 3 (1): 11-22.</w:t>
      </w:r>
    </w:p>
    <w:p w:rsidR="00A91E00" w:rsidRDefault="00A91E00" w:rsidP="00A91E00">
      <w:pPr>
        <w:numPr>
          <w:ilvl w:val="0"/>
          <w:numId w:val="1"/>
        </w:numPr>
        <w:spacing w:after="0" w:line="240" w:lineRule="auto"/>
        <w:ind w:left="360"/>
        <w:rPr>
          <w:rFonts w:ascii="Times New Roman" w:hAnsi="Times New Roman"/>
          <w:iCs/>
          <w:sz w:val="20"/>
          <w:szCs w:val="20"/>
        </w:rPr>
      </w:pPr>
      <w:r w:rsidRPr="00F777D4">
        <w:rPr>
          <w:rFonts w:ascii="Times New Roman" w:hAnsi="Times New Roman"/>
          <w:iCs/>
          <w:sz w:val="20"/>
          <w:szCs w:val="20"/>
        </w:rPr>
        <w:t xml:space="preserve">Klinger, J. R., Oudiz, R. J., Spence, R., Despain, D., Dufton. C. (2011). Long-Term Pulmonary Hemodynamic Effects of Ambrisentan in Pulmonary Arterial Hypertension. </w:t>
      </w:r>
      <w:r w:rsidRPr="00F777D4">
        <w:rPr>
          <w:rFonts w:ascii="Times New Roman" w:hAnsi="Times New Roman"/>
          <w:i/>
          <w:iCs/>
          <w:sz w:val="20"/>
          <w:szCs w:val="20"/>
        </w:rPr>
        <w:t>The American Journal of Cardiology</w:t>
      </w:r>
      <w:r w:rsidRPr="00F777D4">
        <w:rPr>
          <w:rFonts w:ascii="Times New Roman" w:hAnsi="Times New Roman"/>
          <w:iCs/>
          <w:sz w:val="20"/>
          <w:szCs w:val="20"/>
        </w:rPr>
        <w:t>, 108 (2): 302-307.</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777D4">
        <w:rPr>
          <w:rFonts w:ascii="Times New Roman" w:hAnsi="Times New Roman"/>
          <w:iCs/>
          <w:sz w:val="20"/>
          <w:szCs w:val="20"/>
        </w:rPr>
        <w:t>Nirogi, R., Kandikere, V., Komarneni, P., Aleti, R., Padala, N. S. P., Kalaikadhiban, I. (2012). LC-ESI-MS/MS method for quantification of ambrisentan in plasma and app</w:t>
      </w:r>
      <w:r>
        <w:rPr>
          <w:rFonts w:ascii="Times New Roman" w:hAnsi="Times New Roman"/>
          <w:iCs/>
          <w:sz w:val="20"/>
          <w:szCs w:val="20"/>
        </w:rPr>
        <w:t xml:space="preserve">lication to rat pharmacokinetic </w:t>
      </w:r>
      <w:r w:rsidRPr="00F777D4">
        <w:rPr>
          <w:rFonts w:ascii="Times New Roman" w:hAnsi="Times New Roman"/>
          <w:iCs/>
          <w:sz w:val="20"/>
          <w:szCs w:val="20"/>
        </w:rPr>
        <w:t>study.</w:t>
      </w:r>
      <w:r>
        <w:rPr>
          <w:rFonts w:ascii="Times New Roman" w:hAnsi="Times New Roman"/>
          <w:iCs/>
          <w:sz w:val="20"/>
          <w:szCs w:val="20"/>
        </w:rPr>
        <w:t xml:space="preserve"> </w:t>
      </w:r>
      <w:r w:rsidRPr="00F777D4">
        <w:rPr>
          <w:rFonts w:ascii="Times New Roman" w:hAnsi="Times New Roman"/>
          <w:i/>
          <w:iCs/>
          <w:sz w:val="20"/>
          <w:szCs w:val="20"/>
        </w:rPr>
        <w:t>Biomedical Chromatography</w:t>
      </w:r>
      <w:r w:rsidRPr="00F777D4">
        <w:rPr>
          <w:rFonts w:ascii="Times New Roman" w:hAnsi="Times New Roman"/>
          <w:iCs/>
          <w:sz w:val="20"/>
          <w:szCs w:val="20"/>
        </w:rPr>
        <w:t>, 26 (10): 1150-1156.</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Douša, M., Gibala, P. (2012). Rapid determination of ambrisentan enantio</w:t>
      </w:r>
      <w:r>
        <w:rPr>
          <w:rFonts w:ascii="Times New Roman" w:hAnsi="Times New Roman"/>
          <w:iCs/>
          <w:sz w:val="20"/>
          <w:szCs w:val="20"/>
        </w:rPr>
        <w:t xml:space="preserve">mers by enantioselective liquid </w:t>
      </w:r>
      <w:r w:rsidRPr="00FA2069">
        <w:rPr>
          <w:rFonts w:ascii="Times New Roman" w:hAnsi="Times New Roman"/>
          <w:iCs/>
          <w:sz w:val="20"/>
          <w:szCs w:val="20"/>
        </w:rPr>
        <w:t xml:space="preserve">chromatography using cellulose-based chiral stationary phase in reverse phase mode. </w:t>
      </w:r>
      <w:r w:rsidRPr="00FA2069">
        <w:rPr>
          <w:rFonts w:ascii="Times New Roman" w:hAnsi="Times New Roman"/>
          <w:i/>
          <w:iCs/>
          <w:sz w:val="20"/>
          <w:szCs w:val="20"/>
        </w:rPr>
        <w:t>Journal of Separation Science</w:t>
      </w:r>
      <w:r w:rsidRPr="00FA2069">
        <w:rPr>
          <w:rFonts w:ascii="Times New Roman" w:hAnsi="Times New Roman"/>
          <w:iCs/>
          <w:sz w:val="20"/>
          <w:szCs w:val="20"/>
        </w:rPr>
        <w:t>, 35 (7): 798-803.</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Kaja, R. K., SurendhraNath, K. V., Babuji, K., Satyanarayana, P. V. V., Kumar, K. S. (2009). A </w:t>
      </w:r>
      <w:r>
        <w:rPr>
          <w:rFonts w:ascii="Times New Roman" w:hAnsi="Times New Roman"/>
          <w:iCs/>
          <w:sz w:val="20"/>
          <w:szCs w:val="20"/>
        </w:rPr>
        <w:t xml:space="preserve">validated LC </w:t>
      </w:r>
      <w:r w:rsidRPr="00FA2069">
        <w:rPr>
          <w:rFonts w:ascii="Times New Roman" w:hAnsi="Times New Roman"/>
          <w:iCs/>
          <w:sz w:val="20"/>
          <w:szCs w:val="20"/>
        </w:rPr>
        <w:t xml:space="preserve">method for the enantiomeric separation of ambrisentan in bulk drug and pharmaceutical dosage forms. </w:t>
      </w:r>
      <w:r w:rsidRPr="00FA2069">
        <w:rPr>
          <w:rFonts w:ascii="Times New Roman" w:hAnsi="Times New Roman"/>
          <w:i/>
          <w:iCs/>
          <w:sz w:val="20"/>
          <w:szCs w:val="20"/>
        </w:rPr>
        <w:t>Analytical Chemistry: An Indian Journal</w:t>
      </w:r>
      <w:r w:rsidRPr="00FA2069">
        <w:rPr>
          <w:rFonts w:ascii="Times New Roman" w:hAnsi="Times New Roman"/>
          <w:iCs/>
          <w:sz w:val="20"/>
          <w:szCs w:val="20"/>
        </w:rPr>
        <w:t>, 8 (2):</w:t>
      </w:r>
      <w:r>
        <w:rPr>
          <w:rFonts w:ascii="Times New Roman" w:hAnsi="Times New Roman"/>
          <w:iCs/>
          <w:sz w:val="20"/>
          <w:szCs w:val="20"/>
        </w:rPr>
        <w:t xml:space="preserve"> 155-160.</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Narayana, M. B. V., Chandrasekhar, K. B., Rao, B. M. (2014). A validated specific stability-indicating RP-HPLC assay method for ambrisentan and its related substances. </w:t>
      </w:r>
      <w:r w:rsidRPr="00FA2069">
        <w:rPr>
          <w:rFonts w:ascii="Times New Roman" w:hAnsi="Times New Roman"/>
          <w:i/>
          <w:iCs/>
          <w:sz w:val="20"/>
          <w:szCs w:val="20"/>
        </w:rPr>
        <w:t>Journal of Chromatographic Science</w:t>
      </w:r>
      <w:r w:rsidRPr="00FA2069">
        <w:rPr>
          <w:rFonts w:ascii="Times New Roman" w:hAnsi="Times New Roman"/>
          <w:iCs/>
          <w:sz w:val="20"/>
          <w:szCs w:val="20"/>
        </w:rPr>
        <w:t>, 52 (8): 818-825.</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Satheeshkumar, N., Naveenkumar, G. (2014). A stability-indicating reverse</w:t>
      </w:r>
      <w:r>
        <w:rPr>
          <w:rFonts w:ascii="Times New Roman" w:hAnsi="Times New Roman"/>
          <w:iCs/>
          <w:sz w:val="20"/>
          <w:szCs w:val="20"/>
        </w:rPr>
        <w:t xml:space="preserve">d-phase high-performance liquid </w:t>
      </w:r>
      <w:r w:rsidRPr="00FA2069">
        <w:rPr>
          <w:rFonts w:ascii="Times New Roman" w:hAnsi="Times New Roman"/>
          <w:iCs/>
          <w:sz w:val="20"/>
          <w:szCs w:val="20"/>
        </w:rPr>
        <w:t xml:space="preserve">chromatography method for ambrisentan: an endothelin receptor antagonist. </w:t>
      </w:r>
      <w:r w:rsidRPr="00FA2069">
        <w:rPr>
          <w:rFonts w:ascii="Times New Roman" w:hAnsi="Times New Roman"/>
          <w:i/>
          <w:iCs/>
          <w:sz w:val="20"/>
          <w:szCs w:val="20"/>
        </w:rPr>
        <w:t>Journal of Chromatographic Science</w:t>
      </w:r>
      <w:r w:rsidRPr="00FA2069">
        <w:rPr>
          <w:rFonts w:ascii="Times New Roman" w:hAnsi="Times New Roman"/>
          <w:iCs/>
          <w:sz w:val="20"/>
          <w:szCs w:val="20"/>
        </w:rPr>
        <w:t>, 52 (8): 894-898.</w:t>
      </w:r>
      <w:r>
        <w:rPr>
          <w:rFonts w:ascii="Times New Roman" w:hAnsi="Times New Roman"/>
          <w:iCs/>
          <w:sz w:val="20"/>
          <w:szCs w:val="20"/>
        </w:rPr>
        <w:t xml:space="preserve"> </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 xml:space="preserve">Ramisetti, N. R., Kuntamukkala, R. (2014). LC-MS/MS characterization of forced degradation </w:t>
      </w:r>
      <w:r>
        <w:rPr>
          <w:rFonts w:ascii="Times New Roman" w:hAnsi="Times New Roman"/>
          <w:iCs/>
          <w:sz w:val="20"/>
          <w:szCs w:val="20"/>
        </w:rPr>
        <w:t xml:space="preserve">products of </w:t>
      </w:r>
      <w:r w:rsidRPr="00FA2069">
        <w:rPr>
          <w:rFonts w:ascii="Times New Roman" w:hAnsi="Times New Roman"/>
          <w:iCs/>
          <w:sz w:val="20"/>
          <w:szCs w:val="20"/>
        </w:rPr>
        <w:t xml:space="preserve">ambrisentan: development and validation of a stability-indicating RP-HPLC method. </w:t>
      </w:r>
      <w:r>
        <w:rPr>
          <w:rFonts w:ascii="Times New Roman" w:hAnsi="Times New Roman"/>
          <w:i/>
          <w:iCs/>
          <w:sz w:val="20"/>
          <w:szCs w:val="20"/>
        </w:rPr>
        <w:t xml:space="preserve">New Journal of </w:t>
      </w:r>
      <w:r w:rsidRPr="00FA2069">
        <w:rPr>
          <w:rFonts w:ascii="Times New Roman" w:hAnsi="Times New Roman"/>
          <w:i/>
          <w:iCs/>
          <w:sz w:val="20"/>
          <w:szCs w:val="20"/>
        </w:rPr>
        <w:t>Chemistry</w:t>
      </w:r>
      <w:r w:rsidRPr="00FA2069">
        <w:rPr>
          <w:rFonts w:ascii="Times New Roman" w:hAnsi="Times New Roman"/>
          <w:iCs/>
          <w:sz w:val="20"/>
          <w:szCs w:val="20"/>
        </w:rPr>
        <w:t>, 38 (7): 3050-3061.</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International Conference on Harmonization, ICH. (2003). Q1A(R2): Stability testing of new drug substances and products.</w:t>
      </w:r>
    </w:p>
    <w:p w:rsidR="00A91E00" w:rsidRDefault="00A91E00" w:rsidP="00A91E00">
      <w:pPr>
        <w:numPr>
          <w:ilvl w:val="0"/>
          <w:numId w:val="1"/>
        </w:numPr>
        <w:spacing w:after="0" w:line="240" w:lineRule="auto"/>
        <w:ind w:left="360"/>
        <w:jc w:val="both"/>
        <w:rPr>
          <w:rFonts w:ascii="Times New Roman" w:hAnsi="Times New Roman"/>
          <w:iCs/>
          <w:sz w:val="20"/>
          <w:szCs w:val="20"/>
        </w:rPr>
      </w:pPr>
      <w:r w:rsidRPr="00FA2069">
        <w:rPr>
          <w:rFonts w:ascii="Times New Roman" w:hAnsi="Times New Roman"/>
          <w:iCs/>
          <w:sz w:val="20"/>
          <w:szCs w:val="20"/>
        </w:rPr>
        <w:t>International Conference on Harmonization, ICH (2003). Q2(R1): Validation of analytical procedures: test and methodology.</w:t>
      </w:r>
    </w:p>
    <w:p w:rsidR="00A91E00" w:rsidRPr="00A91E00" w:rsidRDefault="00A91E00" w:rsidP="00A91E00">
      <w:pPr>
        <w:spacing w:after="0" w:line="240" w:lineRule="auto"/>
        <w:ind w:left="360"/>
        <w:jc w:val="both"/>
        <w:rPr>
          <w:rFonts w:ascii="Times New Roman" w:hAnsi="Times New Roman"/>
          <w:iCs/>
          <w:sz w:val="20"/>
          <w:szCs w:val="20"/>
        </w:rPr>
      </w:pPr>
    </w:p>
    <w:sectPr w:rsidR="00A91E00" w:rsidRPr="00A91E00" w:rsidSect="00A91E0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689"/>
    <w:multiLevelType w:val="hybridMultilevel"/>
    <w:tmpl w:val="877AF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00"/>
    <w:rsid w:val="00073EDA"/>
    <w:rsid w:val="00A91E00"/>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91E00"/>
    <w:pPr>
      <w:spacing w:after="0" w:line="240" w:lineRule="auto"/>
    </w:pPr>
  </w:style>
  <w:style w:type="character" w:customStyle="1" w:styleId="hps">
    <w:name w:val="hps"/>
    <w:basedOn w:val="DefaultParagraphFont"/>
    <w:rsid w:val="00A91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E0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91E00"/>
    <w:pPr>
      <w:spacing w:after="0" w:line="240" w:lineRule="auto"/>
    </w:pPr>
  </w:style>
  <w:style w:type="character" w:customStyle="1" w:styleId="hps">
    <w:name w:val="hps"/>
    <w:basedOn w:val="DefaultParagraphFont"/>
    <w:rsid w:val="00A91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2015-06-04T07:54:00Z</dcterms:created>
  <dcterms:modified xsi:type="dcterms:W3CDTF">2015-06-04T07:57:00Z</dcterms:modified>
</cp:coreProperties>
</file>