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62A" w:rsidRPr="00802DCC" w:rsidRDefault="001B35D1" w:rsidP="000100A2">
      <w:pPr>
        <w:spacing w:after="0" w:line="240" w:lineRule="auto"/>
        <w:jc w:val="center"/>
        <w:rPr>
          <w:rFonts w:ascii="Times New Roman" w:hAnsi="Times New Roman"/>
          <w:noProof/>
          <w:lang w:bidi="ar-SA"/>
        </w:rPr>
      </w:pPr>
      <w:r>
        <w:rPr>
          <w:rFonts w:ascii="Times New Roman" w:hAnsi="Times New Roman"/>
          <w:noProof/>
          <w:lang w:bidi="ar-SA"/>
        </w:rPr>
        <mc:AlternateContent>
          <mc:Choice Requires="wps">
            <w:drawing>
              <wp:anchor distT="0" distB="0" distL="114300" distR="114300" simplePos="0" relativeHeight="251657728" behindDoc="1" locked="0" layoutInCell="1" allowOverlap="1">
                <wp:simplePos x="0" y="0"/>
                <wp:positionH relativeFrom="column">
                  <wp:posOffset>0</wp:posOffset>
                </wp:positionH>
                <wp:positionV relativeFrom="paragraph">
                  <wp:posOffset>-17780</wp:posOffset>
                </wp:positionV>
                <wp:extent cx="5943600" cy="491490"/>
                <wp:effectExtent l="9525" t="10795" r="9525" b="1206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491490"/>
                        </a:xfrm>
                        <a:prstGeom prst="rect">
                          <a:avLst/>
                        </a:prstGeom>
                        <a:solidFill>
                          <a:srgbClr val="17365D"/>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0;margin-top:-1.4pt;width:468pt;height:3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" fillcolor="#17365d" strokeweight="1.5pt"/>
            </w:pict>
          </mc:Fallback>
        </mc:AlternateContent>
      </w:r>
      <w:r>
        <w:rPr>
          <w:rFonts w:ascii="Times New Roman" w:hAnsi="Times New Roman"/>
          <w:noProof/>
          <w:lang w:bidi="ar-SA"/>
        </w:rPr>
        <w:drawing>
          <wp:inline distT="0" distB="0" distL="0" distR="0">
            <wp:extent cx="1457325" cy="485775"/>
            <wp:effectExtent l="0" t="0" r="9525" b="9525"/>
            <wp:docPr id="1" name="Picture 1" descr="jurnal_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rnal_titl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p w:rsidR="00136AC1" w:rsidRPr="00136AC1" w:rsidRDefault="00136AC1" w:rsidP="006B1068">
      <w:pPr>
        <w:spacing w:after="0" w:line="240" w:lineRule="auto"/>
        <w:jc w:val="center"/>
        <w:rPr>
          <w:rFonts w:ascii="Times New Roman" w:hAnsi="Times New Roman"/>
          <w:noProof/>
          <w:sz w:val="20"/>
          <w:szCs w:val="20"/>
          <w:lang w:bidi="ar-SA"/>
        </w:rPr>
      </w:pPr>
    </w:p>
    <w:p w:rsidR="00DA5B15" w:rsidRPr="00DA5B15" w:rsidRDefault="00DA5B15" w:rsidP="00DA5B15">
      <w:pPr>
        <w:autoSpaceDE w:val="0"/>
        <w:autoSpaceDN w:val="0"/>
        <w:adjustRightInd w:val="0"/>
        <w:spacing w:after="0" w:line="240" w:lineRule="auto"/>
        <w:jc w:val="center"/>
        <w:rPr>
          <w:rFonts w:ascii="Times New Roman" w:hAnsi="Times New Roman"/>
          <w:bCs/>
          <w:color w:val="000000"/>
          <w:sz w:val="28"/>
          <w:szCs w:val="28"/>
        </w:rPr>
      </w:pPr>
      <w:r w:rsidRPr="00DA5B15">
        <w:rPr>
          <w:rFonts w:ascii="Times New Roman" w:hAnsi="Times New Roman"/>
          <w:bCs/>
          <w:color w:val="000000"/>
          <w:sz w:val="28"/>
          <w:szCs w:val="28"/>
        </w:rPr>
        <w:t xml:space="preserve">COMPARATIVE ANALYSIS OF PHENOLIC CONTENT AND ANTIOXIDATIVE ACTIVITIES OF EIGHT MALAYSIAN </w:t>
      </w:r>
    </w:p>
    <w:p w:rsidR="00DA5B15" w:rsidRPr="00DA5B15" w:rsidRDefault="00DA5B15" w:rsidP="00DA5B15">
      <w:pPr>
        <w:autoSpaceDE w:val="0"/>
        <w:autoSpaceDN w:val="0"/>
        <w:adjustRightInd w:val="0"/>
        <w:spacing w:after="0" w:line="240" w:lineRule="auto"/>
        <w:jc w:val="center"/>
        <w:rPr>
          <w:rFonts w:ascii="Times New Roman" w:hAnsi="Times New Roman"/>
          <w:bCs/>
          <w:color w:val="FF0000"/>
          <w:sz w:val="32"/>
          <w:szCs w:val="32"/>
        </w:rPr>
      </w:pPr>
      <w:r w:rsidRPr="00DA5B15">
        <w:rPr>
          <w:rFonts w:ascii="Times New Roman" w:hAnsi="Times New Roman"/>
          <w:bCs/>
          <w:color w:val="000000"/>
          <w:sz w:val="28"/>
          <w:szCs w:val="28"/>
        </w:rPr>
        <w:t>TRADITIONAL VEGETABLES</w:t>
      </w:r>
      <w:r w:rsidRPr="00DA5B15">
        <w:rPr>
          <w:rFonts w:ascii="Times New Roman" w:hAnsi="Times New Roman"/>
        </w:rPr>
        <w:t xml:space="preserve"> </w:t>
      </w:r>
    </w:p>
    <w:p w:rsidR="006768E9" w:rsidRPr="00802DCC" w:rsidRDefault="006768E9" w:rsidP="006B1068">
      <w:pPr>
        <w:spacing w:after="0" w:line="240" w:lineRule="auto"/>
        <w:jc w:val="center"/>
        <w:rPr>
          <w:rFonts w:ascii="Times New Roman" w:hAnsi="Times New Roman"/>
          <w:noProof/>
          <w:sz w:val="24"/>
          <w:szCs w:val="24"/>
          <w:lang w:bidi="ar-SA"/>
        </w:rPr>
      </w:pPr>
    </w:p>
    <w:p w:rsidR="00DA5B15" w:rsidRPr="00DA5B15" w:rsidRDefault="00DA5B15" w:rsidP="00DA5B15">
      <w:pPr>
        <w:autoSpaceDE w:val="0"/>
        <w:autoSpaceDN w:val="0"/>
        <w:adjustRightInd w:val="0"/>
        <w:spacing w:after="0" w:line="240" w:lineRule="auto"/>
        <w:jc w:val="center"/>
        <w:rPr>
          <w:rFonts w:ascii="Times New Roman" w:hAnsi="Times New Roman"/>
          <w:bCs/>
          <w:sz w:val="24"/>
          <w:szCs w:val="24"/>
        </w:rPr>
      </w:pPr>
      <w:r w:rsidRPr="00DA5B15">
        <w:rPr>
          <w:rFonts w:ascii="Times New Roman" w:hAnsi="Times New Roman"/>
          <w:bCs/>
          <w:sz w:val="24"/>
          <w:szCs w:val="24"/>
        </w:rPr>
        <w:t xml:space="preserve">(Analisis Perbandingan Kandungan Fenolik dan Aktiviti Antipengoksida Lapan Sayuran Tradisional di Malaysia) </w:t>
      </w:r>
    </w:p>
    <w:p w:rsidR="006768E9" w:rsidRPr="00802DCC" w:rsidRDefault="006768E9" w:rsidP="00DA5B15">
      <w:pPr>
        <w:spacing w:after="0" w:line="240" w:lineRule="auto"/>
        <w:jc w:val="center"/>
        <w:rPr>
          <w:rFonts w:ascii="Times New Roman" w:hAnsi="Times New Roman"/>
          <w:noProof/>
          <w:sz w:val="20"/>
          <w:szCs w:val="20"/>
          <w:lang w:bidi="ar-SA"/>
        </w:rPr>
      </w:pPr>
    </w:p>
    <w:p w:rsidR="00DA5B15" w:rsidRPr="00DA5B15" w:rsidRDefault="00DA5B15" w:rsidP="00DA5B15">
      <w:pPr>
        <w:autoSpaceDE w:val="0"/>
        <w:autoSpaceDN w:val="0"/>
        <w:adjustRightInd w:val="0"/>
        <w:spacing w:after="0" w:line="240" w:lineRule="auto"/>
        <w:jc w:val="center"/>
        <w:rPr>
          <w:rFonts w:ascii="Times New Roman" w:hAnsi="Times New Roman"/>
          <w:sz w:val="20"/>
          <w:szCs w:val="20"/>
        </w:rPr>
      </w:pPr>
      <w:r w:rsidRPr="00DA5B15">
        <w:rPr>
          <w:rFonts w:ascii="Times New Roman" w:hAnsi="Times New Roman"/>
          <w:sz w:val="20"/>
          <w:szCs w:val="20"/>
        </w:rPr>
        <w:t>Nur Huda-Faujan</w:t>
      </w:r>
      <w:r w:rsidRPr="00DA5B15">
        <w:rPr>
          <w:rFonts w:ascii="Times New Roman" w:hAnsi="Times New Roman"/>
          <w:sz w:val="20"/>
          <w:szCs w:val="20"/>
          <w:vertAlign w:val="superscript"/>
        </w:rPr>
        <w:t>1</w:t>
      </w:r>
      <w:r w:rsidRPr="00DA5B15">
        <w:rPr>
          <w:rFonts w:ascii="Times New Roman" w:hAnsi="Times New Roman"/>
          <w:sz w:val="20"/>
          <w:szCs w:val="20"/>
        </w:rPr>
        <w:t>*, Zulaikha Abdul Rahim</w:t>
      </w:r>
      <w:r w:rsidRPr="00DA5B15">
        <w:rPr>
          <w:rFonts w:ascii="Times New Roman" w:hAnsi="Times New Roman"/>
          <w:sz w:val="20"/>
          <w:szCs w:val="20"/>
          <w:vertAlign w:val="superscript"/>
        </w:rPr>
        <w:t>1</w:t>
      </w:r>
      <w:r w:rsidRPr="00DA5B15">
        <w:rPr>
          <w:rFonts w:ascii="Times New Roman" w:hAnsi="Times New Roman"/>
          <w:sz w:val="20"/>
          <w:szCs w:val="20"/>
        </w:rPr>
        <w:t>, Maryam Mohamed Rehan</w:t>
      </w:r>
      <w:r w:rsidRPr="00DA5B15">
        <w:rPr>
          <w:rFonts w:ascii="Times New Roman" w:hAnsi="Times New Roman"/>
          <w:sz w:val="20"/>
          <w:szCs w:val="20"/>
          <w:vertAlign w:val="superscript"/>
        </w:rPr>
        <w:t>1</w:t>
      </w:r>
      <w:r>
        <w:rPr>
          <w:rFonts w:ascii="Times New Roman" w:hAnsi="Times New Roman"/>
          <w:sz w:val="20"/>
          <w:szCs w:val="20"/>
        </w:rPr>
        <w:t xml:space="preserve">, </w:t>
      </w:r>
      <w:r w:rsidRPr="00DA5B15">
        <w:rPr>
          <w:rFonts w:ascii="Times New Roman" w:hAnsi="Times New Roman"/>
          <w:sz w:val="20"/>
          <w:szCs w:val="20"/>
        </w:rPr>
        <w:t>Faujan Bin Haji Ahmad</w:t>
      </w:r>
      <w:r w:rsidRPr="00DA5B15">
        <w:rPr>
          <w:rFonts w:ascii="Times New Roman" w:hAnsi="Times New Roman"/>
          <w:sz w:val="20"/>
          <w:szCs w:val="20"/>
          <w:vertAlign w:val="superscript"/>
        </w:rPr>
        <w:t>2</w:t>
      </w:r>
      <w:r w:rsidRPr="00DA5B15">
        <w:rPr>
          <w:rFonts w:ascii="Times New Roman" w:hAnsi="Times New Roman"/>
          <w:sz w:val="20"/>
          <w:szCs w:val="20"/>
        </w:rPr>
        <w:t xml:space="preserve"> </w:t>
      </w:r>
    </w:p>
    <w:p w:rsidR="006768E9" w:rsidRPr="00DA5B15" w:rsidRDefault="006768E9" w:rsidP="00DA5B15">
      <w:pPr>
        <w:spacing w:after="0" w:line="240" w:lineRule="auto"/>
        <w:jc w:val="center"/>
        <w:rPr>
          <w:rFonts w:ascii="Times New Roman" w:hAnsi="Times New Roman"/>
          <w:noProof/>
          <w:sz w:val="18"/>
          <w:szCs w:val="18"/>
          <w:lang w:bidi="ar-SA"/>
        </w:rPr>
      </w:pPr>
    </w:p>
    <w:p w:rsid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vertAlign w:val="superscript"/>
        </w:rPr>
        <w:t>1</w:t>
      </w:r>
      <w:r w:rsidRPr="00DA5B15">
        <w:rPr>
          <w:rFonts w:ascii="Times New Roman" w:hAnsi="Times New Roman"/>
          <w:i/>
          <w:iCs/>
          <w:sz w:val="18"/>
        </w:rPr>
        <w:t xml:space="preserve">Food Biotechnology Program, Faculty of Science and Technology, </w:t>
      </w:r>
    </w:p>
    <w:p w:rsidR="00DA5B15" w:rsidRP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rPr>
        <w:t>Universiti Sains Islam Malaysia, Bandar Baru Nilai, 71000 Nilai, Negeri Sembilan, Malaysia</w:t>
      </w:r>
    </w:p>
    <w:p w:rsid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vertAlign w:val="superscript"/>
        </w:rPr>
        <w:t>2</w:t>
      </w:r>
      <w:r w:rsidRPr="00DA5B15">
        <w:rPr>
          <w:rFonts w:ascii="Times New Roman" w:hAnsi="Times New Roman"/>
          <w:i/>
          <w:iCs/>
          <w:sz w:val="18"/>
        </w:rPr>
        <w:t xml:space="preserve">School of Chemistry, Faculty of Applied Sciences, </w:t>
      </w:r>
    </w:p>
    <w:p w:rsidR="00DA5B15" w:rsidRPr="00DA5B15" w:rsidRDefault="00DA5B15" w:rsidP="00DA5B15">
      <w:pPr>
        <w:autoSpaceDE w:val="0"/>
        <w:autoSpaceDN w:val="0"/>
        <w:adjustRightInd w:val="0"/>
        <w:spacing w:after="0" w:line="240" w:lineRule="auto"/>
        <w:jc w:val="center"/>
        <w:rPr>
          <w:rFonts w:ascii="Times New Roman" w:hAnsi="Times New Roman"/>
          <w:i/>
          <w:iCs/>
          <w:sz w:val="18"/>
        </w:rPr>
      </w:pPr>
      <w:r w:rsidRPr="00DA5B15">
        <w:rPr>
          <w:rFonts w:ascii="Times New Roman" w:hAnsi="Times New Roman"/>
          <w:i/>
          <w:iCs/>
          <w:sz w:val="18"/>
        </w:rPr>
        <w:t>Universiti Teknologi MARA, 40450 Shah Alam, Selangor, Malaysia</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DA5B15" w:rsidRDefault="006768E9" w:rsidP="00DA5B15">
      <w:pPr>
        <w:spacing w:after="0" w:line="240" w:lineRule="auto"/>
        <w:jc w:val="center"/>
        <w:rPr>
          <w:rFonts w:ascii="Times New Roman" w:hAnsi="Times New Roman"/>
          <w:i/>
          <w:noProof/>
          <w:sz w:val="18"/>
          <w:szCs w:val="18"/>
          <w:lang w:bidi="ar-SA"/>
        </w:rPr>
      </w:pPr>
      <w:r w:rsidRPr="00DA5B15">
        <w:rPr>
          <w:rFonts w:ascii="Times New Roman" w:hAnsi="Times New Roman"/>
          <w:i/>
          <w:noProof/>
          <w:sz w:val="18"/>
          <w:szCs w:val="18"/>
          <w:lang w:bidi="ar-SA"/>
        </w:rPr>
        <w:t>*Corresponding author:</w:t>
      </w:r>
      <w:r w:rsidR="00136AC1" w:rsidRPr="00DA5B15">
        <w:rPr>
          <w:rFonts w:ascii="Times New Roman" w:hAnsi="Times New Roman"/>
          <w:i/>
          <w:noProof/>
          <w:sz w:val="18"/>
          <w:szCs w:val="18"/>
          <w:lang w:bidi="ar-SA"/>
        </w:rPr>
        <w:t xml:space="preserve"> </w:t>
      </w:r>
      <w:r w:rsidR="00DA5B15" w:rsidRPr="00DA5B15">
        <w:rPr>
          <w:rFonts w:ascii="Times New Roman" w:hAnsi="Times New Roman"/>
          <w:i/>
          <w:iCs/>
          <w:sz w:val="18"/>
        </w:rPr>
        <w:t>nurhuda@usim.edu.my</w:t>
      </w:r>
    </w:p>
    <w:p w:rsidR="00E41EE7" w:rsidRDefault="00E41EE7" w:rsidP="006B1068">
      <w:pPr>
        <w:spacing w:after="0" w:line="240" w:lineRule="auto"/>
        <w:jc w:val="center"/>
        <w:rPr>
          <w:rFonts w:ascii="Times New Roman" w:hAnsi="Times New Roman"/>
          <w:i/>
          <w:noProof/>
          <w:sz w:val="18"/>
          <w:szCs w:val="18"/>
          <w:lang w:bidi="ar-SA"/>
        </w:rPr>
      </w:pPr>
    </w:p>
    <w:p w:rsidR="00E41EE7" w:rsidRDefault="00E41EE7" w:rsidP="006B1068">
      <w:pPr>
        <w:spacing w:after="0" w:line="240" w:lineRule="auto"/>
        <w:jc w:val="center"/>
        <w:rPr>
          <w:rFonts w:ascii="Times New Roman" w:hAnsi="Times New Roman"/>
          <w:i/>
          <w:noProof/>
          <w:sz w:val="18"/>
          <w:szCs w:val="18"/>
          <w:lang w:bidi="ar-SA"/>
        </w:rPr>
      </w:pPr>
    </w:p>
    <w:p w:rsidR="00E41EE7" w:rsidRPr="00E41EE7" w:rsidRDefault="00E41EE7" w:rsidP="006B1068">
      <w:pPr>
        <w:spacing w:after="0" w:line="240" w:lineRule="auto"/>
        <w:jc w:val="center"/>
        <w:rPr>
          <w:rFonts w:ascii="Times New Roman" w:hAnsi="Times New Roman"/>
          <w:noProof/>
          <w:sz w:val="18"/>
          <w:szCs w:val="18"/>
          <w:lang w:bidi="ar-SA"/>
        </w:rPr>
      </w:pPr>
      <w:r w:rsidRPr="00E41EE7">
        <w:rPr>
          <w:rFonts w:ascii="Times New Roman" w:hAnsi="Times New Roman"/>
          <w:noProof/>
          <w:sz w:val="18"/>
          <w:szCs w:val="18"/>
          <w:lang w:bidi="ar-SA"/>
        </w:rPr>
        <w:t xml:space="preserve">Received: </w:t>
      </w:r>
      <w:r w:rsidR="00F21621">
        <w:rPr>
          <w:rFonts w:ascii="Times New Roman" w:hAnsi="Times New Roman"/>
          <w:noProof/>
          <w:sz w:val="18"/>
          <w:szCs w:val="18"/>
          <w:lang w:bidi="ar-SA"/>
        </w:rPr>
        <w:t>12 April 2015</w:t>
      </w:r>
      <w:r w:rsidRPr="00E41EE7">
        <w:rPr>
          <w:rFonts w:ascii="Times New Roman" w:hAnsi="Times New Roman"/>
          <w:noProof/>
          <w:sz w:val="18"/>
          <w:szCs w:val="18"/>
          <w:lang w:bidi="ar-SA"/>
        </w:rPr>
        <w:t>; Accepted:</w:t>
      </w:r>
      <w:r w:rsidR="00F21621">
        <w:rPr>
          <w:rFonts w:ascii="Times New Roman" w:hAnsi="Times New Roman"/>
          <w:noProof/>
          <w:sz w:val="18"/>
          <w:szCs w:val="18"/>
          <w:lang w:bidi="ar-SA"/>
        </w:rPr>
        <w:t xml:space="preserve"> 27 May 2015</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Abstract</w:t>
      </w:r>
    </w:p>
    <w:p w:rsidR="00DA5B15" w:rsidRPr="00DA5B15" w:rsidRDefault="00DA5B15" w:rsidP="00DA5B15">
      <w:pPr>
        <w:spacing w:after="0" w:line="240" w:lineRule="auto"/>
        <w:jc w:val="both"/>
        <w:rPr>
          <w:rFonts w:ascii="Times New Roman" w:hAnsi="Times New Roman"/>
          <w:color w:val="000000"/>
          <w:sz w:val="18"/>
          <w:szCs w:val="20"/>
        </w:rPr>
      </w:pPr>
      <w:r w:rsidRPr="00DA5B15">
        <w:rPr>
          <w:rFonts w:ascii="Times New Roman" w:hAnsi="Times New Roman"/>
          <w:color w:val="000000"/>
          <w:sz w:val="18"/>
          <w:szCs w:val="20"/>
        </w:rPr>
        <w:t xml:space="preserve">Vegetables have been believed to exhibit antioxidant activities due to its phenolic content.  Thus, this study was carried out to determine the total phenolic content of water and ethanolic extracts of Malaysian traditional vegetables and assess their antioxidant activities.  Eight samples of Malaysian traditional vegetables were dried and extracted its phenolic compounds using water and ethanolic solvent.  Total phenolic content of the extracts were compared and evaluated using Folin-Ciocalteu and Prussian Blue reagent.  The antioxidant activity were assessed using ferric thiocyanate assay and DPPH free radical scavenging assays.  Results found that total phenolic content of water extracts ranged from 7.08 to 14.76 mg GAE (Folin-Ciocalteu assay) and 3.50 to 7.82 mg GAE (Prussian Blue assay).  However, the content of phenolic of ethanolic extracts ranged from 5.21 to 15.86 mg GAE (Folin-Ciocalteu assay), and 1.84 to 11.54 mg GAE (Prussian Blue assay).  The highest antioxidant activity was observed in water extracts of </w:t>
      </w:r>
      <w:r w:rsidRPr="00DA5B15">
        <w:rPr>
          <w:rFonts w:ascii="Times New Roman" w:hAnsi="Times New Roman"/>
          <w:i/>
          <w:iCs/>
          <w:color w:val="000000"/>
          <w:sz w:val="18"/>
          <w:szCs w:val="20"/>
        </w:rPr>
        <w:t>Etlingera elatior</w:t>
      </w:r>
      <w:r w:rsidRPr="00DA5B15">
        <w:rPr>
          <w:rFonts w:ascii="Times New Roman" w:hAnsi="Times New Roman"/>
          <w:color w:val="000000"/>
          <w:sz w:val="18"/>
          <w:szCs w:val="20"/>
        </w:rPr>
        <w:t xml:space="preserve"> (75.6%) and ethanolic extracts of </w:t>
      </w:r>
      <w:r w:rsidRPr="00DA5B15">
        <w:rPr>
          <w:rFonts w:ascii="Times New Roman" w:hAnsi="Times New Roman"/>
          <w:i/>
          <w:iCs/>
          <w:color w:val="000000"/>
          <w:sz w:val="18"/>
          <w:szCs w:val="20"/>
        </w:rPr>
        <w:t>Sauropus androgynus</w:t>
      </w:r>
      <w:r w:rsidRPr="00DA5B15">
        <w:rPr>
          <w:rFonts w:ascii="Times New Roman" w:hAnsi="Times New Roman"/>
          <w:color w:val="000000"/>
          <w:sz w:val="18"/>
          <w:szCs w:val="20"/>
        </w:rPr>
        <w:t xml:space="preserve"> (78.1%).  Results also found that the best half maximal inhibitory concentration or IC</w:t>
      </w:r>
      <w:r w:rsidRPr="00DA5B15">
        <w:rPr>
          <w:rFonts w:ascii="Times New Roman" w:hAnsi="Times New Roman"/>
          <w:color w:val="000000"/>
          <w:sz w:val="18"/>
          <w:szCs w:val="20"/>
          <w:vertAlign w:val="subscript"/>
        </w:rPr>
        <w:t>50</w:t>
      </w:r>
      <w:r w:rsidRPr="00DA5B15">
        <w:rPr>
          <w:rFonts w:ascii="Times New Roman" w:hAnsi="Times New Roman"/>
          <w:color w:val="000000"/>
          <w:sz w:val="18"/>
          <w:szCs w:val="20"/>
        </w:rPr>
        <w:t xml:space="preserve"> were demonstrated by water and ethanolic extracts of </w:t>
      </w:r>
      <w:r w:rsidRPr="00DA5B15">
        <w:rPr>
          <w:rFonts w:ascii="Times New Roman" w:hAnsi="Times New Roman"/>
          <w:i/>
          <w:iCs/>
          <w:color w:val="000000"/>
          <w:sz w:val="18"/>
          <w:szCs w:val="20"/>
        </w:rPr>
        <w:t xml:space="preserve">Sauropus androgynus </w:t>
      </w:r>
      <w:r w:rsidRPr="00DA5B15">
        <w:rPr>
          <w:rFonts w:ascii="Times New Roman" w:hAnsi="Times New Roman"/>
          <w:color w:val="000000"/>
          <w:sz w:val="18"/>
          <w:szCs w:val="20"/>
        </w:rPr>
        <w:t>which demonstrated 0.077 mg/mL and 0.078 mg/mL, respectively. Hence, this study obtained that most of the Malaysian traditional vegetables have a potential source of natural antioxidant.</w:t>
      </w:r>
    </w:p>
    <w:p w:rsidR="00DA5B15" w:rsidRPr="00DA5B15" w:rsidRDefault="00DA5B15" w:rsidP="00DA5B15">
      <w:pPr>
        <w:spacing w:after="0" w:line="240" w:lineRule="auto"/>
        <w:jc w:val="both"/>
        <w:rPr>
          <w:rFonts w:ascii="Times New Roman" w:hAnsi="Times New Roman"/>
          <w:color w:val="000000"/>
        </w:rPr>
      </w:pPr>
    </w:p>
    <w:p w:rsidR="00DA5B15" w:rsidRPr="00DA5B15" w:rsidRDefault="00DA5B15" w:rsidP="00DA5B15">
      <w:pPr>
        <w:spacing w:after="0" w:line="240" w:lineRule="auto"/>
        <w:jc w:val="both"/>
        <w:rPr>
          <w:rFonts w:ascii="Times New Roman" w:hAnsi="Times New Roman"/>
          <w:color w:val="000000"/>
          <w:sz w:val="18"/>
          <w:szCs w:val="20"/>
        </w:rPr>
      </w:pPr>
      <w:r w:rsidRPr="00DA5B15">
        <w:rPr>
          <w:rFonts w:ascii="Times New Roman" w:hAnsi="Times New Roman"/>
          <w:b/>
          <w:bCs/>
          <w:color w:val="000000"/>
          <w:sz w:val="18"/>
          <w:szCs w:val="20"/>
        </w:rPr>
        <w:t>Keywords:</w:t>
      </w:r>
      <w:r w:rsidRPr="00DA5B15">
        <w:rPr>
          <w:rFonts w:ascii="Times New Roman" w:hAnsi="Times New Roman"/>
          <w:color w:val="000000"/>
          <w:sz w:val="18"/>
          <w:szCs w:val="20"/>
        </w:rPr>
        <w:t xml:space="preserve"> Folin-Ciocalteu method, Prussian Blue assay, antioxidant activities, Malaysian vegetables</w:t>
      </w:r>
    </w:p>
    <w:p w:rsidR="006768E9" w:rsidRPr="00802DCC" w:rsidRDefault="006768E9" w:rsidP="006B1068">
      <w:pPr>
        <w:spacing w:after="0" w:line="240" w:lineRule="auto"/>
        <w:jc w:val="center"/>
        <w:rPr>
          <w:rFonts w:ascii="Times New Roman" w:hAnsi="Times New Roman"/>
          <w:noProof/>
          <w:sz w:val="18"/>
          <w:szCs w:val="18"/>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18"/>
          <w:szCs w:val="18"/>
          <w:lang w:bidi="ar-SA"/>
        </w:rPr>
        <w:t>Abstrak</w:t>
      </w:r>
    </w:p>
    <w:p w:rsidR="00DA5B15" w:rsidRPr="00DA5B15" w:rsidRDefault="00DA5B15" w:rsidP="00DA5B15">
      <w:pPr>
        <w:spacing w:after="0" w:line="240" w:lineRule="auto"/>
        <w:jc w:val="both"/>
        <w:rPr>
          <w:rFonts w:ascii="Times New Roman" w:hAnsi="Times New Roman"/>
          <w:color w:val="000000"/>
          <w:sz w:val="18"/>
          <w:szCs w:val="20"/>
          <w:lang w:val="ms-MY"/>
        </w:rPr>
      </w:pPr>
      <w:r w:rsidRPr="00DA5B15">
        <w:rPr>
          <w:rFonts w:ascii="Times New Roman" w:hAnsi="Times New Roman"/>
          <w:color w:val="000000"/>
          <w:sz w:val="18"/>
          <w:szCs w:val="20"/>
        </w:rPr>
        <w:t xml:space="preserve">Sayuran dipercayai boleh mempamerkan aktiviti antipengoksida disebabkan oleh kandungan fenoliknya. Oleh itu, kajian ini telah dijalankan untuk menentukan jumlah kandungan fenolik dalam sayuran tradisional Malaysia serta menilai aktiviti antipengoksidanya.  Lapan jenis sayuran tradisional Malaysia telah dikeringkan dan diekstrak sebatian fenoliknya dengan menggunakan air dan pelarut etanol.  Kandungan fenolik daripada ekstrak sampel telah dibandingkan dan dinilai menggunakan kaedah Folin-Ciocalteu dan reagen Prussian Biru.  Aktiviti antipengoksida telah dinilai menggunakan asai ferik tiosianat dan asai pemerangkapan radikal bebas DPPH.  Keputusan kajian telah menunjukkan bahawa jumlah kandungan fenolik ekstrak air adalah dari 7.08 ke 14.76 mg GAE (asai Folin-Ciocalteu) dan, dari 3.50 ke 7.82 mg GAE (asai Prussian Biru). </w:t>
      </w:r>
      <w:r w:rsidRPr="00DA5B15">
        <w:rPr>
          <w:rFonts w:ascii="Times New Roman" w:hAnsi="Times New Roman"/>
          <w:color w:val="000000"/>
          <w:sz w:val="18"/>
          <w:szCs w:val="20"/>
          <w:lang w:val="ms-MY"/>
        </w:rPr>
        <w:t xml:space="preserve">Walau bagaimanapun, kandungan fenolik ekstrak etanol bernilai dari 5.21 ke 15.86 mg GAE (asai Folin-Ciocalteu) dan 1.84 ke 11.54 mg GAE (asai Prussian Biru). Aktiviti antipengoksida tertinggi telah diperhatikan pada ekstrak air </w:t>
      </w:r>
      <w:r w:rsidRPr="00DA5B15">
        <w:rPr>
          <w:rFonts w:ascii="Times New Roman" w:hAnsi="Times New Roman"/>
          <w:i/>
          <w:iCs/>
          <w:color w:val="000000"/>
          <w:sz w:val="18"/>
          <w:szCs w:val="20"/>
        </w:rPr>
        <w:t>Etlingera elatior</w:t>
      </w:r>
      <w:r w:rsidRPr="00DA5B15">
        <w:rPr>
          <w:rFonts w:ascii="Times New Roman" w:hAnsi="Times New Roman"/>
          <w:color w:val="000000"/>
          <w:sz w:val="18"/>
          <w:szCs w:val="20"/>
        </w:rPr>
        <w:t xml:space="preserve"> </w:t>
      </w:r>
      <w:r w:rsidRPr="00DA5B15">
        <w:rPr>
          <w:rFonts w:ascii="Times New Roman" w:hAnsi="Times New Roman"/>
          <w:color w:val="000000"/>
          <w:sz w:val="18"/>
          <w:szCs w:val="20"/>
          <w:lang w:val="ms-MY"/>
        </w:rPr>
        <w:t xml:space="preserve">(75.6%) dan ekstrak etanol </w:t>
      </w:r>
      <w:r w:rsidRPr="00DA5B15">
        <w:rPr>
          <w:rFonts w:ascii="Times New Roman" w:hAnsi="Times New Roman"/>
          <w:i/>
          <w:iCs/>
          <w:color w:val="000000"/>
          <w:sz w:val="18"/>
          <w:szCs w:val="20"/>
        </w:rPr>
        <w:t>Sauropus androgynus</w:t>
      </w:r>
      <w:r w:rsidRPr="00DA5B15">
        <w:rPr>
          <w:rFonts w:ascii="Times New Roman" w:hAnsi="Times New Roman"/>
          <w:color w:val="000000"/>
          <w:sz w:val="18"/>
          <w:szCs w:val="20"/>
          <w:lang w:val="ms-MY"/>
        </w:rPr>
        <w:t xml:space="preserve"> (78.1%).  Keputusan kajian juga telah mendapati bahawa separuh perencatan maksimum atau IC</w:t>
      </w:r>
      <w:r w:rsidRPr="00DA5B15">
        <w:rPr>
          <w:rFonts w:ascii="Times New Roman" w:hAnsi="Times New Roman"/>
          <w:color w:val="000000"/>
          <w:sz w:val="18"/>
          <w:szCs w:val="20"/>
          <w:vertAlign w:val="subscript"/>
          <w:lang w:val="ms-MY"/>
        </w:rPr>
        <w:t>50</w:t>
      </w:r>
      <w:r w:rsidRPr="00DA5B15">
        <w:rPr>
          <w:rFonts w:ascii="Times New Roman" w:hAnsi="Times New Roman"/>
          <w:color w:val="000000"/>
          <w:sz w:val="18"/>
          <w:szCs w:val="20"/>
          <w:lang w:val="ms-MY"/>
        </w:rPr>
        <w:t xml:space="preserve"> yang terbaik telah dipamerkan oleh ekstrak air dan etanol </w:t>
      </w:r>
      <w:r w:rsidRPr="00DA5B15">
        <w:rPr>
          <w:rFonts w:ascii="Times New Roman" w:hAnsi="Times New Roman"/>
          <w:i/>
          <w:iCs/>
          <w:color w:val="000000"/>
          <w:sz w:val="18"/>
          <w:szCs w:val="20"/>
          <w:lang w:val="ms-MY"/>
        </w:rPr>
        <w:t>Sauropus androgynus</w:t>
      </w:r>
      <w:r w:rsidRPr="00DA5B15">
        <w:rPr>
          <w:rFonts w:ascii="Times New Roman" w:hAnsi="Times New Roman"/>
          <w:color w:val="000000"/>
          <w:sz w:val="18"/>
          <w:szCs w:val="20"/>
          <w:lang w:val="ms-MY"/>
        </w:rPr>
        <w:t xml:space="preserve"> dengan nilai 0.077 mg/mL dan 0.078 mg/mL, masing-masing.  Oleh itu, kajian ini menunjukkan bahawa kebanyakan sayuran tradisional Malaysia berpotensi sebagai sumber bahan antipengoksida semula jadi.</w:t>
      </w:r>
    </w:p>
    <w:p w:rsidR="00DA5B15" w:rsidRPr="00DA5B15" w:rsidRDefault="00DA5B15" w:rsidP="00DA5B15">
      <w:pPr>
        <w:spacing w:after="0" w:line="240" w:lineRule="auto"/>
        <w:jc w:val="both"/>
        <w:rPr>
          <w:rFonts w:ascii="Times New Roman" w:hAnsi="Times New Roman"/>
          <w:color w:val="000000"/>
          <w:sz w:val="18"/>
          <w:szCs w:val="20"/>
          <w:lang w:val="ms-MY"/>
        </w:rPr>
      </w:pPr>
    </w:p>
    <w:p w:rsidR="00DA5B15" w:rsidRPr="00DA5B15" w:rsidRDefault="00DA5B15" w:rsidP="00DA5B15">
      <w:pPr>
        <w:spacing w:after="0" w:line="240" w:lineRule="auto"/>
        <w:jc w:val="both"/>
        <w:rPr>
          <w:rFonts w:ascii="Times New Roman" w:hAnsi="Times New Roman"/>
          <w:color w:val="000000"/>
          <w:sz w:val="18"/>
          <w:szCs w:val="20"/>
        </w:rPr>
      </w:pPr>
      <w:r w:rsidRPr="00DA5B15">
        <w:rPr>
          <w:rFonts w:ascii="Times New Roman" w:hAnsi="Times New Roman"/>
          <w:b/>
          <w:bCs/>
          <w:color w:val="000000"/>
          <w:sz w:val="18"/>
          <w:szCs w:val="20"/>
        </w:rPr>
        <w:lastRenderedPageBreak/>
        <w:t>Kata kunci:</w:t>
      </w:r>
      <w:r w:rsidRPr="00DA5B15">
        <w:rPr>
          <w:rFonts w:ascii="Times New Roman" w:hAnsi="Times New Roman"/>
          <w:color w:val="000000"/>
          <w:sz w:val="18"/>
          <w:szCs w:val="20"/>
        </w:rPr>
        <w:t xml:space="preserve"> Kaedah Folin-Ciocalteu; Asai Prussian Biru; aktiviti antipengoksida; sayuran Malaysia</w:t>
      </w:r>
    </w:p>
    <w:p w:rsidR="006768E9" w:rsidRDefault="006768E9" w:rsidP="006B1068">
      <w:pPr>
        <w:spacing w:after="0" w:line="240" w:lineRule="auto"/>
        <w:jc w:val="center"/>
        <w:rPr>
          <w:rFonts w:ascii="Times New Roman" w:hAnsi="Times New Roman"/>
          <w:noProof/>
          <w:sz w:val="20"/>
          <w:szCs w:val="20"/>
          <w:lang w:bidi="ar-SA"/>
        </w:rPr>
      </w:pPr>
    </w:p>
    <w:p w:rsidR="00E41EE7" w:rsidRPr="00531BCF" w:rsidRDefault="00E41EE7"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Introduction</w:t>
      </w:r>
    </w:p>
    <w:p w:rsidR="00DA5B15" w:rsidRDefault="00DA5B15" w:rsidP="00DA5B15">
      <w:pPr>
        <w:pStyle w:val="NoSpacing"/>
        <w:jc w:val="both"/>
        <w:rPr>
          <w:rFonts w:ascii="Times New Roman" w:hAnsi="Times New Roman"/>
          <w:sz w:val="20"/>
          <w:szCs w:val="20"/>
        </w:rPr>
      </w:pPr>
      <w:r>
        <w:rPr>
          <w:rFonts w:ascii="Times New Roman" w:hAnsi="Times New Roman"/>
          <w:sz w:val="20"/>
          <w:szCs w:val="20"/>
        </w:rPr>
        <w:t>The importance</w:t>
      </w:r>
      <w:r w:rsidRPr="004E64D6">
        <w:rPr>
          <w:rFonts w:ascii="Times New Roman" w:hAnsi="Times New Roman"/>
          <w:sz w:val="20"/>
          <w:szCs w:val="20"/>
        </w:rPr>
        <w:t xml:space="preserve"> of health implication by consumption of vegetables has been acknowledged by many scientists.  Epidemiological studies reported that consumption of vegetables have linked in prevention of some chronic and degenerative diseases such as cancer, diabetes, osteoporosis, and cardiovascular disease</w:t>
      </w:r>
      <w:r>
        <w:rPr>
          <w:rFonts w:ascii="Times New Roman" w:hAnsi="Times New Roman"/>
          <w:sz w:val="20"/>
          <w:szCs w:val="20"/>
        </w:rPr>
        <w:t xml:space="preserve"> [1-3]</w:t>
      </w:r>
      <w:r w:rsidRPr="004E64D6">
        <w:rPr>
          <w:rFonts w:ascii="Times New Roman" w:hAnsi="Times New Roman"/>
          <w:sz w:val="20"/>
          <w:szCs w:val="20"/>
        </w:rPr>
        <w:t xml:space="preserve">.  The discoveries of the </w:t>
      </w:r>
      <w:r>
        <w:rPr>
          <w:rFonts w:ascii="Times New Roman" w:hAnsi="Times New Roman"/>
          <w:sz w:val="20"/>
          <w:szCs w:val="20"/>
        </w:rPr>
        <w:t>importance</w:t>
      </w:r>
      <w:r w:rsidRPr="004E64D6">
        <w:rPr>
          <w:rFonts w:ascii="Times New Roman" w:hAnsi="Times New Roman"/>
          <w:sz w:val="20"/>
          <w:szCs w:val="20"/>
        </w:rPr>
        <w:t xml:space="preserve"> of dietary micronutrients in vegetables have made them being demanded in many sectors include food, pharmaceutical, and agricultural industries.  This eventually increased the awareness of public on the importance and beneficial effects of consumptio</w:t>
      </w:r>
      <w:r>
        <w:rPr>
          <w:rFonts w:ascii="Times New Roman" w:hAnsi="Times New Roman"/>
          <w:sz w:val="20"/>
          <w:szCs w:val="20"/>
        </w:rPr>
        <w:t xml:space="preserve">n of vegetables in their diet. </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sidRPr="00596737">
        <w:rPr>
          <w:rFonts w:ascii="Times New Roman" w:hAnsi="Times New Roman"/>
          <w:sz w:val="20"/>
          <w:szCs w:val="20"/>
        </w:rPr>
        <w:t xml:space="preserve">Malaysia is well known to have rich and diverse kinds of traditional vegetables or locally known as </w:t>
      </w:r>
      <w:r w:rsidRPr="00596737">
        <w:rPr>
          <w:rFonts w:ascii="Times New Roman" w:hAnsi="Times New Roman"/>
          <w:i/>
          <w:iCs/>
          <w:sz w:val="20"/>
          <w:szCs w:val="20"/>
        </w:rPr>
        <w:t>ulam</w:t>
      </w:r>
      <w:r w:rsidRPr="00596737">
        <w:rPr>
          <w:rFonts w:ascii="Times New Roman" w:hAnsi="Times New Roman"/>
          <w:sz w:val="20"/>
          <w:szCs w:val="20"/>
        </w:rPr>
        <w:t xml:space="preserve">.  These vegetables have been consumed by people in Malaysia for many years ago especially for old people in countryside.  In fact, Mansor [4] reported that there were more than 120 species of traditional vegetables in Malaysia.  It is commonly </w:t>
      </w:r>
      <w:r w:rsidRPr="00596737">
        <w:rPr>
          <w:rFonts w:ascii="Times New Roman" w:eastAsia="Batang" w:hAnsi="Times New Roman"/>
          <w:sz w:val="20"/>
          <w:szCs w:val="20"/>
          <w:lang w:eastAsia="ko-KR"/>
        </w:rPr>
        <w:t>eaten as fresh or raw as salad, or cooked through boiling or blanching and very popular especially among the Malay communities [5]</w:t>
      </w:r>
      <w:r w:rsidRPr="00596737">
        <w:rPr>
          <w:rFonts w:ascii="Times New Roman" w:hAnsi="Times New Roman"/>
          <w:sz w:val="20"/>
          <w:szCs w:val="20"/>
        </w:rPr>
        <w:t xml:space="preserve">.  </w:t>
      </w:r>
      <w:r w:rsidRPr="00596737">
        <w:rPr>
          <w:rFonts w:ascii="Times New Roman" w:eastAsia="Batang" w:hAnsi="Times New Roman"/>
          <w:sz w:val="20"/>
          <w:szCs w:val="20"/>
          <w:lang w:eastAsia="ko-KR"/>
        </w:rPr>
        <w:t>The fruit kernels, rhizomes, young leaves, and shoots are normally selected for consumption.  These vegetables usually can be found mainly in the countryside area, which planted by the villagers or grow by itself in the forest.  However, in the last few years, some of these vegetables has been grown commercially for market place [3]</w:t>
      </w:r>
      <w:r w:rsidRPr="00596737">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sidRPr="00596737">
        <w:rPr>
          <w:rFonts w:ascii="Times New Roman" w:hAnsi="Times New Roman"/>
          <w:color w:val="000000"/>
          <w:sz w:val="20"/>
          <w:szCs w:val="20"/>
        </w:rPr>
        <w:t>Vegetables are very high in fiber but low in calories.  It provides with the main source of carbohydrates, proteins, minerals, and vitamins, which are crucial for growth and health as well as mind</w:t>
      </w:r>
      <w:r w:rsidRPr="00596737">
        <w:rPr>
          <w:rFonts w:ascii="Times New Roman" w:hAnsi="Times New Roman"/>
          <w:sz w:val="20"/>
          <w:szCs w:val="20"/>
        </w:rPr>
        <w:t>.  T</w:t>
      </w:r>
      <w:r w:rsidRPr="00596737">
        <w:rPr>
          <w:rFonts w:ascii="Times New Roman" w:hAnsi="Times New Roman"/>
          <w:color w:val="000000"/>
          <w:sz w:val="20"/>
          <w:szCs w:val="20"/>
        </w:rPr>
        <w:t>here are also contain phytochemicals such as phenolics, carotenoids, lignans, and lycopenes.  These phytochemicals have been reported to have potential health benefits such as anti-tumour [3], anti-allergenic, anti-inflammatory, anti-microbial, and anti-thrombotic [6-7]</w:t>
      </w:r>
      <w:r w:rsidRPr="00596737">
        <w:rPr>
          <w:rFonts w:ascii="Times New Roman" w:hAnsi="Times New Roman"/>
          <w:sz w:val="20"/>
          <w:szCs w:val="20"/>
        </w:rPr>
        <w:t xml:space="preserve">.  </w:t>
      </w:r>
      <w:r w:rsidRPr="00596737">
        <w:rPr>
          <w:rFonts w:ascii="Times New Roman" w:hAnsi="Times New Roman"/>
          <w:color w:val="000000"/>
          <w:sz w:val="20"/>
          <w:szCs w:val="20"/>
        </w:rPr>
        <w:t>The health effect of consumptions of vegetables might be due to the antioxidant activities of the plants especially from phenolic compounds [8-9]</w:t>
      </w:r>
      <w:r w:rsidRPr="00596737">
        <w:rPr>
          <w:rFonts w:ascii="Times New Roman" w:hAnsi="Times New Roman"/>
          <w:sz w:val="20"/>
          <w:szCs w:val="20"/>
        </w:rPr>
        <w:t xml:space="preserve">.  Phenolic compounds </w:t>
      </w:r>
      <w:r w:rsidRPr="00596737">
        <w:rPr>
          <w:rFonts w:ascii="Times New Roman" w:eastAsia="Batang" w:hAnsi="Times New Roman"/>
          <w:sz w:val="20"/>
          <w:szCs w:val="20"/>
          <w:lang w:eastAsia="ko-KR"/>
        </w:rPr>
        <w:t>were believed to have redox properties, which allow them to act as reducing agents, hydrogen donators, and singlet oxygen quenchers as well as have a potential as metal chelation action [10]</w:t>
      </w:r>
      <w:r w:rsidRPr="00596737">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sidRPr="004E64D6">
        <w:rPr>
          <w:rFonts w:ascii="Times New Roman" w:eastAsia="Batang" w:hAnsi="Times New Roman"/>
          <w:sz w:val="20"/>
          <w:szCs w:val="20"/>
          <w:lang w:eastAsia="ko-KR"/>
        </w:rPr>
        <w:t>The explorations of natural antioxidants from vegetables have received much attention to apply as suitable antioxidants to replace synthetic antioxidant in food products.  These naturally-occurring antioxidants can also be formulated into capsules or tablets as nutraceutical products that can assist to prevent oxidative damage from occurring in human body</w:t>
      </w:r>
      <w:r>
        <w:rPr>
          <w:rFonts w:ascii="Times New Roman" w:eastAsia="Batang" w:hAnsi="Times New Roman"/>
          <w:sz w:val="20"/>
          <w:szCs w:val="20"/>
          <w:lang w:eastAsia="ko-KR"/>
        </w:rPr>
        <w:t xml:space="preserve"> [11]</w:t>
      </w:r>
      <w:r w:rsidRPr="004E64D6">
        <w:rPr>
          <w:rFonts w:ascii="Times New Roman" w:eastAsia="Batang" w:hAnsi="Times New Roman"/>
          <w:sz w:val="20"/>
          <w:szCs w:val="20"/>
          <w:lang w:eastAsia="ko-KR"/>
        </w:rPr>
        <w:t>.  Thus, the extensive study of traditional vegetables may provide advantages for more awareness of potential phenolic antioxidant and might have beneficial effect to both food and health</w:t>
      </w:r>
      <w:r>
        <w:rPr>
          <w:rFonts w:ascii="Times New Roman" w:eastAsia="Batang" w:hAnsi="Times New Roman"/>
          <w:sz w:val="20"/>
          <w:szCs w:val="20"/>
          <w:lang w:eastAsia="ko-KR"/>
        </w:rPr>
        <w:t xml:space="preserve"> [12]</w:t>
      </w:r>
      <w:r w:rsidRPr="004E64D6">
        <w:rPr>
          <w:rFonts w:ascii="Times New Roman" w:eastAsia="Batang" w:hAnsi="Times New Roman"/>
          <w:color w:val="000000"/>
          <w:sz w:val="20"/>
          <w:szCs w:val="20"/>
          <w:lang w:eastAsia="ko-KR"/>
        </w:rPr>
        <w:t xml:space="preserve">.  In fact, for the last few decades, there have been convergences of interest among researchers in this field </w:t>
      </w:r>
      <w:r>
        <w:rPr>
          <w:rFonts w:ascii="Times New Roman" w:eastAsia="Batang" w:hAnsi="Times New Roman"/>
          <w:color w:val="000000"/>
          <w:sz w:val="20"/>
          <w:szCs w:val="20"/>
          <w:lang w:eastAsia="ko-KR"/>
        </w:rPr>
        <w:t xml:space="preserve">since </w:t>
      </w:r>
      <w:r w:rsidRPr="004E64D6">
        <w:rPr>
          <w:rFonts w:ascii="Times New Roman" w:eastAsia="Batang" w:hAnsi="Times New Roman"/>
          <w:color w:val="000000"/>
          <w:sz w:val="20"/>
          <w:szCs w:val="20"/>
          <w:lang w:eastAsia="ko-KR"/>
        </w:rPr>
        <w:t xml:space="preserve">clear scientific information is very necessary.  Studies reported that antioxidant activities in the Malaysia traditional vegetables include </w:t>
      </w:r>
      <w:r w:rsidRPr="004E64D6">
        <w:rPr>
          <w:rFonts w:ascii="Times New Roman" w:eastAsia="Batang" w:hAnsi="Times New Roman"/>
          <w:i/>
          <w:iCs/>
          <w:color w:val="000000"/>
          <w:sz w:val="20"/>
          <w:szCs w:val="20"/>
          <w:lang w:eastAsia="ko-KR"/>
        </w:rPr>
        <w:t>Averrhoa bilimbi</w:t>
      </w:r>
      <w:r w:rsidRPr="005C0A98">
        <w:rPr>
          <w:rFonts w:ascii="Times New Roman" w:eastAsia="Batang" w:hAnsi="Times New Roman"/>
          <w:color w:val="000000"/>
          <w:sz w:val="20"/>
          <w:szCs w:val="20"/>
          <w:lang w:eastAsia="ko-KR"/>
        </w:rPr>
        <w:t xml:space="preserve"> </w:t>
      </w:r>
      <w:r>
        <w:rPr>
          <w:rFonts w:ascii="Times New Roman" w:eastAsia="Batang" w:hAnsi="Times New Roman"/>
          <w:color w:val="000000"/>
          <w:sz w:val="20"/>
          <w:szCs w:val="20"/>
          <w:vertAlign w:val="superscript"/>
          <w:lang w:eastAsia="ko-KR"/>
        </w:rPr>
        <w:t xml:space="preserve"> </w:t>
      </w:r>
      <w:r>
        <w:rPr>
          <w:rFonts w:ascii="Times New Roman" w:eastAsia="Batang" w:hAnsi="Times New Roman"/>
          <w:color w:val="000000"/>
          <w:sz w:val="20"/>
          <w:szCs w:val="20"/>
          <w:lang w:eastAsia="ko-KR"/>
        </w:rPr>
        <w:t>[13-15]</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Cosmos caudatus</w:t>
      </w:r>
      <w:r w:rsidRPr="004A1411">
        <w:rPr>
          <w:rFonts w:ascii="Times New Roman" w:eastAsia="Batang" w:hAnsi="Times New Roman"/>
          <w:color w:val="000000"/>
          <w:sz w:val="20"/>
          <w:szCs w:val="20"/>
          <w:lang w:eastAsia="ko-KR"/>
        </w:rPr>
        <w:t xml:space="preserve"> </w:t>
      </w:r>
      <w:r>
        <w:rPr>
          <w:rFonts w:ascii="Times New Roman" w:eastAsia="Batang" w:hAnsi="Times New Roman"/>
          <w:color w:val="000000"/>
          <w:sz w:val="20"/>
          <w:szCs w:val="20"/>
          <w:lang w:eastAsia="ko-KR"/>
        </w:rPr>
        <w:t>[3,5,14],</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Centella asiatica</w:t>
      </w:r>
      <w:r>
        <w:rPr>
          <w:rFonts w:ascii="Times New Roman" w:hAnsi="Times New Roman"/>
          <w:color w:val="000000"/>
          <w:sz w:val="20"/>
          <w:szCs w:val="20"/>
        </w:rPr>
        <w:t xml:space="preserve"> [</w:t>
      </w:r>
      <w:r w:rsidRPr="004A1411">
        <w:rPr>
          <w:rFonts w:ascii="Times New Roman" w:hAnsi="Times New Roman"/>
          <w:color w:val="000000"/>
          <w:sz w:val="20"/>
          <w:szCs w:val="20"/>
        </w:rPr>
        <w:t>3,5,16</w:t>
      </w:r>
      <w:r>
        <w:rPr>
          <w:rFonts w:ascii="Times New Roman" w:hAnsi="Times New Roman"/>
          <w:color w:val="000000"/>
          <w:sz w:val="20"/>
          <w:szCs w:val="20"/>
        </w:rPr>
        <w:t>]</w:t>
      </w:r>
      <w:r w:rsidRPr="004E64D6">
        <w:rPr>
          <w:rFonts w:ascii="Times New Roman" w:hAnsi="Times New Roman"/>
          <w:color w:val="000000"/>
          <w:sz w:val="20"/>
          <w:szCs w:val="20"/>
        </w:rPr>
        <w:t xml:space="preserve">, </w:t>
      </w:r>
      <w:r w:rsidRPr="004E64D6">
        <w:rPr>
          <w:rFonts w:ascii="Times New Roman" w:eastAsia="Batang" w:hAnsi="Times New Roman"/>
          <w:i/>
          <w:iCs/>
          <w:color w:val="000000"/>
          <w:sz w:val="20"/>
          <w:szCs w:val="20"/>
          <w:lang w:eastAsia="ko-KR"/>
        </w:rPr>
        <w:t>Morinda citrifolia</w:t>
      </w:r>
      <w:r>
        <w:rPr>
          <w:rFonts w:ascii="Times New Roman" w:eastAsia="Batang" w:hAnsi="Times New Roman"/>
          <w:color w:val="000000"/>
          <w:sz w:val="20"/>
          <w:szCs w:val="20"/>
          <w:vertAlign w:val="superscript"/>
          <w:lang w:eastAsia="ko-KR"/>
        </w:rPr>
        <w:t xml:space="preserve"> </w:t>
      </w:r>
      <w:r>
        <w:rPr>
          <w:rFonts w:ascii="Times New Roman" w:eastAsia="Batang" w:hAnsi="Times New Roman"/>
          <w:color w:val="000000"/>
          <w:sz w:val="20"/>
          <w:szCs w:val="20"/>
          <w:lang w:eastAsia="ko-KR"/>
        </w:rPr>
        <w:t>[</w:t>
      </w:r>
      <w:r w:rsidRPr="004A1411">
        <w:rPr>
          <w:rFonts w:ascii="Times New Roman" w:eastAsia="Batang" w:hAnsi="Times New Roman"/>
          <w:color w:val="000000"/>
          <w:sz w:val="20"/>
          <w:szCs w:val="20"/>
          <w:lang w:eastAsia="ko-KR"/>
        </w:rPr>
        <w:t>17</w:t>
      </w:r>
      <w:r>
        <w:rPr>
          <w:rFonts w:ascii="Times New Roman" w:eastAsia="Batang" w:hAnsi="Times New Roman"/>
          <w:color w:val="000000"/>
          <w:sz w:val="20"/>
          <w:szCs w:val="20"/>
          <w:lang w:eastAsia="ko-KR"/>
        </w:rPr>
        <w:t>],</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Polygonum minus</w:t>
      </w:r>
      <w:r>
        <w:rPr>
          <w:rFonts w:ascii="Times New Roman" w:eastAsia="Batang" w:hAnsi="Times New Roman"/>
          <w:color w:val="000000"/>
          <w:sz w:val="20"/>
          <w:szCs w:val="20"/>
          <w:lang w:eastAsia="ko-KR"/>
        </w:rPr>
        <w:t xml:space="preserve"> [</w:t>
      </w:r>
      <w:r w:rsidRPr="004A1411">
        <w:rPr>
          <w:rFonts w:ascii="Times New Roman" w:eastAsia="Batang" w:hAnsi="Times New Roman"/>
          <w:color w:val="000000"/>
          <w:sz w:val="20"/>
          <w:szCs w:val="20"/>
          <w:lang w:eastAsia="ko-KR"/>
        </w:rPr>
        <w:t>3,5,18</w:t>
      </w:r>
      <w:r>
        <w:rPr>
          <w:rFonts w:ascii="Times New Roman" w:eastAsia="Batang" w:hAnsi="Times New Roman"/>
          <w:color w:val="000000"/>
          <w:sz w:val="20"/>
          <w:szCs w:val="20"/>
          <w:lang w:eastAsia="ko-KR"/>
        </w:rPr>
        <w:t>],</w:t>
      </w:r>
      <w:r w:rsidRPr="004E64D6">
        <w:rPr>
          <w:rFonts w:ascii="Times New Roman" w:eastAsia="Batang" w:hAnsi="Times New Roman"/>
          <w:color w:val="000000"/>
          <w:sz w:val="20"/>
          <w:szCs w:val="20"/>
          <w:lang w:eastAsia="ko-KR"/>
        </w:rPr>
        <w:t xml:space="preserve"> </w:t>
      </w:r>
      <w:r w:rsidRPr="004E64D6">
        <w:rPr>
          <w:rFonts w:ascii="Times New Roman" w:eastAsia="Batang" w:hAnsi="Times New Roman"/>
          <w:i/>
          <w:iCs/>
          <w:color w:val="000000"/>
          <w:sz w:val="20"/>
          <w:szCs w:val="20"/>
          <w:lang w:eastAsia="ko-KR"/>
        </w:rPr>
        <w:t>Oenanthe javanica</w:t>
      </w:r>
      <w:r>
        <w:rPr>
          <w:rFonts w:ascii="Times New Roman" w:eastAsia="Batang" w:hAnsi="Times New Roman"/>
          <w:color w:val="000000"/>
          <w:sz w:val="20"/>
          <w:szCs w:val="20"/>
          <w:vertAlign w:val="superscript"/>
          <w:lang w:eastAsia="ko-KR"/>
        </w:rPr>
        <w:t xml:space="preserve"> </w:t>
      </w:r>
      <w:r w:rsidRPr="004A1411">
        <w:rPr>
          <w:rFonts w:ascii="Times New Roman" w:eastAsia="Batang" w:hAnsi="Times New Roman"/>
          <w:color w:val="000000"/>
          <w:sz w:val="20"/>
          <w:szCs w:val="20"/>
          <w:lang w:eastAsia="ko-KR"/>
        </w:rPr>
        <w:t>[3,5</w:t>
      </w:r>
      <w:r>
        <w:rPr>
          <w:rFonts w:ascii="Times New Roman" w:eastAsia="Batang" w:hAnsi="Times New Roman"/>
          <w:color w:val="000000"/>
          <w:sz w:val="20"/>
          <w:szCs w:val="20"/>
          <w:lang w:eastAsia="ko-KR"/>
        </w:rPr>
        <w:t>]</w:t>
      </w:r>
      <w:r w:rsidRPr="004A1411">
        <w:rPr>
          <w:rFonts w:ascii="Times New Roman" w:eastAsia="Batang" w:hAnsi="Times New Roman"/>
          <w:color w:val="000000"/>
          <w:sz w:val="20"/>
          <w:szCs w:val="20"/>
          <w:lang w:eastAsia="ko-KR"/>
        </w:rPr>
        <w:t>,</w:t>
      </w:r>
      <w:r w:rsidRPr="004E64D6">
        <w:rPr>
          <w:rFonts w:ascii="Times New Roman" w:eastAsia="Batang" w:hAnsi="Times New Roman"/>
          <w:i/>
          <w:iCs/>
          <w:color w:val="000000"/>
          <w:sz w:val="20"/>
          <w:szCs w:val="20"/>
          <w:lang w:eastAsia="ko-KR"/>
        </w:rPr>
        <w:t xml:space="preserve"> </w:t>
      </w:r>
      <w:r w:rsidRPr="004E64D6">
        <w:rPr>
          <w:rFonts w:ascii="Times New Roman" w:eastAsia="Batang" w:hAnsi="Times New Roman"/>
          <w:color w:val="000000"/>
          <w:sz w:val="20"/>
          <w:szCs w:val="20"/>
          <w:lang w:eastAsia="ko-KR"/>
        </w:rPr>
        <w:t xml:space="preserve">and </w:t>
      </w:r>
      <w:r w:rsidRPr="004E64D6">
        <w:rPr>
          <w:rFonts w:ascii="Times New Roman" w:eastAsia="Batang" w:hAnsi="Times New Roman"/>
          <w:i/>
          <w:iCs/>
          <w:color w:val="000000"/>
          <w:sz w:val="20"/>
          <w:szCs w:val="20"/>
          <w:lang w:eastAsia="ko-KR"/>
        </w:rPr>
        <w:t>Melicope Lunu ankeda</w:t>
      </w:r>
      <w:r>
        <w:rPr>
          <w:rFonts w:ascii="Times New Roman" w:eastAsia="Batang" w:hAnsi="Times New Roman"/>
          <w:color w:val="000000"/>
          <w:sz w:val="20"/>
          <w:szCs w:val="20"/>
          <w:vertAlign w:val="superscript"/>
          <w:lang w:eastAsia="ko-KR"/>
        </w:rPr>
        <w:t xml:space="preserve"> </w:t>
      </w:r>
      <w:r w:rsidRPr="004A1411">
        <w:rPr>
          <w:rFonts w:ascii="Times New Roman" w:eastAsia="Batang" w:hAnsi="Times New Roman"/>
          <w:color w:val="000000"/>
          <w:sz w:val="20"/>
          <w:szCs w:val="20"/>
          <w:lang w:eastAsia="ko-KR"/>
        </w:rPr>
        <w:t>[18</w:t>
      </w:r>
      <w:r>
        <w:rPr>
          <w:rFonts w:ascii="Times New Roman" w:eastAsia="Batang" w:hAnsi="Times New Roman"/>
          <w:color w:val="000000"/>
          <w:sz w:val="20"/>
          <w:szCs w:val="20"/>
          <w:lang w:eastAsia="ko-KR"/>
        </w:rPr>
        <w:t>]</w:t>
      </w:r>
      <w:r w:rsidRPr="004E64D6">
        <w:rPr>
          <w:rFonts w:ascii="Times New Roman" w:eastAsia="Batang" w:hAnsi="Times New Roman"/>
          <w:color w:val="000000"/>
          <w:sz w:val="20"/>
          <w:szCs w:val="20"/>
          <w:vertAlign w:val="superscript"/>
          <w:lang w:eastAsia="ko-KR"/>
        </w:rPr>
        <w:t xml:space="preserve"> </w:t>
      </w:r>
      <w:r w:rsidRPr="004E64D6">
        <w:rPr>
          <w:rFonts w:ascii="Times New Roman" w:eastAsia="Batang" w:hAnsi="Times New Roman"/>
          <w:color w:val="000000"/>
          <w:sz w:val="20"/>
          <w:szCs w:val="20"/>
          <w:lang w:eastAsia="ko-KR"/>
        </w:rPr>
        <w:t xml:space="preserve">were associated with their phenolic </w:t>
      </w:r>
      <w:r>
        <w:rPr>
          <w:rFonts w:ascii="Times New Roman" w:eastAsia="Batang" w:hAnsi="Times New Roman"/>
          <w:color w:val="000000"/>
          <w:sz w:val="20"/>
          <w:szCs w:val="20"/>
          <w:lang w:eastAsia="ko-KR"/>
        </w:rPr>
        <w:t>content</w:t>
      </w:r>
      <w:r w:rsidRPr="004E64D6">
        <w:rPr>
          <w:rFonts w:ascii="Times New Roman" w:eastAsia="Batang" w:hAnsi="Times New Roman"/>
          <w:color w:val="000000"/>
          <w:sz w:val="20"/>
          <w:szCs w:val="20"/>
          <w:lang w:eastAsia="ko-KR"/>
        </w:rPr>
        <w:t>s.</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Pr>
          <w:rFonts w:ascii="Times New Roman" w:eastAsia="Batang" w:hAnsi="Times New Roman"/>
          <w:sz w:val="20"/>
          <w:szCs w:val="20"/>
          <w:lang w:eastAsia="ko-KR"/>
        </w:rPr>
        <w:t>Phenolic contents and its a</w:t>
      </w:r>
      <w:r w:rsidRPr="004E64D6">
        <w:rPr>
          <w:rFonts w:ascii="Times New Roman" w:eastAsia="Batang" w:hAnsi="Times New Roman"/>
          <w:sz w:val="20"/>
          <w:szCs w:val="20"/>
          <w:lang w:eastAsia="ko-KR"/>
        </w:rPr>
        <w:t>ntioxidant activities in plants have been evaluated by numerous methods. These methods include ferric reducing antioxidant power (FRAP) assay, ß-carotene bleaching assay, thiobarbituric acid (TBA) assay, oxygen radical absorbance capacity (ORAC)</w:t>
      </w:r>
      <w:r w:rsidRPr="004E64D6">
        <w:rPr>
          <w:rFonts w:ascii="Times New Roman" w:eastAsia="Batang" w:hAnsi="Times New Roman"/>
          <w:b/>
          <w:bCs/>
          <w:sz w:val="20"/>
          <w:szCs w:val="20"/>
          <w:lang w:eastAsia="ko-KR"/>
        </w:rPr>
        <w:t xml:space="preserve">, </w:t>
      </w:r>
      <w:r w:rsidRPr="004E64D6">
        <w:rPr>
          <w:rFonts w:ascii="Times New Roman" w:eastAsia="Batang" w:hAnsi="Times New Roman"/>
          <w:bCs/>
          <w:sz w:val="20"/>
          <w:szCs w:val="20"/>
          <w:lang w:eastAsia="ko-KR"/>
        </w:rPr>
        <w:t>1,1-diphenyl-2-picrylhydrazyl (DPPH) free radical scavenging activity</w:t>
      </w:r>
      <w:r w:rsidRPr="004E64D6">
        <w:rPr>
          <w:rFonts w:ascii="Times New Roman" w:eastAsia="Batang" w:hAnsi="Times New Roman"/>
          <w:sz w:val="20"/>
          <w:szCs w:val="20"/>
          <w:lang w:eastAsia="ko-KR"/>
        </w:rPr>
        <w:t>, and cupric reducing antioxidant capacity (CUPRAC) reagents.  All these methods have their own advantages and disadvantages</w:t>
      </w:r>
      <w:r>
        <w:rPr>
          <w:rFonts w:ascii="Times New Roman" w:eastAsia="Batang" w:hAnsi="Times New Roman"/>
          <w:sz w:val="20"/>
          <w:szCs w:val="20"/>
          <w:lang w:eastAsia="ko-KR"/>
        </w:rPr>
        <w:t xml:space="preserve"> [</w:t>
      </w:r>
      <w:r w:rsidRPr="005003E9">
        <w:rPr>
          <w:rFonts w:ascii="Times New Roman" w:eastAsia="Batang" w:hAnsi="Times New Roman"/>
          <w:sz w:val="20"/>
          <w:szCs w:val="20"/>
          <w:lang w:eastAsia="ko-KR"/>
        </w:rPr>
        <w:t>19</w:t>
      </w:r>
      <w:r>
        <w:rPr>
          <w:rFonts w:ascii="Times New Roman" w:eastAsia="Batang" w:hAnsi="Times New Roman"/>
          <w:sz w:val="20"/>
          <w:szCs w:val="20"/>
          <w:lang w:eastAsia="ko-KR"/>
        </w:rPr>
        <w:t>]</w:t>
      </w:r>
      <w:r w:rsidRPr="005003E9">
        <w:rPr>
          <w:rFonts w:ascii="Times New Roman" w:eastAsia="Batang" w:hAnsi="Times New Roman"/>
          <w:sz w:val="20"/>
          <w:szCs w:val="20"/>
          <w:lang w:eastAsia="ko-KR"/>
        </w:rPr>
        <w:t>,</w:t>
      </w:r>
      <w:r w:rsidRPr="004E64D6">
        <w:rPr>
          <w:rFonts w:ascii="Times New Roman" w:eastAsia="Batang" w:hAnsi="Times New Roman"/>
          <w:sz w:val="20"/>
          <w:szCs w:val="20"/>
          <w:lang w:eastAsia="ko-KR"/>
        </w:rPr>
        <w:t xml:space="preserve"> and one procedure cannot identify all possible mechanisms of antioxidant activity.  Therefore, most researchers combine several methods to evaluate the relationship between the </w:t>
      </w:r>
      <w:r>
        <w:rPr>
          <w:rFonts w:ascii="Times New Roman" w:eastAsia="Batang" w:hAnsi="Times New Roman"/>
          <w:sz w:val="20"/>
          <w:szCs w:val="20"/>
          <w:lang w:eastAsia="ko-KR"/>
        </w:rPr>
        <w:t xml:space="preserve">phenolic content </w:t>
      </w:r>
      <w:r w:rsidRPr="004E64D6">
        <w:rPr>
          <w:rFonts w:ascii="Times New Roman" w:eastAsia="Batang" w:hAnsi="Times New Roman"/>
          <w:sz w:val="20"/>
          <w:szCs w:val="20"/>
          <w:lang w:eastAsia="ko-KR"/>
        </w:rPr>
        <w:t xml:space="preserve">and their antioxidant activities of the plants.  </w:t>
      </w:r>
    </w:p>
    <w:p w:rsidR="00DA5B15" w:rsidRDefault="00DA5B15" w:rsidP="00DA5B15">
      <w:pPr>
        <w:pStyle w:val="NoSpacing"/>
        <w:jc w:val="both"/>
        <w:rPr>
          <w:rFonts w:ascii="Times New Roman" w:hAnsi="Times New Roman"/>
          <w:sz w:val="20"/>
          <w:szCs w:val="20"/>
        </w:rPr>
      </w:pPr>
    </w:p>
    <w:p w:rsidR="00DA5B15" w:rsidRPr="004E64D6" w:rsidRDefault="00DA5B15" w:rsidP="00DA5B15">
      <w:pPr>
        <w:pStyle w:val="NoSpacing"/>
        <w:jc w:val="both"/>
        <w:rPr>
          <w:rFonts w:ascii="Times New Roman" w:hAnsi="Times New Roman"/>
          <w:sz w:val="20"/>
          <w:szCs w:val="20"/>
        </w:rPr>
      </w:pPr>
      <w:r w:rsidRPr="004E64D6">
        <w:rPr>
          <w:rFonts w:ascii="Times New Roman" w:hAnsi="Times New Roman"/>
          <w:sz w:val="20"/>
          <w:szCs w:val="20"/>
        </w:rPr>
        <w:t>Hence, the objectiv</w:t>
      </w:r>
      <w:r>
        <w:rPr>
          <w:rFonts w:ascii="Times New Roman" w:hAnsi="Times New Roman"/>
          <w:sz w:val="20"/>
          <w:szCs w:val="20"/>
        </w:rPr>
        <w:t xml:space="preserve">es of this study were to assess and compare </w:t>
      </w:r>
      <w:r w:rsidRPr="004E64D6">
        <w:rPr>
          <w:rFonts w:ascii="Times New Roman" w:hAnsi="Times New Roman"/>
          <w:sz w:val="20"/>
          <w:szCs w:val="20"/>
        </w:rPr>
        <w:t xml:space="preserve">total phenolic </w:t>
      </w:r>
      <w:r>
        <w:rPr>
          <w:rFonts w:ascii="Times New Roman" w:hAnsi="Times New Roman"/>
          <w:sz w:val="20"/>
          <w:szCs w:val="20"/>
        </w:rPr>
        <w:t>content</w:t>
      </w:r>
      <w:r w:rsidRPr="004E64D6">
        <w:rPr>
          <w:rFonts w:ascii="Times New Roman" w:hAnsi="Times New Roman"/>
          <w:sz w:val="20"/>
          <w:szCs w:val="20"/>
        </w:rPr>
        <w:t xml:space="preserve"> of eight Malaysian traditional vegetables </w:t>
      </w:r>
      <w:r>
        <w:rPr>
          <w:rFonts w:ascii="Times New Roman" w:hAnsi="Times New Roman"/>
          <w:sz w:val="20"/>
          <w:szCs w:val="20"/>
        </w:rPr>
        <w:t xml:space="preserve">using Folin-Ciocalteu and Prussian Blue assays </w:t>
      </w:r>
      <w:r w:rsidRPr="004E64D6">
        <w:rPr>
          <w:rFonts w:ascii="Times New Roman" w:hAnsi="Times New Roman"/>
          <w:sz w:val="20"/>
          <w:szCs w:val="20"/>
        </w:rPr>
        <w:t xml:space="preserve">and </w:t>
      </w:r>
      <w:r>
        <w:rPr>
          <w:rFonts w:ascii="Times New Roman" w:hAnsi="Times New Roman"/>
          <w:sz w:val="20"/>
          <w:szCs w:val="20"/>
        </w:rPr>
        <w:t>its</w:t>
      </w:r>
      <w:r w:rsidRPr="004E64D6">
        <w:rPr>
          <w:rFonts w:ascii="Times New Roman" w:hAnsi="Times New Roman"/>
          <w:sz w:val="20"/>
          <w:szCs w:val="20"/>
        </w:rPr>
        <w:t xml:space="preserve"> antioxidant activities using </w:t>
      </w:r>
      <w:r w:rsidRPr="004E64D6">
        <w:rPr>
          <w:rFonts w:ascii="Times New Roman" w:hAnsi="Times New Roman"/>
          <w:i/>
          <w:iCs/>
          <w:sz w:val="20"/>
          <w:szCs w:val="20"/>
        </w:rPr>
        <w:t>in vitro</w:t>
      </w:r>
      <w:r w:rsidRPr="004E64D6">
        <w:rPr>
          <w:rFonts w:ascii="Times New Roman" w:hAnsi="Times New Roman"/>
          <w:sz w:val="20"/>
          <w:szCs w:val="20"/>
        </w:rPr>
        <w:t xml:space="preserve"> methods of FRAP and DPPH assay</w:t>
      </w:r>
      <w:r>
        <w:rPr>
          <w:rFonts w:ascii="Times New Roman" w:hAnsi="Times New Roman"/>
          <w:sz w:val="20"/>
          <w:szCs w:val="20"/>
        </w:rPr>
        <w:t>s</w:t>
      </w:r>
      <w:r w:rsidRPr="004E64D6">
        <w:rPr>
          <w:rFonts w:ascii="Times New Roman" w:hAnsi="Times New Roman"/>
          <w:sz w:val="20"/>
          <w:szCs w:val="20"/>
        </w:rPr>
        <w:t xml:space="preserve">.  The correlation between total phenolic </w:t>
      </w:r>
      <w:r>
        <w:rPr>
          <w:rFonts w:ascii="Times New Roman" w:hAnsi="Times New Roman"/>
          <w:sz w:val="20"/>
          <w:szCs w:val="20"/>
        </w:rPr>
        <w:t>content</w:t>
      </w:r>
      <w:r w:rsidRPr="004E64D6">
        <w:rPr>
          <w:rFonts w:ascii="Times New Roman" w:hAnsi="Times New Roman"/>
          <w:sz w:val="20"/>
          <w:szCs w:val="20"/>
        </w:rPr>
        <w:t xml:space="preserve"> and </w:t>
      </w:r>
      <w:r>
        <w:rPr>
          <w:rFonts w:ascii="Times New Roman" w:hAnsi="Times New Roman"/>
          <w:sz w:val="20"/>
          <w:szCs w:val="20"/>
        </w:rPr>
        <w:t>its</w:t>
      </w:r>
      <w:r w:rsidRPr="004E64D6">
        <w:rPr>
          <w:rFonts w:ascii="Times New Roman" w:hAnsi="Times New Roman"/>
          <w:sz w:val="20"/>
          <w:szCs w:val="20"/>
        </w:rPr>
        <w:t xml:space="preserve"> antioxidant activities were also investigated in this study.</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lastRenderedPageBreak/>
        <w:t>Materials and Methods</w:t>
      </w:r>
    </w:p>
    <w:p w:rsidR="00DA5B15" w:rsidRPr="005003E9" w:rsidRDefault="00DA5B15" w:rsidP="00DA5B15">
      <w:pPr>
        <w:pStyle w:val="NoSpacing"/>
        <w:jc w:val="both"/>
        <w:rPr>
          <w:rFonts w:ascii="Times New Roman" w:hAnsi="Times New Roman"/>
          <w:b/>
          <w:bCs/>
          <w:sz w:val="20"/>
          <w:szCs w:val="20"/>
        </w:rPr>
      </w:pPr>
      <w:r w:rsidRPr="005003E9">
        <w:rPr>
          <w:rFonts w:ascii="Times New Roman" w:hAnsi="Times New Roman"/>
          <w:b/>
          <w:bCs/>
          <w:sz w:val="20"/>
          <w:szCs w:val="20"/>
        </w:rPr>
        <w:t>Chemicals</w:t>
      </w:r>
    </w:p>
    <w:p w:rsidR="00DA5B15" w:rsidRPr="005003E9" w:rsidRDefault="00DA5B15" w:rsidP="00DA5B15">
      <w:pPr>
        <w:pStyle w:val="NoSpacing"/>
        <w:jc w:val="both"/>
        <w:rPr>
          <w:rFonts w:ascii="Times New Roman" w:hAnsi="Times New Roman"/>
          <w:sz w:val="20"/>
          <w:szCs w:val="20"/>
        </w:rPr>
      </w:pPr>
      <w:r w:rsidRPr="005003E9">
        <w:rPr>
          <w:rFonts w:ascii="Times New Roman" w:hAnsi="Times New Roman"/>
          <w:sz w:val="20"/>
          <w:szCs w:val="20"/>
        </w:rPr>
        <w:t>Ethanol, Folin-Ciocalteu reagent, sodium carbonate (Na</w:t>
      </w:r>
      <w:r w:rsidRPr="005003E9">
        <w:rPr>
          <w:rFonts w:ascii="Times New Roman" w:hAnsi="Times New Roman"/>
          <w:sz w:val="20"/>
          <w:szCs w:val="20"/>
          <w:vertAlign w:val="subscript"/>
        </w:rPr>
        <w:t>2</w:t>
      </w:r>
      <w:r w:rsidRPr="005003E9">
        <w:rPr>
          <w:rFonts w:ascii="Times New Roman" w:hAnsi="Times New Roman"/>
          <w:sz w:val="20"/>
          <w:szCs w:val="20"/>
        </w:rPr>
        <w:t>CO</w:t>
      </w:r>
      <w:r w:rsidRPr="005003E9">
        <w:rPr>
          <w:rFonts w:ascii="Times New Roman" w:hAnsi="Times New Roman"/>
          <w:sz w:val="20"/>
          <w:szCs w:val="20"/>
          <w:vertAlign w:val="subscript"/>
        </w:rPr>
        <w:t>3</w:t>
      </w:r>
      <w:r w:rsidRPr="005003E9">
        <w:rPr>
          <w:rFonts w:ascii="Times New Roman" w:hAnsi="Times New Roman"/>
          <w:sz w:val="20"/>
          <w:szCs w:val="20"/>
        </w:rPr>
        <w:t>), ferric chloride (FeCl</w:t>
      </w:r>
      <w:r w:rsidRPr="005003E9">
        <w:rPr>
          <w:rFonts w:ascii="Times New Roman" w:hAnsi="Times New Roman"/>
          <w:sz w:val="20"/>
          <w:szCs w:val="20"/>
          <w:vertAlign w:val="subscript"/>
        </w:rPr>
        <w:t>3</w:t>
      </w:r>
      <w:r w:rsidRPr="005003E9">
        <w:rPr>
          <w:rFonts w:ascii="Times New Roman" w:hAnsi="Times New Roman"/>
          <w:sz w:val="20"/>
          <w:szCs w:val="20"/>
        </w:rPr>
        <w:t>), potassium ferricyanide (K</w:t>
      </w:r>
      <w:r w:rsidRPr="005003E9">
        <w:rPr>
          <w:rFonts w:ascii="Times New Roman" w:hAnsi="Times New Roman"/>
          <w:sz w:val="20"/>
          <w:szCs w:val="20"/>
          <w:vertAlign w:val="subscript"/>
        </w:rPr>
        <w:t>3</w:t>
      </w:r>
      <w:r w:rsidRPr="005003E9">
        <w:rPr>
          <w:rFonts w:ascii="Times New Roman" w:hAnsi="Times New Roman"/>
          <w:sz w:val="20"/>
          <w:szCs w:val="20"/>
        </w:rPr>
        <w:t>Fe(CN)</w:t>
      </w:r>
      <w:r w:rsidRPr="005003E9">
        <w:rPr>
          <w:rFonts w:ascii="Times New Roman" w:hAnsi="Times New Roman"/>
          <w:sz w:val="20"/>
          <w:szCs w:val="20"/>
          <w:vertAlign w:val="subscript"/>
        </w:rPr>
        <w:t>6</w:t>
      </w:r>
      <w:r w:rsidRPr="005003E9">
        <w:rPr>
          <w:rFonts w:ascii="Times New Roman" w:hAnsi="Times New Roman"/>
          <w:sz w:val="20"/>
          <w:szCs w:val="20"/>
        </w:rPr>
        <w:t>), linoleic acid, disodium hydrogen phosphate, hydrochloric acid (HCl), gallic acid, and trichloroacetic acid were purchased from Sigma Chemical Co.  (St.  Louis, MO, USA).  Ammonium thiocyanate (NH</w:t>
      </w:r>
      <w:r w:rsidRPr="005003E9">
        <w:rPr>
          <w:rFonts w:ascii="Times New Roman" w:hAnsi="Times New Roman"/>
          <w:sz w:val="20"/>
          <w:szCs w:val="20"/>
          <w:vertAlign w:val="subscript"/>
        </w:rPr>
        <w:t>4</w:t>
      </w:r>
      <w:r w:rsidRPr="005003E9">
        <w:rPr>
          <w:rFonts w:ascii="Times New Roman" w:hAnsi="Times New Roman"/>
          <w:sz w:val="20"/>
          <w:szCs w:val="20"/>
        </w:rPr>
        <w:t>SCN) and ferrous chloride (FeCl</w:t>
      </w:r>
      <w:r w:rsidRPr="005003E9">
        <w:rPr>
          <w:rFonts w:ascii="Times New Roman" w:hAnsi="Times New Roman"/>
          <w:sz w:val="20"/>
          <w:szCs w:val="20"/>
          <w:vertAlign w:val="subscript"/>
        </w:rPr>
        <w:t>2</w:t>
      </w:r>
      <w:r w:rsidRPr="005003E9">
        <w:rPr>
          <w:rFonts w:ascii="Times New Roman" w:hAnsi="Times New Roman"/>
          <w:sz w:val="20"/>
          <w:szCs w:val="20"/>
        </w:rPr>
        <w:t xml:space="preserve">) were purchased from Merck (Merck KGaA, Darmstadt, Germany).  </w:t>
      </w:r>
    </w:p>
    <w:p w:rsidR="00DA5B15" w:rsidRDefault="00DA5B15" w:rsidP="00DA5B15">
      <w:pPr>
        <w:pStyle w:val="NoSpacing"/>
        <w:jc w:val="both"/>
        <w:rPr>
          <w:rFonts w:ascii="Times New Roman" w:hAnsi="Times New Roman"/>
          <w:b/>
          <w:bCs/>
          <w:sz w:val="20"/>
          <w:szCs w:val="20"/>
        </w:rPr>
      </w:pPr>
    </w:p>
    <w:p w:rsidR="00DA5B15" w:rsidRPr="0020703B" w:rsidRDefault="00DA5B15" w:rsidP="00DA5B15">
      <w:pPr>
        <w:pStyle w:val="NoSpacing"/>
        <w:jc w:val="both"/>
        <w:rPr>
          <w:rFonts w:ascii="Times New Roman" w:hAnsi="Times New Roman"/>
          <w:b/>
          <w:bCs/>
          <w:sz w:val="20"/>
          <w:szCs w:val="20"/>
        </w:rPr>
      </w:pPr>
      <w:r w:rsidRPr="0020703B">
        <w:rPr>
          <w:rFonts w:ascii="Times New Roman" w:hAnsi="Times New Roman"/>
          <w:b/>
          <w:bCs/>
          <w:sz w:val="20"/>
          <w:szCs w:val="20"/>
        </w:rPr>
        <w:t>S</w:t>
      </w:r>
      <w:r>
        <w:rPr>
          <w:rFonts w:ascii="Times New Roman" w:hAnsi="Times New Roman"/>
          <w:b/>
          <w:bCs/>
          <w:sz w:val="20"/>
          <w:szCs w:val="20"/>
        </w:rPr>
        <w:t>ample Collection</w:t>
      </w:r>
    </w:p>
    <w:p w:rsidR="00DA5B15" w:rsidRPr="0020703B" w:rsidRDefault="00DA5B15" w:rsidP="00DA5B15">
      <w:pPr>
        <w:pStyle w:val="NoSpacing"/>
        <w:jc w:val="both"/>
        <w:rPr>
          <w:rFonts w:ascii="Times New Roman" w:hAnsi="Times New Roman"/>
          <w:i/>
          <w:iCs/>
          <w:sz w:val="20"/>
          <w:szCs w:val="20"/>
        </w:rPr>
      </w:pPr>
      <w:r w:rsidRPr="0020703B">
        <w:rPr>
          <w:rFonts w:ascii="Times New Roman" w:hAnsi="Times New Roman"/>
          <w:sz w:val="20"/>
          <w:szCs w:val="20"/>
        </w:rPr>
        <w:t>Eight Malaysian traditional vegetables were selected in this study were</w:t>
      </w:r>
      <w:r w:rsidRPr="0020703B">
        <w:rPr>
          <w:rFonts w:ascii="Times New Roman" w:hAnsi="Times New Roman"/>
          <w:i/>
          <w:iCs/>
          <w:sz w:val="20"/>
          <w:szCs w:val="20"/>
        </w:rPr>
        <w:t xml:space="preserve"> Anacardium occidentale </w:t>
      </w:r>
      <w:r w:rsidRPr="0020703B">
        <w:rPr>
          <w:rFonts w:ascii="Times New Roman" w:hAnsi="Times New Roman"/>
          <w:sz w:val="20"/>
          <w:szCs w:val="20"/>
        </w:rPr>
        <w:t xml:space="preserve">shoot, </w:t>
      </w:r>
      <w:r w:rsidRPr="0020703B">
        <w:rPr>
          <w:rFonts w:ascii="Times New Roman" w:hAnsi="Times New Roman"/>
          <w:i/>
          <w:iCs/>
          <w:sz w:val="20"/>
          <w:szCs w:val="20"/>
        </w:rPr>
        <w:t>Carica papaya</w:t>
      </w:r>
      <w:r w:rsidRPr="0020703B">
        <w:rPr>
          <w:rFonts w:ascii="Times New Roman" w:hAnsi="Times New Roman"/>
          <w:sz w:val="20"/>
          <w:szCs w:val="20"/>
        </w:rPr>
        <w:t xml:space="preserve"> shoot,</w:t>
      </w:r>
      <w:r w:rsidRPr="0020703B">
        <w:rPr>
          <w:rFonts w:ascii="Times New Roman" w:hAnsi="Times New Roman"/>
          <w:i/>
          <w:iCs/>
          <w:sz w:val="20"/>
          <w:szCs w:val="20"/>
        </w:rPr>
        <w:t xml:space="preserve"> Curcuma longa </w:t>
      </w:r>
      <w:r w:rsidRPr="0020703B">
        <w:rPr>
          <w:rFonts w:ascii="Times New Roman" w:hAnsi="Times New Roman"/>
          <w:sz w:val="20"/>
          <w:szCs w:val="20"/>
        </w:rPr>
        <w:t xml:space="preserve">leaves, </w:t>
      </w:r>
      <w:r w:rsidRPr="0020703B">
        <w:rPr>
          <w:rFonts w:ascii="Times New Roman" w:hAnsi="Times New Roman"/>
          <w:i/>
          <w:iCs/>
          <w:sz w:val="20"/>
          <w:szCs w:val="20"/>
        </w:rPr>
        <w:t>Etlingera elatior</w:t>
      </w:r>
      <w:r w:rsidRPr="0020703B">
        <w:rPr>
          <w:rFonts w:ascii="Times New Roman" w:hAnsi="Times New Roman"/>
          <w:sz w:val="20"/>
          <w:szCs w:val="20"/>
        </w:rPr>
        <w:t>,</w:t>
      </w:r>
      <w:r w:rsidRPr="0020703B">
        <w:rPr>
          <w:rFonts w:ascii="Times New Roman" w:hAnsi="Times New Roman"/>
          <w:i/>
          <w:iCs/>
          <w:sz w:val="20"/>
          <w:szCs w:val="20"/>
        </w:rPr>
        <w:t xml:space="preserve"> Manihot esculenta </w:t>
      </w:r>
      <w:r w:rsidRPr="0020703B">
        <w:rPr>
          <w:rFonts w:ascii="Times New Roman" w:hAnsi="Times New Roman"/>
          <w:sz w:val="20"/>
          <w:szCs w:val="20"/>
        </w:rPr>
        <w:t xml:space="preserve">shoot, </w:t>
      </w:r>
      <w:r w:rsidRPr="0020703B">
        <w:rPr>
          <w:rFonts w:ascii="Times New Roman" w:hAnsi="Times New Roman"/>
          <w:i/>
          <w:iCs/>
          <w:sz w:val="20"/>
          <w:szCs w:val="20"/>
        </w:rPr>
        <w:t>Pithecellobium jiringa, Psophocarpus tetragonolobus</w:t>
      </w:r>
      <w:r w:rsidRPr="0020703B">
        <w:rPr>
          <w:rFonts w:ascii="Times New Roman" w:hAnsi="Times New Roman"/>
          <w:sz w:val="20"/>
          <w:szCs w:val="20"/>
        </w:rPr>
        <w:t xml:space="preserve">, and </w:t>
      </w:r>
      <w:r w:rsidRPr="0020703B">
        <w:rPr>
          <w:rFonts w:ascii="Times New Roman" w:hAnsi="Times New Roman"/>
          <w:i/>
          <w:iCs/>
          <w:sz w:val="20"/>
          <w:szCs w:val="20"/>
        </w:rPr>
        <w:t>Sauropus androgynus</w:t>
      </w:r>
      <w:r w:rsidRPr="0020703B">
        <w:rPr>
          <w:rFonts w:ascii="Times New Roman" w:hAnsi="Times New Roman"/>
          <w:sz w:val="20"/>
          <w:szCs w:val="20"/>
        </w:rPr>
        <w:t xml:space="preserve">.  These samples were locally known as </w:t>
      </w:r>
      <w:r w:rsidRPr="0020703B">
        <w:rPr>
          <w:rFonts w:ascii="Times New Roman" w:hAnsi="Times New Roman"/>
          <w:i/>
          <w:iCs/>
          <w:sz w:val="20"/>
          <w:szCs w:val="20"/>
        </w:rPr>
        <w:t>pucuk gajus</w:t>
      </w:r>
      <w:r w:rsidRPr="0020703B">
        <w:rPr>
          <w:rFonts w:ascii="Times New Roman" w:hAnsi="Times New Roman"/>
          <w:sz w:val="20"/>
          <w:szCs w:val="20"/>
        </w:rPr>
        <w:t xml:space="preserve">, </w:t>
      </w:r>
      <w:r w:rsidRPr="0020703B">
        <w:rPr>
          <w:rFonts w:ascii="Times New Roman" w:hAnsi="Times New Roman"/>
          <w:i/>
          <w:iCs/>
          <w:sz w:val="20"/>
          <w:szCs w:val="20"/>
        </w:rPr>
        <w:t>pucuk betik</w:t>
      </w:r>
      <w:r w:rsidRPr="0020703B">
        <w:rPr>
          <w:rFonts w:ascii="Times New Roman" w:hAnsi="Times New Roman"/>
          <w:sz w:val="20"/>
          <w:szCs w:val="20"/>
        </w:rPr>
        <w:t>,</w:t>
      </w:r>
      <w:r w:rsidRPr="0020703B">
        <w:rPr>
          <w:rFonts w:ascii="Times New Roman" w:hAnsi="Times New Roman"/>
          <w:i/>
          <w:iCs/>
          <w:sz w:val="20"/>
          <w:szCs w:val="20"/>
        </w:rPr>
        <w:t xml:space="preserve"> daun kunyit</w:t>
      </w:r>
      <w:r w:rsidRPr="0020703B">
        <w:rPr>
          <w:rFonts w:ascii="Times New Roman" w:hAnsi="Times New Roman"/>
          <w:sz w:val="20"/>
          <w:szCs w:val="20"/>
        </w:rPr>
        <w:t xml:space="preserve">, </w:t>
      </w:r>
      <w:r w:rsidRPr="0020703B">
        <w:rPr>
          <w:rFonts w:ascii="Times New Roman" w:hAnsi="Times New Roman"/>
          <w:i/>
          <w:iCs/>
          <w:sz w:val="20"/>
          <w:szCs w:val="20"/>
        </w:rPr>
        <w:t>bunga kantan</w:t>
      </w:r>
      <w:r w:rsidRPr="0020703B">
        <w:rPr>
          <w:rFonts w:ascii="Times New Roman" w:hAnsi="Times New Roman"/>
          <w:sz w:val="20"/>
          <w:szCs w:val="20"/>
        </w:rPr>
        <w:t>,</w:t>
      </w:r>
      <w:r w:rsidRPr="0020703B">
        <w:rPr>
          <w:rFonts w:ascii="Times New Roman" w:hAnsi="Times New Roman"/>
          <w:i/>
          <w:iCs/>
          <w:sz w:val="20"/>
          <w:szCs w:val="20"/>
        </w:rPr>
        <w:t xml:space="preserve"> pucuk ubi</w:t>
      </w:r>
      <w:r w:rsidRPr="0020703B">
        <w:rPr>
          <w:rFonts w:ascii="Times New Roman" w:hAnsi="Times New Roman"/>
          <w:sz w:val="20"/>
          <w:szCs w:val="20"/>
        </w:rPr>
        <w:t>,</w:t>
      </w:r>
      <w:r w:rsidRPr="0020703B">
        <w:rPr>
          <w:rFonts w:ascii="Times New Roman" w:hAnsi="Times New Roman"/>
          <w:i/>
          <w:iCs/>
          <w:sz w:val="20"/>
          <w:szCs w:val="20"/>
        </w:rPr>
        <w:t xml:space="preserve"> jering</w:t>
      </w:r>
      <w:r w:rsidRPr="0020703B">
        <w:rPr>
          <w:rFonts w:ascii="Times New Roman" w:hAnsi="Times New Roman"/>
          <w:sz w:val="20"/>
          <w:szCs w:val="20"/>
        </w:rPr>
        <w:t>,</w:t>
      </w:r>
      <w:r w:rsidRPr="0020703B">
        <w:rPr>
          <w:rFonts w:ascii="Times New Roman" w:hAnsi="Times New Roman"/>
          <w:i/>
          <w:iCs/>
          <w:sz w:val="20"/>
          <w:szCs w:val="20"/>
        </w:rPr>
        <w:t xml:space="preserve"> kacang kelisa</w:t>
      </w:r>
      <w:r w:rsidRPr="0020703B">
        <w:rPr>
          <w:rFonts w:ascii="Times New Roman" w:hAnsi="Times New Roman"/>
          <w:sz w:val="20"/>
          <w:szCs w:val="20"/>
        </w:rPr>
        <w:t>,</w:t>
      </w:r>
      <w:r w:rsidRPr="0020703B">
        <w:rPr>
          <w:rFonts w:ascii="Times New Roman" w:hAnsi="Times New Roman"/>
          <w:i/>
          <w:iCs/>
          <w:sz w:val="20"/>
          <w:szCs w:val="20"/>
        </w:rPr>
        <w:t xml:space="preserve"> </w:t>
      </w:r>
      <w:r w:rsidRPr="0020703B">
        <w:rPr>
          <w:rFonts w:ascii="Times New Roman" w:hAnsi="Times New Roman"/>
          <w:sz w:val="20"/>
          <w:szCs w:val="20"/>
        </w:rPr>
        <w:t xml:space="preserve">and </w:t>
      </w:r>
      <w:r w:rsidRPr="0020703B">
        <w:rPr>
          <w:rFonts w:ascii="Times New Roman" w:hAnsi="Times New Roman"/>
          <w:i/>
          <w:iCs/>
          <w:sz w:val="20"/>
          <w:szCs w:val="20"/>
        </w:rPr>
        <w:t xml:space="preserve">cekur manis, </w:t>
      </w:r>
      <w:r w:rsidRPr="0020703B">
        <w:rPr>
          <w:rFonts w:ascii="Times New Roman" w:hAnsi="Times New Roman"/>
          <w:sz w:val="20"/>
          <w:szCs w:val="20"/>
        </w:rPr>
        <w:t>respectively.  All samples were purchased from wet market around Bandar Baru Nilai, Negeri Sembilan, Malaysia. Prior to extraction, samples were prepared based on Mohd Zin et al</w:t>
      </w:r>
      <w:r w:rsidRPr="0020703B">
        <w:rPr>
          <w:rFonts w:ascii="Times New Roman" w:hAnsi="Times New Roman"/>
          <w:i/>
          <w:iCs/>
          <w:sz w:val="20"/>
          <w:szCs w:val="20"/>
        </w:rPr>
        <w:t xml:space="preserve">. </w:t>
      </w:r>
      <w:r w:rsidRPr="0020703B">
        <w:rPr>
          <w:rFonts w:ascii="Times New Roman" w:hAnsi="Times New Roman"/>
          <w:sz w:val="20"/>
          <w:szCs w:val="20"/>
        </w:rPr>
        <w:t xml:space="preserve">[17].  The samples were washed under running tap water before being chopped into smaller pieces.  Then, the samples were dried at 45ºC for 24 to 48 hrs using dehydrator (Excalibur Food Dehydrator 3000) and were grounded using domestic blender (Panasonic MX-337) to powder.  </w:t>
      </w:r>
    </w:p>
    <w:p w:rsidR="00DA5B15" w:rsidRPr="0020703B" w:rsidRDefault="00DA5B15" w:rsidP="00DA5B15">
      <w:pPr>
        <w:pStyle w:val="NoSpacing"/>
        <w:jc w:val="both"/>
        <w:rPr>
          <w:rFonts w:ascii="Times New Roman" w:hAnsi="Times New Roman"/>
          <w:sz w:val="20"/>
          <w:szCs w:val="20"/>
        </w:rPr>
      </w:pPr>
    </w:p>
    <w:p w:rsidR="00DA5B15" w:rsidRPr="009B1B6A" w:rsidRDefault="00DA5B15" w:rsidP="00DA5B15">
      <w:pPr>
        <w:pStyle w:val="NoSpacing"/>
        <w:jc w:val="both"/>
        <w:rPr>
          <w:rFonts w:ascii="Times New Roman" w:hAnsi="Times New Roman"/>
          <w:b/>
          <w:bCs/>
          <w:sz w:val="20"/>
          <w:szCs w:val="20"/>
        </w:rPr>
      </w:pPr>
      <w:r w:rsidRPr="009B1B6A">
        <w:rPr>
          <w:rFonts w:ascii="Times New Roman" w:hAnsi="Times New Roman"/>
          <w:b/>
          <w:bCs/>
          <w:sz w:val="20"/>
          <w:szCs w:val="20"/>
        </w:rPr>
        <w:t>Water Extraction</w:t>
      </w:r>
    </w:p>
    <w:p w:rsidR="00DA5B15" w:rsidRPr="009B1B6A" w:rsidRDefault="00DA5B15" w:rsidP="00DA5B15">
      <w:pPr>
        <w:pStyle w:val="NoSpacing"/>
        <w:jc w:val="both"/>
        <w:rPr>
          <w:rFonts w:ascii="Times New Roman" w:hAnsi="Times New Roman"/>
          <w:sz w:val="20"/>
          <w:szCs w:val="20"/>
        </w:rPr>
      </w:pPr>
      <w:r w:rsidRPr="009B1B6A">
        <w:rPr>
          <w:rFonts w:ascii="Times New Roman" w:hAnsi="Times New Roman"/>
          <w:sz w:val="20"/>
          <w:szCs w:val="20"/>
        </w:rPr>
        <w:t>Samples were extracted using water according to Wong et al</w:t>
      </w:r>
      <w:r w:rsidRPr="009B1B6A">
        <w:rPr>
          <w:rFonts w:ascii="Times New Roman" w:hAnsi="Times New Roman"/>
          <w:i/>
          <w:iCs/>
          <w:sz w:val="20"/>
          <w:szCs w:val="20"/>
        </w:rPr>
        <w:t>.</w:t>
      </w:r>
      <w:r>
        <w:rPr>
          <w:rFonts w:ascii="Times New Roman" w:hAnsi="Times New Roman"/>
          <w:sz w:val="20"/>
          <w:szCs w:val="20"/>
        </w:rPr>
        <w:t xml:space="preserve"> [</w:t>
      </w:r>
      <w:r w:rsidRPr="009B1B6A">
        <w:rPr>
          <w:rFonts w:ascii="Times New Roman" w:hAnsi="Times New Roman"/>
          <w:sz w:val="20"/>
          <w:szCs w:val="20"/>
        </w:rPr>
        <w:t>11</w:t>
      </w:r>
      <w:r>
        <w:rPr>
          <w:rFonts w:ascii="Times New Roman" w:hAnsi="Times New Roman"/>
          <w:sz w:val="20"/>
          <w:szCs w:val="20"/>
        </w:rPr>
        <w:t>]</w:t>
      </w:r>
      <w:r w:rsidRPr="009B1B6A">
        <w:rPr>
          <w:rFonts w:ascii="Times New Roman" w:hAnsi="Times New Roman"/>
          <w:sz w:val="20"/>
          <w:szCs w:val="20"/>
        </w:rPr>
        <w:t xml:space="preserve"> with slight modification.  Firstly, 5.0 g samples were soaked with distilled water in ratio water: sample (10:1) and the mixtures were left at room temperature (25ºC) for an hour in the dark condition with occasional agitation.  Then, the aqueous extracts were filtered through Whatman No. 1 filter paper to obtain crude extract.  The residual water was removed by evaporating the extract using rotary evaporator (BÜCHI Rotavapor R-215) at 80ºC and 50 rpm rotation.  The crude extract were collected, weighed, and diluted to 5 mg/mL and were then stored at 4ºC until further analysis.  </w:t>
      </w:r>
    </w:p>
    <w:p w:rsidR="00DA5B15" w:rsidRPr="00303055" w:rsidRDefault="00DA5B15" w:rsidP="00DA5B15">
      <w:pPr>
        <w:pStyle w:val="NoSpacing"/>
        <w:jc w:val="both"/>
        <w:rPr>
          <w:rFonts w:ascii="Times New Roman" w:hAnsi="Times New Roman"/>
          <w:i/>
          <w:iCs/>
          <w:sz w:val="20"/>
          <w:szCs w:val="20"/>
        </w:rPr>
      </w:pPr>
    </w:p>
    <w:p w:rsidR="00DA5B15" w:rsidRPr="009B1B6A" w:rsidRDefault="00DA5B15" w:rsidP="00DA5B15">
      <w:pPr>
        <w:pStyle w:val="NoSpacing"/>
        <w:jc w:val="both"/>
        <w:rPr>
          <w:rFonts w:ascii="Times New Roman" w:hAnsi="Times New Roman"/>
          <w:b/>
          <w:bCs/>
          <w:sz w:val="20"/>
          <w:szCs w:val="20"/>
        </w:rPr>
      </w:pPr>
      <w:r w:rsidRPr="009B1B6A">
        <w:rPr>
          <w:rFonts w:ascii="Times New Roman" w:hAnsi="Times New Roman"/>
          <w:b/>
          <w:bCs/>
          <w:sz w:val="20"/>
          <w:szCs w:val="20"/>
        </w:rPr>
        <w:t xml:space="preserve">Ethanolic Extraction </w:t>
      </w:r>
    </w:p>
    <w:p w:rsidR="00DA5B15" w:rsidRPr="00303055" w:rsidRDefault="00DA5B15" w:rsidP="00DA5B15">
      <w:pPr>
        <w:pStyle w:val="NoSpacing"/>
        <w:jc w:val="both"/>
        <w:rPr>
          <w:rFonts w:ascii="Times New Roman" w:hAnsi="Times New Roman"/>
          <w:sz w:val="20"/>
          <w:szCs w:val="20"/>
        </w:rPr>
      </w:pPr>
      <w:r w:rsidRPr="00303055">
        <w:rPr>
          <w:rFonts w:ascii="Times New Roman" w:hAnsi="Times New Roman"/>
          <w:sz w:val="20"/>
          <w:szCs w:val="20"/>
        </w:rPr>
        <w:t xml:space="preserve">The dried and fine homogenized sample were weighed and transferred into a beaker.  Prior to the extraction, 70% ethanol was added into the samples with the ratio of 1:7 (w/v) and was stored in the dark condition for three days.  The extracts were then filtrated through Whatman No. 1 filter paper before evaporating the residual solvent using </w:t>
      </w:r>
      <w:r>
        <w:rPr>
          <w:rFonts w:ascii="Times New Roman" w:hAnsi="Times New Roman"/>
          <w:sz w:val="20"/>
          <w:szCs w:val="20"/>
        </w:rPr>
        <w:t>rotary evaporator at 75</w:t>
      </w:r>
      <w:r w:rsidRPr="00303055">
        <w:rPr>
          <w:rFonts w:ascii="Times New Roman" w:hAnsi="Times New Roman"/>
          <w:sz w:val="20"/>
          <w:szCs w:val="20"/>
        </w:rPr>
        <w:t>ºC and 50 rpm rotation.  The crude extract obtained were collected, weighed, and diluted to 5.0 mg/mL and were then stored at 4ºC until further analysis.</w:t>
      </w:r>
    </w:p>
    <w:p w:rsidR="00DA5B15" w:rsidRPr="009B1B6A" w:rsidRDefault="00DA5B15" w:rsidP="00DA5B15">
      <w:pPr>
        <w:pStyle w:val="NoSpacing"/>
        <w:jc w:val="both"/>
        <w:rPr>
          <w:rFonts w:ascii="Times New Roman" w:hAnsi="Times New Roman"/>
          <w:sz w:val="20"/>
          <w:szCs w:val="20"/>
        </w:rPr>
      </w:pPr>
    </w:p>
    <w:p w:rsidR="00DA5B15" w:rsidRPr="00596737" w:rsidRDefault="00DA5B15" w:rsidP="00DA5B15">
      <w:pPr>
        <w:pStyle w:val="NoSpacing"/>
        <w:jc w:val="both"/>
        <w:rPr>
          <w:rFonts w:ascii="Times New Roman" w:hAnsi="Times New Roman"/>
          <w:b/>
          <w:bCs/>
          <w:sz w:val="20"/>
          <w:szCs w:val="20"/>
        </w:rPr>
      </w:pPr>
      <w:r w:rsidRPr="009B1B6A">
        <w:rPr>
          <w:rFonts w:ascii="Times New Roman" w:hAnsi="Times New Roman"/>
          <w:b/>
          <w:bCs/>
          <w:sz w:val="20"/>
          <w:szCs w:val="20"/>
        </w:rPr>
        <w:t xml:space="preserve">Determination </w:t>
      </w:r>
      <w:r>
        <w:rPr>
          <w:rFonts w:ascii="Times New Roman" w:hAnsi="Times New Roman"/>
          <w:b/>
          <w:bCs/>
          <w:sz w:val="20"/>
          <w:szCs w:val="20"/>
        </w:rPr>
        <w:t>o</w:t>
      </w:r>
      <w:r w:rsidRPr="009B1B6A">
        <w:rPr>
          <w:rFonts w:ascii="Times New Roman" w:hAnsi="Times New Roman"/>
          <w:b/>
          <w:bCs/>
          <w:sz w:val="20"/>
          <w:szCs w:val="20"/>
        </w:rPr>
        <w:t xml:space="preserve">f Total Phenolic </w:t>
      </w:r>
      <w:r>
        <w:rPr>
          <w:rFonts w:ascii="Times New Roman" w:hAnsi="Times New Roman"/>
          <w:b/>
          <w:bCs/>
          <w:sz w:val="20"/>
          <w:szCs w:val="20"/>
        </w:rPr>
        <w:t xml:space="preserve">Content: </w:t>
      </w:r>
      <w:r w:rsidRPr="00596737">
        <w:rPr>
          <w:rFonts w:ascii="Times New Roman" w:hAnsi="Times New Roman"/>
          <w:b/>
          <w:iCs/>
          <w:sz w:val="20"/>
          <w:szCs w:val="20"/>
        </w:rPr>
        <w:t>Folin-Ciocalteu Assay</w:t>
      </w:r>
    </w:p>
    <w:p w:rsidR="00DA5B15" w:rsidRPr="009B1B6A" w:rsidRDefault="00DA5B15" w:rsidP="00DA5B15">
      <w:pPr>
        <w:pStyle w:val="NoSpacing"/>
        <w:jc w:val="both"/>
        <w:rPr>
          <w:rFonts w:ascii="Times New Roman" w:hAnsi="Times New Roman"/>
          <w:sz w:val="20"/>
          <w:szCs w:val="20"/>
        </w:rPr>
      </w:pPr>
      <w:r w:rsidRPr="009B1B6A">
        <w:rPr>
          <w:rFonts w:ascii="Times New Roman" w:hAnsi="Times New Roman"/>
          <w:sz w:val="20"/>
          <w:szCs w:val="20"/>
        </w:rPr>
        <w:t xml:space="preserve">Total phenolic </w:t>
      </w:r>
      <w:r>
        <w:rPr>
          <w:rFonts w:ascii="Times New Roman" w:hAnsi="Times New Roman"/>
          <w:sz w:val="20"/>
          <w:szCs w:val="20"/>
        </w:rPr>
        <w:t>content</w:t>
      </w:r>
      <w:r w:rsidRPr="009B1B6A">
        <w:rPr>
          <w:rFonts w:ascii="Times New Roman" w:hAnsi="Times New Roman"/>
          <w:sz w:val="20"/>
          <w:szCs w:val="20"/>
        </w:rPr>
        <w:t xml:space="preserve"> of extracts were determined using Folin-Ciocalteu assay method according to Singleton and Rossi</w:t>
      </w:r>
      <w:r>
        <w:rPr>
          <w:rFonts w:ascii="Times New Roman" w:hAnsi="Times New Roman"/>
          <w:sz w:val="20"/>
          <w:szCs w:val="20"/>
        </w:rPr>
        <w:t xml:space="preserve"> [20]</w:t>
      </w:r>
      <w:r w:rsidRPr="009B1B6A">
        <w:rPr>
          <w:rFonts w:ascii="Times New Roman" w:hAnsi="Times New Roman"/>
          <w:sz w:val="20"/>
          <w:szCs w:val="20"/>
        </w:rPr>
        <w:t xml:space="preserve"> and Hoff and Singleton</w:t>
      </w:r>
      <w:r>
        <w:rPr>
          <w:rFonts w:ascii="Times New Roman" w:hAnsi="Times New Roman"/>
          <w:sz w:val="20"/>
          <w:szCs w:val="20"/>
        </w:rPr>
        <w:t xml:space="preserve"> [21]</w:t>
      </w:r>
      <w:r w:rsidRPr="009B1B6A">
        <w:rPr>
          <w:rFonts w:ascii="Times New Roman" w:hAnsi="Times New Roman"/>
          <w:sz w:val="20"/>
          <w:szCs w:val="20"/>
        </w:rPr>
        <w:t xml:space="preserve"> using external calibration of gallic acid solution (10, 20, 30, 50, and 100 ppm).  Briefly, 2.5 mL of 10-fold diluted Folin-Ciocalteu reagent and 2.0 mL of 7.5% solution of Na</w:t>
      </w:r>
      <w:r w:rsidRPr="009B1B6A">
        <w:rPr>
          <w:rFonts w:ascii="Times New Roman" w:hAnsi="Times New Roman"/>
          <w:sz w:val="20"/>
          <w:szCs w:val="20"/>
          <w:vertAlign w:val="subscript"/>
        </w:rPr>
        <w:t>2</w:t>
      </w:r>
      <w:r w:rsidRPr="009B1B6A">
        <w:rPr>
          <w:rFonts w:ascii="Times New Roman" w:hAnsi="Times New Roman"/>
          <w:sz w:val="20"/>
          <w:szCs w:val="20"/>
        </w:rPr>
        <w:t>CO</w:t>
      </w:r>
      <w:r w:rsidRPr="009B1B6A">
        <w:rPr>
          <w:rFonts w:ascii="Times New Roman" w:hAnsi="Times New Roman"/>
          <w:sz w:val="20"/>
          <w:szCs w:val="20"/>
          <w:vertAlign w:val="subscript"/>
        </w:rPr>
        <w:t>3</w:t>
      </w:r>
      <w:r w:rsidRPr="009B1B6A">
        <w:rPr>
          <w:rFonts w:ascii="Times New Roman" w:hAnsi="Times New Roman"/>
          <w:sz w:val="20"/>
          <w:szCs w:val="20"/>
        </w:rPr>
        <w:t xml:space="preserve"> were added into 1.0 mL of 0.5 mg/mL sample extract.  Finally, the absorbance of reaction mixture was measured at 765 nm using spectrophotometer (Spectronic GENESYS 20) after 15 mins heating at temperature of 45°C.  Results were expressed as mg gallic acid equivalent (GAE</w:t>
      </w:r>
      <w:r w:rsidRPr="009B1B6A">
        <w:rPr>
          <w:rFonts w:ascii="Times New Roman" w:hAnsi="Times New Roman"/>
          <w:color w:val="000000"/>
          <w:sz w:val="20"/>
          <w:szCs w:val="20"/>
        </w:rPr>
        <w:t>) using an</w:t>
      </w:r>
      <w:r w:rsidRPr="009B1B6A">
        <w:rPr>
          <w:rFonts w:ascii="Times New Roman" w:hAnsi="Times New Roman"/>
          <w:sz w:val="20"/>
          <w:szCs w:val="20"/>
        </w:rPr>
        <w:t xml:space="preserve"> equation obtained from gallic acid calibration curve.  All analysis were carried out in triplicate</w:t>
      </w:r>
      <w:r>
        <w:rPr>
          <w:rFonts w:ascii="Times New Roman" w:hAnsi="Times New Roman"/>
          <w:sz w:val="20"/>
          <w:szCs w:val="20"/>
        </w:rPr>
        <w:t>.</w:t>
      </w:r>
      <w:r w:rsidRPr="009B1B6A">
        <w:rPr>
          <w:rFonts w:ascii="Times New Roman" w:hAnsi="Times New Roman"/>
          <w:sz w:val="20"/>
          <w:szCs w:val="20"/>
        </w:rPr>
        <w:t xml:space="preserve">   </w:t>
      </w:r>
    </w:p>
    <w:p w:rsidR="00DA5B15" w:rsidRPr="009B1B6A" w:rsidRDefault="00DA5B15" w:rsidP="00DA5B15">
      <w:pPr>
        <w:pStyle w:val="NoSpacing"/>
        <w:jc w:val="both"/>
        <w:rPr>
          <w:rFonts w:ascii="Times New Roman" w:hAnsi="Times New Roman"/>
          <w:sz w:val="20"/>
          <w:szCs w:val="20"/>
        </w:rPr>
      </w:pPr>
    </w:p>
    <w:p w:rsidR="00DA5B15" w:rsidRPr="00596737" w:rsidRDefault="00DA5B15" w:rsidP="00DA5B15">
      <w:pPr>
        <w:pStyle w:val="NoSpacing"/>
        <w:jc w:val="both"/>
        <w:rPr>
          <w:rFonts w:ascii="Times New Roman" w:hAnsi="Times New Roman"/>
          <w:b/>
          <w:iCs/>
          <w:sz w:val="20"/>
          <w:szCs w:val="20"/>
        </w:rPr>
      </w:pPr>
      <w:r w:rsidRPr="00596737">
        <w:rPr>
          <w:rFonts w:ascii="Times New Roman" w:hAnsi="Times New Roman"/>
          <w:b/>
          <w:iCs/>
          <w:sz w:val="20"/>
          <w:szCs w:val="20"/>
        </w:rPr>
        <w:t>Prussian Blue Assay</w:t>
      </w:r>
    </w:p>
    <w:p w:rsidR="00DA5B15" w:rsidRPr="009B1B6A" w:rsidRDefault="00DA5B15" w:rsidP="00DA5B15">
      <w:pPr>
        <w:pStyle w:val="NoSpacing"/>
        <w:jc w:val="both"/>
        <w:rPr>
          <w:rFonts w:ascii="Times New Roman" w:hAnsi="Times New Roman"/>
          <w:sz w:val="20"/>
          <w:szCs w:val="20"/>
        </w:rPr>
      </w:pPr>
      <w:r w:rsidRPr="009B1B6A">
        <w:rPr>
          <w:rFonts w:ascii="Times New Roman" w:hAnsi="Times New Roman"/>
          <w:sz w:val="20"/>
          <w:szCs w:val="20"/>
        </w:rPr>
        <w:t>Prussian Blue assay was done according to the method of Gupta and Verma</w:t>
      </w:r>
      <w:r>
        <w:rPr>
          <w:rFonts w:ascii="Times New Roman" w:hAnsi="Times New Roman"/>
          <w:sz w:val="20"/>
          <w:szCs w:val="20"/>
        </w:rPr>
        <w:t xml:space="preserve"> [22]</w:t>
      </w:r>
      <w:r w:rsidRPr="009B1B6A">
        <w:rPr>
          <w:rFonts w:ascii="Times New Roman" w:hAnsi="Times New Roman"/>
          <w:sz w:val="20"/>
          <w:szCs w:val="20"/>
        </w:rPr>
        <w:t xml:space="preserve"> with a slight modification.  Briefly, 1.0 mL sample was diluted with 50 mL distilled water.  Next, 3 mL of 0.5 M ferric chloride (FeCl</w:t>
      </w:r>
      <w:r w:rsidRPr="009B1B6A">
        <w:rPr>
          <w:rFonts w:ascii="Times New Roman" w:hAnsi="Times New Roman"/>
          <w:sz w:val="20"/>
          <w:szCs w:val="20"/>
          <w:vertAlign w:val="subscript"/>
        </w:rPr>
        <w:t>3</w:t>
      </w:r>
      <w:r w:rsidRPr="009B1B6A">
        <w:rPr>
          <w:rFonts w:ascii="Times New Roman" w:hAnsi="Times New Roman"/>
          <w:sz w:val="20"/>
          <w:szCs w:val="20"/>
        </w:rPr>
        <w:t>) in 0.1 N HCl and 3.0 mL potassium ferricyanide (K</w:t>
      </w:r>
      <w:r w:rsidRPr="009B1B6A">
        <w:rPr>
          <w:rFonts w:ascii="Times New Roman" w:hAnsi="Times New Roman"/>
          <w:sz w:val="20"/>
          <w:szCs w:val="20"/>
          <w:vertAlign w:val="subscript"/>
        </w:rPr>
        <w:t>3</w:t>
      </w:r>
      <w:r w:rsidRPr="009B1B6A">
        <w:rPr>
          <w:rFonts w:ascii="Times New Roman" w:hAnsi="Times New Roman"/>
          <w:sz w:val="20"/>
          <w:szCs w:val="20"/>
        </w:rPr>
        <w:t>Fe(CN)</w:t>
      </w:r>
      <w:r w:rsidRPr="009B1B6A">
        <w:rPr>
          <w:rFonts w:ascii="Times New Roman" w:hAnsi="Times New Roman"/>
          <w:sz w:val="20"/>
          <w:szCs w:val="20"/>
          <w:vertAlign w:val="subscript"/>
        </w:rPr>
        <w:t>6</w:t>
      </w:r>
      <w:r w:rsidRPr="009B1B6A">
        <w:rPr>
          <w:rFonts w:ascii="Times New Roman" w:hAnsi="Times New Roman"/>
          <w:sz w:val="20"/>
          <w:szCs w:val="20"/>
        </w:rPr>
        <w:t>) were added into the diluted samples.  The color immediately developed after 10 to 15 mins.  Then, the absorbance was measured at 725 nm using spectrophotometer (Spectronic GENESYS 20).  Gallic acid was also used as the standard reference phenolic compound.  The total phenolic</w:t>
      </w:r>
      <w:r>
        <w:rPr>
          <w:rFonts w:ascii="Times New Roman" w:hAnsi="Times New Roman"/>
          <w:sz w:val="20"/>
          <w:szCs w:val="20"/>
        </w:rPr>
        <w:t xml:space="preserve"> content  were</w:t>
      </w:r>
      <w:r w:rsidRPr="009B1B6A">
        <w:rPr>
          <w:rFonts w:ascii="Times New Roman" w:hAnsi="Times New Roman"/>
          <w:sz w:val="20"/>
          <w:szCs w:val="20"/>
        </w:rPr>
        <w:t xml:space="preserve"> measured by GAE determined from standard gallic acid calibration (10, 20, 30, 50, and 100 ppm) curve.  Results were expressed as mg GAE and were carried out in triplicate.  </w:t>
      </w:r>
    </w:p>
    <w:p w:rsidR="00DA5B15" w:rsidRDefault="00DA5B15" w:rsidP="00DA5B15">
      <w:pPr>
        <w:pStyle w:val="NoSpacing"/>
        <w:jc w:val="both"/>
        <w:rPr>
          <w:rFonts w:ascii="Times New Roman" w:hAnsi="Times New Roman"/>
          <w:iCs/>
          <w:sz w:val="20"/>
          <w:szCs w:val="20"/>
        </w:rPr>
      </w:pPr>
    </w:p>
    <w:p w:rsidR="00DA5B15" w:rsidRDefault="00DA5B15" w:rsidP="00DA5B15">
      <w:pPr>
        <w:pStyle w:val="NoSpacing"/>
        <w:jc w:val="both"/>
        <w:rPr>
          <w:rFonts w:ascii="Times New Roman" w:hAnsi="Times New Roman"/>
          <w:iCs/>
          <w:sz w:val="20"/>
          <w:szCs w:val="20"/>
        </w:rPr>
      </w:pPr>
    </w:p>
    <w:p w:rsidR="00DA5B15" w:rsidRPr="00DA5B15" w:rsidRDefault="00DA5B15" w:rsidP="00DA5B15">
      <w:pPr>
        <w:pStyle w:val="NoSpacing"/>
        <w:jc w:val="both"/>
        <w:rPr>
          <w:rFonts w:ascii="Times New Roman" w:hAnsi="Times New Roman"/>
          <w:iCs/>
          <w:sz w:val="20"/>
          <w:szCs w:val="20"/>
        </w:rPr>
      </w:pPr>
    </w:p>
    <w:p w:rsidR="00DA5B15" w:rsidRPr="00E328FC" w:rsidRDefault="00DA5B15" w:rsidP="00DA5B15">
      <w:pPr>
        <w:pStyle w:val="NoSpacing"/>
        <w:jc w:val="both"/>
        <w:rPr>
          <w:rFonts w:ascii="Times New Roman" w:hAnsi="Times New Roman"/>
          <w:b/>
          <w:bCs/>
          <w:sz w:val="20"/>
          <w:szCs w:val="20"/>
        </w:rPr>
      </w:pPr>
      <w:r w:rsidRPr="00E328FC">
        <w:rPr>
          <w:rFonts w:ascii="Times New Roman" w:hAnsi="Times New Roman"/>
          <w:b/>
          <w:bCs/>
          <w:sz w:val="20"/>
          <w:szCs w:val="20"/>
        </w:rPr>
        <w:lastRenderedPageBreak/>
        <w:t xml:space="preserve">Determination </w:t>
      </w:r>
      <w:r>
        <w:rPr>
          <w:rFonts w:ascii="Times New Roman" w:hAnsi="Times New Roman"/>
          <w:b/>
          <w:bCs/>
          <w:sz w:val="20"/>
          <w:szCs w:val="20"/>
        </w:rPr>
        <w:t>o</w:t>
      </w:r>
      <w:r w:rsidRPr="00E328FC">
        <w:rPr>
          <w:rFonts w:ascii="Times New Roman" w:hAnsi="Times New Roman"/>
          <w:b/>
          <w:bCs/>
          <w:sz w:val="20"/>
          <w:szCs w:val="20"/>
        </w:rPr>
        <w:t xml:space="preserve">f Antioxidant Activity: </w:t>
      </w:r>
      <w:r w:rsidRPr="00E328FC">
        <w:rPr>
          <w:rFonts w:ascii="Times New Roman" w:hAnsi="Times New Roman"/>
          <w:b/>
          <w:iCs/>
          <w:sz w:val="20"/>
          <w:szCs w:val="20"/>
        </w:rPr>
        <w:t>Ferric Thiocyanate Assay</w:t>
      </w:r>
    </w:p>
    <w:p w:rsidR="00DA5B15" w:rsidRDefault="00DA5B15" w:rsidP="00DA5B15">
      <w:pPr>
        <w:pStyle w:val="NoSpacing"/>
        <w:jc w:val="both"/>
        <w:rPr>
          <w:rFonts w:ascii="Times New Roman" w:hAnsi="Times New Roman"/>
          <w:sz w:val="20"/>
          <w:szCs w:val="20"/>
        </w:rPr>
      </w:pPr>
      <w:r w:rsidRPr="009B1B6A">
        <w:rPr>
          <w:rFonts w:ascii="Times New Roman" w:hAnsi="Times New Roman"/>
          <w:sz w:val="20"/>
          <w:szCs w:val="20"/>
        </w:rPr>
        <w:t xml:space="preserve">The antioxidant capacity of all extracts was carried out according </w:t>
      </w:r>
      <w:r>
        <w:rPr>
          <w:rFonts w:ascii="Times New Roman" w:hAnsi="Times New Roman"/>
          <w:sz w:val="20"/>
          <w:szCs w:val="20"/>
        </w:rPr>
        <w:t xml:space="preserve">to the ferric thiocyanate </w:t>
      </w:r>
      <w:r w:rsidRPr="009B1B6A">
        <w:rPr>
          <w:rFonts w:ascii="Times New Roman" w:hAnsi="Times New Roman"/>
          <w:sz w:val="20"/>
          <w:szCs w:val="20"/>
        </w:rPr>
        <w:t>assay</w:t>
      </w:r>
      <w:r>
        <w:rPr>
          <w:rFonts w:ascii="Times New Roman" w:hAnsi="Times New Roman"/>
          <w:sz w:val="20"/>
          <w:szCs w:val="20"/>
        </w:rPr>
        <w:t xml:space="preserve"> [23]</w:t>
      </w:r>
      <w:r w:rsidRPr="009B1B6A">
        <w:rPr>
          <w:rFonts w:ascii="Times New Roman" w:hAnsi="Times New Roman"/>
          <w:sz w:val="20"/>
          <w:szCs w:val="20"/>
        </w:rPr>
        <w:t>.  Four milligram of samples were dissolved in 4 mL of 99.5% (w/v) ethanol and were mixed with linoleic acid (2.51% v/v) in 99.5% (w/v).  Next, ethanol (4.1 mL), 0.05 M phosphate buffer pH 7.0 (8 mL) and distilled water (3.9 mL) were added into the mixture and was kept in screw-cap container in a dark storage at 40ºC.  Then, 0.1 mL of this solution was added with 9.7 mL of 75% (v/v) ethanol and 0.1 mL of 30% (w/v) NH</w:t>
      </w:r>
      <w:r w:rsidRPr="009B1B6A">
        <w:rPr>
          <w:rFonts w:ascii="Times New Roman" w:hAnsi="Times New Roman"/>
          <w:sz w:val="20"/>
          <w:szCs w:val="20"/>
          <w:vertAlign w:val="subscript"/>
        </w:rPr>
        <w:t>4</w:t>
      </w:r>
      <w:r>
        <w:rPr>
          <w:rFonts w:ascii="Times New Roman" w:hAnsi="Times New Roman"/>
          <w:sz w:val="20"/>
          <w:szCs w:val="20"/>
        </w:rPr>
        <w:t xml:space="preserve">SCN.  Precisely, 3 </w:t>
      </w:r>
      <w:r w:rsidRPr="009B1B6A">
        <w:rPr>
          <w:rFonts w:ascii="Times New Roman" w:hAnsi="Times New Roman"/>
          <w:sz w:val="20"/>
          <w:szCs w:val="20"/>
        </w:rPr>
        <w:t>mins after the addition of 0.1 mL of 20 mM ferrous chloride (FeCl</w:t>
      </w:r>
      <w:r w:rsidRPr="009B1B6A">
        <w:rPr>
          <w:rFonts w:ascii="Times New Roman" w:hAnsi="Times New Roman"/>
          <w:sz w:val="20"/>
          <w:szCs w:val="20"/>
          <w:vertAlign w:val="subscript"/>
        </w:rPr>
        <w:t>2</w:t>
      </w:r>
      <w:r w:rsidRPr="009B1B6A">
        <w:rPr>
          <w:rFonts w:ascii="Times New Roman" w:hAnsi="Times New Roman"/>
          <w:sz w:val="20"/>
          <w:szCs w:val="20"/>
        </w:rPr>
        <w:t>) in 3.5% (v/v) HCl to the reaction mixture, the absorbance of the producing red color was measured at 500 nm using spectrophotometer (Spectronic GENESYS 20) for seven days.  Using the absorbance reading, the percentage of inhibition of linoleic acid was calculated according to the following formula</w:t>
      </w:r>
      <w:r>
        <w:rPr>
          <w:rFonts w:ascii="Times New Roman" w:hAnsi="Times New Roman"/>
          <w:sz w:val="20"/>
          <w:szCs w:val="20"/>
        </w:rPr>
        <w:t xml:space="preserve"> (equation 1)</w:t>
      </w:r>
      <w:r w:rsidRPr="009B1B6A">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Default="00DA5B15" w:rsidP="00DA5B15">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Absorbance of sample</w:t>
      </w:r>
    </w:p>
    <w:p w:rsidR="00DA5B15" w:rsidRDefault="00DA5B15" w:rsidP="00DA5B15">
      <w:pPr>
        <w:pStyle w:val="NoSpacing"/>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59264" behindDoc="0" locked="0" layoutInCell="1" allowOverlap="1" wp14:anchorId="148AC893" wp14:editId="2B3D5DC9">
                <wp:simplePos x="0" y="0"/>
                <wp:positionH relativeFrom="column">
                  <wp:posOffset>3124200</wp:posOffset>
                </wp:positionH>
                <wp:positionV relativeFrom="paragraph">
                  <wp:posOffset>85725</wp:posOffset>
                </wp:positionV>
                <wp:extent cx="1219200" cy="9525"/>
                <wp:effectExtent l="0" t="0" r="19050" b="28575"/>
                <wp:wrapNone/>
                <wp:docPr id="3" name="Straight Connector 3"/>
                <wp:cNvGraphicFramePr/>
                <a:graphic xmlns:a="http://schemas.openxmlformats.org/drawingml/2006/main">
                  <a:graphicData uri="http://schemas.microsoft.com/office/word/2010/wordprocessingShape">
                    <wps:wsp>
                      <wps:cNvCnPr/>
                      <wps:spPr>
                        <a:xfrm flipV="1">
                          <a:off x="0" y="0"/>
                          <a:ext cx="121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46pt,6.75pt" to="34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" strokecolor="black [3213]"/>
            </w:pict>
          </mc:Fallback>
        </mc:AlternateContent>
      </w:r>
      <w:r w:rsidRPr="00BA78CB">
        <w:rPr>
          <w:rFonts w:ascii="Times New Roman" w:hAnsi="Times New Roman"/>
          <w:sz w:val="20"/>
          <w:szCs w:val="20"/>
        </w:rPr>
        <w:t xml:space="preserve"> </w:t>
      </w:r>
      <w:r>
        <w:rPr>
          <w:rFonts w:ascii="Times New Roman" w:hAnsi="Times New Roman"/>
          <w:sz w:val="20"/>
          <w:szCs w:val="20"/>
        </w:rPr>
        <w:tab/>
      </w:r>
      <w:r w:rsidRPr="00BA78CB">
        <w:rPr>
          <w:rFonts w:ascii="Times New Roman" w:hAnsi="Times New Roman"/>
          <w:sz w:val="20"/>
          <w:szCs w:val="20"/>
        </w:rPr>
        <w:t>Linol</w:t>
      </w:r>
      <w:r>
        <w:rPr>
          <w:rFonts w:ascii="Times New Roman" w:hAnsi="Times New Roman"/>
          <w:sz w:val="20"/>
          <w:szCs w:val="20"/>
        </w:rPr>
        <w:t xml:space="preserve">eic </w:t>
      </w:r>
      <w:r w:rsidRPr="00BA78CB">
        <w:rPr>
          <w:rFonts w:ascii="Times New Roman" w:hAnsi="Times New Roman"/>
          <w:sz w:val="20"/>
          <w:szCs w:val="20"/>
        </w:rPr>
        <w:t xml:space="preserve">acid peroxidation inhibition </w:t>
      </w:r>
      <w:r>
        <w:rPr>
          <w:rFonts w:ascii="Times New Roman" w:hAnsi="Times New Roman"/>
          <w:sz w:val="20"/>
          <w:szCs w:val="20"/>
        </w:rPr>
        <w:t>(%) = [100 – (</w:t>
      </w:r>
      <w:r>
        <w:rPr>
          <w:rFonts w:ascii="Times New Roman" w:hAnsi="Times New Roman"/>
          <w:sz w:val="20"/>
          <w:szCs w:val="20"/>
        </w:rPr>
        <w:t xml:space="preserve">                                         </w:t>
      </w:r>
      <w:r>
        <w:rPr>
          <w:rFonts w:ascii="Times New Roman" w:hAnsi="Times New Roman"/>
          <w:sz w:val="20"/>
          <w:szCs w:val="20"/>
        </w:rPr>
        <w:t xml:space="preserve">) x 100]    </w:t>
      </w:r>
      <w:r>
        <w:rPr>
          <w:rFonts w:ascii="Times New Roman" w:hAnsi="Times New Roman"/>
          <w:sz w:val="20"/>
          <w:szCs w:val="20"/>
        </w:rPr>
        <w:t xml:space="preserve">                         </w:t>
      </w:r>
      <w:r>
        <w:rPr>
          <w:rFonts w:ascii="Times New Roman" w:hAnsi="Times New Roman"/>
          <w:sz w:val="20"/>
          <w:szCs w:val="20"/>
        </w:rPr>
        <w:t xml:space="preserve"> (1)</w:t>
      </w:r>
    </w:p>
    <w:p w:rsidR="00DA5B15" w:rsidRDefault="00DA5B15" w:rsidP="00DA5B15">
      <w:pPr>
        <w:pStyle w:val="NoSpacing"/>
        <w:tabs>
          <w:tab w:val="left" w:pos="567"/>
        </w:tabs>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Absorbance of control</w:t>
      </w:r>
    </w:p>
    <w:p w:rsidR="00DA5B15" w:rsidRDefault="00DA5B15" w:rsidP="00DA5B15">
      <w:pPr>
        <w:pStyle w:val="NoSpacing"/>
        <w:tabs>
          <w:tab w:val="left" w:pos="567"/>
        </w:tabs>
        <w:jc w:val="both"/>
        <w:rPr>
          <w:rFonts w:ascii="Times New Roman" w:hAnsi="Times New Roman"/>
          <w:sz w:val="20"/>
          <w:szCs w:val="20"/>
        </w:rPr>
      </w:pPr>
    </w:p>
    <w:p w:rsidR="00DA5B15" w:rsidRPr="00E328FC" w:rsidRDefault="00DA5B15" w:rsidP="00DA5B15">
      <w:pPr>
        <w:pStyle w:val="NoSpacing"/>
        <w:jc w:val="both"/>
        <w:rPr>
          <w:rFonts w:ascii="Times New Roman" w:hAnsi="Times New Roman"/>
          <w:b/>
          <w:iCs/>
          <w:color w:val="000000"/>
          <w:sz w:val="20"/>
          <w:szCs w:val="20"/>
        </w:rPr>
      </w:pPr>
      <w:r w:rsidRPr="00E328FC">
        <w:rPr>
          <w:rFonts w:ascii="Times New Roman" w:hAnsi="Times New Roman"/>
          <w:b/>
          <w:iCs/>
          <w:color w:val="000000"/>
          <w:sz w:val="20"/>
          <w:szCs w:val="20"/>
        </w:rPr>
        <w:t>DPPH Radical Scavenging Activity Assay</w:t>
      </w:r>
    </w:p>
    <w:p w:rsidR="00DA5B15" w:rsidRDefault="00DA5B15" w:rsidP="00DA5B15">
      <w:pPr>
        <w:pStyle w:val="NoSpacing"/>
        <w:jc w:val="both"/>
        <w:rPr>
          <w:rFonts w:ascii="Times New Roman" w:hAnsi="Times New Roman"/>
          <w:sz w:val="20"/>
          <w:szCs w:val="20"/>
        </w:rPr>
      </w:pPr>
      <w:r w:rsidRPr="00BA78CB">
        <w:rPr>
          <w:rFonts w:ascii="Times New Roman" w:hAnsi="Times New Roman"/>
          <w:sz w:val="20"/>
          <w:szCs w:val="20"/>
        </w:rPr>
        <w:t>The DPPH radical scavenging activity assay was determined according to the method of Azlim Almey et al</w:t>
      </w:r>
      <w:r w:rsidRPr="00BA78CB">
        <w:rPr>
          <w:rFonts w:ascii="Times New Roman" w:hAnsi="Times New Roman"/>
          <w:i/>
          <w:iCs/>
          <w:sz w:val="20"/>
          <w:szCs w:val="20"/>
        </w:rPr>
        <w:t xml:space="preserve">. </w:t>
      </w:r>
      <w:r w:rsidRPr="00BA78CB">
        <w:rPr>
          <w:rFonts w:ascii="Times New Roman" w:hAnsi="Times New Roman"/>
          <w:sz w:val="20"/>
          <w:szCs w:val="20"/>
        </w:rPr>
        <w:t xml:space="preserve">[24].  Different concentrations of diluted sample extracts (1.0, 2.0, 3.0, 5.0, and 10.0 mg/mL) were prepared.  First, 6.0 mg of DPPH was dissolved in 100 mL methanol to make up a DPPH solution.  Then, 2.0 mL of DPPH solution were transferred into a test tube and 1.0 mL of each diluted sample extracts were mixed with the solution.  1.0 mL of methanol was added into 2.0 mL DPPH solution as a control.  The standard reference used was gallic </w:t>
      </w:r>
      <w:r>
        <w:rPr>
          <w:rFonts w:ascii="Times New Roman" w:hAnsi="Times New Roman"/>
          <w:sz w:val="20"/>
          <w:szCs w:val="20"/>
        </w:rPr>
        <w:t>acid.  The solution mixture was</w:t>
      </w:r>
      <w:r w:rsidRPr="00BA78CB">
        <w:rPr>
          <w:rFonts w:ascii="Times New Roman" w:hAnsi="Times New Roman"/>
          <w:sz w:val="20"/>
          <w:szCs w:val="20"/>
        </w:rPr>
        <w:t xml:space="preserve"> shaken vigorously and placed in a dark condition for 30 min</w:t>
      </w:r>
      <w:r>
        <w:rPr>
          <w:rFonts w:ascii="Times New Roman" w:hAnsi="Times New Roman"/>
          <w:sz w:val="20"/>
          <w:szCs w:val="20"/>
        </w:rPr>
        <w:t>s</w:t>
      </w:r>
      <w:r w:rsidRPr="00BA78CB">
        <w:rPr>
          <w:rFonts w:ascii="Times New Roman" w:hAnsi="Times New Roman"/>
          <w:sz w:val="20"/>
          <w:szCs w:val="20"/>
        </w:rPr>
        <w:t xml:space="preserve">.  Then, the absorbance of the mixture was determined at 517 nm using spectrophotometer (Spectronic GENESYS 20).  The scavenging activity of the extracts was calculated using the following </w:t>
      </w:r>
      <w:r>
        <w:rPr>
          <w:rFonts w:ascii="Times New Roman" w:hAnsi="Times New Roman"/>
          <w:sz w:val="20"/>
          <w:szCs w:val="20"/>
        </w:rPr>
        <w:t>(</w:t>
      </w:r>
      <w:r w:rsidRPr="00BA78CB">
        <w:rPr>
          <w:rFonts w:ascii="Times New Roman" w:hAnsi="Times New Roman"/>
          <w:sz w:val="20"/>
          <w:szCs w:val="20"/>
        </w:rPr>
        <w:t>equation</w:t>
      </w:r>
      <w:r>
        <w:rPr>
          <w:rFonts w:ascii="Times New Roman" w:hAnsi="Times New Roman"/>
          <w:sz w:val="20"/>
          <w:szCs w:val="20"/>
        </w:rPr>
        <w:t xml:space="preserve"> 2)</w:t>
      </w:r>
      <w:r w:rsidRPr="00BA78CB">
        <w:rPr>
          <w:rFonts w:ascii="Times New Roman" w:hAnsi="Times New Roman"/>
          <w:sz w:val="20"/>
          <w:szCs w:val="20"/>
        </w:rPr>
        <w:t>:</w:t>
      </w:r>
    </w:p>
    <w:p w:rsidR="00DA5B15" w:rsidRDefault="00DA5B15" w:rsidP="00DA5B15">
      <w:pPr>
        <w:pStyle w:val="NoSpacing"/>
        <w:jc w:val="both"/>
        <w:rPr>
          <w:rFonts w:ascii="Times New Roman" w:hAnsi="Times New Roman"/>
          <w:sz w:val="20"/>
          <w:szCs w:val="20"/>
        </w:rPr>
      </w:pPr>
    </w:p>
    <w:p w:rsidR="00DA5B15" w:rsidRPr="00BA78CB" w:rsidRDefault="00DA5B15" w:rsidP="00DA5B15">
      <w:pPr>
        <w:pStyle w:val="NoSpacing"/>
        <w:jc w:val="both"/>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Absorbance of sample</w:t>
      </w:r>
    </w:p>
    <w:p w:rsidR="00DA5B15" w:rsidRDefault="00DA5B15" w:rsidP="00DA5B15">
      <w:pPr>
        <w:pStyle w:val="NoSpacing"/>
        <w:jc w:val="both"/>
        <w:rPr>
          <w:rFonts w:ascii="Times New Roman" w:hAnsi="Times New Roman"/>
          <w:sz w:val="20"/>
          <w:szCs w:val="20"/>
        </w:rPr>
      </w:pPr>
      <w:r>
        <w:rPr>
          <w:rFonts w:ascii="Times New Roman" w:hAnsi="Times New Roman"/>
          <w:noProof/>
          <w:sz w:val="20"/>
          <w:szCs w:val="20"/>
          <w:lang w:bidi="ar-SA"/>
        </w:rPr>
        <mc:AlternateContent>
          <mc:Choice Requires="wps">
            <w:drawing>
              <wp:anchor distT="0" distB="0" distL="114300" distR="114300" simplePos="0" relativeHeight="251661312" behindDoc="0" locked="0" layoutInCell="1" allowOverlap="1" wp14:anchorId="73F2529C" wp14:editId="32581EE3">
                <wp:simplePos x="0" y="0"/>
                <wp:positionH relativeFrom="column">
                  <wp:posOffset>2066925</wp:posOffset>
                </wp:positionH>
                <wp:positionV relativeFrom="paragraph">
                  <wp:posOffset>80010</wp:posOffset>
                </wp:positionV>
                <wp:extent cx="12192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121920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62.75pt,6.3pt" to="258.7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" strokecolor="black [3213]"/>
            </w:pict>
          </mc:Fallback>
        </mc:AlternateContent>
      </w:r>
      <w:r>
        <w:rPr>
          <w:rFonts w:ascii="Times New Roman" w:hAnsi="Times New Roman"/>
          <w:sz w:val="20"/>
          <w:szCs w:val="20"/>
        </w:rPr>
        <w:t xml:space="preserve">            </w:t>
      </w:r>
      <w:r w:rsidRPr="00BA78CB">
        <w:rPr>
          <w:rFonts w:ascii="Times New Roman" w:hAnsi="Times New Roman"/>
          <w:sz w:val="20"/>
          <w:szCs w:val="20"/>
        </w:rPr>
        <w:t>Scavenging activity (%)</w:t>
      </w:r>
      <w:r>
        <w:rPr>
          <w:rFonts w:ascii="Times New Roman" w:hAnsi="Times New Roman"/>
          <w:sz w:val="20"/>
          <w:szCs w:val="20"/>
        </w:rPr>
        <w:t xml:space="preserve"> = [1- (</w:t>
      </w:r>
      <w:r>
        <w:rPr>
          <w:rFonts w:ascii="Times New Roman" w:hAnsi="Times New Roman"/>
          <w:sz w:val="20"/>
          <w:szCs w:val="20"/>
        </w:rPr>
        <w:t xml:space="preserve">                                            </w:t>
      </w:r>
      <w:r>
        <w:rPr>
          <w:rFonts w:ascii="Times New Roman" w:hAnsi="Times New Roman"/>
          <w:sz w:val="20"/>
          <w:szCs w:val="20"/>
        </w:rPr>
        <w:t>) x 100]</w:t>
      </w:r>
      <w:r>
        <w:rPr>
          <w:rFonts w:ascii="Times New Roman" w:hAnsi="Times New Roman"/>
          <w:sz w:val="20"/>
          <w:szCs w:val="20"/>
        </w:rPr>
        <w:tab/>
      </w:r>
      <w:r>
        <w:rPr>
          <w:rFonts w:ascii="Times New Roman" w:hAnsi="Times New Roman"/>
          <w:sz w:val="20"/>
          <w:szCs w:val="20"/>
        </w:rPr>
        <w:tab/>
      </w:r>
      <w:r w:rsidR="00F36A6F">
        <w:rPr>
          <w:rFonts w:ascii="Times New Roman" w:hAnsi="Times New Roman"/>
          <w:sz w:val="20"/>
          <w:szCs w:val="20"/>
        </w:rPr>
        <w:t xml:space="preserve">                                     </w:t>
      </w:r>
      <w:r>
        <w:rPr>
          <w:rFonts w:ascii="Times New Roman" w:hAnsi="Times New Roman"/>
          <w:sz w:val="20"/>
          <w:szCs w:val="20"/>
        </w:rPr>
        <w:t>(2)</w:t>
      </w:r>
    </w:p>
    <w:p w:rsidR="00DA5B15" w:rsidRDefault="00DA5B15" w:rsidP="00DA5B15">
      <w:pPr>
        <w:pStyle w:val="NoSpacing"/>
        <w:jc w:val="both"/>
        <w:rPr>
          <w:rFonts w:ascii="Times New Roman" w:hAnsi="Times New Roman"/>
          <w:sz w:val="20"/>
          <w:szCs w:val="20"/>
        </w:rPr>
      </w:pPr>
      <w:r>
        <w:rPr>
          <w:rFonts w:ascii="Times New Roman" w:hAnsi="Times New Roman"/>
          <w:sz w:val="20"/>
          <w:szCs w:val="20"/>
        </w:rPr>
        <w:t xml:space="preserve">                                                                 </w:t>
      </w:r>
      <w:r w:rsidR="00F36A6F">
        <w:rPr>
          <w:rFonts w:ascii="Times New Roman" w:hAnsi="Times New Roman"/>
          <w:sz w:val="20"/>
          <w:szCs w:val="20"/>
        </w:rPr>
        <w:t xml:space="preserve">  </w:t>
      </w:r>
      <w:r>
        <w:rPr>
          <w:rFonts w:ascii="Times New Roman" w:hAnsi="Times New Roman"/>
          <w:sz w:val="20"/>
          <w:szCs w:val="20"/>
        </w:rPr>
        <w:t>Absorbance of control</w:t>
      </w:r>
    </w:p>
    <w:p w:rsidR="00DA5B15" w:rsidRDefault="00DA5B15" w:rsidP="00DA5B15">
      <w:pPr>
        <w:pStyle w:val="NoSpacing"/>
        <w:jc w:val="both"/>
        <w:rPr>
          <w:rFonts w:ascii="Times New Roman" w:hAnsi="Times New Roman"/>
          <w:sz w:val="20"/>
          <w:szCs w:val="20"/>
        </w:rPr>
      </w:pPr>
    </w:p>
    <w:p w:rsidR="00DA5B15" w:rsidRPr="00A150B0" w:rsidRDefault="00DA5B15" w:rsidP="00DA5B15">
      <w:pPr>
        <w:pStyle w:val="NoSpacing"/>
        <w:jc w:val="both"/>
        <w:rPr>
          <w:rFonts w:ascii="Times New Roman" w:hAnsi="Times New Roman"/>
          <w:sz w:val="20"/>
          <w:szCs w:val="20"/>
        </w:rPr>
      </w:pPr>
      <w:r w:rsidRPr="00A150B0">
        <w:rPr>
          <w:rFonts w:ascii="Times New Roman" w:hAnsi="Times New Roman"/>
          <w:sz w:val="20"/>
          <w:szCs w:val="20"/>
        </w:rPr>
        <w:t>DPPH radical scavenging activities of the samples were expressed as half maximal inhibitory concentration (IC</w:t>
      </w:r>
      <w:r w:rsidRPr="00A150B0">
        <w:rPr>
          <w:rFonts w:ascii="Times New Roman" w:hAnsi="Times New Roman"/>
          <w:sz w:val="20"/>
          <w:szCs w:val="20"/>
          <w:vertAlign w:val="subscript"/>
        </w:rPr>
        <w:t>50</w:t>
      </w:r>
      <w:r w:rsidRPr="00A150B0">
        <w:rPr>
          <w:rFonts w:ascii="Times New Roman" w:hAnsi="Times New Roman"/>
          <w:sz w:val="20"/>
          <w:szCs w:val="20"/>
        </w:rPr>
        <w:t>) values, which indicate the concentration of extracts that required to scavenge 50</w:t>
      </w:r>
      <w:r>
        <w:rPr>
          <w:rFonts w:ascii="Times New Roman" w:hAnsi="Times New Roman"/>
          <w:sz w:val="20"/>
          <w:szCs w:val="20"/>
        </w:rPr>
        <w:t xml:space="preserve"> </w:t>
      </w:r>
      <w:r w:rsidRPr="00A150B0">
        <w:rPr>
          <w:rFonts w:ascii="Times New Roman" w:hAnsi="Times New Roman"/>
          <w:sz w:val="20"/>
          <w:szCs w:val="20"/>
        </w:rPr>
        <w:t>% of DPPH free radicals.  The IC</w:t>
      </w:r>
      <w:r w:rsidRPr="00A150B0">
        <w:rPr>
          <w:rFonts w:ascii="Times New Roman" w:hAnsi="Times New Roman"/>
          <w:sz w:val="20"/>
          <w:szCs w:val="20"/>
          <w:vertAlign w:val="subscript"/>
        </w:rPr>
        <w:t xml:space="preserve">50 </w:t>
      </w:r>
      <w:r w:rsidRPr="00A150B0">
        <w:rPr>
          <w:rFonts w:ascii="Times New Roman" w:hAnsi="Times New Roman"/>
          <w:sz w:val="20"/>
          <w:szCs w:val="20"/>
        </w:rPr>
        <w:t xml:space="preserve">values were estimated by plotting the graph of scavenging activity against concentration (10, 20, 30, 50, and 100 ppm) of gallic acid.  </w:t>
      </w:r>
    </w:p>
    <w:p w:rsidR="00DA5B15" w:rsidRPr="00A150B0" w:rsidRDefault="00DA5B15" w:rsidP="00DA5B15">
      <w:pPr>
        <w:pStyle w:val="NoSpacing"/>
        <w:jc w:val="both"/>
        <w:rPr>
          <w:rFonts w:ascii="Times New Roman" w:hAnsi="Times New Roman"/>
          <w:sz w:val="20"/>
          <w:szCs w:val="20"/>
        </w:rPr>
      </w:pPr>
    </w:p>
    <w:p w:rsidR="00DA5B15" w:rsidRPr="00616ED8" w:rsidRDefault="00DA5B15" w:rsidP="00DA5B15">
      <w:pPr>
        <w:pStyle w:val="NoSpacing"/>
        <w:jc w:val="both"/>
        <w:rPr>
          <w:rFonts w:ascii="Times New Roman" w:hAnsi="Times New Roman"/>
          <w:b/>
          <w:bCs/>
          <w:sz w:val="20"/>
          <w:szCs w:val="20"/>
        </w:rPr>
      </w:pPr>
      <w:r>
        <w:rPr>
          <w:rFonts w:ascii="Times New Roman" w:hAnsi="Times New Roman"/>
          <w:b/>
          <w:bCs/>
          <w:sz w:val="20"/>
          <w:szCs w:val="20"/>
        </w:rPr>
        <w:t>Statistical An</w:t>
      </w:r>
      <w:r w:rsidRPr="00616ED8">
        <w:rPr>
          <w:rFonts w:ascii="Times New Roman" w:hAnsi="Times New Roman"/>
          <w:b/>
          <w:bCs/>
          <w:sz w:val="20"/>
          <w:szCs w:val="20"/>
        </w:rPr>
        <w:t>alysis</w:t>
      </w:r>
    </w:p>
    <w:p w:rsidR="00DA5B15" w:rsidRPr="00A150B0" w:rsidRDefault="00DA5B15" w:rsidP="00DA5B15">
      <w:pPr>
        <w:pStyle w:val="NoSpacing"/>
        <w:jc w:val="both"/>
        <w:rPr>
          <w:rFonts w:ascii="Times New Roman" w:hAnsi="Times New Roman"/>
          <w:sz w:val="20"/>
          <w:szCs w:val="20"/>
        </w:rPr>
      </w:pPr>
      <w:r w:rsidRPr="00A150B0">
        <w:rPr>
          <w:rFonts w:ascii="Times New Roman" w:hAnsi="Times New Roman"/>
          <w:sz w:val="20"/>
          <w:szCs w:val="20"/>
        </w:rPr>
        <w:t xml:space="preserve">All experimental results were analyzed using Minitab software (Minitab Version 15.1.10).  Every measurement of each assay and sample was done in triplicate.  The experimental data were calculated using complete randomized design (CRD) and analysis of variance (ANOVA).  The Duncan’s multiple range test (DMRT) and one-way ANOVA were used to determine the significant differences among means from triplicate analysis at </w:t>
      </w:r>
      <w:r w:rsidRPr="00EA6FF8">
        <w:rPr>
          <w:rFonts w:ascii="Times New Roman" w:hAnsi="Times New Roman"/>
          <w:sz w:val="20"/>
          <w:szCs w:val="20"/>
        </w:rPr>
        <w:t>p</w:t>
      </w:r>
      <w:r w:rsidRPr="00A150B0">
        <w:rPr>
          <w:rFonts w:ascii="Times New Roman" w:hAnsi="Times New Roman"/>
          <w:sz w:val="20"/>
          <w:szCs w:val="20"/>
        </w:rPr>
        <w:t xml:space="preserve">&lt;0.05.  Pearson’s correlation test was also determined to assess correlation between means. </w:t>
      </w:r>
    </w:p>
    <w:p w:rsidR="006768E9" w:rsidRPr="00802DCC" w:rsidRDefault="006768E9" w:rsidP="006B1068">
      <w:pPr>
        <w:spacing w:after="0" w:line="240" w:lineRule="auto"/>
        <w:jc w:val="both"/>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Results and Discussion</w:t>
      </w:r>
    </w:p>
    <w:p w:rsidR="00F36A6F" w:rsidRPr="00F36A6F" w:rsidRDefault="00F36A6F" w:rsidP="00F36A6F">
      <w:pPr>
        <w:pStyle w:val="NoSpacing"/>
        <w:jc w:val="both"/>
        <w:rPr>
          <w:rFonts w:ascii="Times New Roman" w:hAnsi="Times New Roman"/>
          <w:b/>
          <w:bCs/>
          <w:color w:val="000000"/>
          <w:sz w:val="20"/>
          <w:szCs w:val="20"/>
        </w:rPr>
      </w:pPr>
      <w:r w:rsidRPr="00F36A6F">
        <w:rPr>
          <w:rFonts w:ascii="Times New Roman" w:hAnsi="Times New Roman"/>
          <w:b/>
          <w:bCs/>
          <w:color w:val="000000"/>
          <w:sz w:val="20"/>
          <w:szCs w:val="20"/>
        </w:rPr>
        <w:t>Extraction yield and Total Phenolic Content</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color w:val="000000"/>
          <w:sz w:val="20"/>
          <w:szCs w:val="20"/>
        </w:rPr>
        <w:t xml:space="preserve">The yields of water and ethanolic extracts of vegetables are shown in Figure 1. From the Figure, the highest yield of extracts were demonstrated in water and ethanolic extracts of </w:t>
      </w:r>
      <w:r w:rsidRPr="00F36A6F">
        <w:rPr>
          <w:rFonts w:ascii="Times New Roman" w:hAnsi="Times New Roman"/>
          <w:i/>
          <w:iCs/>
          <w:color w:val="000000"/>
          <w:sz w:val="20"/>
          <w:szCs w:val="20"/>
        </w:rPr>
        <w:t>Anacardium occidentale</w:t>
      </w:r>
      <w:r w:rsidRPr="00F36A6F">
        <w:rPr>
          <w:rFonts w:ascii="Times New Roman" w:hAnsi="Times New Roman"/>
          <w:color w:val="000000"/>
          <w:sz w:val="20"/>
          <w:szCs w:val="20"/>
        </w:rPr>
        <w:t xml:space="preserve"> shoot with percentage of yield of 3.10% and 1.98%, respectively.</w:t>
      </w:r>
      <w:r w:rsidRPr="00F36A6F">
        <w:rPr>
          <w:rFonts w:ascii="Times New Roman" w:hAnsi="Times New Roman"/>
          <w:sz w:val="20"/>
          <w:szCs w:val="20"/>
        </w:rPr>
        <w:t xml:space="preserve">  The lowest extraction yields were obtained in water extracts of </w:t>
      </w:r>
      <w:r w:rsidRPr="00F36A6F">
        <w:rPr>
          <w:rFonts w:ascii="Times New Roman" w:hAnsi="Times New Roman"/>
          <w:i/>
          <w:iCs/>
          <w:sz w:val="20"/>
          <w:szCs w:val="20"/>
        </w:rPr>
        <w:t xml:space="preserve">Manihot esculenta </w:t>
      </w:r>
      <w:r w:rsidRPr="00F36A6F">
        <w:rPr>
          <w:rFonts w:ascii="Times New Roman" w:hAnsi="Times New Roman"/>
          <w:sz w:val="20"/>
          <w:szCs w:val="20"/>
        </w:rPr>
        <w:t xml:space="preserve">shoot (0.22%) and ethanolic extracts of </w:t>
      </w:r>
      <w:r w:rsidRPr="00F36A6F">
        <w:rPr>
          <w:rFonts w:ascii="Times New Roman" w:hAnsi="Times New Roman"/>
          <w:i/>
          <w:iCs/>
          <w:sz w:val="20"/>
          <w:szCs w:val="20"/>
        </w:rPr>
        <w:t xml:space="preserve">Etlingera elatior </w:t>
      </w:r>
      <w:r w:rsidRPr="00F36A6F">
        <w:rPr>
          <w:rFonts w:ascii="Times New Roman" w:hAnsi="Times New Roman"/>
          <w:sz w:val="20"/>
          <w:szCs w:val="20"/>
        </w:rPr>
        <w:t xml:space="preserve">(0.05%).  Results found that the yields of water extracts were varied in the range between 0.22 and 3.10% while the ethanolic extracts yields were in the range between 0.05 and 1.98%.  </w:t>
      </w:r>
    </w:p>
    <w:p w:rsidR="00F36A6F" w:rsidRPr="00F36A6F" w:rsidRDefault="00F36A6F" w:rsidP="00F36A6F">
      <w:pPr>
        <w:pStyle w:val="NoSpacing"/>
        <w:jc w:val="center"/>
        <w:rPr>
          <w:rFonts w:ascii="Times New Roman" w:hAnsi="Times New Roman"/>
          <w:sz w:val="20"/>
          <w:szCs w:val="20"/>
        </w:rPr>
      </w:pPr>
      <w:r w:rsidRPr="00F36A6F">
        <w:rPr>
          <w:rFonts w:ascii="Times New Roman" w:hAnsi="Times New Roman"/>
          <w:noProof/>
          <w:sz w:val="20"/>
          <w:szCs w:val="20"/>
          <w:lang w:bidi="ar-SA"/>
        </w:rPr>
        <w:lastRenderedPageBreak/>
        <w:drawing>
          <wp:inline distT="0" distB="0" distL="0" distR="0" wp14:anchorId="55C44B11" wp14:editId="66809DE5">
            <wp:extent cx="5238115" cy="352996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115" cy="3529965"/>
                    </a:xfrm>
                    <a:prstGeom prst="rect">
                      <a:avLst/>
                    </a:prstGeom>
                    <a:noFill/>
                  </pic:spPr>
                </pic:pic>
              </a:graphicData>
            </a:graphic>
          </wp:inline>
        </w:drawing>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center"/>
        <w:rPr>
          <w:rFonts w:ascii="Times New Roman" w:hAnsi="Times New Roman"/>
          <w:sz w:val="20"/>
          <w:szCs w:val="20"/>
        </w:rPr>
      </w:pPr>
      <w:r>
        <w:rPr>
          <w:rFonts w:ascii="Times New Roman" w:hAnsi="Times New Roman"/>
          <w:sz w:val="20"/>
          <w:szCs w:val="20"/>
        </w:rPr>
        <w:t xml:space="preserve">Figure 1.  </w:t>
      </w:r>
      <w:r w:rsidRPr="00F36A6F">
        <w:rPr>
          <w:rFonts w:ascii="Times New Roman" w:hAnsi="Times New Roman"/>
          <w:sz w:val="20"/>
          <w:szCs w:val="20"/>
        </w:rPr>
        <w:t>Yields of water and ethanolic extracts of vegetables</w:t>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The amount of extraction yields are depends on the solvent and method of extraction.  Water and ethanol are the most commonly solvents used in plant extraction because of their low toxicity and safer to be used [13, 18, 25].  The different polarity of different solvent will obtain different amount of extraction yield.  Furthermore, water was always used for blanching and boiling the traditional vegetables before people consuming vegetables [11, 18].  This result also revealed that water extraction of vegetables was higher than ethanolic extraction except for </w:t>
      </w:r>
      <w:r w:rsidRPr="00F36A6F">
        <w:rPr>
          <w:rFonts w:ascii="Times New Roman" w:hAnsi="Times New Roman"/>
          <w:i/>
          <w:iCs/>
          <w:sz w:val="20"/>
          <w:szCs w:val="20"/>
        </w:rPr>
        <w:t>Manihot esculenta</w:t>
      </w:r>
      <w:r w:rsidRPr="00F36A6F">
        <w:rPr>
          <w:rFonts w:ascii="Times New Roman" w:hAnsi="Times New Roman"/>
          <w:sz w:val="20"/>
          <w:szCs w:val="20"/>
        </w:rPr>
        <w:t xml:space="preserve"> shoot (Figure 1).  Hence, polar solvent such as water, ethanol, and methanol were proven to be more efficient to produce high yield in leaves as well as to extract phenolic compounds [13, 18, 26-27].  </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Table 1 shows the total phenolic content of water and ethanolic extracts determined using Folin-Ciocalteu and Prussian-Blue assays.  From the table, results showed that the total phenolic content of water extracts of vegetable ranged from </w:t>
      </w:r>
      <w:r w:rsidRPr="00F36A6F">
        <w:rPr>
          <w:rFonts w:ascii="Times New Roman" w:hAnsi="Times New Roman"/>
          <w:color w:val="000000"/>
          <w:sz w:val="20"/>
          <w:szCs w:val="20"/>
        </w:rPr>
        <w:t>7.08 to 14.76 mg GAE when were determined using Folin-Ciocalteu assay.  However, the total phenolic content of</w:t>
      </w:r>
      <w:r w:rsidRPr="00F36A6F">
        <w:rPr>
          <w:rFonts w:ascii="Times New Roman" w:hAnsi="Times New Roman"/>
          <w:sz w:val="20"/>
          <w:szCs w:val="20"/>
        </w:rPr>
        <w:t xml:space="preserve"> water extracts of vegetables varied in the range between 3.50 and 7.82 mg GAE when were measured using Prussian-Blue assay.  In the ethanolic extracts, total phenolic content of vegetables were varied in the range between 5.21 and 15.86 mg GAE, and between 1.84 and 11.54 mg GAE when determined using Folin-Ciocalteu and Prussian-Blue assays, respectively.  Analysis of total phenolic content using Folin-Ciocalteu assay clearly found that water and ethanolic extracts of </w:t>
      </w:r>
      <w:r w:rsidRPr="00F36A6F">
        <w:rPr>
          <w:rFonts w:ascii="Times New Roman" w:hAnsi="Times New Roman"/>
          <w:i/>
          <w:iCs/>
          <w:sz w:val="20"/>
          <w:szCs w:val="20"/>
        </w:rPr>
        <w:t>Anacardium occidentale</w:t>
      </w:r>
      <w:r w:rsidRPr="00F36A6F">
        <w:rPr>
          <w:rFonts w:ascii="Times New Roman" w:hAnsi="Times New Roman"/>
          <w:sz w:val="20"/>
          <w:szCs w:val="20"/>
        </w:rPr>
        <w:t xml:space="preserve"> </w:t>
      </w:r>
      <w:r w:rsidRPr="00F36A6F">
        <w:rPr>
          <w:rFonts w:ascii="Times New Roman" w:hAnsi="Times New Roman"/>
          <w:color w:val="000000"/>
          <w:sz w:val="20"/>
          <w:szCs w:val="20"/>
        </w:rPr>
        <w:t xml:space="preserve">shoot had the highest (p&lt;0.05) total phenolic content.  However, water and ethanolic extracts of </w:t>
      </w:r>
      <w:r w:rsidRPr="00F36A6F">
        <w:rPr>
          <w:rFonts w:ascii="Times New Roman" w:hAnsi="Times New Roman"/>
          <w:i/>
          <w:iCs/>
          <w:color w:val="000000"/>
          <w:sz w:val="20"/>
          <w:szCs w:val="20"/>
        </w:rPr>
        <w:t>Manihot esculenta</w:t>
      </w:r>
      <w:r w:rsidRPr="00F36A6F">
        <w:rPr>
          <w:rFonts w:ascii="Times New Roman" w:hAnsi="Times New Roman"/>
          <w:color w:val="000000"/>
          <w:sz w:val="20"/>
          <w:szCs w:val="20"/>
        </w:rPr>
        <w:t xml:space="preserve"> shoot obtained the highest (p&lt;0.05) total phenolic content when were measured using Prussian-Blue assay.  In general, results found that most of the phenolic content of extracts were higher when determined using Folin-Ciocalteu assay compared to Prussian-Blue assay, except for ethanolic extracts of </w:t>
      </w:r>
      <w:r w:rsidRPr="00F36A6F">
        <w:rPr>
          <w:rFonts w:ascii="Times New Roman" w:hAnsi="Times New Roman"/>
          <w:i/>
          <w:iCs/>
          <w:color w:val="000000"/>
          <w:sz w:val="20"/>
          <w:szCs w:val="20"/>
        </w:rPr>
        <w:t>Manihot esculenta</w:t>
      </w:r>
      <w:r w:rsidRPr="00F36A6F">
        <w:rPr>
          <w:rFonts w:ascii="Times New Roman" w:hAnsi="Times New Roman"/>
          <w:color w:val="000000"/>
          <w:sz w:val="20"/>
          <w:szCs w:val="20"/>
        </w:rPr>
        <w:t xml:space="preserve"> shoot and </w:t>
      </w:r>
      <w:r w:rsidRPr="00F36A6F">
        <w:rPr>
          <w:rFonts w:ascii="Times New Roman" w:hAnsi="Times New Roman"/>
          <w:i/>
          <w:iCs/>
          <w:color w:val="000000"/>
          <w:sz w:val="20"/>
          <w:szCs w:val="20"/>
        </w:rPr>
        <w:t>Psophocarpus tetragonolobus</w:t>
      </w:r>
      <w:r w:rsidRPr="00F36A6F">
        <w:rPr>
          <w:rFonts w:ascii="Times New Roman" w:hAnsi="Times New Roman"/>
          <w:color w:val="000000"/>
          <w:sz w:val="20"/>
          <w:szCs w:val="20"/>
        </w:rPr>
        <w:t>.</w:t>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Previously, González et al</w:t>
      </w:r>
      <w:r w:rsidRPr="00F36A6F">
        <w:rPr>
          <w:rFonts w:ascii="Times New Roman" w:hAnsi="Times New Roman"/>
          <w:i/>
          <w:iCs/>
          <w:sz w:val="20"/>
          <w:szCs w:val="20"/>
        </w:rPr>
        <w:t>.</w:t>
      </w:r>
      <w:r w:rsidRPr="00F36A6F">
        <w:rPr>
          <w:rFonts w:ascii="Times New Roman" w:hAnsi="Times New Roman"/>
          <w:sz w:val="20"/>
          <w:szCs w:val="20"/>
        </w:rPr>
        <w:t xml:space="preserve"> [28] reported that the percentage of phenolic content of propolis from different area in Argentina ranged between 3.25 and 33.49 GAE (analyzed using Folin-Ciocalteu), and 2.36 and 22.86 GAE (analyzed using Prussian Blue assay).  Total phenolic content in red wine was also higher when were determined using Folin-Ciocalteu assay (5.14 to 13.3 mg/L GAE) compared with Prussian-Blue assay (1.8 to 4.8 mg/L GAE). </w:t>
      </w:r>
      <w:r w:rsidRPr="00F36A6F">
        <w:rPr>
          <w:rFonts w:ascii="Times New Roman" w:hAnsi="Times New Roman"/>
          <w:sz w:val="20"/>
          <w:szCs w:val="20"/>
        </w:rPr>
        <w:lastRenderedPageBreak/>
        <w:t xml:space="preserve">However, the content of phenolic determined using Folin-Ciocalteu assay and Prussian Blue assay was approximately similar in white wines [29].  </w:t>
      </w:r>
    </w:p>
    <w:p w:rsid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p>
    <w:p w:rsidR="00F36A6F" w:rsidRDefault="00F36A6F" w:rsidP="00F36A6F">
      <w:pPr>
        <w:spacing w:after="0" w:line="240" w:lineRule="auto"/>
        <w:ind w:left="709" w:hanging="709"/>
        <w:jc w:val="center"/>
        <w:rPr>
          <w:rFonts w:ascii="Times New Roman" w:hAnsi="Times New Roman"/>
          <w:sz w:val="20"/>
          <w:szCs w:val="20"/>
        </w:rPr>
      </w:pPr>
      <w:r w:rsidRPr="00F36A6F">
        <w:rPr>
          <w:rFonts w:ascii="Times New Roman" w:hAnsi="Times New Roman"/>
          <w:sz w:val="20"/>
          <w:szCs w:val="20"/>
        </w:rPr>
        <w:t>Table 1. Total phenolic content of water and ethanolic extracts measured by Folin-Ciocalteu</w:t>
      </w:r>
    </w:p>
    <w:p w:rsidR="00F36A6F" w:rsidRPr="00F36A6F" w:rsidRDefault="00F36A6F" w:rsidP="00F36A6F">
      <w:pPr>
        <w:spacing w:after="120" w:line="240" w:lineRule="auto"/>
        <w:ind w:left="706" w:hanging="706"/>
        <w:jc w:val="center"/>
        <w:rPr>
          <w:rFonts w:ascii="Times New Roman" w:hAnsi="Times New Roman"/>
          <w:sz w:val="20"/>
          <w:szCs w:val="20"/>
        </w:rPr>
      </w:pPr>
      <w:r w:rsidRPr="00F36A6F">
        <w:rPr>
          <w:rFonts w:ascii="Times New Roman" w:hAnsi="Times New Roman"/>
          <w:sz w:val="20"/>
          <w:szCs w:val="20"/>
        </w:rPr>
        <w:t xml:space="preserve"> and Prussian-Blue  assays</w:t>
      </w:r>
    </w:p>
    <w:tbl>
      <w:tblPr>
        <w:tblW w:w="0" w:type="auto"/>
        <w:jc w:val="center"/>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01"/>
        <w:gridCol w:w="1620"/>
        <w:gridCol w:w="1440"/>
        <w:gridCol w:w="1620"/>
        <w:gridCol w:w="1569"/>
      </w:tblGrid>
      <w:tr w:rsidR="00F36A6F" w:rsidRPr="00F36A6F" w:rsidTr="0030708B">
        <w:trPr>
          <w:trHeight w:val="56"/>
          <w:jc w:val="center"/>
        </w:trPr>
        <w:tc>
          <w:tcPr>
            <w:tcW w:w="2801" w:type="dxa"/>
            <w:tcBorders>
              <w:top w:val="single" w:sz="4" w:space="0" w:color="auto"/>
              <w:left w:val="nil"/>
              <w:bottom w:val="nil"/>
              <w:right w:val="nil"/>
            </w:tcBorders>
            <w:vAlign w:val="center"/>
          </w:tcPr>
          <w:p w:rsidR="00F36A6F" w:rsidRPr="00F36A6F" w:rsidRDefault="00F36A6F" w:rsidP="00F36A6F">
            <w:pPr>
              <w:spacing w:after="0" w:line="240" w:lineRule="auto"/>
              <w:jc w:val="both"/>
              <w:rPr>
                <w:rFonts w:ascii="Times New Roman" w:hAnsi="Times New Roman"/>
                <w:b/>
                <w:sz w:val="20"/>
                <w:szCs w:val="20"/>
              </w:rPr>
            </w:pPr>
          </w:p>
        </w:tc>
        <w:tc>
          <w:tcPr>
            <w:tcW w:w="6249" w:type="dxa"/>
            <w:gridSpan w:val="4"/>
            <w:tcBorders>
              <w:top w:val="single" w:sz="4" w:space="0" w:color="auto"/>
              <w:left w:val="nil"/>
              <w:bottom w:val="single" w:sz="4" w:space="0" w:color="auto"/>
              <w:right w:val="nil"/>
            </w:tcBorders>
          </w:tcPr>
          <w:p w:rsidR="00F36A6F" w:rsidRPr="00F36A6F" w:rsidRDefault="00F36A6F" w:rsidP="00F36A6F">
            <w:pPr>
              <w:spacing w:before="60" w:after="0" w:line="240" w:lineRule="auto"/>
              <w:jc w:val="center"/>
              <w:rPr>
                <w:rFonts w:ascii="Times New Roman" w:hAnsi="Times New Roman"/>
                <w:b/>
                <w:sz w:val="20"/>
                <w:szCs w:val="20"/>
              </w:rPr>
            </w:pPr>
            <w:r w:rsidRPr="00F36A6F">
              <w:rPr>
                <w:rFonts w:ascii="Times New Roman" w:hAnsi="Times New Roman"/>
                <w:b/>
                <w:sz w:val="20"/>
                <w:szCs w:val="20"/>
              </w:rPr>
              <w:t>Total phenolic content (mg GAE / g extracts)</w:t>
            </w:r>
          </w:p>
        </w:tc>
      </w:tr>
      <w:tr w:rsidR="0030708B" w:rsidRPr="00F36A6F" w:rsidTr="0030708B">
        <w:trPr>
          <w:trHeight w:val="56"/>
          <w:jc w:val="center"/>
        </w:trPr>
        <w:tc>
          <w:tcPr>
            <w:tcW w:w="2801" w:type="dxa"/>
            <w:vMerge w:val="restart"/>
            <w:tcBorders>
              <w:top w:val="nil"/>
              <w:left w:val="nil"/>
              <w:bottom w:val="nil"/>
              <w:right w:val="nil"/>
            </w:tcBorders>
            <w:vAlign w:val="center"/>
          </w:tcPr>
          <w:p w:rsidR="00F36A6F" w:rsidRPr="00F36A6F" w:rsidRDefault="00F36A6F" w:rsidP="00F36A6F">
            <w:pPr>
              <w:spacing w:after="0" w:line="240" w:lineRule="auto"/>
              <w:jc w:val="both"/>
              <w:rPr>
                <w:rFonts w:ascii="Times New Roman" w:hAnsi="Times New Roman"/>
                <w:b/>
                <w:sz w:val="20"/>
                <w:szCs w:val="20"/>
              </w:rPr>
            </w:pPr>
            <w:r w:rsidRPr="00F36A6F">
              <w:rPr>
                <w:rFonts w:ascii="Times New Roman" w:hAnsi="Times New Roman"/>
                <w:b/>
                <w:sz w:val="20"/>
                <w:szCs w:val="20"/>
              </w:rPr>
              <w:t>Samples</w:t>
            </w:r>
          </w:p>
        </w:tc>
        <w:tc>
          <w:tcPr>
            <w:tcW w:w="3060" w:type="dxa"/>
            <w:gridSpan w:val="2"/>
            <w:tcBorders>
              <w:top w:val="single" w:sz="4" w:space="0" w:color="auto"/>
              <w:left w:val="nil"/>
              <w:bottom w:val="single" w:sz="4" w:space="0" w:color="auto"/>
              <w:right w:val="nil"/>
            </w:tcBorders>
          </w:tcPr>
          <w:p w:rsidR="00F36A6F" w:rsidRPr="00F36A6F" w:rsidRDefault="00F36A6F" w:rsidP="00F36A6F">
            <w:pPr>
              <w:spacing w:before="60" w:after="60" w:line="240" w:lineRule="auto"/>
              <w:jc w:val="center"/>
              <w:rPr>
                <w:rFonts w:ascii="Times New Roman" w:hAnsi="Times New Roman"/>
                <w:b/>
                <w:sz w:val="20"/>
                <w:szCs w:val="20"/>
              </w:rPr>
            </w:pPr>
            <w:r w:rsidRPr="00F36A6F">
              <w:rPr>
                <w:rFonts w:ascii="Times New Roman" w:hAnsi="Times New Roman"/>
                <w:b/>
                <w:sz w:val="20"/>
                <w:szCs w:val="20"/>
              </w:rPr>
              <w:t>Water extracts</w:t>
            </w:r>
          </w:p>
        </w:tc>
        <w:tc>
          <w:tcPr>
            <w:tcW w:w="3189" w:type="dxa"/>
            <w:gridSpan w:val="2"/>
            <w:tcBorders>
              <w:top w:val="single" w:sz="4" w:space="0" w:color="auto"/>
              <w:left w:val="nil"/>
              <w:bottom w:val="single" w:sz="4" w:space="0" w:color="auto"/>
              <w:right w:val="nil"/>
            </w:tcBorders>
          </w:tcPr>
          <w:p w:rsidR="00F36A6F" w:rsidRPr="00F36A6F" w:rsidRDefault="00F36A6F" w:rsidP="00F36A6F">
            <w:pPr>
              <w:spacing w:before="60" w:after="60" w:line="240" w:lineRule="auto"/>
              <w:jc w:val="center"/>
              <w:rPr>
                <w:rFonts w:ascii="Times New Roman" w:hAnsi="Times New Roman"/>
                <w:b/>
                <w:sz w:val="20"/>
                <w:szCs w:val="20"/>
              </w:rPr>
            </w:pPr>
            <w:r w:rsidRPr="00F36A6F">
              <w:rPr>
                <w:rFonts w:ascii="Times New Roman" w:hAnsi="Times New Roman"/>
                <w:b/>
                <w:sz w:val="20"/>
                <w:szCs w:val="20"/>
              </w:rPr>
              <w:t>Ethanolic extracts</w:t>
            </w:r>
          </w:p>
        </w:tc>
      </w:tr>
      <w:tr w:rsidR="00F36A6F" w:rsidRPr="00F36A6F" w:rsidTr="0030708B">
        <w:trPr>
          <w:trHeight w:val="300"/>
          <w:jc w:val="center"/>
        </w:trPr>
        <w:tc>
          <w:tcPr>
            <w:tcW w:w="2801" w:type="dxa"/>
            <w:vMerge/>
            <w:tcBorders>
              <w:top w:val="nil"/>
              <w:left w:val="nil"/>
              <w:bottom w:val="single" w:sz="4" w:space="0" w:color="auto"/>
              <w:right w:val="nil"/>
            </w:tcBorders>
          </w:tcPr>
          <w:p w:rsidR="00F36A6F" w:rsidRPr="00F36A6F" w:rsidRDefault="00F36A6F" w:rsidP="00F36A6F">
            <w:pPr>
              <w:spacing w:after="0" w:line="240" w:lineRule="auto"/>
              <w:jc w:val="both"/>
              <w:rPr>
                <w:rFonts w:ascii="Times New Roman" w:hAnsi="Times New Roman"/>
                <w:b/>
                <w:sz w:val="20"/>
                <w:szCs w:val="20"/>
              </w:rPr>
            </w:pPr>
          </w:p>
        </w:tc>
        <w:tc>
          <w:tcPr>
            <w:tcW w:w="1620" w:type="dxa"/>
            <w:tcBorders>
              <w:top w:val="single" w:sz="4" w:space="0" w:color="auto"/>
              <w:left w:val="nil"/>
              <w:bottom w:val="single" w:sz="4" w:space="0" w:color="auto"/>
              <w:right w:val="nil"/>
            </w:tcBorders>
          </w:tcPr>
          <w:p w:rsidR="00F36A6F" w:rsidRPr="00F36A6F" w:rsidRDefault="00F36A6F" w:rsidP="00F36A6F">
            <w:pPr>
              <w:spacing w:after="60" w:line="240" w:lineRule="auto"/>
              <w:jc w:val="center"/>
              <w:rPr>
                <w:rFonts w:ascii="Times New Roman" w:hAnsi="Times New Roman"/>
                <w:b/>
                <w:sz w:val="20"/>
                <w:szCs w:val="20"/>
              </w:rPr>
            </w:pPr>
            <w:r w:rsidRPr="00F36A6F">
              <w:rPr>
                <w:rFonts w:ascii="Times New Roman" w:hAnsi="Times New Roman"/>
                <w:b/>
                <w:sz w:val="20"/>
                <w:szCs w:val="20"/>
              </w:rPr>
              <w:t>Folin-Ciocalteu assay</w:t>
            </w:r>
          </w:p>
        </w:tc>
        <w:tc>
          <w:tcPr>
            <w:tcW w:w="1440" w:type="dxa"/>
            <w:tcBorders>
              <w:top w:val="single" w:sz="4" w:space="0" w:color="auto"/>
              <w:left w:val="nil"/>
              <w:bottom w:val="single" w:sz="4" w:space="0" w:color="auto"/>
              <w:right w:val="nil"/>
            </w:tcBorders>
          </w:tcPr>
          <w:p w:rsidR="00F36A6F" w:rsidRPr="00F36A6F" w:rsidRDefault="00F36A6F" w:rsidP="00F36A6F">
            <w:pPr>
              <w:spacing w:after="0" w:line="240" w:lineRule="auto"/>
              <w:jc w:val="center"/>
              <w:rPr>
                <w:rFonts w:ascii="Times New Roman" w:hAnsi="Times New Roman"/>
                <w:b/>
                <w:sz w:val="20"/>
                <w:szCs w:val="20"/>
              </w:rPr>
            </w:pPr>
            <w:r w:rsidRPr="00F36A6F">
              <w:rPr>
                <w:rFonts w:ascii="Times New Roman" w:hAnsi="Times New Roman"/>
                <w:b/>
                <w:sz w:val="20"/>
                <w:szCs w:val="20"/>
              </w:rPr>
              <w:t>Prussian-Blue assay</w:t>
            </w:r>
          </w:p>
        </w:tc>
        <w:tc>
          <w:tcPr>
            <w:tcW w:w="1620" w:type="dxa"/>
            <w:tcBorders>
              <w:top w:val="single" w:sz="4" w:space="0" w:color="auto"/>
              <w:left w:val="nil"/>
              <w:bottom w:val="single" w:sz="4" w:space="0" w:color="auto"/>
              <w:right w:val="nil"/>
            </w:tcBorders>
            <w:noWrap/>
          </w:tcPr>
          <w:p w:rsidR="00F36A6F" w:rsidRPr="00F36A6F" w:rsidRDefault="00F36A6F" w:rsidP="00F36A6F">
            <w:pPr>
              <w:spacing w:after="0" w:line="240" w:lineRule="auto"/>
              <w:jc w:val="center"/>
              <w:rPr>
                <w:rFonts w:ascii="Times New Roman" w:hAnsi="Times New Roman"/>
                <w:b/>
                <w:sz w:val="20"/>
                <w:szCs w:val="20"/>
              </w:rPr>
            </w:pPr>
            <w:r w:rsidRPr="00F36A6F">
              <w:rPr>
                <w:rFonts w:ascii="Times New Roman" w:hAnsi="Times New Roman"/>
                <w:b/>
                <w:sz w:val="20"/>
                <w:szCs w:val="20"/>
              </w:rPr>
              <w:t>Folin-Ciocalteu assay</w:t>
            </w:r>
          </w:p>
        </w:tc>
        <w:tc>
          <w:tcPr>
            <w:tcW w:w="1569" w:type="dxa"/>
            <w:tcBorders>
              <w:top w:val="single" w:sz="4" w:space="0" w:color="auto"/>
              <w:left w:val="nil"/>
              <w:bottom w:val="single" w:sz="4" w:space="0" w:color="auto"/>
              <w:right w:val="nil"/>
            </w:tcBorders>
          </w:tcPr>
          <w:p w:rsidR="00F36A6F" w:rsidRPr="00F36A6F" w:rsidRDefault="00F36A6F" w:rsidP="0030708B">
            <w:pPr>
              <w:spacing w:after="0" w:line="240" w:lineRule="auto"/>
              <w:jc w:val="center"/>
              <w:rPr>
                <w:rFonts w:ascii="Times New Roman" w:hAnsi="Times New Roman"/>
                <w:b/>
                <w:sz w:val="20"/>
                <w:szCs w:val="20"/>
              </w:rPr>
            </w:pPr>
            <w:r>
              <w:rPr>
                <w:rFonts w:ascii="Times New Roman" w:hAnsi="Times New Roman"/>
                <w:b/>
                <w:sz w:val="20"/>
                <w:szCs w:val="20"/>
              </w:rPr>
              <w:t>Prussian</w:t>
            </w:r>
            <w:r w:rsidR="0030708B">
              <w:rPr>
                <w:rFonts w:ascii="Times New Roman" w:hAnsi="Times New Roman"/>
                <w:b/>
                <w:sz w:val="20"/>
                <w:szCs w:val="20"/>
              </w:rPr>
              <w:t>-</w:t>
            </w:r>
            <w:r w:rsidRPr="00F36A6F">
              <w:rPr>
                <w:rFonts w:ascii="Times New Roman" w:hAnsi="Times New Roman"/>
                <w:b/>
                <w:sz w:val="20"/>
                <w:szCs w:val="20"/>
              </w:rPr>
              <w:t>Blue assay</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30708B">
            <w:pPr>
              <w:spacing w:before="120" w:after="0" w:line="240" w:lineRule="auto"/>
              <w:jc w:val="both"/>
              <w:rPr>
                <w:rFonts w:ascii="Times New Roman" w:hAnsi="Times New Roman"/>
                <w:i/>
                <w:iCs/>
                <w:sz w:val="20"/>
                <w:szCs w:val="20"/>
              </w:rPr>
            </w:pPr>
            <w:r w:rsidRPr="00F36A6F">
              <w:rPr>
                <w:rFonts w:ascii="Times New Roman" w:hAnsi="Times New Roman"/>
                <w:i/>
                <w:iCs/>
                <w:sz w:val="20"/>
                <w:szCs w:val="20"/>
              </w:rPr>
              <w:t xml:space="preserve">Anacardium occidentale </w:t>
            </w:r>
            <w:r w:rsidRPr="00F36A6F">
              <w:rPr>
                <w:rFonts w:ascii="Times New Roman" w:hAnsi="Times New Roman"/>
                <w:sz w:val="20"/>
                <w:szCs w:val="20"/>
              </w:rPr>
              <w:t>shoot</w:t>
            </w:r>
          </w:p>
        </w:tc>
        <w:tc>
          <w:tcPr>
            <w:tcW w:w="1620" w:type="dxa"/>
            <w:tcBorders>
              <w:top w:val="nil"/>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14.76</w:t>
            </w:r>
            <w:r w:rsidRPr="00F36A6F">
              <w:rPr>
                <w:rFonts w:ascii="Times New Roman" w:hAnsi="Times New Roman"/>
                <w:sz w:val="20"/>
                <w:szCs w:val="20"/>
                <w:vertAlign w:val="superscript"/>
              </w:rPr>
              <w:t>a</w:t>
            </w:r>
          </w:p>
        </w:tc>
        <w:tc>
          <w:tcPr>
            <w:tcW w:w="1440" w:type="dxa"/>
            <w:tcBorders>
              <w:top w:val="nil"/>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3.57</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15.86</w:t>
            </w:r>
            <w:r w:rsidRPr="00F36A6F">
              <w:rPr>
                <w:rFonts w:ascii="Times New Roman" w:hAnsi="Times New Roman"/>
                <w:sz w:val="20"/>
                <w:szCs w:val="20"/>
                <w:vertAlign w:val="superscript"/>
              </w:rPr>
              <w:t>a</w:t>
            </w:r>
          </w:p>
        </w:tc>
        <w:tc>
          <w:tcPr>
            <w:tcW w:w="1569" w:type="dxa"/>
            <w:tcBorders>
              <w:top w:val="nil"/>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7.72</w:t>
            </w:r>
            <w:r w:rsidRPr="00F36A6F">
              <w:rPr>
                <w:rFonts w:ascii="Times New Roman" w:hAnsi="Times New Roman"/>
                <w:sz w:val="20"/>
                <w:szCs w:val="20"/>
                <w:vertAlign w:val="superscript"/>
              </w:rPr>
              <w:t>b</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Carica papaya </w:t>
            </w:r>
            <w:r w:rsidRPr="00F36A6F">
              <w:rPr>
                <w:rFonts w:ascii="Times New Roman" w:hAnsi="Times New Roman"/>
                <w:sz w:val="20"/>
                <w:szCs w:val="20"/>
              </w:rPr>
              <w:t>shoot</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10.63</w:t>
            </w:r>
            <w:r w:rsidRPr="00F36A6F">
              <w:rPr>
                <w:rFonts w:ascii="Times New Roman" w:hAnsi="Times New Roman"/>
                <w:sz w:val="20"/>
                <w:szCs w:val="20"/>
                <w:vertAlign w:val="superscript"/>
              </w:rPr>
              <w:t>c</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3.69</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7.17</w:t>
            </w:r>
            <w:r w:rsidRPr="00F36A6F">
              <w:rPr>
                <w:rFonts w:ascii="Times New Roman" w:hAnsi="Times New Roman"/>
                <w:sz w:val="20"/>
                <w:szCs w:val="20"/>
                <w:vertAlign w:val="superscript"/>
              </w:rPr>
              <w:t>c</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5.10</w:t>
            </w:r>
            <w:r w:rsidRPr="00F36A6F">
              <w:rPr>
                <w:rFonts w:ascii="Times New Roman" w:hAnsi="Times New Roman"/>
                <w:sz w:val="20"/>
                <w:szCs w:val="20"/>
                <w:vertAlign w:val="superscript"/>
              </w:rPr>
              <w:t>c</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Curcuma longa </w:t>
            </w:r>
            <w:r w:rsidRPr="00F36A6F">
              <w:rPr>
                <w:rFonts w:ascii="Times New Roman" w:hAnsi="Times New Roman"/>
                <w:sz w:val="20"/>
                <w:szCs w:val="20"/>
              </w:rPr>
              <w:t>leaves</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7.08</w:t>
            </w:r>
            <w:r w:rsidRPr="00F36A6F">
              <w:rPr>
                <w:rFonts w:ascii="Times New Roman" w:hAnsi="Times New Roman"/>
                <w:sz w:val="20"/>
                <w:szCs w:val="20"/>
                <w:vertAlign w:val="superscript"/>
              </w:rPr>
              <w:t>e</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4.09d</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8.86b</w:t>
            </w:r>
            <w:r w:rsidRPr="00F36A6F">
              <w:rPr>
                <w:rFonts w:ascii="Times New Roman" w:hAnsi="Times New Roman"/>
                <w:sz w:val="20"/>
                <w:szCs w:val="20"/>
                <w:vertAlign w:val="superscript"/>
              </w:rPr>
              <w:t>c</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7.73</w:t>
            </w:r>
            <w:r w:rsidRPr="00F36A6F">
              <w:rPr>
                <w:rFonts w:ascii="Times New Roman" w:hAnsi="Times New Roman"/>
                <w:sz w:val="20"/>
                <w:szCs w:val="20"/>
                <w:vertAlign w:val="superscript"/>
              </w:rPr>
              <w:t>b</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Etlingera elatior </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10.76</w:t>
            </w:r>
            <w:r w:rsidRPr="00F36A6F">
              <w:rPr>
                <w:rFonts w:ascii="Times New Roman" w:hAnsi="Times New Roman"/>
                <w:sz w:val="20"/>
                <w:szCs w:val="20"/>
                <w:vertAlign w:val="superscript"/>
              </w:rPr>
              <w:t>c</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3.50</w:t>
            </w:r>
            <w:r w:rsidRPr="00F36A6F">
              <w:rPr>
                <w:rFonts w:ascii="Times New Roman" w:hAnsi="Times New Roman"/>
                <w:sz w:val="20"/>
                <w:szCs w:val="20"/>
                <w:vertAlign w:val="superscript"/>
              </w:rPr>
              <w:t>e</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9.72</w:t>
            </w:r>
            <w:r w:rsidRPr="00F36A6F">
              <w:rPr>
                <w:rFonts w:ascii="Times New Roman" w:hAnsi="Times New Roman"/>
                <w:sz w:val="20"/>
                <w:szCs w:val="20"/>
                <w:vertAlign w:val="superscript"/>
              </w:rPr>
              <w:t>b</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7.49</w:t>
            </w:r>
            <w:r w:rsidRPr="00F36A6F">
              <w:rPr>
                <w:rFonts w:ascii="Times New Roman" w:hAnsi="Times New Roman"/>
                <w:sz w:val="20"/>
                <w:szCs w:val="20"/>
                <w:vertAlign w:val="superscript"/>
              </w:rPr>
              <w:t>b</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Manihot esculenta </w:t>
            </w:r>
            <w:r w:rsidRPr="00F36A6F">
              <w:rPr>
                <w:rFonts w:ascii="Times New Roman" w:hAnsi="Times New Roman"/>
                <w:sz w:val="20"/>
                <w:szCs w:val="20"/>
              </w:rPr>
              <w:t>shoot</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12.37</w:t>
            </w:r>
            <w:r w:rsidRPr="00F36A6F">
              <w:rPr>
                <w:rFonts w:ascii="Times New Roman" w:hAnsi="Times New Roman"/>
                <w:sz w:val="20"/>
                <w:szCs w:val="20"/>
                <w:vertAlign w:val="superscript"/>
              </w:rPr>
              <w:t>b</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7.82</w:t>
            </w:r>
            <w:r w:rsidRPr="00F36A6F">
              <w:rPr>
                <w:rFonts w:ascii="Times New Roman" w:hAnsi="Times New Roman"/>
                <w:sz w:val="20"/>
                <w:szCs w:val="20"/>
                <w:vertAlign w:val="superscript"/>
              </w:rPr>
              <w:t>a</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8.90</w:t>
            </w:r>
            <w:r w:rsidRPr="00F36A6F">
              <w:rPr>
                <w:rFonts w:ascii="Times New Roman" w:hAnsi="Times New Roman"/>
                <w:sz w:val="20"/>
                <w:szCs w:val="20"/>
                <w:vertAlign w:val="superscript"/>
              </w:rPr>
              <w:t>bc</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11.54</w:t>
            </w:r>
            <w:r w:rsidRPr="00F36A6F">
              <w:rPr>
                <w:rFonts w:ascii="Times New Roman" w:hAnsi="Times New Roman"/>
                <w:sz w:val="20"/>
                <w:szCs w:val="20"/>
                <w:vertAlign w:val="superscript"/>
              </w:rPr>
              <w:t>a</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Pithecellobium jiringa</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7.91</w:t>
            </w:r>
            <w:r w:rsidRPr="00F36A6F">
              <w:rPr>
                <w:rFonts w:ascii="Times New Roman" w:hAnsi="Times New Roman"/>
                <w:sz w:val="20"/>
                <w:szCs w:val="20"/>
                <w:vertAlign w:val="superscript"/>
              </w:rPr>
              <w:t>e</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5.48</w:t>
            </w:r>
            <w:r w:rsidRPr="00F36A6F">
              <w:rPr>
                <w:rFonts w:ascii="Times New Roman" w:hAnsi="Times New Roman"/>
                <w:sz w:val="20"/>
                <w:szCs w:val="20"/>
                <w:vertAlign w:val="superscript"/>
              </w:rPr>
              <w:t>c</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5.38</w:t>
            </w:r>
            <w:r w:rsidRPr="00F36A6F">
              <w:rPr>
                <w:rFonts w:ascii="Times New Roman" w:hAnsi="Times New Roman"/>
                <w:sz w:val="20"/>
                <w:szCs w:val="20"/>
                <w:vertAlign w:val="superscript"/>
              </w:rPr>
              <w:t>d</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rPr>
            </w:pPr>
            <w:r w:rsidRPr="00F36A6F">
              <w:rPr>
                <w:rFonts w:ascii="Times New Roman" w:hAnsi="Times New Roman"/>
                <w:sz w:val="20"/>
                <w:szCs w:val="20"/>
              </w:rPr>
              <w:t>1.84</w:t>
            </w:r>
            <w:r w:rsidRPr="00F36A6F">
              <w:rPr>
                <w:rFonts w:ascii="Times New Roman" w:hAnsi="Times New Roman"/>
                <w:sz w:val="20"/>
                <w:szCs w:val="20"/>
                <w:vertAlign w:val="superscript"/>
              </w:rPr>
              <w:t>e</w:t>
            </w:r>
          </w:p>
        </w:tc>
      </w:tr>
      <w:tr w:rsidR="00F36A6F" w:rsidRPr="00F36A6F" w:rsidTr="0030708B">
        <w:trPr>
          <w:trHeight w:val="300"/>
          <w:jc w:val="center"/>
        </w:trPr>
        <w:tc>
          <w:tcPr>
            <w:tcW w:w="2801"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Psophocarpus tetragonolobus</w:t>
            </w:r>
          </w:p>
        </w:tc>
        <w:tc>
          <w:tcPr>
            <w:tcW w:w="162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8.86</w:t>
            </w:r>
            <w:r w:rsidRPr="00F36A6F">
              <w:rPr>
                <w:rFonts w:ascii="Times New Roman" w:hAnsi="Times New Roman"/>
                <w:sz w:val="20"/>
                <w:szCs w:val="20"/>
                <w:vertAlign w:val="superscript"/>
              </w:rPr>
              <w:t>d</w:t>
            </w:r>
          </w:p>
        </w:tc>
        <w:tc>
          <w:tcPr>
            <w:tcW w:w="1440"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4.22</w:t>
            </w:r>
            <w:r w:rsidRPr="00F36A6F">
              <w:rPr>
                <w:rFonts w:ascii="Times New Roman" w:hAnsi="Times New Roman"/>
                <w:sz w:val="20"/>
                <w:szCs w:val="20"/>
                <w:vertAlign w:val="superscript"/>
              </w:rPr>
              <w:t>d</w:t>
            </w:r>
          </w:p>
        </w:tc>
        <w:tc>
          <w:tcPr>
            <w:tcW w:w="1620" w:type="dxa"/>
            <w:tcBorders>
              <w:top w:val="nil"/>
              <w:left w:val="nil"/>
              <w:bottom w:val="nil"/>
              <w:right w:val="nil"/>
            </w:tcBorders>
            <w:noWrap/>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5.21</w:t>
            </w:r>
            <w:r w:rsidRPr="00F36A6F">
              <w:rPr>
                <w:rFonts w:ascii="Times New Roman" w:hAnsi="Times New Roman"/>
                <w:sz w:val="20"/>
                <w:szCs w:val="20"/>
                <w:vertAlign w:val="superscript"/>
              </w:rPr>
              <w:t>d</w:t>
            </w:r>
          </w:p>
        </w:tc>
        <w:tc>
          <w:tcPr>
            <w:tcW w:w="1569" w:type="dxa"/>
            <w:tcBorders>
              <w:top w:val="nil"/>
              <w:left w:val="nil"/>
              <w:bottom w:val="nil"/>
              <w:right w:val="nil"/>
            </w:tcBorders>
            <w:vAlign w:val="bottom"/>
          </w:tcPr>
          <w:p w:rsidR="00F36A6F" w:rsidRPr="00F36A6F" w:rsidRDefault="00F36A6F" w:rsidP="00F36A6F">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6.70</w:t>
            </w:r>
            <w:r w:rsidRPr="00F36A6F">
              <w:rPr>
                <w:rFonts w:ascii="Times New Roman" w:hAnsi="Times New Roman"/>
                <w:sz w:val="20"/>
                <w:szCs w:val="20"/>
                <w:vertAlign w:val="superscript"/>
              </w:rPr>
              <w:t>c</w:t>
            </w:r>
          </w:p>
        </w:tc>
      </w:tr>
      <w:tr w:rsidR="00F36A6F" w:rsidRPr="00F36A6F" w:rsidTr="0030708B">
        <w:trPr>
          <w:trHeight w:val="378"/>
          <w:jc w:val="center"/>
        </w:trPr>
        <w:tc>
          <w:tcPr>
            <w:tcW w:w="2801" w:type="dxa"/>
            <w:tcBorders>
              <w:top w:val="nil"/>
              <w:left w:val="nil"/>
              <w:bottom w:val="single" w:sz="4" w:space="0" w:color="auto"/>
              <w:right w:val="nil"/>
            </w:tcBorders>
            <w:noWrap/>
          </w:tcPr>
          <w:p w:rsidR="00F36A6F" w:rsidRPr="00F36A6F" w:rsidRDefault="00F36A6F" w:rsidP="00ED5AB7">
            <w:pPr>
              <w:spacing w:after="120" w:line="240" w:lineRule="auto"/>
              <w:jc w:val="both"/>
              <w:rPr>
                <w:rFonts w:ascii="Times New Roman" w:hAnsi="Times New Roman"/>
                <w:i/>
                <w:iCs/>
                <w:sz w:val="20"/>
                <w:szCs w:val="20"/>
              </w:rPr>
            </w:pPr>
            <w:r w:rsidRPr="00F36A6F">
              <w:rPr>
                <w:rFonts w:ascii="Times New Roman" w:hAnsi="Times New Roman"/>
                <w:i/>
                <w:iCs/>
                <w:sz w:val="20"/>
                <w:szCs w:val="20"/>
              </w:rPr>
              <w:t>Sauropus androgynus</w:t>
            </w:r>
          </w:p>
        </w:tc>
        <w:tc>
          <w:tcPr>
            <w:tcW w:w="1620" w:type="dxa"/>
            <w:tcBorders>
              <w:top w:val="nil"/>
              <w:left w:val="nil"/>
              <w:bottom w:val="single" w:sz="4" w:space="0" w:color="auto"/>
              <w:right w:val="nil"/>
            </w:tcBorders>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12.38</w:t>
            </w:r>
            <w:r w:rsidRPr="00F36A6F">
              <w:rPr>
                <w:rFonts w:ascii="Times New Roman" w:hAnsi="Times New Roman"/>
                <w:sz w:val="20"/>
                <w:szCs w:val="20"/>
                <w:vertAlign w:val="superscript"/>
              </w:rPr>
              <w:t>b</w:t>
            </w:r>
          </w:p>
          <w:p w:rsidR="00F36A6F" w:rsidRPr="00F36A6F" w:rsidRDefault="00F36A6F" w:rsidP="00ED5AB7">
            <w:pPr>
              <w:spacing w:after="0" w:line="240" w:lineRule="auto"/>
              <w:rPr>
                <w:rFonts w:ascii="Times New Roman" w:hAnsi="Times New Roman"/>
                <w:sz w:val="20"/>
                <w:szCs w:val="20"/>
              </w:rPr>
            </w:pPr>
          </w:p>
        </w:tc>
        <w:tc>
          <w:tcPr>
            <w:tcW w:w="1440" w:type="dxa"/>
            <w:tcBorders>
              <w:top w:val="nil"/>
              <w:left w:val="nil"/>
              <w:bottom w:val="single" w:sz="4" w:space="0" w:color="auto"/>
              <w:right w:val="nil"/>
            </w:tcBorders>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6.71</w:t>
            </w:r>
            <w:r w:rsidRPr="00F36A6F">
              <w:rPr>
                <w:rFonts w:ascii="Times New Roman" w:hAnsi="Times New Roman"/>
                <w:sz w:val="20"/>
                <w:szCs w:val="20"/>
                <w:vertAlign w:val="superscript"/>
              </w:rPr>
              <w:t>b</w:t>
            </w:r>
          </w:p>
          <w:p w:rsidR="00F36A6F" w:rsidRPr="00F36A6F" w:rsidRDefault="00F36A6F" w:rsidP="00ED5AB7">
            <w:pPr>
              <w:spacing w:after="0" w:line="240" w:lineRule="auto"/>
              <w:jc w:val="center"/>
              <w:rPr>
                <w:rFonts w:ascii="Times New Roman" w:hAnsi="Times New Roman"/>
                <w:sz w:val="20"/>
                <w:szCs w:val="20"/>
              </w:rPr>
            </w:pPr>
          </w:p>
        </w:tc>
        <w:tc>
          <w:tcPr>
            <w:tcW w:w="1620" w:type="dxa"/>
            <w:tcBorders>
              <w:top w:val="nil"/>
              <w:left w:val="nil"/>
              <w:bottom w:val="single" w:sz="4" w:space="0" w:color="auto"/>
              <w:right w:val="nil"/>
            </w:tcBorders>
            <w:noWrap/>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6.97</w:t>
            </w:r>
            <w:r w:rsidRPr="00F36A6F">
              <w:rPr>
                <w:rFonts w:ascii="Times New Roman" w:hAnsi="Times New Roman"/>
                <w:sz w:val="20"/>
                <w:szCs w:val="20"/>
                <w:vertAlign w:val="superscript"/>
              </w:rPr>
              <w:t>cd</w:t>
            </w:r>
          </w:p>
          <w:p w:rsidR="00F36A6F" w:rsidRPr="00F36A6F" w:rsidRDefault="00F36A6F" w:rsidP="00ED5AB7">
            <w:pPr>
              <w:spacing w:after="0" w:line="240" w:lineRule="auto"/>
              <w:jc w:val="center"/>
              <w:rPr>
                <w:rFonts w:ascii="Times New Roman" w:hAnsi="Times New Roman"/>
                <w:sz w:val="20"/>
                <w:szCs w:val="20"/>
              </w:rPr>
            </w:pPr>
          </w:p>
        </w:tc>
        <w:tc>
          <w:tcPr>
            <w:tcW w:w="1569" w:type="dxa"/>
            <w:tcBorders>
              <w:top w:val="nil"/>
              <w:left w:val="nil"/>
              <w:bottom w:val="single" w:sz="4" w:space="0" w:color="auto"/>
              <w:right w:val="nil"/>
            </w:tcBorders>
            <w:vAlign w:val="bottom"/>
          </w:tcPr>
          <w:p w:rsidR="00F36A6F" w:rsidRPr="00F36A6F" w:rsidRDefault="00F36A6F" w:rsidP="00ED5AB7">
            <w:pPr>
              <w:spacing w:after="0" w:line="240" w:lineRule="auto"/>
              <w:jc w:val="center"/>
              <w:rPr>
                <w:rFonts w:ascii="Times New Roman" w:hAnsi="Times New Roman"/>
                <w:sz w:val="20"/>
                <w:szCs w:val="20"/>
                <w:vertAlign w:val="superscript"/>
              </w:rPr>
            </w:pPr>
            <w:r w:rsidRPr="00F36A6F">
              <w:rPr>
                <w:rFonts w:ascii="Times New Roman" w:hAnsi="Times New Roman"/>
                <w:sz w:val="20"/>
                <w:szCs w:val="20"/>
              </w:rPr>
              <w:t>3.62</w:t>
            </w:r>
            <w:r w:rsidRPr="00F36A6F">
              <w:rPr>
                <w:rFonts w:ascii="Times New Roman" w:hAnsi="Times New Roman"/>
                <w:sz w:val="20"/>
                <w:szCs w:val="20"/>
                <w:vertAlign w:val="superscript"/>
              </w:rPr>
              <w:t>d</w:t>
            </w:r>
          </w:p>
          <w:p w:rsidR="00F36A6F" w:rsidRPr="00F36A6F" w:rsidRDefault="00F36A6F" w:rsidP="00ED5AB7">
            <w:pPr>
              <w:spacing w:after="0" w:line="240" w:lineRule="auto"/>
              <w:rPr>
                <w:rFonts w:ascii="Times New Roman" w:hAnsi="Times New Roman"/>
                <w:sz w:val="20"/>
                <w:szCs w:val="20"/>
              </w:rPr>
            </w:pPr>
          </w:p>
        </w:tc>
      </w:tr>
    </w:tbl>
    <w:p w:rsidR="00F36A6F" w:rsidRPr="00F36A6F" w:rsidRDefault="00F36A6F" w:rsidP="00F36A6F">
      <w:pPr>
        <w:spacing w:before="60" w:after="0" w:line="240" w:lineRule="auto"/>
        <w:ind w:left="274"/>
        <w:jc w:val="both"/>
        <w:rPr>
          <w:rFonts w:ascii="Times New Roman" w:hAnsi="Times New Roman"/>
          <w:sz w:val="18"/>
          <w:szCs w:val="18"/>
        </w:rPr>
      </w:pPr>
      <w:r w:rsidRPr="00F36A6F">
        <w:rPr>
          <w:rFonts w:ascii="Times New Roman" w:hAnsi="Times New Roman"/>
          <w:sz w:val="18"/>
          <w:szCs w:val="18"/>
        </w:rPr>
        <w:t>Data were expressed in triplicate analysis.  Values with the same lowercase within each column were not significantly different (p&gt;0.05).</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color w:val="FF0000"/>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The different in phenolic contents values from both methods is accounted by reagent sensitivity, different redox potential of the system used, and reducing capacity [28].  In fact, method of Folin-Ciocalteu reagent is not strictly specific for phenolic compounds measurements because there are other components that can react with this reagent such as ascorbic acid [13, 24], and anthocyanin [29].  In red wine, the contents of anthocyanin is higher than in white wine, thus, the different values of phenolic content determined in both assays could be explained by reaction of anthocyanin with Folin-Ciocalteu reagent [29].  This fact may also explain the finding in this study.  Furthermore, Folin-Ciocalteu reagent can also act as medium for ionizing phenols, making them as reducing agents.  The reaction is enhanced in alkaline condition since the additional of sodium carbonate create the alkaline environment.  On contrary, Prussian-Blue reagent work in acidic condition where phenolic compounds were unionized resulting in their low reducing power as compared to Folin-Ciocalteu reagent [28].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color w:val="000000"/>
          <w:sz w:val="20"/>
          <w:szCs w:val="20"/>
        </w:rPr>
        <w:t>Folin-Ciocalteu and</w:t>
      </w:r>
      <w:r w:rsidRPr="00F36A6F">
        <w:rPr>
          <w:rFonts w:ascii="Times New Roman" w:hAnsi="Times New Roman"/>
          <w:sz w:val="20"/>
          <w:szCs w:val="20"/>
        </w:rPr>
        <w:t xml:space="preserve"> Prussian-Blue assays are the most two common methods in determining total phenolic content in plants. Both are based on color changes a result of sample oxidized by specific reagent.  Folin-Ciocalteu reagent consist of phosphotungstic (H</w:t>
      </w:r>
      <w:r w:rsidRPr="00F36A6F">
        <w:rPr>
          <w:rFonts w:ascii="Times New Roman" w:hAnsi="Times New Roman"/>
          <w:sz w:val="20"/>
          <w:szCs w:val="20"/>
          <w:vertAlign w:val="subscript"/>
        </w:rPr>
        <w:t>3</w:t>
      </w:r>
      <w:r w:rsidRPr="00F36A6F">
        <w:rPr>
          <w:rFonts w:ascii="Times New Roman" w:hAnsi="Times New Roman"/>
          <w:sz w:val="20"/>
          <w:szCs w:val="20"/>
        </w:rPr>
        <w:t>PW</w:t>
      </w:r>
      <w:r w:rsidRPr="00F36A6F">
        <w:rPr>
          <w:rFonts w:ascii="Times New Roman" w:hAnsi="Times New Roman"/>
          <w:sz w:val="20"/>
          <w:szCs w:val="20"/>
          <w:vertAlign w:val="subscript"/>
        </w:rPr>
        <w:t>12</w:t>
      </w:r>
      <w:r w:rsidRPr="00F36A6F">
        <w:rPr>
          <w:rFonts w:ascii="Times New Roman" w:hAnsi="Times New Roman"/>
          <w:sz w:val="20"/>
          <w:szCs w:val="20"/>
        </w:rPr>
        <w:t>O</w:t>
      </w:r>
      <w:r w:rsidRPr="00F36A6F">
        <w:rPr>
          <w:rFonts w:ascii="Times New Roman" w:hAnsi="Times New Roman"/>
          <w:sz w:val="20"/>
          <w:szCs w:val="20"/>
          <w:vertAlign w:val="subscript"/>
        </w:rPr>
        <w:t>40</w:t>
      </w:r>
      <w:r w:rsidRPr="00F36A6F">
        <w:rPr>
          <w:rFonts w:ascii="Times New Roman" w:hAnsi="Times New Roman"/>
          <w:sz w:val="20"/>
          <w:szCs w:val="20"/>
        </w:rPr>
        <w:t>) and phosphomolybdic (H</w:t>
      </w:r>
      <w:r w:rsidRPr="00F36A6F">
        <w:rPr>
          <w:rFonts w:ascii="Times New Roman" w:hAnsi="Times New Roman"/>
          <w:sz w:val="20"/>
          <w:szCs w:val="20"/>
          <w:vertAlign w:val="subscript"/>
        </w:rPr>
        <w:t>3</w:t>
      </w:r>
      <w:r w:rsidRPr="00F36A6F">
        <w:rPr>
          <w:rFonts w:ascii="Times New Roman" w:hAnsi="Times New Roman"/>
          <w:sz w:val="20"/>
          <w:szCs w:val="20"/>
        </w:rPr>
        <w:t>PMo</w:t>
      </w:r>
      <w:r w:rsidRPr="00F36A6F">
        <w:rPr>
          <w:rFonts w:ascii="Times New Roman" w:hAnsi="Times New Roman"/>
          <w:sz w:val="20"/>
          <w:szCs w:val="20"/>
          <w:vertAlign w:val="subscript"/>
        </w:rPr>
        <w:t>12</w:t>
      </w:r>
      <w:r w:rsidRPr="00F36A6F">
        <w:rPr>
          <w:rFonts w:ascii="Times New Roman" w:hAnsi="Times New Roman"/>
          <w:sz w:val="20"/>
          <w:szCs w:val="20"/>
        </w:rPr>
        <w:t>O</w:t>
      </w:r>
      <w:r w:rsidRPr="00F36A6F">
        <w:rPr>
          <w:rFonts w:ascii="Times New Roman" w:hAnsi="Times New Roman"/>
          <w:sz w:val="20"/>
          <w:szCs w:val="20"/>
          <w:vertAlign w:val="subscript"/>
        </w:rPr>
        <w:t>40</w:t>
      </w:r>
      <w:r w:rsidRPr="00F36A6F">
        <w:rPr>
          <w:rFonts w:ascii="Times New Roman" w:hAnsi="Times New Roman"/>
          <w:sz w:val="20"/>
          <w:szCs w:val="20"/>
        </w:rPr>
        <w:t>) acids that will oxidize phenolic compound to blue oxides of tungstene (W</w:t>
      </w:r>
      <w:r w:rsidRPr="00F36A6F">
        <w:rPr>
          <w:rFonts w:ascii="Times New Roman" w:hAnsi="Times New Roman"/>
          <w:sz w:val="20"/>
          <w:szCs w:val="20"/>
          <w:vertAlign w:val="subscript"/>
        </w:rPr>
        <w:t>8</w:t>
      </w:r>
      <w:r w:rsidRPr="00F36A6F">
        <w:rPr>
          <w:rFonts w:ascii="Times New Roman" w:hAnsi="Times New Roman"/>
          <w:sz w:val="20"/>
          <w:szCs w:val="20"/>
        </w:rPr>
        <w:t>O</w:t>
      </w:r>
      <w:r w:rsidRPr="00F36A6F">
        <w:rPr>
          <w:rFonts w:ascii="Times New Roman" w:hAnsi="Times New Roman"/>
          <w:sz w:val="20"/>
          <w:szCs w:val="20"/>
          <w:vertAlign w:val="subscript"/>
        </w:rPr>
        <w:t>23</w:t>
      </w:r>
      <w:r w:rsidRPr="00F36A6F">
        <w:rPr>
          <w:rFonts w:ascii="Times New Roman" w:hAnsi="Times New Roman"/>
          <w:sz w:val="20"/>
          <w:szCs w:val="20"/>
        </w:rPr>
        <w:t>) and molybdene (Mo</w:t>
      </w:r>
      <w:r w:rsidRPr="00F36A6F">
        <w:rPr>
          <w:rFonts w:ascii="Times New Roman" w:hAnsi="Times New Roman"/>
          <w:sz w:val="20"/>
          <w:szCs w:val="20"/>
          <w:vertAlign w:val="subscript"/>
        </w:rPr>
        <w:t>8</w:t>
      </w:r>
      <w:r w:rsidRPr="00F36A6F">
        <w:rPr>
          <w:rFonts w:ascii="Times New Roman" w:hAnsi="Times New Roman"/>
          <w:sz w:val="20"/>
          <w:szCs w:val="20"/>
        </w:rPr>
        <w:t>O</w:t>
      </w:r>
      <w:r w:rsidRPr="00F36A6F">
        <w:rPr>
          <w:rFonts w:ascii="Times New Roman" w:hAnsi="Times New Roman"/>
          <w:sz w:val="20"/>
          <w:szCs w:val="20"/>
          <w:vertAlign w:val="subscript"/>
        </w:rPr>
        <w:t>23</w:t>
      </w:r>
      <w:r w:rsidRPr="00F36A6F">
        <w:rPr>
          <w:rFonts w:ascii="Times New Roman" w:hAnsi="Times New Roman"/>
          <w:sz w:val="20"/>
          <w:szCs w:val="20"/>
        </w:rPr>
        <w:t>) [24].  In Prussian Blue assay, the method is based on the formation of ferricyanide-ferrous [</w:t>
      </w:r>
      <w:r w:rsidRPr="00F36A6F">
        <w:rPr>
          <w:rStyle w:val="st"/>
          <w:rFonts w:ascii="Times New Roman" w:hAnsi="Times New Roman"/>
          <w:sz w:val="20"/>
          <w:szCs w:val="20"/>
        </w:rPr>
        <w:t>(Fe(CN)</w:t>
      </w:r>
      <w:r w:rsidRPr="00F36A6F">
        <w:rPr>
          <w:rStyle w:val="st"/>
          <w:rFonts w:ascii="Times New Roman" w:hAnsi="Times New Roman"/>
          <w:sz w:val="20"/>
          <w:szCs w:val="20"/>
          <w:vertAlign w:val="superscript"/>
        </w:rPr>
        <w:t>6</w:t>
      </w:r>
      <w:r w:rsidRPr="00F36A6F">
        <w:rPr>
          <w:rStyle w:val="st"/>
          <w:rFonts w:ascii="Times New Roman" w:hAnsi="Times New Roman"/>
          <w:sz w:val="20"/>
          <w:szCs w:val="20"/>
        </w:rPr>
        <w:t>)</w:t>
      </w:r>
      <w:r w:rsidRPr="00F36A6F">
        <w:rPr>
          <w:rStyle w:val="st"/>
          <w:rFonts w:ascii="Times New Roman" w:hAnsi="Times New Roman"/>
          <w:sz w:val="20"/>
          <w:szCs w:val="20"/>
          <w:vertAlign w:val="superscript"/>
        </w:rPr>
        <w:t>3</w:t>
      </w:r>
      <w:r w:rsidRPr="00F36A6F">
        <w:rPr>
          <w:rFonts w:ascii="Times New Roman" w:hAnsi="Times New Roman"/>
          <w:sz w:val="20"/>
          <w:szCs w:val="20"/>
        </w:rPr>
        <w:t>-Fe</w:t>
      </w:r>
      <w:r w:rsidRPr="00F36A6F">
        <w:rPr>
          <w:rFonts w:ascii="Times New Roman" w:hAnsi="Times New Roman"/>
          <w:sz w:val="20"/>
          <w:szCs w:val="20"/>
          <w:vertAlign w:val="superscript"/>
        </w:rPr>
        <w:t>2+</w:t>
      </w:r>
      <w:r w:rsidRPr="00F36A6F">
        <w:rPr>
          <w:rFonts w:ascii="Times New Roman" w:hAnsi="Times New Roman"/>
          <w:sz w:val="20"/>
          <w:szCs w:val="20"/>
        </w:rPr>
        <w:t>] ion complex as a result of reduction of red ferric (Fe</w:t>
      </w:r>
      <w:r w:rsidRPr="00F36A6F">
        <w:rPr>
          <w:rFonts w:ascii="Times New Roman" w:hAnsi="Times New Roman"/>
          <w:sz w:val="20"/>
          <w:szCs w:val="20"/>
          <w:vertAlign w:val="superscript"/>
        </w:rPr>
        <w:t>3+</w:t>
      </w:r>
      <w:r w:rsidRPr="00F36A6F">
        <w:rPr>
          <w:rFonts w:ascii="Times New Roman" w:hAnsi="Times New Roman"/>
          <w:sz w:val="20"/>
          <w:szCs w:val="20"/>
        </w:rPr>
        <w:t>) to blue ferrous (Fe</w:t>
      </w:r>
      <w:r w:rsidRPr="00F36A6F">
        <w:rPr>
          <w:rFonts w:ascii="Times New Roman" w:hAnsi="Times New Roman"/>
          <w:sz w:val="20"/>
          <w:szCs w:val="20"/>
          <w:vertAlign w:val="superscript"/>
        </w:rPr>
        <w:t>2+</w:t>
      </w:r>
      <w:r w:rsidRPr="00F36A6F">
        <w:rPr>
          <w:rFonts w:ascii="Times New Roman" w:hAnsi="Times New Roman"/>
          <w:sz w:val="20"/>
          <w:szCs w:val="20"/>
        </w:rPr>
        <w:t>) ion by phenolic compounds.  HCl is added in the reagent mixture in the assay preparation to increase the stability of ferric chloride (FeCl</w:t>
      </w:r>
      <w:r w:rsidRPr="00F36A6F">
        <w:rPr>
          <w:rFonts w:ascii="Times New Roman" w:hAnsi="Times New Roman"/>
          <w:sz w:val="20"/>
          <w:szCs w:val="20"/>
          <w:vertAlign w:val="subscript"/>
        </w:rPr>
        <w:t>3</w:t>
      </w:r>
      <w:r w:rsidRPr="00F36A6F">
        <w:rPr>
          <w:rFonts w:ascii="Times New Roman" w:hAnsi="Times New Roman"/>
          <w:sz w:val="20"/>
          <w:szCs w:val="20"/>
        </w:rPr>
        <w:t xml:space="preserve">), thus, speed up the reaction to complete [31].  The formation of oxidized blue color in both reactions indicates the quantity of phenolic compounds that can be measured using spectrophotometer at specific wavelength [29, 30].  Various types of phenolic compounds also generate different responses of blue color intensity to the different assay [20, 32-33].   </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In fact, both assays have their own advantages for phenolic contents measurement in extracts.  Folin-Ciocalteu assay method is more stable and reproducible method compared to Prussian-Blue assay.  Prussian-Blue assay method is unstable due to the formation of undesirable precipitation of extract with the reagent and it will increase with incubation time.  However, Prussian-Blue assay is more rapid and sensitive as this assay allows the detection of </w:t>
      </w:r>
      <w:r w:rsidRPr="00F36A6F">
        <w:rPr>
          <w:rFonts w:ascii="Times New Roman" w:hAnsi="Times New Roman"/>
          <w:sz w:val="20"/>
          <w:szCs w:val="20"/>
        </w:rPr>
        <w:lastRenderedPageBreak/>
        <w:t>phenolic contents at sample extracts concentration lower than 1.10</w:t>
      </w:r>
      <w:r w:rsidRPr="00F36A6F">
        <w:rPr>
          <w:rFonts w:ascii="Times New Roman" w:hAnsi="Times New Roman"/>
          <w:sz w:val="20"/>
          <w:szCs w:val="20"/>
          <w:vertAlign w:val="superscript"/>
        </w:rPr>
        <w:t>–6</w:t>
      </w:r>
      <w:r w:rsidRPr="00F36A6F">
        <w:rPr>
          <w:rFonts w:ascii="Times New Roman" w:hAnsi="Times New Roman"/>
          <w:sz w:val="20"/>
          <w:szCs w:val="20"/>
        </w:rPr>
        <w:t xml:space="preserve"> mg/mL.  Thus, a highly skilled operator is required to conduct Prussian-Blue assay preparation.  Furthermore, the handling of the reactive mixture of K</w:t>
      </w:r>
      <w:r w:rsidRPr="00F36A6F">
        <w:rPr>
          <w:rFonts w:ascii="Times New Roman" w:hAnsi="Times New Roman"/>
          <w:sz w:val="20"/>
          <w:szCs w:val="20"/>
          <w:vertAlign w:val="subscript"/>
        </w:rPr>
        <w:t>3</w:t>
      </w:r>
      <w:r w:rsidRPr="00F36A6F">
        <w:rPr>
          <w:rFonts w:ascii="Times New Roman" w:hAnsi="Times New Roman"/>
          <w:sz w:val="20"/>
          <w:szCs w:val="20"/>
        </w:rPr>
        <w:t>Fe(CN)</w:t>
      </w:r>
      <w:r w:rsidRPr="00F36A6F">
        <w:rPr>
          <w:rFonts w:ascii="Times New Roman" w:hAnsi="Times New Roman"/>
          <w:sz w:val="20"/>
          <w:szCs w:val="20"/>
          <w:vertAlign w:val="subscript"/>
        </w:rPr>
        <w:t>6</w:t>
      </w:r>
      <w:r w:rsidRPr="00F36A6F">
        <w:rPr>
          <w:rFonts w:ascii="Times New Roman" w:hAnsi="Times New Roman"/>
          <w:sz w:val="20"/>
          <w:szCs w:val="20"/>
        </w:rPr>
        <w:t xml:space="preserve"> and FeCl</w:t>
      </w:r>
      <w:r w:rsidRPr="00F36A6F">
        <w:rPr>
          <w:rFonts w:ascii="Times New Roman" w:hAnsi="Times New Roman"/>
          <w:sz w:val="20"/>
          <w:szCs w:val="20"/>
          <w:vertAlign w:val="subscript"/>
        </w:rPr>
        <w:t>3</w:t>
      </w:r>
      <w:r w:rsidRPr="00F36A6F">
        <w:rPr>
          <w:rFonts w:ascii="Times New Roman" w:hAnsi="Times New Roman"/>
          <w:sz w:val="20"/>
          <w:szCs w:val="20"/>
        </w:rPr>
        <w:t xml:space="preserve"> is a critical in conducting Prussian assay and laborious [28].</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 </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In this study, it was also obtained that most of water extracts of vegetables contained higher phenolic compounds compared with ethanolic extracts when determined using Folin-Ciacalteu assay. Othman et al. [18] reported that total phenolic content of </w:t>
      </w:r>
      <w:r w:rsidRPr="00F36A6F">
        <w:rPr>
          <w:rFonts w:ascii="Times New Roman" w:hAnsi="Times New Roman"/>
          <w:i/>
          <w:iCs/>
          <w:sz w:val="20"/>
          <w:szCs w:val="20"/>
        </w:rPr>
        <w:t>Melicope Lunu ankeda</w:t>
      </w:r>
      <w:r w:rsidRPr="00F36A6F">
        <w:rPr>
          <w:rFonts w:ascii="Times New Roman" w:hAnsi="Times New Roman"/>
          <w:sz w:val="20"/>
          <w:szCs w:val="20"/>
        </w:rPr>
        <w:t xml:space="preserve"> (locally known as </w:t>
      </w:r>
      <w:r w:rsidRPr="00F36A6F">
        <w:rPr>
          <w:rFonts w:ascii="Times New Roman" w:hAnsi="Times New Roman"/>
          <w:i/>
          <w:iCs/>
          <w:sz w:val="20"/>
          <w:szCs w:val="20"/>
        </w:rPr>
        <w:t>tenggek burun</w:t>
      </w:r>
      <w:r w:rsidRPr="00F36A6F">
        <w:rPr>
          <w:rFonts w:ascii="Times New Roman" w:hAnsi="Times New Roman"/>
          <w:sz w:val="20"/>
          <w:szCs w:val="20"/>
        </w:rPr>
        <w:t xml:space="preserve">g) and </w:t>
      </w:r>
      <w:r w:rsidRPr="00F36A6F">
        <w:rPr>
          <w:rFonts w:ascii="Times New Roman" w:hAnsi="Times New Roman"/>
          <w:i/>
          <w:iCs/>
          <w:sz w:val="20"/>
          <w:szCs w:val="20"/>
        </w:rPr>
        <w:t>Polygonum minus</w:t>
      </w:r>
      <w:r w:rsidRPr="00F36A6F">
        <w:rPr>
          <w:rFonts w:ascii="Times New Roman" w:hAnsi="Times New Roman"/>
          <w:sz w:val="20"/>
          <w:szCs w:val="20"/>
        </w:rPr>
        <w:t xml:space="preserve"> (locally known as kesum) were higher in water extracts than in ethanolic extract.  However, phenolic contents of </w:t>
      </w:r>
      <w:r w:rsidRPr="00F36A6F">
        <w:rPr>
          <w:rFonts w:ascii="Times New Roman" w:hAnsi="Times New Roman"/>
          <w:i/>
          <w:iCs/>
          <w:sz w:val="20"/>
          <w:szCs w:val="20"/>
        </w:rPr>
        <w:t>Murraya koenigii</w:t>
      </w:r>
      <w:r w:rsidRPr="00F36A6F">
        <w:rPr>
          <w:rFonts w:ascii="Times New Roman" w:hAnsi="Times New Roman"/>
          <w:sz w:val="20"/>
          <w:szCs w:val="20"/>
        </w:rPr>
        <w:t xml:space="preserve"> or curry leaves and </w:t>
      </w:r>
      <w:r w:rsidRPr="00F36A6F">
        <w:rPr>
          <w:rFonts w:ascii="Times New Roman" w:hAnsi="Times New Roman"/>
          <w:i/>
          <w:iCs/>
          <w:sz w:val="20"/>
          <w:szCs w:val="20"/>
        </w:rPr>
        <w:t>Eugenia polyantha</w:t>
      </w:r>
      <w:r w:rsidRPr="00F36A6F">
        <w:rPr>
          <w:rFonts w:ascii="Times New Roman" w:hAnsi="Times New Roman"/>
          <w:sz w:val="20"/>
          <w:szCs w:val="20"/>
        </w:rPr>
        <w:t xml:space="preserve"> or </w:t>
      </w:r>
      <w:r w:rsidRPr="00F36A6F">
        <w:rPr>
          <w:rFonts w:ascii="Times New Roman" w:hAnsi="Times New Roman"/>
          <w:i/>
          <w:iCs/>
          <w:sz w:val="20"/>
          <w:szCs w:val="20"/>
        </w:rPr>
        <w:t>Salam</w:t>
      </w:r>
      <w:r w:rsidRPr="00F36A6F">
        <w:rPr>
          <w:rFonts w:ascii="Times New Roman" w:hAnsi="Times New Roman"/>
          <w:sz w:val="20"/>
          <w:szCs w:val="20"/>
        </w:rPr>
        <w:t xml:space="preserve"> leaves were higher in ethanolic extracts.  Previously, phenolic compounds in henna leaves [34] and from sorghum leaf [35] were more efficient to extract with water as compared with methanol solvent.  Water was also the best solvent for extracting tea catechins, than 80% methanol or 70% ethanol [36].</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The choice of extraction solvents such as water, acetone, ethyl acetate, alcohols (methanol, ethanol, and propanol) and their mixtures [37] will influence the yields of phenolic contents.  In fact, most of aqueous solvent extracts have been shown to give higher total phenolic content as compared to absolute solvent.</w:t>
      </w:r>
      <w:r w:rsidRPr="00F36A6F">
        <w:rPr>
          <w:rFonts w:ascii="Times New Roman" w:hAnsi="Times New Roman"/>
          <w:sz w:val="20"/>
          <w:szCs w:val="20"/>
        </w:rPr>
        <w:t xml:space="preserve">  Turkmen et al</w:t>
      </w:r>
      <w:r w:rsidRPr="00F36A6F">
        <w:rPr>
          <w:rFonts w:ascii="Times New Roman" w:hAnsi="Times New Roman"/>
          <w:i/>
          <w:iCs/>
          <w:sz w:val="20"/>
          <w:szCs w:val="20"/>
        </w:rPr>
        <w:t xml:space="preserve">. </w:t>
      </w:r>
      <w:r w:rsidRPr="00F36A6F">
        <w:rPr>
          <w:rFonts w:ascii="Times New Roman" w:hAnsi="Times New Roman"/>
          <w:sz w:val="20"/>
          <w:szCs w:val="20"/>
        </w:rPr>
        <w:t xml:space="preserve">[38] reported that the use of aqueous acetone to extract phenolic compounds from black tea obtained the highest values of total phenolic content compared to other absolute acetone.  </w:t>
      </w:r>
      <w:r w:rsidRPr="00F36A6F">
        <w:rPr>
          <w:rFonts w:ascii="Times New Roman" w:hAnsi="Times New Roman"/>
          <w:color w:val="000000"/>
          <w:sz w:val="20"/>
          <w:szCs w:val="20"/>
        </w:rPr>
        <w:t xml:space="preserve">Alcoholic solvents are not highly selective for phenolic compounds.  However, they are more preferred for extracting phenolic compounds from natural sources as they provides comparatively high yield with water.  The efficiency and extractability of alcohol as solvent can be enhanced by increasing their polarity and the addition of water with absolute concentration of alcohol solution [39].  Total phenolic content of vegetative parts of </w:t>
      </w:r>
      <w:r w:rsidRPr="00F36A6F">
        <w:rPr>
          <w:rFonts w:ascii="Times New Roman" w:hAnsi="Times New Roman"/>
          <w:i/>
          <w:iCs/>
          <w:color w:val="000000"/>
          <w:sz w:val="20"/>
          <w:szCs w:val="20"/>
        </w:rPr>
        <w:t>Pluchea indica</w:t>
      </w:r>
      <w:r w:rsidRPr="00F36A6F">
        <w:rPr>
          <w:rFonts w:ascii="Times New Roman" w:hAnsi="Times New Roman"/>
          <w:color w:val="000000"/>
          <w:sz w:val="20"/>
          <w:szCs w:val="20"/>
        </w:rPr>
        <w:t xml:space="preserve"> is higher when extract using 50% ethanol solvent followed by aqueous ethanol and absolute ethanol [40]. Furthermore, the phenolic contents of </w:t>
      </w:r>
      <w:r w:rsidRPr="00F36A6F">
        <w:rPr>
          <w:rFonts w:ascii="Times New Roman" w:hAnsi="Times New Roman"/>
          <w:i/>
          <w:iCs/>
          <w:color w:val="000000"/>
          <w:sz w:val="20"/>
          <w:szCs w:val="20"/>
        </w:rPr>
        <w:t xml:space="preserve">Lathyrus maritimus </w:t>
      </w:r>
      <w:r w:rsidRPr="00F36A6F">
        <w:rPr>
          <w:rFonts w:ascii="Times New Roman" w:hAnsi="Times New Roman"/>
          <w:color w:val="000000"/>
          <w:sz w:val="20"/>
          <w:szCs w:val="20"/>
        </w:rPr>
        <w:t xml:space="preserve">L. seed extracted using acetone-water system obtained higher amount than using absolute ethanol-water or methanol-water systems [41].  Perhaps, the addition of water in absolute solvent help to increase the extractability of sample as the polarity of solvent increased [42].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sz w:val="20"/>
          <w:szCs w:val="20"/>
        </w:rPr>
        <w:t xml:space="preserve">The efficiency of phenolic contents of sample extraction can be enhanced by increasing the amount of water to the solvent.  </w:t>
      </w:r>
      <w:r w:rsidRPr="00F36A6F">
        <w:rPr>
          <w:rFonts w:ascii="Times New Roman" w:hAnsi="Times New Roman"/>
          <w:color w:val="000000"/>
          <w:sz w:val="20"/>
          <w:szCs w:val="20"/>
        </w:rPr>
        <w:t>This could be explained in term of hydroxyl bond occur between water and phenolic compounds.  It is known that oxygen molecule from solvent will form hydrogen bond with hydroxyl groups of phenolic compounds.  Therefore, as more water molecules present in extraction system, more oxygen atom in water molecules are available for the hydrogen bond formation with phenolic compounds.  This will allow more phenolic compounds is extracted and resulting in higher extraction yield and total phenolic compounds.  Water extracts lead in more hydrogen bond formation with all hydroxyl groups even with the phenolic compounds that bound to the other compounds such as sugar [42].  However, absolute solvent may only restricted to bond with compound with hydroxyl groups of phenolic compounds.  Hence, total phenolic content extracted were significantly influenced by different types of solvent and the properties of the phenolic components of the plants types [42-43].</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b/>
          <w:bCs/>
          <w:sz w:val="20"/>
          <w:szCs w:val="20"/>
        </w:rPr>
      </w:pPr>
      <w:r w:rsidRPr="00F36A6F">
        <w:rPr>
          <w:rFonts w:ascii="Times New Roman" w:hAnsi="Times New Roman"/>
          <w:b/>
          <w:bCs/>
          <w:sz w:val="20"/>
          <w:szCs w:val="20"/>
        </w:rPr>
        <w:t xml:space="preserve">Antioxidant Activities of Vegetables: </w:t>
      </w:r>
      <w:r w:rsidRPr="00F36A6F">
        <w:rPr>
          <w:rFonts w:ascii="Times New Roman" w:hAnsi="Times New Roman"/>
          <w:b/>
          <w:iCs/>
          <w:sz w:val="20"/>
          <w:szCs w:val="20"/>
        </w:rPr>
        <w:t>Ferric reducing antioxidant power of vegetable extracts</w:t>
      </w: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Results o</w:t>
      </w:r>
      <w:r w:rsidRPr="00F36A6F">
        <w:rPr>
          <w:rFonts w:ascii="Times New Roman" w:hAnsi="Times New Roman"/>
          <w:sz w:val="20"/>
          <w:szCs w:val="20"/>
        </w:rPr>
        <w:t xml:space="preserve">f FRAP analysis of water and ethanolic extracts of vegetables after incubation with linoleic acid for seven days are shown in Figure 2 and Figure 3, respectively. The </w:t>
      </w:r>
      <w:r w:rsidRPr="00F36A6F">
        <w:rPr>
          <w:rFonts w:ascii="Times New Roman" w:hAnsi="Times New Roman"/>
          <w:color w:val="000000"/>
          <w:sz w:val="20"/>
          <w:szCs w:val="20"/>
        </w:rPr>
        <w:t xml:space="preserve">Figures show that the absorbance reading of the mixture of linoleic acid and vegetables extracts increased during seven days incubation at 40 </w:t>
      </w:r>
      <w:r w:rsidRPr="00F36A6F">
        <w:rPr>
          <w:rFonts w:ascii="Times New Roman" w:hAnsi="Times New Roman"/>
          <w:color w:val="000000"/>
          <w:sz w:val="20"/>
          <w:szCs w:val="20"/>
          <w:vertAlign w:val="superscript"/>
        </w:rPr>
        <w:t>o</w:t>
      </w:r>
      <w:r w:rsidRPr="00F36A6F">
        <w:rPr>
          <w:rFonts w:ascii="Times New Roman" w:hAnsi="Times New Roman"/>
          <w:color w:val="000000"/>
          <w:sz w:val="20"/>
          <w:szCs w:val="20"/>
        </w:rPr>
        <w:t xml:space="preserve">C.  All samples of linoleic acid in assays oxidized when incubating with vegetables but with different reaction rate.  At initial incubation, the lowest absorbance reading measurements were shown in water extract of </w:t>
      </w:r>
      <w:r w:rsidRPr="00F36A6F">
        <w:rPr>
          <w:rFonts w:ascii="Times New Roman" w:hAnsi="Times New Roman"/>
          <w:i/>
          <w:iCs/>
          <w:color w:val="000000"/>
          <w:sz w:val="20"/>
          <w:szCs w:val="20"/>
        </w:rPr>
        <w:t>Etlingera elatior</w:t>
      </w:r>
      <w:r w:rsidRPr="00F36A6F">
        <w:rPr>
          <w:rFonts w:ascii="Times New Roman" w:hAnsi="Times New Roman"/>
          <w:color w:val="000000"/>
          <w:sz w:val="20"/>
          <w:szCs w:val="20"/>
        </w:rPr>
        <w:t xml:space="preserve"> (0.0019) and ethanolic extract of </w:t>
      </w:r>
      <w:r w:rsidRPr="00F36A6F">
        <w:rPr>
          <w:rFonts w:ascii="Times New Roman" w:hAnsi="Times New Roman"/>
          <w:i/>
          <w:iCs/>
          <w:color w:val="000000"/>
          <w:sz w:val="20"/>
          <w:szCs w:val="20"/>
        </w:rPr>
        <w:t>Carica papaya</w:t>
      </w:r>
      <w:r w:rsidRPr="00F36A6F">
        <w:rPr>
          <w:rFonts w:ascii="Times New Roman" w:hAnsi="Times New Roman"/>
          <w:color w:val="000000"/>
          <w:sz w:val="20"/>
          <w:szCs w:val="20"/>
        </w:rPr>
        <w:t xml:space="preserve"> shoot (0.0060).  After seven day incubation, the absorbance values of negative control (without any extracts) was 0.4010 and was significantly (p&lt;0.05) increased with all water and ethanolic extracts of vegetables as predicted.  The highest percentage of inhibition of linoleic acid peroxidation was observed in water extract of </w:t>
      </w:r>
      <w:r w:rsidRPr="00F36A6F">
        <w:rPr>
          <w:rFonts w:ascii="Times New Roman" w:hAnsi="Times New Roman"/>
          <w:i/>
          <w:iCs/>
          <w:color w:val="000000"/>
          <w:sz w:val="20"/>
          <w:szCs w:val="20"/>
        </w:rPr>
        <w:t>Etlingera elatior</w:t>
      </w:r>
      <w:r w:rsidRPr="00F36A6F">
        <w:rPr>
          <w:rFonts w:ascii="Times New Roman" w:hAnsi="Times New Roman"/>
          <w:color w:val="000000"/>
          <w:sz w:val="20"/>
          <w:szCs w:val="20"/>
        </w:rPr>
        <w:t xml:space="preserve"> (75.6%) and ethanolic extract of </w:t>
      </w:r>
      <w:r w:rsidRPr="00F36A6F">
        <w:rPr>
          <w:rFonts w:ascii="Times New Roman" w:hAnsi="Times New Roman"/>
          <w:i/>
          <w:iCs/>
          <w:color w:val="000000"/>
          <w:sz w:val="20"/>
          <w:szCs w:val="20"/>
        </w:rPr>
        <w:t xml:space="preserve">Sauropus androgynus </w:t>
      </w:r>
      <w:r w:rsidRPr="00F36A6F">
        <w:rPr>
          <w:rFonts w:ascii="Times New Roman" w:hAnsi="Times New Roman"/>
          <w:color w:val="000000"/>
          <w:sz w:val="20"/>
          <w:szCs w:val="20"/>
        </w:rPr>
        <w:t xml:space="preserve">(78.1%).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 xml:space="preserve">Different extracts may have different types and amounts of phenolic compound that can slow down peroxidation rate of unsaturated bond in linoleic acid.  The highest value of absorbance reading in negative sample assay was due to the highest rate of linoleic acid peroxidation since it was not inhibited by any compounds in any extracts.  The percentage of inhibition linoleic acid was measured at seven days incubation compared with the initial incubation.  </w:t>
      </w:r>
      <w:r w:rsidRPr="00F36A6F">
        <w:rPr>
          <w:rFonts w:ascii="Times New Roman" w:hAnsi="Times New Roman"/>
          <w:color w:val="000000"/>
          <w:sz w:val="20"/>
          <w:szCs w:val="20"/>
        </w:rPr>
        <w:lastRenderedPageBreak/>
        <w:t xml:space="preserve">Results found that the highest inhibition percentage of linoleic acid peroxidation of water and ethanolic extracts were observed in </w:t>
      </w:r>
      <w:r w:rsidRPr="00F36A6F">
        <w:rPr>
          <w:rFonts w:ascii="Times New Roman" w:hAnsi="Times New Roman"/>
          <w:i/>
          <w:iCs/>
          <w:color w:val="000000"/>
          <w:sz w:val="20"/>
          <w:szCs w:val="20"/>
        </w:rPr>
        <w:t>Etlingera elatior</w:t>
      </w:r>
      <w:r w:rsidRPr="00F36A6F">
        <w:rPr>
          <w:rFonts w:ascii="Times New Roman" w:hAnsi="Times New Roman"/>
          <w:color w:val="000000"/>
          <w:sz w:val="20"/>
          <w:szCs w:val="20"/>
        </w:rPr>
        <w:t xml:space="preserve"> (75.6%) and extracts of </w:t>
      </w:r>
      <w:r w:rsidRPr="00F36A6F">
        <w:rPr>
          <w:rFonts w:ascii="Times New Roman" w:hAnsi="Times New Roman"/>
          <w:i/>
          <w:iCs/>
          <w:color w:val="000000"/>
          <w:sz w:val="20"/>
          <w:szCs w:val="20"/>
        </w:rPr>
        <w:t>Sauropus androgynus</w:t>
      </w:r>
      <w:r w:rsidRPr="00F36A6F">
        <w:rPr>
          <w:rFonts w:ascii="Times New Roman" w:hAnsi="Times New Roman"/>
          <w:color w:val="000000"/>
          <w:sz w:val="20"/>
          <w:szCs w:val="20"/>
        </w:rPr>
        <w:t xml:space="preserve"> (78.1%), respectively.  The percentage of inhibition of linoleic acid peroxidation of water extracts in the descending order were </w:t>
      </w:r>
      <w:r w:rsidRPr="00F36A6F">
        <w:rPr>
          <w:rFonts w:ascii="Times New Roman" w:hAnsi="Times New Roman"/>
          <w:i/>
          <w:iCs/>
          <w:color w:val="000000"/>
          <w:sz w:val="20"/>
          <w:szCs w:val="20"/>
        </w:rPr>
        <w:t>Etlingera elatior</w:t>
      </w:r>
      <w:r w:rsidRPr="00F36A6F">
        <w:rPr>
          <w:rFonts w:ascii="Times New Roman" w:hAnsi="Times New Roman"/>
          <w:color w:val="000000"/>
          <w:sz w:val="20"/>
          <w:szCs w:val="20"/>
        </w:rPr>
        <w:t xml:space="preserve"> (75.6%),  </w:t>
      </w:r>
      <w:r w:rsidRPr="00F36A6F">
        <w:rPr>
          <w:rFonts w:ascii="Times New Roman" w:hAnsi="Times New Roman"/>
          <w:i/>
          <w:iCs/>
          <w:color w:val="000000"/>
          <w:sz w:val="20"/>
          <w:szCs w:val="20"/>
        </w:rPr>
        <w:t>Psophocarpus tetragonolobus</w:t>
      </w:r>
      <w:r w:rsidRPr="00F36A6F">
        <w:rPr>
          <w:rFonts w:ascii="Times New Roman" w:hAnsi="Times New Roman"/>
          <w:color w:val="000000"/>
          <w:sz w:val="20"/>
          <w:szCs w:val="20"/>
        </w:rPr>
        <w:t xml:space="preserve"> (70.8%), </w:t>
      </w:r>
      <w:r w:rsidRPr="00F36A6F">
        <w:rPr>
          <w:rFonts w:ascii="Times New Roman" w:hAnsi="Times New Roman"/>
          <w:i/>
          <w:iCs/>
          <w:color w:val="000000"/>
          <w:sz w:val="20"/>
          <w:szCs w:val="20"/>
        </w:rPr>
        <w:t>Sauropus androgynus</w:t>
      </w:r>
      <w:r w:rsidRPr="00F36A6F">
        <w:rPr>
          <w:rFonts w:ascii="Times New Roman" w:hAnsi="Times New Roman"/>
          <w:color w:val="000000"/>
          <w:sz w:val="20"/>
          <w:szCs w:val="20"/>
        </w:rPr>
        <w:t xml:space="preserve"> (69.3%), </w:t>
      </w:r>
      <w:r w:rsidRPr="00F36A6F">
        <w:rPr>
          <w:rFonts w:ascii="Times New Roman" w:hAnsi="Times New Roman"/>
          <w:i/>
          <w:iCs/>
          <w:color w:val="000000"/>
          <w:sz w:val="20"/>
          <w:szCs w:val="20"/>
        </w:rPr>
        <w:t xml:space="preserve">Manihot esculenta </w:t>
      </w:r>
      <w:r w:rsidRPr="00F36A6F">
        <w:rPr>
          <w:rFonts w:ascii="Times New Roman" w:hAnsi="Times New Roman"/>
          <w:color w:val="000000"/>
          <w:sz w:val="20"/>
          <w:szCs w:val="20"/>
        </w:rPr>
        <w:t xml:space="preserve">shoot (69.3%), </w:t>
      </w:r>
      <w:r w:rsidRPr="00F36A6F">
        <w:rPr>
          <w:rFonts w:ascii="Times New Roman" w:hAnsi="Times New Roman"/>
          <w:i/>
          <w:iCs/>
          <w:color w:val="000000"/>
          <w:sz w:val="20"/>
          <w:szCs w:val="20"/>
        </w:rPr>
        <w:t>Carica papaya</w:t>
      </w:r>
      <w:r w:rsidRPr="00F36A6F">
        <w:rPr>
          <w:rFonts w:ascii="Times New Roman" w:hAnsi="Times New Roman"/>
          <w:color w:val="000000"/>
          <w:sz w:val="20"/>
          <w:szCs w:val="20"/>
        </w:rPr>
        <w:t xml:space="preserve"> (68.3%), </w:t>
      </w:r>
      <w:r w:rsidRPr="00F36A6F">
        <w:rPr>
          <w:rFonts w:ascii="Times New Roman" w:hAnsi="Times New Roman"/>
          <w:i/>
          <w:iCs/>
          <w:color w:val="000000"/>
          <w:sz w:val="20"/>
          <w:szCs w:val="20"/>
        </w:rPr>
        <w:t>Curcuma longa</w:t>
      </w:r>
      <w:r w:rsidRPr="00F36A6F">
        <w:rPr>
          <w:rFonts w:ascii="Times New Roman" w:hAnsi="Times New Roman"/>
          <w:color w:val="000000"/>
          <w:sz w:val="20"/>
          <w:szCs w:val="20"/>
        </w:rPr>
        <w:t xml:space="preserve"> leaves (64.8%), </w:t>
      </w:r>
      <w:r w:rsidRPr="00F36A6F">
        <w:rPr>
          <w:rFonts w:ascii="Times New Roman" w:hAnsi="Times New Roman"/>
          <w:i/>
          <w:iCs/>
          <w:color w:val="000000"/>
          <w:sz w:val="20"/>
          <w:szCs w:val="20"/>
        </w:rPr>
        <w:t>Pithecellobium jiringa</w:t>
      </w:r>
      <w:r w:rsidRPr="00F36A6F">
        <w:rPr>
          <w:rFonts w:ascii="Times New Roman" w:hAnsi="Times New Roman"/>
          <w:color w:val="000000"/>
          <w:sz w:val="20"/>
          <w:szCs w:val="20"/>
        </w:rPr>
        <w:t xml:space="preserve"> (62.3%), and </w:t>
      </w:r>
      <w:r w:rsidRPr="00F36A6F">
        <w:rPr>
          <w:rFonts w:ascii="Times New Roman" w:hAnsi="Times New Roman"/>
          <w:i/>
          <w:iCs/>
          <w:color w:val="000000"/>
          <w:sz w:val="20"/>
          <w:szCs w:val="20"/>
        </w:rPr>
        <w:t>Anacardium occidentale</w:t>
      </w:r>
      <w:r w:rsidRPr="00F36A6F">
        <w:rPr>
          <w:rFonts w:ascii="Times New Roman" w:hAnsi="Times New Roman"/>
          <w:color w:val="000000"/>
          <w:sz w:val="20"/>
          <w:szCs w:val="20"/>
        </w:rPr>
        <w:t xml:space="preserve"> shoot (59.6%).  The percentage of inhibition of linoleic acid of ethanolic extracts ranged between 63.6 and 78.1%.</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drawing>
          <wp:inline distT="0" distB="0" distL="0" distR="0" wp14:anchorId="6F364869" wp14:editId="1084C568">
            <wp:extent cx="5760085" cy="2600325"/>
            <wp:effectExtent l="19050" t="19050" r="12065" b="28575"/>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085" cy="2600325"/>
                    </a:xfrm>
                    <a:prstGeom prst="rect">
                      <a:avLst/>
                    </a:prstGeom>
                    <a:noFill/>
                    <a:ln w="9525">
                      <a:solidFill>
                        <a:srgbClr val="000000"/>
                      </a:solidFill>
                      <a:miter lim="800000"/>
                      <a:headEnd/>
                      <a:tailEnd/>
                    </a:ln>
                  </pic:spPr>
                </pic:pic>
              </a:graphicData>
            </a:graphic>
          </wp:inline>
        </w:drawing>
      </w:r>
    </w:p>
    <w:p w:rsidR="00F36A6F" w:rsidRPr="00F36A6F" w:rsidRDefault="00F36A6F" w:rsidP="00F36A6F">
      <w:pPr>
        <w:pStyle w:val="NoSpacing"/>
        <w:ind w:left="1134" w:hanging="1134"/>
        <w:jc w:val="both"/>
        <w:rPr>
          <w:rFonts w:ascii="Times New Roman" w:hAnsi="Times New Roman"/>
          <w:color w:val="000000"/>
          <w:sz w:val="20"/>
          <w:szCs w:val="20"/>
        </w:rPr>
      </w:pPr>
    </w:p>
    <w:p w:rsidR="00F36A6F" w:rsidRPr="00F36A6F" w:rsidRDefault="00F36A6F" w:rsidP="0030708B">
      <w:pPr>
        <w:pStyle w:val="NoSpacing"/>
        <w:ind w:left="900" w:hanging="900"/>
        <w:jc w:val="both"/>
        <w:rPr>
          <w:rFonts w:ascii="Times New Roman" w:hAnsi="Times New Roman"/>
          <w:color w:val="000000"/>
          <w:sz w:val="20"/>
          <w:szCs w:val="20"/>
        </w:rPr>
      </w:pPr>
      <w:r w:rsidRPr="00F36A6F">
        <w:rPr>
          <w:rFonts w:ascii="Times New Roman" w:hAnsi="Times New Roman"/>
          <w:color w:val="000000"/>
          <w:sz w:val="20"/>
          <w:szCs w:val="20"/>
        </w:rPr>
        <w:t>Figure 2</w:t>
      </w:r>
      <w:r w:rsidR="0030708B">
        <w:rPr>
          <w:rFonts w:ascii="Times New Roman" w:hAnsi="Times New Roman"/>
          <w:color w:val="000000"/>
          <w:sz w:val="20"/>
          <w:szCs w:val="20"/>
        </w:rPr>
        <w:t xml:space="preserve">. </w:t>
      </w:r>
      <w:r w:rsidR="0030708B">
        <w:rPr>
          <w:rFonts w:ascii="Times New Roman" w:hAnsi="Times New Roman"/>
          <w:color w:val="000000"/>
          <w:sz w:val="20"/>
          <w:szCs w:val="20"/>
        </w:rPr>
        <w:tab/>
      </w:r>
      <w:r w:rsidRPr="00F36A6F">
        <w:rPr>
          <w:rFonts w:ascii="Times New Roman" w:hAnsi="Times New Roman"/>
          <w:color w:val="000000"/>
          <w:sz w:val="20"/>
          <w:szCs w:val="20"/>
        </w:rPr>
        <w:t>FRAP analysis of water extracts of vegetables. Data were expressed as mean and were analyzed in triplicate</w:t>
      </w:r>
    </w:p>
    <w:p w:rsidR="00F36A6F" w:rsidRDefault="00F36A6F" w:rsidP="00F36A6F">
      <w:pPr>
        <w:pStyle w:val="NoSpacing"/>
        <w:jc w:val="both"/>
        <w:rPr>
          <w:rFonts w:ascii="Times New Roman" w:hAnsi="Times New Roman"/>
          <w:color w:val="000000"/>
          <w:sz w:val="20"/>
          <w:szCs w:val="20"/>
        </w:rPr>
      </w:pPr>
    </w:p>
    <w:p w:rsidR="0030708B" w:rsidRPr="00F36A6F" w:rsidRDefault="0030708B"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drawing>
          <wp:inline distT="0" distB="0" distL="0" distR="0" wp14:anchorId="40F6DC65" wp14:editId="5971E2E9">
            <wp:extent cx="5760085" cy="2820035"/>
            <wp:effectExtent l="19050" t="19050" r="12065" b="18415"/>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085" cy="2820035"/>
                    </a:xfrm>
                    <a:prstGeom prst="rect">
                      <a:avLst/>
                    </a:prstGeom>
                    <a:noFill/>
                    <a:ln w="9525">
                      <a:solidFill>
                        <a:srgbClr val="000000"/>
                      </a:solidFill>
                      <a:miter lim="800000"/>
                      <a:headEnd/>
                      <a:tailEnd/>
                    </a:ln>
                  </pic:spPr>
                </pic:pic>
              </a:graphicData>
            </a:graphic>
          </wp:inline>
        </w:drawing>
      </w:r>
    </w:p>
    <w:p w:rsidR="00F36A6F" w:rsidRPr="00F36A6F" w:rsidRDefault="00F36A6F" w:rsidP="0030708B">
      <w:pPr>
        <w:pStyle w:val="NoSpacing"/>
        <w:spacing w:before="180"/>
        <w:ind w:left="907" w:hanging="907"/>
        <w:jc w:val="both"/>
        <w:rPr>
          <w:rFonts w:ascii="Times New Roman" w:hAnsi="Times New Roman"/>
          <w:color w:val="000000"/>
          <w:sz w:val="20"/>
          <w:szCs w:val="20"/>
        </w:rPr>
      </w:pPr>
      <w:r w:rsidRPr="00F36A6F">
        <w:rPr>
          <w:rFonts w:ascii="Times New Roman" w:hAnsi="Times New Roman"/>
          <w:color w:val="000000"/>
          <w:sz w:val="20"/>
          <w:szCs w:val="20"/>
        </w:rPr>
        <w:t xml:space="preserve">Figure 3. </w:t>
      </w:r>
      <w:r w:rsidR="0030708B">
        <w:rPr>
          <w:rFonts w:ascii="Times New Roman" w:hAnsi="Times New Roman"/>
          <w:color w:val="000000"/>
          <w:sz w:val="20"/>
          <w:szCs w:val="20"/>
        </w:rPr>
        <w:t xml:space="preserve"> </w:t>
      </w:r>
      <w:r w:rsidRPr="00F36A6F">
        <w:rPr>
          <w:rFonts w:ascii="Times New Roman" w:hAnsi="Times New Roman"/>
          <w:color w:val="000000"/>
          <w:sz w:val="20"/>
          <w:szCs w:val="20"/>
        </w:rPr>
        <w:t>FTC analysis of ethanolic extracts of vegetables. Data were expressed as mean and were analyzed in triplicate</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 xml:space="preserve">Previously, Huda-Faujan et al. [44] reported that percentage of inhibition of linoleic acid peroxidation of water extracts of five Malaysian vegetables ranged between 52.1 and 67.7%.  The vegetables tested was </w:t>
      </w:r>
      <w:r w:rsidRPr="00F36A6F">
        <w:rPr>
          <w:rFonts w:ascii="Times New Roman" w:hAnsi="Times New Roman"/>
          <w:i/>
          <w:iCs/>
          <w:color w:val="000000"/>
          <w:sz w:val="20"/>
          <w:szCs w:val="20"/>
        </w:rPr>
        <w:t>Murraya koeniigi</w:t>
      </w:r>
      <w:r w:rsidRPr="00F36A6F">
        <w:rPr>
          <w:rFonts w:ascii="Times New Roman" w:hAnsi="Times New Roman"/>
          <w:color w:val="000000"/>
          <w:sz w:val="20"/>
          <w:szCs w:val="20"/>
        </w:rPr>
        <w:t xml:space="preserve">, </w:t>
      </w:r>
      <w:r w:rsidRPr="00F36A6F">
        <w:rPr>
          <w:rFonts w:ascii="Times New Roman" w:hAnsi="Times New Roman"/>
          <w:i/>
          <w:iCs/>
          <w:color w:val="000000"/>
          <w:sz w:val="20"/>
          <w:szCs w:val="20"/>
        </w:rPr>
        <w:t>Polygonum minus</w:t>
      </w:r>
      <w:r w:rsidRPr="00F36A6F">
        <w:rPr>
          <w:rFonts w:ascii="Times New Roman" w:hAnsi="Times New Roman"/>
          <w:color w:val="000000"/>
          <w:sz w:val="20"/>
          <w:szCs w:val="20"/>
        </w:rPr>
        <w:t xml:space="preserve">, </w:t>
      </w:r>
      <w:r w:rsidRPr="00F36A6F">
        <w:rPr>
          <w:rFonts w:ascii="Times New Roman" w:hAnsi="Times New Roman"/>
          <w:i/>
          <w:iCs/>
          <w:color w:val="000000"/>
          <w:sz w:val="20"/>
          <w:szCs w:val="20"/>
        </w:rPr>
        <w:t>Centella asiatica</w:t>
      </w:r>
      <w:r w:rsidRPr="00F36A6F">
        <w:rPr>
          <w:rFonts w:ascii="Times New Roman" w:hAnsi="Times New Roman"/>
          <w:color w:val="000000"/>
          <w:sz w:val="20"/>
          <w:szCs w:val="20"/>
        </w:rPr>
        <w:t xml:space="preserve">, and </w:t>
      </w:r>
      <w:r w:rsidRPr="00F36A6F">
        <w:rPr>
          <w:rFonts w:ascii="Times New Roman" w:hAnsi="Times New Roman"/>
          <w:i/>
          <w:iCs/>
          <w:color w:val="000000"/>
          <w:sz w:val="20"/>
          <w:szCs w:val="20"/>
        </w:rPr>
        <w:t>Oevanthe javanica</w:t>
      </w:r>
      <w:r w:rsidRPr="00F36A6F">
        <w:rPr>
          <w:rFonts w:ascii="Times New Roman" w:hAnsi="Times New Roman"/>
          <w:color w:val="000000"/>
          <w:sz w:val="20"/>
          <w:szCs w:val="20"/>
        </w:rPr>
        <w:t xml:space="preserve">.  However, percentage of linoleic acid inhibition of methanolic extracts of the vegetables ranged between 63.6 and 70.6% [5].  Furthermore, the highest percentage (78.4%) of inhibition of linoleic acid peroxidation in </w:t>
      </w:r>
      <w:r w:rsidRPr="00F36A6F">
        <w:rPr>
          <w:rFonts w:ascii="Times New Roman" w:hAnsi="Times New Roman"/>
          <w:i/>
          <w:iCs/>
          <w:color w:val="000000"/>
          <w:sz w:val="20"/>
          <w:szCs w:val="20"/>
        </w:rPr>
        <w:t>Terminalia arjuna</w:t>
      </w:r>
      <w:r w:rsidRPr="00F36A6F">
        <w:rPr>
          <w:rFonts w:ascii="Times New Roman" w:hAnsi="Times New Roman"/>
          <w:color w:val="000000"/>
          <w:sz w:val="20"/>
          <w:szCs w:val="20"/>
        </w:rPr>
        <w:t xml:space="preserve"> was performed in the stem bark of 80% methanolic extract.  However, the leaves part of the samples extracted with 80% ethanol demonstrated the lowest percentage (61.9%) of inhibition of linoleic acid peroxidation [45].</w:t>
      </w:r>
    </w:p>
    <w:p w:rsidR="00F36A6F" w:rsidRPr="00F36A6F" w:rsidRDefault="00F36A6F" w:rsidP="00F36A6F">
      <w:pPr>
        <w:pStyle w:val="NoSpacing"/>
        <w:jc w:val="both"/>
        <w:rPr>
          <w:rFonts w:ascii="Times New Roman" w:hAnsi="Times New Roman"/>
          <w:color w:val="FF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 xml:space="preserve">In the present study, it was found that the percentage of linoleic acid peroxidation inhibition by gallic acid was 63.9%.  The percentage of the inhibition was similar (p&gt;0.05) that demonstrated by water extract of </w:t>
      </w:r>
      <w:r w:rsidRPr="00F36A6F">
        <w:rPr>
          <w:rFonts w:ascii="Times New Roman" w:hAnsi="Times New Roman"/>
          <w:i/>
          <w:iCs/>
          <w:color w:val="000000"/>
          <w:sz w:val="20"/>
          <w:szCs w:val="20"/>
        </w:rPr>
        <w:t>Carica papaya</w:t>
      </w:r>
      <w:r w:rsidRPr="00F36A6F">
        <w:rPr>
          <w:rFonts w:ascii="Times New Roman" w:hAnsi="Times New Roman"/>
          <w:color w:val="000000"/>
          <w:sz w:val="20"/>
          <w:szCs w:val="20"/>
        </w:rPr>
        <w:t xml:space="preserve"> shoot and </w:t>
      </w:r>
      <w:r w:rsidRPr="00F36A6F">
        <w:rPr>
          <w:rFonts w:ascii="Times New Roman" w:hAnsi="Times New Roman"/>
          <w:i/>
          <w:iCs/>
          <w:color w:val="000000"/>
          <w:sz w:val="20"/>
          <w:szCs w:val="20"/>
        </w:rPr>
        <w:t xml:space="preserve">Curcuma longa </w:t>
      </w:r>
      <w:r w:rsidRPr="00F36A6F">
        <w:rPr>
          <w:rFonts w:ascii="Times New Roman" w:hAnsi="Times New Roman"/>
          <w:color w:val="000000"/>
          <w:sz w:val="20"/>
          <w:szCs w:val="20"/>
        </w:rPr>
        <w:t xml:space="preserve">leaves.  According to Catha et al. [45] percentage of inhibition of linoleic acid peroxidation by Butylated Hydroxyl Toluene (BHT) which is a synthetic antioxidant (91.3%) exhibit significantly higher (p&lt;0.05) activity that all extract of </w:t>
      </w:r>
      <w:r w:rsidRPr="00F36A6F">
        <w:rPr>
          <w:rFonts w:ascii="Times New Roman" w:hAnsi="Times New Roman"/>
          <w:i/>
          <w:iCs/>
          <w:color w:val="000000"/>
          <w:sz w:val="20"/>
          <w:szCs w:val="20"/>
        </w:rPr>
        <w:t xml:space="preserve">Terminalia arjuna.  </w:t>
      </w:r>
      <w:r w:rsidRPr="00F36A6F">
        <w:rPr>
          <w:rFonts w:ascii="Times New Roman" w:hAnsi="Times New Roman"/>
          <w:color w:val="000000"/>
          <w:sz w:val="20"/>
          <w:szCs w:val="20"/>
        </w:rPr>
        <w:t>In several experiments of antioxidant activity, gallic acid exhibited more effective to inhibit oxidation than BHT.  However, in general, natural antioxidant was obtained less effective to protect linoleic acid against peroxidation.  An effective natural antioxidant may suggested to be used in combination of two or more mixtures to protect linoleic acid.</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b/>
          <w:iCs/>
          <w:color w:val="000000"/>
          <w:sz w:val="20"/>
          <w:szCs w:val="20"/>
        </w:rPr>
      </w:pPr>
      <w:r w:rsidRPr="00F36A6F">
        <w:rPr>
          <w:rFonts w:ascii="Times New Roman" w:hAnsi="Times New Roman"/>
          <w:b/>
          <w:iCs/>
          <w:color w:val="000000"/>
          <w:sz w:val="20"/>
          <w:szCs w:val="20"/>
        </w:rPr>
        <w:t>Antioxidant Activity of Vegetables Extracts using DPPH Assay</w:t>
      </w:r>
    </w:p>
    <w:p w:rsidR="00F36A6F" w:rsidRPr="00F36A6F" w:rsidRDefault="00F36A6F" w:rsidP="00F36A6F">
      <w:pPr>
        <w:pStyle w:val="NoSpacing"/>
        <w:jc w:val="both"/>
        <w:rPr>
          <w:rFonts w:ascii="Times New Roman" w:hAnsi="Times New Roman"/>
          <w:sz w:val="20"/>
          <w:szCs w:val="20"/>
        </w:rPr>
      </w:pPr>
      <w:r w:rsidRPr="00F36A6F">
        <w:rPr>
          <w:rFonts w:ascii="Times New Roman" w:hAnsi="Times New Roman"/>
          <w:sz w:val="20"/>
          <w:szCs w:val="20"/>
        </w:rPr>
        <w:t xml:space="preserve">The radical scavenging activity of water and ethanolic extracts of vegetables using DPPH assay are shown in Figure 4 and Figure 5, respectively.  Results demonstrated that the DPPH free radical scavenging activity of extracts increased with increasing in sample concentration.  </w:t>
      </w:r>
      <w:r w:rsidRPr="00F36A6F">
        <w:rPr>
          <w:rFonts w:ascii="Times New Roman" w:hAnsi="Times New Roman"/>
          <w:color w:val="000000"/>
          <w:sz w:val="20"/>
          <w:szCs w:val="20"/>
        </w:rPr>
        <w:t xml:space="preserve">At 1.0 mg/mL, water extract of </w:t>
      </w:r>
      <w:r w:rsidRPr="00F36A6F">
        <w:rPr>
          <w:rFonts w:ascii="Times New Roman" w:hAnsi="Times New Roman"/>
          <w:i/>
          <w:iCs/>
          <w:color w:val="000000"/>
          <w:sz w:val="20"/>
          <w:szCs w:val="20"/>
        </w:rPr>
        <w:t xml:space="preserve">Curcuma longa </w:t>
      </w:r>
      <w:r w:rsidRPr="00F36A6F">
        <w:rPr>
          <w:rFonts w:ascii="Times New Roman" w:hAnsi="Times New Roman"/>
          <w:color w:val="000000"/>
          <w:sz w:val="20"/>
          <w:szCs w:val="20"/>
        </w:rPr>
        <w:t xml:space="preserve">leaves obtained the highest scavenging activity (p&lt;0.05), while at the same concentration </w:t>
      </w:r>
      <w:r w:rsidRPr="00F36A6F">
        <w:rPr>
          <w:rFonts w:ascii="Times New Roman" w:hAnsi="Times New Roman"/>
          <w:i/>
          <w:iCs/>
          <w:color w:val="000000"/>
          <w:sz w:val="20"/>
          <w:szCs w:val="20"/>
        </w:rPr>
        <w:t xml:space="preserve">Manihot esculenta </w:t>
      </w:r>
      <w:r w:rsidRPr="00F36A6F">
        <w:rPr>
          <w:rFonts w:ascii="Times New Roman" w:hAnsi="Times New Roman"/>
          <w:color w:val="000000"/>
          <w:sz w:val="20"/>
          <w:szCs w:val="20"/>
        </w:rPr>
        <w:t xml:space="preserve">shoot demonstrated the lowest scavenging activity of DPPH free radical [Figure 3(a)].  However, the scavenging activity of </w:t>
      </w:r>
      <w:r w:rsidRPr="00F36A6F">
        <w:rPr>
          <w:rFonts w:ascii="Times New Roman" w:hAnsi="Times New Roman"/>
          <w:i/>
          <w:iCs/>
          <w:color w:val="000000"/>
          <w:sz w:val="20"/>
          <w:szCs w:val="20"/>
        </w:rPr>
        <w:t>Manihot esculenta</w:t>
      </w:r>
      <w:r w:rsidRPr="00F36A6F">
        <w:rPr>
          <w:rFonts w:ascii="Times New Roman" w:hAnsi="Times New Roman"/>
          <w:color w:val="000000"/>
          <w:sz w:val="20"/>
          <w:szCs w:val="20"/>
        </w:rPr>
        <w:t xml:space="preserve"> was not significantly different with </w:t>
      </w:r>
      <w:r w:rsidRPr="00F36A6F">
        <w:rPr>
          <w:rFonts w:ascii="Times New Roman" w:hAnsi="Times New Roman"/>
          <w:i/>
          <w:iCs/>
          <w:color w:val="000000"/>
          <w:sz w:val="20"/>
          <w:szCs w:val="20"/>
        </w:rPr>
        <w:t>Pithecellobium jiringa</w:t>
      </w:r>
      <w:r w:rsidRPr="00F36A6F">
        <w:rPr>
          <w:rFonts w:ascii="Times New Roman" w:hAnsi="Times New Roman"/>
          <w:color w:val="000000"/>
          <w:sz w:val="20"/>
          <w:szCs w:val="20"/>
        </w:rPr>
        <w:t xml:space="preserve"> at 1.0 mg/mL.</w:t>
      </w:r>
      <w:r w:rsidRPr="00F36A6F">
        <w:rPr>
          <w:rFonts w:ascii="Times New Roman" w:hAnsi="Times New Roman"/>
          <w:sz w:val="20"/>
          <w:szCs w:val="20"/>
        </w:rPr>
        <w:t xml:space="preserve">  From Figure 3(b), the highest scavenging activity of ethanolic extract was obtained in </w:t>
      </w:r>
      <w:r w:rsidRPr="00F36A6F">
        <w:rPr>
          <w:rFonts w:ascii="Times New Roman" w:hAnsi="Times New Roman"/>
          <w:i/>
          <w:iCs/>
          <w:sz w:val="20"/>
          <w:szCs w:val="20"/>
        </w:rPr>
        <w:t>Psophocarpus tetragonolobus</w:t>
      </w:r>
      <w:r w:rsidRPr="00F36A6F">
        <w:rPr>
          <w:rFonts w:ascii="Times New Roman" w:hAnsi="Times New Roman"/>
          <w:sz w:val="20"/>
          <w:szCs w:val="20"/>
        </w:rPr>
        <w:t xml:space="preserve"> at concentration 1.0 mg/mL.  </w:t>
      </w:r>
    </w:p>
    <w:p w:rsidR="00F36A6F" w:rsidRPr="00F36A6F" w:rsidRDefault="00F36A6F" w:rsidP="00F36A6F">
      <w:pPr>
        <w:pStyle w:val="NoSpacing"/>
        <w:jc w:val="both"/>
        <w:rPr>
          <w:rFonts w:ascii="Times New Roman" w:hAnsi="Times New Roman"/>
          <w:sz w:val="20"/>
          <w:szCs w:val="20"/>
        </w:rPr>
      </w:pPr>
    </w:p>
    <w:p w:rsidR="00F36A6F" w:rsidRPr="00F36A6F" w:rsidRDefault="00F36A6F" w:rsidP="00F36A6F">
      <w:pPr>
        <w:pStyle w:val="NoSpacing"/>
        <w:jc w:val="both"/>
        <w:rPr>
          <w:rFonts w:ascii="Times New Roman" w:hAnsi="Times New Roman"/>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drawing>
          <wp:inline distT="0" distB="0" distL="0" distR="0" wp14:anchorId="0A68D599" wp14:editId="72D716F6">
            <wp:extent cx="5760085" cy="2696845"/>
            <wp:effectExtent l="19050" t="19050" r="12065" b="27305"/>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85" cy="2696845"/>
                    </a:xfrm>
                    <a:prstGeom prst="rect">
                      <a:avLst/>
                    </a:prstGeom>
                    <a:noFill/>
                    <a:ln w="9525">
                      <a:solidFill>
                        <a:srgbClr val="000000"/>
                      </a:solidFill>
                      <a:miter lim="800000"/>
                      <a:headEnd/>
                      <a:tailEnd/>
                    </a:ln>
                  </pic:spPr>
                </pic:pic>
              </a:graphicData>
            </a:graphic>
          </wp:inline>
        </w:drawing>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color w:val="000000"/>
          <w:sz w:val="20"/>
          <w:szCs w:val="20"/>
        </w:rPr>
        <w:t xml:space="preserve">Figure 4. </w:t>
      </w:r>
      <w:r w:rsidR="0030708B">
        <w:rPr>
          <w:rFonts w:ascii="Times New Roman" w:hAnsi="Times New Roman"/>
          <w:color w:val="000000"/>
          <w:sz w:val="20"/>
          <w:szCs w:val="20"/>
        </w:rPr>
        <w:t xml:space="preserve"> </w:t>
      </w:r>
      <w:r w:rsidRPr="00F36A6F">
        <w:rPr>
          <w:rFonts w:ascii="Times New Roman" w:hAnsi="Times New Roman"/>
          <w:color w:val="000000"/>
          <w:sz w:val="20"/>
          <w:szCs w:val="20"/>
        </w:rPr>
        <w:t>The radical scavenging activities of water extracts of vegetables using DPPH assay.</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noProof/>
          <w:color w:val="000000"/>
          <w:sz w:val="20"/>
          <w:szCs w:val="20"/>
          <w:lang w:bidi="ar-SA"/>
        </w:rPr>
        <w:lastRenderedPageBreak/>
        <w:drawing>
          <wp:inline distT="0" distB="0" distL="0" distR="0" wp14:anchorId="4098C70A" wp14:editId="4018A539">
            <wp:extent cx="5760085" cy="2520315"/>
            <wp:effectExtent l="19050" t="19050" r="12065" b="13335"/>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085" cy="2520315"/>
                    </a:xfrm>
                    <a:prstGeom prst="rect">
                      <a:avLst/>
                    </a:prstGeom>
                    <a:noFill/>
                    <a:ln w="9525">
                      <a:solidFill>
                        <a:srgbClr val="000000"/>
                      </a:solidFill>
                      <a:miter lim="800000"/>
                      <a:headEnd/>
                      <a:tailEnd/>
                    </a:ln>
                  </pic:spPr>
                </pic:pic>
              </a:graphicData>
            </a:graphic>
          </wp:inline>
        </w:drawing>
      </w:r>
    </w:p>
    <w:p w:rsidR="0030708B" w:rsidRDefault="0030708B" w:rsidP="0030708B">
      <w:pPr>
        <w:pStyle w:val="NoSpacing"/>
        <w:jc w:val="center"/>
        <w:rPr>
          <w:rFonts w:ascii="Times New Roman" w:hAnsi="Times New Roman"/>
          <w:color w:val="000000"/>
          <w:sz w:val="20"/>
          <w:szCs w:val="20"/>
        </w:rPr>
      </w:pPr>
    </w:p>
    <w:p w:rsidR="00F36A6F" w:rsidRPr="00F36A6F" w:rsidRDefault="00F36A6F" w:rsidP="0030708B">
      <w:pPr>
        <w:pStyle w:val="NoSpacing"/>
        <w:jc w:val="center"/>
        <w:rPr>
          <w:rFonts w:ascii="Times New Roman" w:hAnsi="Times New Roman"/>
          <w:color w:val="000000"/>
          <w:sz w:val="20"/>
          <w:szCs w:val="20"/>
        </w:rPr>
      </w:pPr>
      <w:r w:rsidRPr="00F36A6F">
        <w:rPr>
          <w:rFonts w:ascii="Times New Roman" w:hAnsi="Times New Roman"/>
          <w:color w:val="000000"/>
          <w:sz w:val="20"/>
          <w:szCs w:val="20"/>
        </w:rPr>
        <w:t xml:space="preserve">Figure 5. </w:t>
      </w:r>
      <w:r w:rsidR="0030708B">
        <w:rPr>
          <w:rFonts w:ascii="Times New Roman" w:hAnsi="Times New Roman"/>
          <w:color w:val="000000"/>
          <w:sz w:val="20"/>
          <w:szCs w:val="20"/>
        </w:rPr>
        <w:t xml:space="preserve"> </w:t>
      </w:r>
      <w:r w:rsidRPr="00F36A6F">
        <w:rPr>
          <w:rFonts w:ascii="Times New Roman" w:hAnsi="Times New Roman"/>
          <w:color w:val="000000"/>
          <w:sz w:val="20"/>
          <w:szCs w:val="20"/>
        </w:rPr>
        <w:t>The radical scavenging activities of ethanolic extracts of vegetables using DPPH assay.</w:t>
      </w:r>
    </w:p>
    <w:p w:rsidR="0030708B" w:rsidRDefault="0030708B" w:rsidP="00F36A6F">
      <w:pPr>
        <w:pStyle w:val="NoSpacing"/>
        <w:jc w:val="both"/>
        <w:rPr>
          <w:rFonts w:ascii="Times New Roman" w:hAnsi="Times New Roman"/>
          <w:color w:val="000000"/>
          <w:sz w:val="20"/>
          <w:szCs w:val="20"/>
        </w:rPr>
      </w:pPr>
    </w:p>
    <w:p w:rsidR="0030708B" w:rsidRDefault="0030708B"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FF0000"/>
          <w:sz w:val="20"/>
          <w:szCs w:val="20"/>
        </w:rPr>
      </w:pPr>
      <w:r w:rsidRPr="00F36A6F">
        <w:rPr>
          <w:rFonts w:ascii="Times New Roman" w:hAnsi="Times New Roman"/>
          <w:color w:val="000000"/>
          <w:sz w:val="20"/>
          <w:szCs w:val="20"/>
        </w:rPr>
        <w:t>One of the most of widely used methods for determining antioxidant activity of sample extracts is DPPH radical scavenging activity assay [18, 33, 45].  The assay was developed based on the ability of antioxidant properties in the extracts to scavenge the stable radical DPPH [48].  In the present study, it was demonstrated that the antioxidant activity of extracts was depending on the extract concentration.  In general, antioxidant activity of extracts increased with concentration of extracts in assay.  Other studies also reported the similar trend of the DPPH radical scavenging activity of various extracts [13, 18, 33, 45].  However, at concentration of 6 mg/mL, the scavenging activity of sample extracts start to become plateau and this could due to the decreasing amount of DPPH radical in the assay.  The scavenging activity of extracts might be due to the presence of phenolic hydroxyl groups in phenolic compounds.  Results also obtained that most of ethanolic extracts demonstrated higher antioxidant activity compared to water extracts.  In fact, Prior et al</w:t>
      </w:r>
      <w:r w:rsidRPr="00F36A6F">
        <w:rPr>
          <w:rFonts w:ascii="Times New Roman" w:hAnsi="Times New Roman"/>
          <w:i/>
          <w:iCs/>
          <w:color w:val="000000"/>
          <w:sz w:val="20"/>
          <w:szCs w:val="20"/>
        </w:rPr>
        <w:t>.</w:t>
      </w:r>
      <w:r w:rsidRPr="00F36A6F">
        <w:rPr>
          <w:rFonts w:ascii="Times New Roman" w:hAnsi="Times New Roman"/>
          <w:color w:val="000000"/>
          <w:sz w:val="20"/>
          <w:szCs w:val="20"/>
        </w:rPr>
        <w:t xml:space="preserve"> [46] reported that this could be due to the better solubility of DPPH radicals in organic acid especially in ethanol compared to water solvent.  Furthermore, Spigno et al</w:t>
      </w:r>
      <w:r w:rsidRPr="00F36A6F">
        <w:rPr>
          <w:rFonts w:ascii="Times New Roman" w:hAnsi="Times New Roman"/>
          <w:i/>
          <w:iCs/>
          <w:color w:val="000000"/>
          <w:sz w:val="20"/>
          <w:szCs w:val="20"/>
        </w:rPr>
        <w:t xml:space="preserve">. </w:t>
      </w:r>
      <w:r w:rsidRPr="00F36A6F">
        <w:rPr>
          <w:rFonts w:ascii="Times New Roman" w:hAnsi="Times New Roman"/>
          <w:color w:val="000000"/>
          <w:sz w:val="20"/>
          <w:szCs w:val="20"/>
        </w:rPr>
        <w:t xml:space="preserve">[39] reported that higher antioxidant activity of extracts should be found in alcoholic extracts compared to water extracts because alcoholic solvents maximize DPPH radicals interaction with antioxidant present in extracts. </w:t>
      </w:r>
      <w:r w:rsidRPr="00F36A6F">
        <w:rPr>
          <w:rFonts w:ascii="Times New Roman" w:hAnsi="Times New Roman"/>
          <w:color w:val="FF0000"/>
          <w:sz w:val="20"/>
          <w:szCs w:val="20"/>
        </w:rPr>
        <w:t xml:space="preserve"> </w:t>
      </w: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r w:rsidRPr="00F36A6F">
        <w:rPr>
          <w:rFonts w:ascii="Times New Roman" w:hAnsi="Times New Roman"/>
          <w:color w:val="000000"/>
          <w:sz w:val="20"/>
          <w:szCs w:val="20"/>
        </w:rPr>
        <w:t>Table 2 shows data of IC</w:t>
      </w:r>
      <w:r w:rsidRPr="00F36A6F">
        <w:rPr>
          <w:rFonts w:ascii="Times New Roman" w:hAnsi="Times New Roman"/>
          <w:color w:val="000000"/>
          <w:sz w:val="20"/>
          <w:szCs w:val="20"/>
          <w:vertAlign w:val="subscript"/>
        </w:rPr>
        <w:t xml:space="preserve">50 </w:t>
      </w:r>
      <w:r w:rsidRPr="00F36A6F">
        <w:rPr>
          <w:rFonts w:ascii="Times New Roman" w:hAnsi="Times New Roman"/>
          <w:color w:val="000000"/>
          <w:sz w:val="20"/>
          <w:szCs w:val="20"/>
        </w:rPr>
        <w:t>of water and ethanolic extracts of vegetables and expressed as mg/mL.  The extract concentration that provide 50% inhibition or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was calculated from the graph plotted inhibition percentages against tested samples extracts.  Result obtain that the best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activity of extracts were demonstrated by water and ethanolic extract of </w:t>
      </w:r>
      <w:r w:rsidRPr="00F36A6F">
        <w:rPr>
          <w:rFonts w:ascii="Times New Roman" w:hAnsi="Times New Roman"/>
          <w:i/>
          <w:iCs/>
          <w:color w:val="000000"/>
          <w:sz w:val="20"/>
          <w:szCs w:val="20"/>
        </w:rPr>
        <w:t>Sauropus androgynus</w:t>
      </w:r>
      <w:r w:rsidRPr="00F36A6F">
        <w:rPr>
          <w:rFonts w:ascii="Times New Roman" w:hAnsi="Times New Roman"/>
          <w:color w:val="000000"/>
          <w:sz w:val="20"/>
          <w:szCs w:val="20"/>
        </w:rPr>
        <w:t xml:space="preserve"> (0.077 mg/mL and 0.078 mg/mL, respectively).  However,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value of water extract of </w:t>
      </w:r>
      <w:r w:rsidRPr="00F36A6F">
        <w:rPr>
          <w:rFonts w:ascii="Times New Roman" w:hAnsi="Times New Roman"/>
          <w:i/>
          <w:iCs/>
          <w:color w:val="000000"/>
          <w:sz w:val="20"/>
          <w:szCs w:val="20"/>
        </w:rPr>
        <w:t>Pithecellobium jiringa</w:t>
      </w:r>
      <w:r w:rsidRPr="00F36A6F">
        <w:rPr>
          <w:rFonts w:ascii="Times New Roman" w:hAnsi="Times New Roman"/>
          <w:color w:val="000000"/>
          <w:sz w:val="20"/>
          <w:szCs w:val="20"/>
        </w:rPr>
        <w:t xml:space="preserve"> (0.091 mg/mL) and ethanolic extract of </w:t>
      </w:r>
      <w:r w:rsidRPr="00F36A6F">
        <w:rPr>
          <w:rFonts w:ascii="Times New Roman" w:hAnsi="Times New Roman"/>
          <w:i/>
          <w:iCs/>
          <w:color w:val="000000"/>
          <w:sz w:val="20"/>
          <w:szCs w:val="20"/>
        </w:rPr>
        <w:t xml:space="preserve">Anacardium occidentale </w:t>
      </w:r>
      <w:r w:rsidRPr="00F36A6F">
        <w:rPr>
          <w:rFonts w:ascii="Times New Roman" w:hAnsi="Times New Roman"/>
          <w:color w:val="000000"/>
          <w:sz w:val="20"/>
          <w:szCs w:val="20"/>
        </w:rPr>
        <w:t>shoot (0.092 mg/mL) were not significantly (p&gt;0.05) different with gallic acid.  In fact, the lower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value, the higher the antioxidant activity is examined as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values defined the concentration of extract that causes 50% loss of the DPPH activity [47]. Previously, Olajuyigbe and Afolayan [48] obtained that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of water and ethanolic extracts of </w:t>
      </w:r>
      <w:r w:rsidRPr="00F36A6F">
        <w:rPr>
          <w:rFonts w:ascii="Times New Roman" w:hAnsi="Times New Roman"/>
          <w:i/>
          <w:iCs/>
          <w:color w:val="000000"/>
          <w:sz w:val="20"/>
          <w:szCs w:val="20"/>
        </w:rPr>
        <w:t>Ziziphus.mucronata</w:t>
      </w:r>
      <w:r w:rsidRPr="00F36A6F">
        <w:rPr>
          <w:rFonts w:ascii="Times New Roman" w:hAnsi="Times New Roman"/>
          <w:color w:val="000000"/>
          <w:sz w:val="20"/>
          <w:szCs w:val="20"/>
        </w:rPr>
        <w:t xml:space="preserve"> subsp. </w:t>
      </w:r>
      <w:r w:rsidRPr="00F36A6F">
        <w:rPr>
          <w:rFonts w:ascii="Times New Roman" w:hAnsi="Times New Roman"/>
          <w:i/>
          <w:iCs/>
          <w:color w:val="000000"/>
          <w:sz w:val="20"/>
          <w:szCs w:val="20"/>
        </w:rPr>
        <w:t>mucronata</w:t>
      </w:r>
      <w:r w:rsidRPr="00F36A6F">
        <w:rPr>
          <w:rFonts w:ascii="Times New Roman" w:hAnsi="Times New Roman"/>
          <w:color w:val="000000"/>
          <w:sz w:val="20"/>
          <w:szCs w:val="20"/>
        </w:rPr>
        <w:t xml:space="preserve"> were 0.065 mg/mL and 0.042 mg/mL, respectively.  The IC</w:t>
      </w:r>
      <w:r w:rsidRPr="00F36A6F">
        <w:rPr>
          <w:rFonts w:ascii="Times New Roman" w:hAnsi="Times New Roman"/>
          <w:color w:val="000000"/>
          <w:sz w:val="20"/>
          <w:szCs w:val="20"/>
          <w:vertAlign w:val="subscript"/>
        </w:rPr>
        <w:t>50</w:t>
      </w:r>
      <w:r w:rsidRPr="00F36A6F">
        <w:rPr>
          <w:rFonts w:ascii="Times New Roman" w:hAnsi="Times New Roman"/>
          <w:color w:val="000000"/>
          <w:sz w:val="20"/>
          <w:szCs w:val="20"/>
        </w:rPr>
        <w:t xml:space="preserve"> of ethanolic extracts of various parts of </w:t>
      </w:r>
      <w:r w:rsidRPr="00F36A6F">
        <w:rPr>
          <w:rFonts w:ascii="Times New Roman" w:hAnsi="Times New Roman"/>
          <w:i/>
          <w:iCs/>
          <w:color w:val="000000"/>
          <w:sz w:val="20"/>
          <w:szCs w:val="20"/>
        </w:rPr>
        <w:t>Cinnamomum cassia</w:t>
      </w:r>
      <w:r w:rsidRPr="00F36A6F">
        <w:rPr>
          <w:rFonts w:ascii="Times New Roman" w:hAnsi="Times New Roman"/>
          <w:color w:val="000000"/>
          <w:sz w:val="20"/>
          <w:szCs w:val="20"/>
        </w:rPr>
        <w:t xml:space="preserve"> ranged between 0.072 and 0.208 mg/mL.  </w:t>
      </w:r>
    </w:p>
    <w:p w:rsidR="00F36A6F" w:rsidRPr="00F36A6F" w:rsidRDefault="00F36A6F" w:rsidP="00F36A6F">
      <w:pPr>
        <w:pStyle w:val="NoSpacing"/>
        <w:jc w:val="both"/>
        <w:rPr>
          <w:rFonts w:ascii="Times New Roman" w:hAnsi="Times New Roman"/>
          <w:color w:val="000000"/>
          <w:sz w:val="20"/>
          <w:szCs w:val="20"/>
        </w:rPr>
      </w:pPr>
    </w:p>
    <w:p w:rsidR="00ED5AB7" w:rsidRPr="00F36A6F" w:rsidRDefault="00ED5AB7" w:rsidP="00ED5AB7">
      <w:pPr>
        <w:pStyle w:val="NoSpacing"/>
        <w:jc w:val="both"/>
        <w:rPr>
          <w:rFonts w:ascii="Times New Roman" w:hAnsi="Times New Roman"/>
          <w:b/>
          <w:bCs/>
          <w:color w:val="000000"/>
          <w:sz w:val="20"/>
          <w:szCs w:val="20"/>
        </w:rPr>
      </w:pPr>
      <w:r w:rsidRPr="00F36A6F">
        <w:rPr>
          <w:rFonts w:ascii="Times New Roman" w:hAnsi="Times New Roman"/>
          <w:b/>
          <w:bCs/>
          <w:color w:val="000000"/>
          <w:sz w:val="20"/>
          <w:szCs w:val="20"/>
        </w:rPr>
        <w:t xml:space="preserve">Correlation of Phenolic Contents and Antioxidant Activities of Vegetables Extracts </w:t>
      </w:r>
    </w:p>
    <w:p w:rsidR="00ED5AB7" w:rsidRPr="00F36A6F" w:rsidRDefault="00ED5AB7" w:rsidP="00ED5AB7">
      <w:pPr>
        <w:pStyle w:val="NoSpacing"/>
        <w:jc w:val="both"/>
        <w:rPr>
          <w:rFonts w:ascii="Times New Roman" w:hAnsi="Times New Roman"/>
          <w:color w:val="000000"/>
          <w:sz w:val="20"/>
          <w:szCs w:val="20"/>
        </w:rPr>
      </w:pPr>
      <w:r w:rsidRPr="00F36A6F">
        <w:rPr>
          <w:rFonts w:ascii="Times New Roman" w:hAnsi="Times New Roman"/>
          <w:color w:val="000000"/>
          <w:sz w:val="20"/>
          <w:szCs w:val="20"/>
        </w:rPr>
        <w:t xml:space="preserve">Table 3 shows result of correlation analysis between total phenolic content and antioxidant activity of vegetables.  The results obtain that total phenolic content were low and negatively correlated with antioxidant activities in linoleic acid. Nevertheless, all positive correlation between total phenolic content and scavenging activity of DPPH free radical were observed in all samples of extracts. Ethanolic extracts were strongly correlated with DPPH free radical assay and was consistent with other studies [13, 18, 29, 49].  This study also demonstrated that phenolic contents of ethanolic extracts obtained higher correlation with DPPH free radical assay compared with water </w:t>
      </w:r>
      <w:r w:rsidRPr="00F36A6F">
        <w:rPr>
          <w:rFonts w:ascii="Times New Roman" w:hAnsi="Times New Roman"/>
          <w:color w:val="000000"/>
          <w:sz w:val="20"/>
          <w:szCs w:val="20"/>
        </w:rPr>
        <w:lastRenderedPageBreak/>
        <w:t>extracts.  DPPH is known to react specifically with low molecular weight phenolic compounds [50]</w:t>
      </w:r>
      <w:r w:rsidRPr="00F36A6F">
        <w:rPr>
          <w:rFonts w:ascii="Times New Roman" w:hAnsi="Times New Roman"/>
          <w:color w:val="000000"/>
          <w:sz w:val="20"/>
          <w:szCs w:val="20"/>
          <w:vertAlign w:val="superscript"/>
        </w:rPr>
        <w:t xml:space="preserve"> </w:t>
      </w:r>
      <w:r w:rsidRPr="00F36A6F">
        <w:rPr>
          <w:rFonts w:ascii="Times New Roman" w:hAnsi="Times New Roman"/>
          <w:color w:val="000000"/>
          <w:sz w:val="20"/>
          <w:szCs w:val="20"/>
        </w:rPr>
        <w:t xml:space="preserve">as well as DPPH interaction and solubility is maximized in alcoholic solvent with the existance of extract [38, 46].  However, several studies also found that total phenolic content did not correlate with antioxidant assay [51-52].  The reasons for the reports might be due to the high amount of reducing agent in the extracts [25] that can interfere the results.  In fact, extraction procedure can greatly influence the antioxidant activity as different solvent affected the antioxidant activity significantly [18].  Furthermore, different methods used in analysis of antioxidant activity may also give different value of antioxidant activity for same extract.  Various types of components in sample extracts will also react differently with different reagents and different mechanisms.  Thus, there was no specific method that can produce accurate result for certain analysis and various methods with different principles must be applied to obtain more accurate and precise results.  </w:t>
      </w:r>
    </w:p>
    <w:p w:rsidR="00F36A6F" w:rsidRPr="00F36A6F" w:rsidRDefault="00F36A6F" w:rsidP="00F36A6F">
      <w:pPr>
        <w:spacing w:after="0" w:line="240" w:lineRule="auto"/>
        <w:jc w:val="both"/>
        <w:rPr>
          <w:rFonts w:ascii="Times New Roman" w:hAnsi="Times New Roman"/>
          <w:sz w:val="20"/>
          <w:szCs w:val="20"/>
        </w:rPr>
      </w:pPr>
    </w:p>
    <w:p w:rsidR="00F36A6F" w:rsidRPr="00F36A6F" w:rsidRDefault="00F36A6F" w:rsidP="00F36A6F">
      <w:pPr>
        <w:spacing w:after="0" w:line="240" w:lineRule="auto"/>
        <w:jc w:val="both"/>
        <w:rPr>
          <w:rFonts w:ascii="Times New Roman" w:hAnsi="Times New Roman"/>
          <w:sz w:val="20"/>
          <w:szCs w:val="20"/>
        </w:rPr>
      </w:pPr>
    </w:p>
    <w:p w:rsidR="00F36A6F" w:rsidRPr="00F36A6F" w:rsidRDefault="00F36A6F" w:rsidP="0030708B">
      <w:pPr>
        <w:spacing w:after="120" w:line="240" w:lineRule="auto"/>
        <w:jc w:val="center"/>
        <w:rPr>
          <w:rFonts w:ascii="Times New Roman" w:hAnsi="Times New Roman"/>
          <w:sz w:val="20"/>
          <w:szCs w:val="20"/>
        </w:rPr>
      </w:pPr>
      <w:r w:rsidRPr="00F36A6F">
        <w:rPr>
          <w:rFonts w:ascii="Times New Roman" w:hAnsi="Times New Roman"/>
          <w:sz w:val="20"/>
          <w:szCs w:val="20"/>
        </w:rPr>
        <w:t>Table 2.   Inhibitory concentration IC</w:t>
      </w:r>
      <w:r w:rsidRPr="00F36A6F">
        <w:rPr>
          <w:rFonts w:ascii="Times New Roman" w:hAnsi="Times New Roman"/>
          <w:sz w:val="20"/>
          <w:szCs w:val="20"/>
          <w:vertAlign w:val="subscript"/>
        </w:rPr>
        <w:t xml:space="preserve">50 </w:t>
      </w:r>
      <w:r w:rsidRPr="00F36A6F">
        <w:rPr>
          <w:rFonts w:ascii="Times New Roman" w:hAnsi="Times New Roman"/>
          <w:sz w:val="20"/>
          <w:szCs w:val="20"/>
        </w:rPr>
        <w:t>of water and ethanolic extracts (mg/mL).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2268"/>
        <w:gridCol w:w="2268"/>
      </w:tblGrid>
      <w:tr w:rsidR="00F36A6F" w:rsidRPr="00F36A6F" w:rsidTr="007141E9">
        <w:trPr>
          <w:trHeight w:val="300"/>
          <w:jc w:val="center"/>
        </w:trPr>
        <w:tc>
          <w:tcPr>
            <w:tcW w:w="3402" w:type="dxa"/>
            <w:vMerge w:val="restart"/>
            <w:tcBorders>
              <w:top w:val="single" w:sz="4" w:space="0" w:color="auto"/>
              <w:left w:val="nil"/>
              <w:bottom w:val="nil"/>
              <w:right w:val="nil"/>
            </w:tcBorders>
            <w:noWrap/>
            <w:vAlign w:val="center"/>
          </w:tcPr>
          <w:p w:rsidR="00F36A6F" w:rsidRPr="00F36A6F" w:rsidRDefault="00F36A6F" w:rsidP="00F36A6F">
            <w:pPr>
              <w:spacing w:after="0" w:line="240" w:lineRule="auto"/>
              <w:jc w:val="both"/>
              <w:rPr>
                <w:rFonts w:ascii="Times New Roman" w:hAnsi="Times New Roman"/>
                <w:b/>
                <w:sz w:val="20"/>
                <w:szCs w:val="20"/>
              </w:rPr>
            </w:pPr>
            <w:r w:rsidRPr="00F36A6F">
              <w:rPr>
                <w:rFonts w:ascii="Times New Roman" w:hAnsi="Times New Roman"/>
                <w:b/>
                <w:sz w:val="20"/>
                <w:szCs w:val="20"/>
              </w:rPr>
              <w:t>Samples</w:t>
            </w:r>
          </w:p>
        </w:tc>
        <w:tc>
          <w:tcPr>
            <w:tcW w:w="4536" w:type="dxa"/>
            <w:gridSpan w:val="2"/>
            <w:tcBorders>
              <w:top w:val="single" w:sz="4" w:space="0" w:color="auto"/>
              <w:left w:val="nil"/>
              <w:bottom w:val="single" w:sz="4" w:space="0" w:color="auto"/>
              <w:right w:val="nil"/>
            </w:tcBorders>
            <w:noWrap/>
            <w:vAlign w:val="center"/>
          </w:tcPr>
          <w:p w:rsidR="00F36A6F" w:rsidRPr="00F36A6F" w:rsidRDefault="00F36A6F" w:rsidP="0030708B">
            <w:pPr>
              <w:spacing w:before="60" w:after="0" w:line="240" w:lineRule="auto"/>
              <w:jc w:val="center"/>
              <w:rPr>
                <w:rFonts w:ascii="Times New Roman" w:hAnsi="Times New Roman"/>
                <w:b/>
                <w:sz w:val="20"/>
                <w:szCs w:val="20"/>
              </w:rPr>
            </w:pPr>
            <w:r w:rsidRPr="00F36A6F">
              <w:rPr>
                <w:rFonts w:ascii="Times New Roman" w:hAnsi="Times New Roman"/>
                <w:b/>
                <w:sz w:val="20"/>
                <w:szCs w:val="20"/>
              </w:rPr>
              <w:t>Inhibitory concentration (IC</w:t>
            </w:r>
            <w:r w:rsidRPr="00F36A6F">
              <w:rPr>
                <w:rFonts w:ascii="Times New Roman" w:hAnsi="Times New Roman"/>
                <w:b/>
                <w:sz w:val="20"/>
                <w:szCs w:val="20"/>
                <w:vertAlign w:val="subscript"/>
              </w:rPr>
              <w:t>50</w:t>
            </w:r>
            <w:r w:rsidRPr="00F36A6F">
              <w:rPr>
                <w:rFonts w:ascii="Times New Roman" w:hAnsi="Times New Roman"/>
                <w:b/>
                <w:sz w:val="20"/>
                <w:szCs w:val="20"/>
              </w:rPr>
              <w:t>)</w:t>
            </w:r>
          </w:p>
        </w:tc>
      </w:tr>
      <w:tr w:rsidR="00F36A6F" w:rsidRPr="00F36A6F" w:rsidTr="007141E9">
        <w:trPr>
          <w:trHeight w:val="300"/>
          <w:jc w:val="center"/>
        </w:trPr>
        <w:tc>
          <w:tcPr>
            <w:tcW w:w="3402" w:type="dxa"/>
            <w:vMerge/>
            <w:tcBorders>
              <w:top w:val="nil"/>
              <w:left w:val="nil"/>
              <w:bottom w:val="single" w:sz="4" w:space="0" w:color="auto"/>
              <w:right w:val="nil"/>
            </w:tcBorders>
            <w:noWrap/>
          </w:tcPr>
          <w:p w:rsidR="00F36A6F" w:rsidRPr="00F36A6F" w:rsidRDefault="00F36A6F" w:rsidP="00F36A6F">
            <w:pPr>
              <w:spacing w:after="0" w:line="240" w:lineRule="auto"/>
              <w:jc w:val="both"/>
              <w:rPr>
                <w:rFonts w:ascii="Times New Roman" w:hAnsi="Times New Roman"/>
                <w:b/>
                <w:sz w:val="20"/>
                <w:szCs w:val="20"/>
              </w:rPr>
            </w:pPr>
          </w:p>
        </w:tc>
        <w:tc>
          <w:tcPr>
            <w:tcW w:w="2268" w:type="dxa"/>
            <w:tcBorders>
              <w:top w:val="single" w:sz="4" w:space="0" w:color="auto"/>
              <w:left w:val="nil"/>
              <w:bottom w:val="single" w:sz="4" w:space="0" w:color="auto"/>
              <w:right w:val="nil"/>
            </w:tcBorders>
            <w:noWrap/>
          </w:tcPr>
          <w:p w:rsidR="00F36A6F" w:rsidRPr="00F36A6F" w:rsidRDefault="00F36A6F" w:rsidP="0030708B">
            <w:pPr>
              <w:spacing w:after="60" w:line="240" w:lineRule="auto"/>
              <w:jc w:val="center"/>
              <w:rPr>
                <w:rFonts w:ascii="Times New Roman" w:hAnsi="Times New Roman"/>
                <w:b/>
                <w:sz w:val="20"/>
                <w:szCs w:val="20"/>
              </w:rPr>
            </w:pPr>
            <w:r w:rsidRPr="00F36A6F">
              <w:rPr>
                <w:rFonts w:ascii="Times New Roman" w:hAnsi="Times New Roman"/>
                <w:b/>
                <w:sz w:val="20"/>
                <w:szCs w:val="20"/>
              </w:rPr>
              <w:t>Water extraction</w:t>
            </w:r>
          </w:p>
        </w:tc>
        <w:tc>
          <w:tcPr>
            <w:tcW w:w="2268" w:type="dxa"/>
            <w:tcBorders>
              <w:top w:val="single" w:sz="4" w:space="0" w:color="auto"/>
              <w:left w:val="nil"/>
              <w:bottom w:val="single" w:sz="4" w:space="0" w:color="auto"/>
              <w:right w:val="nil"/>
            </w:tcBorders>
          </w:tcPr>
          <w:p w:rsidR="00F36A6F" w:rsidRPr="00F36A6F" w:rsidRDefault="00F36A6F" w:rsidP="0030708B">
            <w:pPr>
              <w:spacing w:after="60" w:line="240" w:lineRule="auto"/>
              <w:jc w:val="center"/>
              <w:rPr>
                <w:rFonts w:ascii="Times New Roman" w:hAnsi="Times New Roman"/>
                <w:b/>
                <w:sz w:val="20"/>
                <w:szCs w:val="20"/>
              </w:rPr>
            </w:pPr>
            <w:r w:rsidRPr="00F36A6F">
              <w:rPr>
                <w:rFonts w:ascii="Times New Roman" w:hAnsi="Times New Roman"/>
                <w:b/>
                <w:sz w:val="20"/>
                <w:szCs w:val="20"/>
              </w:rPr>
              <w:t>Ethanolic extraction</w:t>
            </w:r>
          </w:p>
        </w:tc>
      </w:tr>
      <w:tr w:rsidR="00F36A6F" w:rsidRPr="00F36A6F" w:rsidTr="007141E9">
        <w:trPr>
          <w:trHeight w:val="300"/>
          <w:jc w:val="center"/>
        </w:trPr>
        <w:tc>
          <w:tcPr>
            <w:tcW w:w="3402" w:type="dxa"/>
            <w:tcBorders>
              <w:top w:val="single" w:sz="4" w:space="0" w:color="auto"/>
              <w:left w:val="nil"/>
              <w:bottom w:val="nil"/>
              <w:right w:val="nil"/>
            </w:tcBorders>
            <w:noWrap/>
          </w:tcPr>
          <w:p w:rsidR="00F36A6F" w:rsidRPr="00F36A6F" w:rsidRDefault="00F36A6F" w:rsidP="0030708B">
            <w:pPr>
              <w:spacing w:before="120" w:after="0" w:line="240" w:lineRule="auto"/>
              <w:jc w:val="both"/>
              <w:rPr>
                <w:rFonts w:ascii="Times New Roman" w:hAnsi="Times New Roman"/>
                <w:i/>
                <w:iCs/>
                <w:sz w:val="20"/>
                <w:szCs w:val="20"/>
              </w:rPr>
            </w:pPr>
            <w:r w:rsidRPr="00F36A6F">
              <w:rPr>
                <w:rFonts w:ascii="Times New Roman" w:hAnsi="Times New Roman"/>
                <w:i/>
                <w:iCs/>
                <w:sz w:val="20"/>
                <w:szCs w:val="20"/>
              </w:rPr>
              <w:t xml:space="preserve">Anacardium occidentale </w:t>
            </w:r>
            <w:r w:rsidRPr="00F36A6F">
              <w:rPr>
                <w:rFonts w:ascii="Times New Roman" w:hAnsi="Times New Roman"/>
                <w:sz w:val="20"/>
                <w:szCs w:val="20"/>
              </w:rPr>
              <w:t>shoot</w:t>
            </w:r>
          </w:p>
        </w:tc>
        <w:tc>
          <w:tcPr>
            <w:tcW w:w="2268" w:type="dxa"/>
            <w:tcBorders>
              <w:top w:val="single" w:sz="4" w:space="0" w:color="auto"/>
              <w:left w:val="nil"/>
              <w:bottom w:val="nil"/>
              <w:right w:val="nil"/>
            </w:tcBorders>
            <w:noWrap/>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0.088</w:t>
            </w:r>
            <w:r w:rsidRPr="00F36A6F">
              <w:rPr>
                <w:rFonts w:ascii="Times New Roman" w:hAnsi="Times New Roman"/>
                <w:sz w:val="20"/>
                <w:szCs w:val="20"/>
                <w:vertAlign w:val="superscript"/>
              </w:rPr>
              <w:t>a</w:t>
            </w:r>
          </w:p>
        </w:tc>
        <w:tc>
          <w:tcPr>
            <w:tcW w:w="2268" w:type="dxa"/>
            <w:tcBorders>
              <w:top w:val="single" w:sz="4" w:space="0" w:color="auto"/>
              <w:left w:val="nil"/>
              <w:bottom w:val="nil"/>
              <w:right w:val="nil"/>
            </w:tcBorders>
            <w:vAlign w:val="bottom"/>
          </w:tcPr>
          <w:p w:rsidR="00F36A6F" w:rsidRPr="00F36A6F" w:rsidRDefault="00F36A6F" w:rsidP="0030708B">
            <w:pPr>
              <w:spacing w:before="120" w:after="0" w:line="240" w:lineRule="auto"/>
              <w:jc w:val="center"/>
              <w:rPr>
                <w:rFonts w:ascii="Times New Roman" w:hAnsi="Times New Roman"/>
                <w:sz w:val="20"/>
                <w:szCs w:val="20"/>
              </w:rPr>
            </w:pPr>
            <w:r w:rsidRPr="00F36A6F">
              <w:rPr>
                <w:rFonts w:ascii="Times New Roman" w:hAnsi="Times New Roman"/>
                <w:sz w:val="20"/>
                <w:szCs w:val="20"/>
              </w:rPr>
              <w:t>0.092</w:t>
            </w:r>
            <w:r w:rsidRPr="00F36A6F">
              <w:rPr>
                <w:rFonts w:ascii="Times New Roman" w:hAnsi="Times New Roman"/>
                <w:sz w:val="20"/>
                <w:szCs w:val="20"/>
                <w:vertAlign w:val="superscript"/>
              </w:rPr>
              <w:t>a</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Carica papaya </w:t>
            </w:r>
            <w:r w:rsidRPr="00F36A6F">
              <w:rPr>
                <w:rFonts w:ascii="Times New Roman" w:hAnsi="Times New Roman"/>
                <w:sz w:val="20"/>
                <w:szCs w:val="20"/>
              </w:rPr>
              <w:t>shoot</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0.078</w:t>
            </w:r>
            <w:r w:rsidRPr="00F36A6F">
              <w:rPr>
                <w:rFonts w:ascii="Times New Roman" w:hAnsi="Times New Roman"/>
                <w:sz w:val="20"/>
                <w:szCs w:val="20"/>
                <w:vertAlign w:val="superscript"/>
              </w:rPr>
              <w:t>d</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0.083</w:t>
            </w:r>
            <w:r w:rsidRPr="00F36A6F">
              <w:rPr>
                <w:rFonts w:ascii="Times New Roman" w:hAnsi="Times New Roman"/>
                <w:sz w:val="20"/>
                <w:szCs w:val="20"/>
                <w:vertAlign w:val="superscript"/>
              </w:rPr>
              <w:t>c</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Curcuma longa </w:t>
            </w:r>
            <w:r w:rsidRPr="00F36A6F">
              <w:rPr>
                <w:rFonts w:ascii="Times New Roman" w:hAnsi="Times New Roman"/>
                <w:sz w:val="20"/>
                <w:szCs w:val="20"/>
              </w:rPr>
              <w:t>leaves</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0.078</w:t>
            </w:r>
            <w:r w:rsidRPr="00F36A6F">
              <w:rPr>
                <w:rFonts w:ascii="Times New Roman" w:hAnsi="Times New Roman"/>
                <w:sz w:val="20"/>
                <w:szCs w:val="20"/>
                <w:vertAlign w:val="superscript"/>
              </w:rPr>
              <w:t>d</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0.085</w:t>
            </w:r>
            <w:r w:rsidRPr="00F36A6F">
              <w:rPr>
                <w:rFonts w:ascii="Times New Roman" w:hAnsi="Times New Roman"/>
                <w:sz w:val="20"/>
                <w:szCs w:val="20"/>
                <w:vertAlign w:val="superscript"/>
              </w:rPr>
              <w:t>c</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Etlingera elatior</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0.080</w:t>
            </w:r>
            <w:r w:rsidRPr="00F36A6F">
              <w:rPr>
                <w:rFonts w:ascii="Times New Roman" w:hAnsi="Times New Roman"/>
                <w:sz w:val="20"/>
                <w:szCs w:val="20"/>
                <w:vertAlign w:val="superscript"/>
              </w:rPr>
              <w:t>c</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0.088</w:t>
            </w:r>
            <w:r w:rsidRPr="00F36A6F">
              <w:rPr>
                <w:rFonts w:ascii="Times New Roman" w:hAnsi="Times New Roman"/>
                <w:sz w:val="20"/>
                <w:szCs w:val="20"/>
                <w:vertAlign w:val="superscript"/>
              </w:rPr>
              <w:t>ab</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 xml:space="preserve">Manihot esculenta </w:t>
            </w:r>
            <w:r w:rsidRPr="00F36A6F">
              <w:rPr>
                <w:rFonts w:ascii="Times New Roman" w:hAnsi="Times New Roman"/>
                <w:sz w:val="20"/>
                <w:szCs w:val="20"/>
              </w:rPr>
              <w:t>shoot</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0.085</w:t>
            </w:r>
            <w:r w:rsidRPr="00F36A6F">
              <w:rPr>
                <w:rFonts w:ascii="Times New Roman" w:hAnsi="Times New Roman"/>
                <w:sz w:val="20"/>
                <w:szCs w:val="20"/>
                <w:vertAlign w:val="superscript"/>
              </w:rPr>
              <w:t>b</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0.090</w:t>
            </w:r>
            <w:r w:rsidRPr="00F36A6F">
              <w:rPr>
                <w:rFonts w:ascii="Times New Roman" w:hAnsi="Times New Roman"/>
                <w:sz w:val="20"/>
                <w:szCs w:val="20"/>
                <w:vertAlign w:val="superscript"/>
              </w:rPr>
              <w:t>a</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Pithecellobium jiringa</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0.091</w:t>
            </w:r>
            <w:r w:rsidRPr="00F36A6F">
              <w:rPr>
                <w:rFonts w:ascii="Times New Roman" w:hAnsi="Times New Roman"/>
                <w:sz w:val="20"/>
                <w:szCs w:val="20"/>
                <w:vertAlign w:val="superscript"/>
              </w:rPr>
              <w:t>a</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0.087</w:t>
            </w:r>
            <w:r w:rsidRPr="00F36A6F">
              <w:rPr>
                <w:rFonts w:ascii="Times New Roman" w:hAnsi="Times New Roman"/>
                <w:sz w:val="20"/>
                <w:szCs w:val="20"/>
                <w:vertAlign w:val="superscript"/>
              </w:rPr>
              <w:t>b</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Psophhocarpus tetragonolobus</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0.084</w:t>
            </w:r>
            <w:r w:rsidRPr="00F36A6F">
              <w:rPr>
                <w:rFonts w:ascii="Times New Roman" w:hAnsi="Times New Roman"/>
                <w:sz w:val="20"/>
                <w:szCs w:val="20"/>
                <w:vertAlign w:val="superscript"/>
              </w:rPr>
              <w:t>b</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0.082</w:t>
            </w:r>
            <w:r w:rsidRPr="00F36A6F">
              <w:rPr>
                <w:rFonts w:ascii="Times New Roman" w:hAnsi="Times New Roman"/>
                <w:sz w:val="20"/>
                <w:szCs w:val="20"/>
                <w:vertAlign w:val="superscript"/>
              </w:rPr>
              <w:t>c</w:t>
            </w:r>
          </w:p>
        </w:tc>
      </w:tr>
      <w:tr w:rsidR="00F36A6F" w:rsidRPr="00F36A6F" w:rsidTr="007141E9">
        <w:trPr>
          <w:trHeight w:val="300"/>
          <w:jc w:val="center"/>
        </w:trPr>
        <w:tc>
          <w:tcPr>
            <w:tcW w:w="3402" w:type="dxa"/>
            <w:tcBorders>
              <w:top w:val="nil"/>
              <w:left w:val="nil"/>
              <w:bottom w:val="nil"/>
              <w:right w:val="nil"/>
            </w:tcBorders>
            <w:noWrap/>
          </w:tcPr>
          <w:p w:rsidR="00F36A6F" w:rsidRPr="00F36A6F" w:rsidRDefault="00F36A6F" w:rsidP="00F36A6F">
            <w:pPr>
              <w:spacing w:after="0" w:line="240" w:lineRule="auto"/>
              <w:jc w:val="both"/>
              <w:rPr>
                <w:rFonts w:ascii="Times New Roman" w:hAnsi="Times New Roman"/>
                <w:i/>
                <w:iCs/>
                <w:sz w:val="20"/>
                <w:szCs w:val="20"/>
              </w:rPr>
            </w:pPr>
            <w:r w:rsidRPr="00F36A6F">
              <w:rPr>
                <w:rFonts w:ascii="Times New Roman" w:hAnsi="Times New Roman"/>
                <w:i/>
                <w:iCs/>
                <w:sz w:val="20"/>
                <w:szCs w:val="20"/>
              </w:rPr>
              <w:t>Sauropus androgynus</w:t>
            </w:r>
          </w:p>
        </w:tc>
        <w:tc>
          <w:tcPr>
            <w:tcW w:w="2268" w:type="dxa"/>
            <w:tcBorders>
              <w:top w:val="nil"/>
              <w:left w:val="nil"/>
              <w:bottom w:val="nil"/>
              <w:right w:val="nil"/>
            </w:tcBorders>
            <w:noWrap/>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0.077</w:t>
            </w:r>
            <w:r w:rsidRPr="00F36A6F">
              <w:rPr>
                <w:rFonts w:ascii="Times New Roman" w:hAnsi="Times New Roman"/>
                <w:sz w:val="20"/>
                <w:szCs w:val="20"/>
                <w:vertAlign w:val="superscript"/>
              </w:rPr>
              <w:t>d</w:t>
            </w:r>
          </w:p>
        </w:tc>
        <w:tc>
          <w:tcPr>
            <w:tcW w:w="2268" w:type="dxa"/>
            <w:tcBorders>
              <w:top w:val="nil"/>
              <w:left w:val="nil"/>
              <w:bottom w:val="nil"/>
              <w:right w:val="nil"/>
            </w:tcBorders>
            <w:vAlign w:val="bottom"/>
          </w:tcPr>
          <w:p w:rsidR="00F36A6F" w:rsidRPr="00F36A6F" w:rsidRDefault="00F36A6F" w:rsidP="0030708B">
            <w:pPr>
              <w:spacing w:after="0" w:line="240" w:lineRule="auto"/>
              <w:jc w:val="center"/>
              <w:rPr>
                <w:rFonts w:ascii="Times New Roman" w:hAnsi="Times New Roman"/>
                <w:sz w:val="20"/>
                <w:szCs w:val="20"/>
              </w:rPr>
            </w:pPr>
            <w:r w:rsidRPr="00F36A6F">
              <w:rPr>
                <w:rFonts w:ascii="Times New Roman" w:hAnsi="Times New Roman"/>
                <w:sz w:val="20"/>
                <w:szCs w:val="20"/>
              </w:rPr>
              <w:t>0.078</w:t>
            </w:r>
            <w:r w:rsidRPr="00F36A6F">
              <w:rPr>
                <w:rFonts w:ascii="Times New Roman" w:hAnsi="Times New Roman"/>
                <w:sz w:val="20"/>
                <w:szCs w:val="20"/>
                <w:vertAlign w:val="superscript"/>
              </w:rPr>
              <w:t>d</w:t>
            </w:r>
          </w:p>
        </w:tc>
      </w:tr>
      <w:tr w:rsidR="00F36A6F" w:rsidRPr="00F36A6F" w:rsidTr="007141E9">
        <w:trPr>
          <w:trHeight w:val="300"/>
          <w:jc w:val="center"/>
        </w:trPr>
        <w:tc>
          <w:tcPr>
            <w:tcW w:w="3402" w:type="dxa"/>
            <w:tcBorders>
              <w:top w:val="nil"/>
              <w:left w:val="nil"/>
              <w:bottom w:val="single" w:sz="4" w:space="0" w:color="auto"/>
              <w:right w:val="nil"/>
            </w:tcBorders>
            <w:noWrap/>
          </w:tcPr>
          <w:p w:rsidR="00F36A6F" w:rsidRPr="00F36A6F" w:rsidRDefault="00F36A6F" w:rsidP="0030708B">
            <w:pPr>
              <w:spacing w:after="120" w:line="240" w:lineRule="auto"/>
              <w:jc w:val="both"/>
              <w:rPr>
                <w:rFonts w:ascii="Times New Roman" w:hAnsi="Times New Roman"/>
                <w:sz w:val="20"/>
                <w:szCs w:val="20"/>
              </w:rPr>
            </w:pPr>
            <w:r w:rsidRPr="00F36A6F">
              <w:rPr>
                <w:rFonts w:ascii="Times New Roman" w:hAnsi="Times New Roman"/>
                <w:sz w:val="20"/>
                <w:szCs w:val="20"/>
              </w:rPr>
              <w:t>Gallic acid</w:t>
            </w:r>
          </w:p>
        </w:tc>
        <w:tc>
          <w:tcPr>
            <w:tcW w:w="2268" w:type="dxa"/>
            <w:tcBorders>
              <w:top w:val="nil"/>
              <w:left w:val="nil"/>
              <w:bottom w:val="single" w:sz="4" w:space="0" w:color="auto"/>
              <w:right w:val="nil"/>
            </w:tcBorders>
            <w:noWrap/>
          </w:tcPr>
          <w:p w:rsidR="00F36A6F" w:rsidRPr="00F36A6F" w:rsidRDefault="00F36A6F" w:rsidP="0030708B">
            <w:pPr>
              <w:spacing w:after="120" w:line="240" w:lineRule="auto"/>
              <w:jc w:val="center"/>
              <w:rPr>
                <w:rFonts w:ascii="Times New Roman" w:hAnsi="Times New Roman"/>
                <w:sz w:val="20"/>
                <w:szCs w:val="20"/>
              </w:rPr>
            </w:pPr>
            <w:r w:rsidRPr="00F36A6F">
              <w:rPr>
                <w:rFonts w:ascii="Times New Roman" w:hAnsi="Times New Roman"/>
                <w:sz w:val="20"/>
                <w:szCs w:val="20"/>
              </w:rPr>
              <w:t>0.093</w:t>
            </w:r>
            <w:r w:rsidRPr="00F36A6F">
              <w:rPr>
                <w:rFonts w:ascii="Times New Roman" w:hAnsi="Times New Roman"/>
                <w:sz w:val="20"/>
                <w:szCs w:val="20"/>
                <w:vertAlign w:val="superscript"/>
              </w:rPr>
              <w:t>a</w:t>
            </w:r>
          </w:p>
        </w:tc>
        <w:tc>
          <w:tcPr>
            <w:tcW w:w="2268" w:type="dxa"/>
            <w:tcBorders>
              <w:top w:val="nil"/>
              <w:left w:val="nil"/>
              <w:bottom w:val="single" w:sz="4" w:space="0" w:color="auto"/>
              <w:right w:val="nil"/>
            </w:tcBorders>
          </w:tcPr>
          <w:p w:rsidR="00F36A6F" w:rsidRPr="00F36A6F" w:rsidRDefault="00F36A6F" w:rsidP="0030708B">
            <w:pPr>
              <w:spacing w:after="120" w:line="240" w:lineRule="auto"/>
              <w:jc w:val="center"/>
              <w:rPr>
                <w:rFonts w:ascii="Times New Roman" w:hAnsi="Times New Roman"/>
                <w:sz w:val="20"/>
                <w:szCs w:val="20"/>
                <w:vertAlign w:val="superscript"/>
              </w:rPr>
            </w:pPr>
            <w:r w:rsidRPr="00F36A6F">
              <w:rPr>
                <w:rFonts w:ascii="Times New Roman" w:hAnsi="Times New Roman"/>
                <w:sz w:val="20"/>
                <w:szCs w:val="20"/>
              </w:rPr>
              <w:t>0.093</w:t>
            </w:r>
            <w:r w:rsidRPr="00F36A6F">
              <w:rPr>
                <w:rFonts w:ascii="Times New Roman" w:hAnsi="Times New Roman"/>
                <w:sz w:val="20"/>
                <w:szCs w:val="20"/>
                <w:vertAlign w:val="superscript"/>
              </w:rPr>
              <w:t>a</w:t>
            </w:r>
          </w:p>
        </w:tc>
      </w:tr>
    </w:tbl>
    <w:p w:rsidR="00F36A6F" w:rsidRPr="0030708B" w:rsidRDefault="00F36A6F" w:rsidP="0030708B">
      <w:pPr>
        <w:tabs>
          <w:tab w:val="left" w:pos="720"/>
        </w:tabs>
        <w:spacing w:before="60" w:after="0" w:line="240" w:lineRule="auto"/>
        <w:ind w:left="720" w:right="518"/>
        <w:jc w:val="both"/>
        <w:rPr>
          <w:rFonts w:ascii="Times New Roman" w:hAnsi="Times New Roman"/>
          <w:sz w:val="18"/>
          <w:szCs w:val="18"/>
        </w:rPr>
      </w:pPr>
      <w:r w:rsidRPr="0030708B">
        <w:rPr>
          <w:rFonts w:ascii="Times New Roman" w:hAnsi="Times New Roman"/>
          <w:sz w:val="18"/>
          <w:szCs w:val="18"/>
        </w:rPr>
        <w:t>Data were expressed as mean and were analyzed in triplicate. Value with the same lowercase within each column are not significantly different (p&gt;0.05).</w:t>
      </w:r>
    </w:p>
    <w:p w:rsidR="00F36A6F" w:rsidRDefault="00F36A6F" w:rsidP="0030708B">
      <w:pPr>
        <w:pStyle w:val="NoSpacing"/>
        <w:jc w:val="both"/>
        <w:rPr>
          <w:rFonts w:ascii="Times New Roman" w:hAnsi="Times New Roman"/>
          <w:color w:val="000000"/>
          <w:sz w:val="20"/>
          <w:szCs w:val="20"/>
        </w:rPr>
      </w:pPr>
    </w:p>
    <w:p w:rsidR="0030708B" w:rsidRPr="00F36A6F" w:rsidRDefault="0030708B" w:rsidP="0030708B">
      <w:pPr>
        <w:pStyle w:val="NoSpacing"/>
        <w:jc w:val="both"/>
        <w:rPr>
          <w:rFonts w:ascii="Times New Roman" w:hAnsi="Times New Roman"/>
          <w:color w:val="000000"/>
          <w:sz w:val="20"/>
          <w:szCs w:val="20"/>
        </w:rPr>
      </w:pPr>
    </w:p>
    <w:p w:rsidR="00F36A6F" w:rsidRPr="00F36A6F" w:rsidRDefault="00F36A6F" w:rsidP="00F36A6F">
      <w:pPr>
        <w:pStyle w:val="NoSpacing"/>
        <w:jc w:val="both"/>
        <w:rPr>
          <w:rFonts w:ascii="Times New Roman" w:hAnsi="Times New Roman"/>
          <w:color w:val="000000"/>
          <w:sz w:val="20"/>
          <w:szCs w:val="20"/>
        </w:rPr>
      </w:pPr>
    </w:p>
    <w:p w:rsidR="00F36A6F" w:rsidRPr="00F36A6F" w:rsidRDefault="00F36A6F" w:rsidP="00ED5AB7">
      <w:pPr>
        <w:spacing w:after="120" w:line="240" w:lineRule="auto"/>
        <w:jc w:val="center"/>
        <w:rPr>
          <w:rFonts w:ascii="Times New Roman" w:hAnsi="Times New Roman"/>
          <w:sz w:val="20"/>
          <w:szCs w:val="20"/>
        </w:rPr>
      </w:pPr>
      <w:r w:rsidRPr="00F36A6F">
        <w:rPr>
          <w:rFonts w:ascii="Times New Roman" w:hAnsi="Times New Roman"/>
          <w:sz w:val="20"/>
          <w:szCs w:val="20"/>
        </w:rPr>
        <w:t xml:space="preserve">Table 3. </w:t>
      </w:r>
      <w:r w:rsidR="00ED5AB7">
        <w:rPr>
          <w:rFonts w:ascii="Times New Roman" w:hAnsi="Times New Roman"/>
          <w:sz w:val="20"/>
          <w:szCs w:val="20"/>
        </w:rPr>
        <w:t xml:space="preserve"> </w:t>
      </w:r>
      <w:r w:rsidRPr="00F36A6F">
        <w:rPr>
          <w:rFonts w:ascii="Times New Roman" w:hAnsi="Times New Roman"/>
          <w:sz w:val="20"/>
          <w:szCs w:val="20"/>
        </w:rPr>
        <w:t>The result of correlation analysis of water and ethanolic extracts of vegetables.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2977"/>
        <w:gridCol w:w="2339"/>
        <w:gridCol w:w="2339"/>
      </w:tblGrid>
      <w:tr w:rsidR="00F36A6F" w:rsidRPr="00F36A6F" w:rsidTr="007141E9">
        <w:trPr>
          <w:trHeight w:val="56"/>
          <w:jc w:val="center"/>
        </w:trPr>
        <w:tc>
          <w:tcPr>
            <w:tcW w:w="2977" w:type="dxa"/>
            <w:tcBorders>
              <w:top w:val="single" w:sz="4" w:space="0" w:color="auto"/>
              <w:left w:val="nil"/>
              <w:bottom w:val="nil"/>
              <w:right w:val="nil"/>
            </w:tcBorders>
            <w:vAlign w:val="center"/>
          </w:tcPr>
          <w:p w:rsidR="00F36A6F" w:rsidRPr="00F36A6F" w:rsidRDefault="00F36A6F" w:rsidP="00F36A6F">
            <w:pPr>
              <w:spacing w:after="0" w:line="240" w:lineRule="auto"/>
              <w:jc w:val="both"/>
              <w:rPr>
                <w:rFonts w:ascii="Times New Roman" w:hAnsi="Times New Roman"/>
                <w:bCs/>
                <w:sz w:val="20"/>
                <w:szCs w:val="20"/>
              </w:rPr>
            </w:pPr>
          </w:p>
        </w:tc>
        <w:tc>
          <w:tcPr>
            <w:tcW w:w="4678" w:type="dxa"/>
            <w:gridSpan w:val="2"/>
            <w:tcBorders>
              <w:top w:val="single" w:sz="4" w:space="0" w:color="auto"/>
              <w:left w:val="nil"/>
              <w:bottom w:val="single" w:sz="2" w:space="0" w:color="auto"/>
              <w:right w:val="nil"/>
            </w:tcBorders>
          </w:tcPr>
          <w:p w:rsidR="00F36A6F" w:rsidRPr="00F36A6F" w:rsidRDefault="00F36A6F" w:rsidP="00ED5AB7">
            <w:pPr>
              <w:spacing w:before="60" w:after="0" w:line="240" w:lineRule="auto"/>
              <w:jc w:val="center"/>
              <w:rPr>
                <w:rFonts w:ascii="Times New Roman" w:hAnsi="Times New Roman"/>
                <w:b/>
                <w:sz w:val="20"/>
                <w:szCs w:val="20"/>
              </w:rPr>
            </w:pPr>
            <w:r w:rsidRPr="00F36A6F">
              <w:rPr>
                <w:rFonts w:ascii="Times New Roman" w:hAnsi="Times New Roman"/>
                <w:b/>
                <w:sz w:val="20"/>
                <w:szCs w:val="20"/>
              </w:rPr>
              <w:t>Pearson correlation coefficient (r)</w:t>
            </w:r>
          </w:p>
        </w:tc>
      </w:tr>
      <w:tr w:rsidR="00F36A6F" w:rsidRPr="00F36A6F" w:rsidTr="007141E9">
        <w:trPr>
          <w:trHeight w:val="56"/>
          <w:jc w:val="center"/>
        </w:trPr>
        <w:tc>
          <w:tcPr>
            <w:tcW w:w="2977" w:type="dxa"/>
            <w:tcBorders>
              <w:top w:val="nil"/>
              <w:left w:val="nil"/>
              <w:bottom w:val="single" w:sz="4" w:space="0" w:color="auto"/>
              <w:right w:val="nil"/>
            </w:tcBorders>
            <w:vAlign w:val="center"/>
          </w:tcPr>
          <w:p w:rsidR="00F36A6F" w:rsidRPr="00F36A6F" w:rsidRDefault="00F36A6F" w:rsidP="00F36A6F">
            <w:pPr>
              <w:spacing w:after="0" w:line="240" w:lineRule="auto"/>
              <w:jc w:val="both"/>
              <w:rPr>
                <w:rFonts w:ascii="Times New Roman" w:hAnsi="Times New Roman"/>
                <w:b/>
                <w:sz w:val="20"/>
                <w:szCs w:val="20"/>
              </w:rPr>
            </w:pPr>
            <w:r w:rsidRPr="00F36A6F">
              <w:rPr>
                <w:rFonts w:ascii="Times New Roman" w:hAnsi="Times New Roman"/>
                <w:b/>
                <w:sz w:val="20"/>
                <w:szCs w:val="20"/>
              </w:rPr>
              <w:t>Total phenolic content</w:t>
            </w:r>
          </w:p>
        </w:tc>
        <w:tc>
          <w:tcPr>
            <w:tcW w:w="2339" w:type="dxa"/>
            <w:tcBorders>
              <w:top w:val="single" w:sz="2" w:space="0" w:color="auto"/>
              <w:left w:val="nil"/>
              <w:bottom w:val="single" w:sz="4" w:space="0" w:color="auto"/>
              <w:right w:val="nil"/>
            </w:tcBorders>
          </w:tcPr>
          <w:p w:rsidR="00F36A6F" w:rsidRPr="00F36A6F" w:rsidRDefault="00F36A6F" w:rsidP="00ED5AB7">
            <w:pPr>
              <w:spacing w:after="60" w:line="240" w:lineRule="auto"/>
              <w:jc w:val="center"/>
              <w:rPr>
                <w:rFonts w:ascii="Times New Roman" w:hAnsi="Times New Roman"/>
                <w:b/>
                <w:sz w:val="20"/>
                <w:szCs w:val="20"/>
              </w:rPr>
            </w:pPr>
            <w:r w:rsidRPr="00F36A6F">
              <w:rPr>
                <w:rFonts w:ascii="Times New Roman" w:hAnsi="Times New Roman"/>
                <w:b/>
                <w:sz w:val="20"/>
                <w:szCs w:val="20"/>
              </w:rPr>
              <w:t>Inhibition of linoleic acid oxidations</w:t>
            </w:r>
          </w:p>
        </w:tc>
        <w:tc>
          <w:tcPr>
            <w:tcW w:w="2339" w:type="dxa"/>
            <w:tcBorders>
              <w:top w:val="single" w:sz="2" w:space="0" w:color="auto"/>
              <w:left w:val="nil"/>
              <w:bottom w:val="single" w:sz="4" w:space="0" w:color="auto"/>
              <w:right w:val="nil"/>
            </w:tcBorders>
          </w:tcPr>
          <w:p w:rsidR="00F36A6F" w:rsidRPr="00F36A6F" w:rsidRDefault="00F36A6F" w:rsidP="00ED5AB7">
            <w:pPr>
              <w:spacing w:after="0" w:line="240" w:lineRule="auto"/>
              <w:jc w:val="center"/>
              <w:rPr>
                <w:rFonts w:ascii="Times New Roman" w:hAnsi="Times New Roman"/>
                <w:b/>
                <w:sz w:val="20"/>
                <w:szCs w:val="20"/>
              </w:rPr>
            </w:pPr>
            <w:r w:rsidRPr="00F36A6F">
              <w:rPr>
                <w:rFonts w:ascii="Times New Roman" w:hAnsi="Times New Roman"/>
                <w:b/>
                <w:sz w:val="20"/>
                <w:szCs w:val="20"/>
              </w:rPr>
              <w:t>Scavenging activity of DPPH free radical</w:t>
            </w:r>
          </w:p>
        </w:tc>
      </w:tr>
      <w:tr w:rsidR="00F36A6F" w:rsidRPr="00F36A6F" w:rsidTr="007141E9">
        <w:trPr>
          <w:trHeight w:val="300"/>
          <w:jc w:val="center"/>
        </w:trPr>
        <w:tc>
          <w:tcPr>
            <w:tcW w:w="2977" w:type="dxa"/>
            <w:tcBorders>
              <w:top w:val="single" w:sz="4" w:space="0" w:color="auto"/>
              <w:left w:val="nil"/>
              <w:bottom w:val="nil"/>
              <w:right w:val="nil"/>
            </w:tcBorders>
            <w:noWrap/>
          </w:tcPr>
          <w:p w:rsidR="00F36A6F" w:rsidRPr="00F36A6F" w:rsidRDefault="00F36A6F" w:rsidP="00ED5AB7">
            <w:pPr>
              <w:numPr>
                <w:ilvl w:val="0"/>
                <w:numId w:val="2"/>
              </w:numPr>
              <w:spacing w:before="120" w:after="0" w:line="240" w:lineRule="auto"/>
              <w:ind w:left="317" w:hanging="317"/>
              <w:jc w:val="both"/>
              <w:rPr>
                <w:rFonts w:ascii="Times New Roman" w:hAnsi="Times New Roman"/>
                <w:sz w:val="20"/>
                <w:szCs w:val="20"/>
              </w:rPr>
            </w:pPr>
            <w:r w:rsidRPr="00F36A6F">
              <w:rPr>
                <w:rFonts w:ascii="Times New Roman" w:hAnsi="Times New Roman"/>
                <w:sz w:val="20"/>
                <w:szCs w:val="20"/>
              </w:rPr>
              <w:t>Water extraction</w:t>
            </w:r>
          </w:p>
        </w:tc>
        <w:tc>
          <w:tcPr>
            <w:tcW w:w="2339" w:type="dxa"/>
            <w:tcBorders>
              <w:top w:val="single" w:sz="4" w:space="0" w:color="auto"/>
              <w:left w:val="nil"/>
              <w:bottom w:val="nil"/>
              <w:right w:val="nil"/>
            </w:tcBorders>
            <w:vAlign w:val="bottom"/>
          </w:tcPr>
          <w:p w:rsidR="00F36A6F" w:rsidRPr="00F36A6F" w:rsidRDefault="00F36A6F" w:rsidP="00F36A6F">
            <w:pPr>
              <w:spacing w:after="0" w:line="240" w:lineRule="auto"/>
              <w:jc w:val="both"/>
              <w:rPr>
                <w:rFonts w:ascii="Times New Roman" w:hAnsi="Times New Roman"/>
                <w:sz w:val="20"/>
                <w:szCs w:val="20"/>
              </w:rPr>
            </w:pPr>
          </w:p>
        </w:tc>
        <w:tc>
          <w:tcPr>
            <w:tcW w:w="2339" w:type="dxa"/>
            <w:tcBorders>
              <w:top w:val="single" w:sz="4" w:space="0" w:color="auto"/>
              <w:left w:val="nil"/>
              <w:bottom w:val="nil"/>
              <w:right w:val="nil"/>
            </w:tcBorders>
            <w:noWrap/>
            <w:vAlign w:val="bottom"/>
          </w:tcPr>
          <w:p w:rsidR="00F36A6F" w:rsidRPr="00F36A6F" w:rsidRDefault="00F36A6F" w:rsidP="00F36A6F">
            <w:pPr>
              <w:spacing w:after="0" w:line="240" w:lineRule="auto"/>
              <w:jc w:val="both"/>
              <w:rPr>
                <w:rFonts w:ascii="Times New Roman" w:hAnsi="Times New Roman"/>
                <w:sz w:val="20"/>
                <w:szCs w:val="20"/>
              </w:rPr>
            </w:pPr>
          </w:p>
        </w:tc>
      </w:tr>
      <w:tr w:rsidR="00F36A6F" w:rsidRPr="00F36A6F" w:rsidTr="007141E9">
        <w:trPr>
          <w:trHeight w:val="300"/>
          <w:jc w:val="center"/>
        </w:trPr>
        <w:tc>
          <w:tcPr>
            <w:tcW w:w="2977" w:type="dxa"/>
            <w:tcBorders>
              <w:top w:val="nil"/>
              <w:left w:val="nil"/>
              <w:bottom w:val="nil"/>
              <w:right w:val="nil"/>
            </w:tcBorders>
            <w:noWrap/>
            <w:vAlign w:val="center"/>
          </w:tcPr>
          <w:p w:rsidR="00F36A6F" w:rsidRPr="00F36A6F" w:rsidRDefault="00F36A6F" w:rsidP="00F36A6F">
            <w:pPr>
              <w:spacing w:after="0" w:line="240" w:lineRule="auto"/>
              <w:ind w:left="601"/>
              <w:jc w:val="both"/>
              <w:rPr>
                <w:rFonts w:ascii="Times New Roman" w:hAnsi="Times New Roman"/>
                <w:sz w:val="20"/>
                <w:szCs w:val="20"/>
              </w:rPr>
            </w:pPr>
            <w:r w:rsidRPr="00F36A6F">
              <w:rPr>
                <w:rFonts w:ascii="Times New Roman" w:hAnsi="Times New Roman"/>
                <w:sz w:val="20"/>
                <w:szCs w:val="20"/>
              </w:rPr>
              <w:t>Folin-Ciocalteu assay</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-0.083</w:t>
            </w: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0.049</w:t>
            </w:r>
          </w:p>
        </w:tc>
      </w:tr>
      <w:tr w:rsidR="00F36A6F" w:rsidRPr="00F36A6F" w:rsidTr="007141E9">
        <w:trPr>
          <w:trHeight w:val="300"/>
          <w:jc w:val="center"/>
        </w:trPr>
        <w:tc>
          <w:tcPr>
            <w:tcW w:w="2977" w:type="dxa"/>
            <w:tcBorders>
              <w:top w:val="nil"/>
              <w:left w:val="nil"/>
              <w:bottom w:val="nil"/>
              <w:right w:val="nil"/>
            </w:tcBorders>
            <w:noWrap/>
            <w:vAlign w:val="center"/>
          </w:tcPr>
          <w:p w:rsidR="00F36A6F" w:rsidRPr="00F36A6F" w:rsidRDefault="00F36A6F" w:rsidP="00F36A6F">
            <w:pPr>
              <w:spacing w:after="0" w:line="240" w:lineRule="auto"/>
              <w:ind w:left="601"/>
              <w:jc w:val="both"/>
              <w:rPr>
                <w:rFonts w:ascii="Times New Roman" w:hAnsi="Times New Roman"/>
                <w:sz w:val="20"/>
                <w:szCs w:val="20"/>
              </w:rPr>
            </w:pPr>
            <w:r w:rsidRPr="00F36A6F">
              <w:rPr>
                <w:rFonts w:ascii="Times New Roman" w:hAnsi="Times New Roman"/>
                <w:sz w:val="20"/>
                <w:szCs w:val="20"/>
              </w:rPr>
              <w:t>Prussian-Blue assay</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0.072</w:t>
            </w: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0.128</w:t>
            </w:r>
          </w:p>
        </w:tc>
      </w:tr>
      <w:tr w:rsidR="00F36A6F" w:rsidRPr="00F36A6F" w:rsidTr="007141E9">
        <w:trPr>
          <w:trHeight w:val="300"/>
          <w:jc w:val="center"/>
        </w:trPr>
        <w:tc>
          <w:tcPr>
            <w:tcW w:w="2977" w:type="dxa"/>
            <w:tcBorders>
              <w:top w:val="nil"/>
              <w:left w:val="nil"/>
              <w:bottom w:val="nil"/>
              <w:right w:val="nil"/>
            </w:tcBorders>
            <w:noWrap/>
          </w:tcPr>
          <w:p w:rsidR="00F36A6F" w:rsidRPr="00F36A6F" w:rsidRDefault="00F36A6F" w:rsidP="00F36A6F">
            <w:pPr>
              <w:numPr>
                <w:ilvl w:val="0"/>
                <w:numId w:val="2"/>
              </w:numPr>
              <w:spacing w:after="0" w:line="240" w:lineRule="auto"/>
              <w:ind w:left="318" w:hanging="318"/>
              <w:jc w:val="both"/>
              <w:rPr>
                <w:rFonts w:ascii="Times New Roman" w:hAnsi="Times New Roman"/>
                <w:sz w:val="20"/>
                <w:szCs w:val="20"/>
              </w:rPr>
            </w:pPr>
            <w:r w:rsidRPr="00F36A6F">
              <w:rPr>
                <w:rFonts w:ascii="Times New Roman" w:hAnsi="Times New Roman"/>
                <w:sz w:val="20"/>
                <w:szCs w:val="20"/>
              </w:rPr>
              <w:t>Ethanolic extraction</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p>
        </w:tc>
      </w:tr>
      <w:tr w:rsidR="00F36A6F" w:rsidRPr="00F36A6F" w:rsidTr="007141E9">
        <w:trPr>
          <w:trHeight w:val="300"/>
          <w:jc w:val="center"/>
        </w:trPr>
        <w:tc>
          <w:tcPr>
            <w:tcW w:w="2977" w:type="dxa"/>
            <w:tcBorders>
              <w:top w:val="nil"/>
              <w:left w:val="nil"/>
              <w:bottom w:val="nil"/>
              <w:right w:val="nil"/>
            </w:tcBorders>
            <w:noWrap/>
            <w:vAlign w:val="center"/>
          </w:tcPr>
          <w:p w:rsidR="00F36A6F" w:rsidRPr="00F36A6F" w:rsidRDefault="00F36A6F" w:rsidP="00F36A6F">
            <w:pPr>
              <w:spacing w:after="0" w:line="240" w:lineRule="auto"/>
              <w:ind w:left="601"/>
              <w:jc w:val="both"/>
              <w:rPr>
                <w:rFonts w:ascii="Times New Roman" w:hAnsi="Times New Roman"/>
                <w:sz w:val="20"/>
                <w:szCs w:val="20"/>
              </w:rPr>
            </w:pPr>
            <w:r w:rsidRPr="00F36A6F">
              <w:rPr>
                <w:rFonts w:ascii="Times New Roman" w:hAnsi="Times New Roman"/>
                <w:sz w:val="20"/>
                <w:szCs w:val="20"/>
              </w:rPr>
              <w:t>Folin-Ciocalteu assay</w:t>
            </w:r>
          </w:p>
        </w:tc>
        <w:tc>
          <w:tcPr>
            <w:tcW w:w="2339" w:type="dxa"/>
            <w:tcBorders>
              <w:top w:val="nil"/>
              <w:left w:val="nil"/>
              <w:bottom w:val="nil"/>
              <w:right w:val="nil"/>
            </w:tcBorders>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-0.718</w:t>
            </w:r>
          </w:p>
        </w:tc>
        <w:tc>
          <w:tcPr>
            <w:tcW w:w="2339" w:type="dxa"/>
            <w:tcBorders>
              <w:top w:val="nil"/>
              <w:left w:val="nil"/>
              <w:bottom w:val="nil"/>
              <w:right w:val="nil"/>
            </w:tcBorders>
            <w:noWrap/>
            <w:vAlign w:val="bottom"/>
          </w:tcPr>
          <w:p w:rsidR="00F36A6F" w:rsidRPr="00F36A6F" w:rsidRDefault="00F36A6F" w:rsidP="00ED5AB7">
            <w:pPr>
              <w:spacing w:after="0" w:line="240" w:lineRule="auto"/>
              <w:jc w:val="center"/>
              <w:rPr>
                <w:rFonts w:ascii="Times New Roman" w:hAnsi="Times New Roman"/>
                <w:sz w:val="20"/>
                <w:szCs w:val="20"/>
              </w:rPr>
            </w:pPr>
            <w:r w:rsidRPr="00F36A6F">
              <w:rPr>
                <w:rFonts w:ascii="Times New Roman" w:hAnsi="Times New Roman"/>
                <w:sz w:val="20"/>
                <w:szCs w:val="20"/>
              </w:rPr>
              <w:t>0.702</w:t>
            </w:r>
          </w:p>
        </w:tc>
      </w:tr>
      <w:tr w:rsidR="00F36A6F" w:rsidRPr="00F36A6F" w:rsidTr="007141E9">
        <w:trPr>
          <w:trHeight w:val="300"/>
          <w:jc w:val="center"/>
        </w:trPr>
        <w:tc>
          <w:tcPr>
            <w:tcW w:w="2977" w:type="dxa"/>
            <w:tcBorders>
              <w:top w:val="nil"/>
              <w:left w:val="nil"/>
              <w:bottom w:val="single" w:sz="4" w:space="0" w:color="auto"/>
              <w:right w:val="nil"/>
            </w:tcBorders>
            <w:noWrap/>
            <w:vAlign w:val="center"/>
          </w:tcPr>
          <w:p w:rsidR="00F36A6F" w:rsidRPr="00F36A6F" w:rsidRDefault="00F36A6F" w:rsidP="00ED5AB7">
            <w:pPr>
              <w:spacing w:after="120" w:line="240" w:lineRule="auto"/>
              <w:ind w:left="601"/>
              <w:jc w:val="both"/>
              <w:rPr>
                <w:rFonts w:ascii="Times New Roman" w:hAnsi="Times New Roman"/>
                <w:sz w:val="20"/>
                <w:szCs w:val="20"/>
              </w:rPr>
            </w:pPr>
            <w:r w:rsidRPr="00F36A6F">
              <w:rPr>
                <w:rFonts w:ascii="Times New Roman" w:hAnsi="Times New Roman"/>
                <w:sz w:val="20"/>
                <w:szCs w:val="20"/>
              </w:rPr>
              <w:t>Prussian-Blue assay</w:t>
            </w:r>
          </w:p>
        </w:tc>
        <w:tc>
          <w:tcPr>
            <w:tcW w:w="2339" w:type="dxa"/>
            <w:tcBorders>
              <w:top w:val="nil"/>
              <w:left w:val="nil"/>
              <w:bottom w:val="single" w:sz="4" w:space="0" w:color="auto"/>
              <w:right w:val="nil"/>
            </w:tcBorders>
            <w:vAlign w:val="bottom"/>
          </w:tcPr>
          <w:p w:rsidR="00F36A6F" w:rsidRPr="00F36A6F" w:rsidRDefault="00F36A6F" w:rsidP="00ED5AB7">
            <w:pPr>
              <w:spacing w:after="120" w:line="240" w:lineRule="auto"/>
              <w:jc w:val="center"/>
              <w:rPr>
                <w:rFonts w:ascii="Times New Roman" w:hAnsi="Times New Roman"/>
                <w:sz w:val="20"/>
                <w:szCs w:val="20"/>
              </w:rPr>
            </w:pPr>
            <w:r w:rsidRPr="00F36A6F">
              <w:rPr>
                <w:rFonts w:ascii="Times New Roman" w:hAnsi="Times New Roman"/>
                <w:sz w:val="20"/>
                <w:szCs w:val="20"/>
              </w:rPr>
              <w:t>-0.569</w:t>
            </w:r>
          </w:p>
        </w:tc>
        <w:tc>
          <w:tcPr>
            <w:tcW w:w="2339" w:type="dxa"/>
            <w:tcBorders>
              <w:top w:val="nil"/>
              <w:left w:val="nil"/>
              <w:bottom w:val="single" w:sz="4" w:space="0" w:color="auto"/>
              <w:right w:val="nil"/>
            </w:tcBorders>
            <w:noWrap/>
            <w:vAlign w:val="bottom"/>
          </w:tcPr>
          <w:p w:rsidR="00F36A6F" w:rsidRPr="00F36A6F" w:rsidRDefault="00F36A6F" w:rsidP="00ED5AB7">
            <w:pPr>
              <w:spacing w:after="120" w:line="240" w:lineRule="auto"/>
              <w:jc w:val="center"/>
              <w:rPr>
                <w:rFonts w:ascii="Times New Roman" w:hAnsi="Times New Roman"/>
                <w:sz w:val="20"/>
                <w:szCs w:val="20"/>
              </w:rPr>
            </w:pPr>
            <w:r w:rsidRPr="00F36A6F">
              <w:rPr>
                <w:rFonts w:ascii="Times New Roman" w:hAnsi="Times New Roman"/>
                <w:sz w:val="20"/>
                <w:szCs w:val="20"/>
              </w:rPr>
              <w:t>0.589</w:t>
            </w:r>
          </w:p>
        </w:tc>
      </w:tr>
    </w:tbl>
    <w:p w:rsidR="00F36A6F" w:rsidRPr="00ED5AB7" w:rsidRDefault="00F36A6F" w:rsidP="00ED5AB7">
      <w:pPr>
        <w:spacing w:after="0" w:line="240" w:lineRule="auto"/>
        <w:jc w:val="center"/>
        <w:rPr>
          <w:rFonts w:ascii="Times New Roman" w:hAnsi="Times New Roman"/>
          <w:iCs/>
          <w:sz w:val="20"/>
          <w:szCs w:val="20"/>
        </w:rPr>
      </w:pP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Conclusion</w:t>
      </w:r>
    </w:p>
    <w:p w:rsidR="00ED5AB7" w:rsidRDefault="00ED5AB7" w:rsidP="00ED5AB7">
      <w:pPr>
        <w:pStyle w:val="NoSpacing"/>
        <w:jc w:val="both"/>
        <w:rPr>
          <w:rFonts w:ascii="Times New Roman" w:hAnsi="Times New Roman"/>
          <w:color w:val="000000"/>
          <w:sz w:val="20"/>
          <w:szCs w:val="20"/>
        </w:rPr>
      </w:pPr>
      <w:r w:rsidRPr="00875420">
        <w:rPr>
          <w:rFonts w:ascii="Times New Roman" w:hAnsi="Times New Roman"/>
          <w:color w:val="000000"/>
          <w:sz w:val="20"/>
          <w:szCs w:val="20"/>
        </w:rPr>
        <w:t xml:space="preserve">From this study, it can be concluded that all water and ethanolic extracts of Malaysian traditional vegetables contain various amount of total phenolic compounds when were determined using </w:t>
      </w:r>
      <w:r>
        <w:rPr>
          <w:rFonts w:ascii="Times New Roman" w:hAnsi="Times New Roman"/>
          <w:color w:val="000000"/>
          <w:sz w:val="20"/>
          <w:szCs w:val="20"/>
        </w:rPr>
        <w:t xml:space="preserve">both </w:t>
      </w:r>
      <w:r w:rsidRPr="00875420">
        <w:rPr>
          <w:rFonts w:ascii="Times New Roman" w:hAnsi="Times New Roman"/>
          <w:color w:val="000000"/>
          <w:sz w:val="20"/>
          <w:szCs w:val="20"/>
        </w:rPr>
        <w:t>Folin-Ciocalteu and Prussian Blue assays. In general, most of the ethanolic extracts of the vegetables obtained slightly higher antioxi</w:t>
      </w:r>
      <w:r>
        <w:rPr>
          <w:rFonts w:ascii="Times New Roman" w:hAnsi="Times New Roman"/>
          <w:color w:val="000000"/>
          <w:sz w:val="20"/>
          <w:szCs w:val="20"/>
        </w:rPr>
        <w:t xml:space="preserve">dant activity in </w:t>
      </w:r>
      <w:r>
        <w:rPr>
          <w:rFonts w:ascii="Times New Roman" w:hAnsi="Times New Roman"/>
          <w:color w:val="000000"/>
          <w:sz w:val="20"/>
          <w:szCs w:val="20"/>
        </w:rPr>
        <w:lastRenderedPageBreak/>
        <w:t xml:space="preserve">both FRAP and </w:t>
      </w:r>
      <w:r w:rsidRPr="00875420">
        <w:rPr>
          <w:rFonts w:ascii="Times New Roman" w:hAnsi="Times New Roman"/>
          <w:color w:val="000000"/>
          <w:sz w:val="20"/>
          <w:szCs w:val="20"/>
        </w:rPr>
        <w:t>DPPH a</w:t>
      </w:r>
      <w:r>
        <w:rPr>
          <w:rFonts w:ascii="Times New Roman" w:hAnsi="Times New Roman"/>
          <w:color w:val="000000"/>
          <w:sz w:val="20"/>
          <w:szCs w:val="20"/>
        </w:rPr>
        <w:t xml:space="preserve">ssays. However, </w:t>
      </w:r>
      <w:r w:rsidRPr="00875420">
        <w:rPr>
          <w:rFonts w:ascii="Times New Roman" w:hAnsi="Times New Roman"/>
          <w:color w:val="000000"/>
          <w:sz w:val="20"/>
          <w:szCs w:val="20"/>
        </w:rPr>
        <w:t xml:space="preserve">total phenolic content and antioxidant activity </w:t>
      </w:r>
      <w:r>
        <w:rPr>
          <w:rFonts w:ascii="Times New Roman" w:hAnsi="Times New Roman"/>
          <w:color w:val="000000"/>
          <w:sz w:val="20"/>
          <w:szCs w:val="20"/>
        </w:rPr>
        <w:t xml:space="preserve">was only have </w:t>
      </w:r>
      <w:r w:rsidRPr="00875420">
        <w:rPr>
          <w:rFonts w:ascii="Times New Roman" w:hAnsi="Times New Roman"/>
          <w:color w:val="000000"/>
          <w:sz w:val="20"/>
          <w:szCs w:val="20"/>
        </w:rPr>
        <w:t>positive correlat</w:t>
      </w:r>
      <w:r>
        <w:rPr>
          <w:rFonts w:ascii="Times New Roman" w:hAnsi="Times New Roman"/>
          <w:color w:val="000000"/>
          <w:sz w:val="20"/>
          <w:szCs w:val="20"/>
        </w:rPr>
        <w:t>ion when were determined u</w:t>
      </w:r>
      <w:r w:rsidRPr="00875420">
        <w:rPr>
          <w:rFonts w:ascii="Times New Roman" w:hAnsi="Times New Roman"/>
          <w:color w:val="000000"/>
          <w:sz w:val="20"/>
          <w:szCs w:val="20"/>
        </w:rPr>
        <w:t>sing DPPH assay</w:t>
      </w:r>
      <w:r>
        <w:rPr>
          <w:rFonts w:ascii="Times New Roman" w:hAnsi="Times New Roman"/>
          <w:color w:val="000000"/>
          <w:sz w:val="20"/>
          <w:szCs w:val="20"/>
        </w:rPr>
        <w:t>.  T</w:t>
      </w:r>
      <w:r w:rsidRPr="00875420">
        <w:rPr>
          <w:rFonts w:ascii="Times New Roman" w:hAnsi="Times New Roman"/>
          <w:color w:val="000000"/>
          <w:sz w:val="20"/>
          <w:szCs w:val="20"/>
        </w:rPr>
        <w:t xml:space="preserve">hus, this study obtained that </w:t>
      </w:r>
      <w:r>
        <w:rPr>
          <w:rFonts w:ascii="Times New Roman" w:hAnsi="Times New Roman"/>
          <w:color w:val="000000"/>
          <w:sz w:val="20"/>
          <w:szCs w:val="20"/>
        </w:rPr>
        <w:t xml:space="preserve">the </w:t>
      </w:r>
      <w:r w:rsidRPr="00875420">
        <w:rPr>
          <w:rFonts w:ascii="Times New Roman" w:hAnsi="Times New Roman"/>
          <w:color w:val="000000"/>
          <w:sz w:val="20"/>
          <w:szCs w:val="20"/>
        </w:rPr>
        <w:t xml:space="preserve">traditional Malaysian vegetables can be a potential source of natural antioxidant. </w:t>
      </w:r>
      <w:r>
        <w:rPr>
          <w:rFonts w:ascii="Times New Roman" w:hAnsi="Times New Roman"/>
          <w:color w:val="000000"/>
          <w:sz w:val="20"/>
          <w:szCs w:val="20"/>
        </w:rPr>
        <w:t xml:space="preserve"> </w:t>
      </w:r>
      <w:r w:rsidRPr="00875420">
        <w:rPr>
          <w:rFonts w:ascii="Times New Roman" w:hAnsi="Times New Roman"/>
          <w:color w:val="000000"/>
          <w:sz w:val="20"/>
          <w:szCs w:val="20"/>
        </w:rPr>
        <w:t xml:space="preserve">Nevertheless, further work is needed to identify and isolate the individual phenolic compounds to determine the </w:t>
      </w:r>
      <w:r w:rsidRPr="00875420">
        <w:rPr>
          <w:rFonts w:ascii="Times New Roman" w:hAnsi="Times New Roman"/>
          <w:i/>
          <w:iCs/>
          <w:color w:val="000000"/>
          <w:sz w:val="20"/>
          <w:szCs w:val="20"/>
        </w:rPr>
        <w:t>in vitro</w:t>
      </w:r>
      <w:r w:rsidRPr="00875420">
        <w:rPr>
          <w:rFonts w:ascii="Times New Roman" w:hAnsi="Times New Roman"/>
          <w:color w:val="000000"/>
          <w:sz w:val="20"/>
          <w:szCs w:val="20"/>
        </w:rPr>
        <w:t xml:space="preserve"> and </w:t>
      </w:r>
      <w:r w:rsidRPr="00875420">
        <w:rPr>
          <w:rFonts w:ascii="Times New Roman" w:hAnsi="Times New Roman"/>
          <w:i/>
          <w:iCs/>
          <w:color w:val="000000"/>
          <w:sz w:val="20"/>
          <w:szCs w:val="20"/>
        </w:rPr>
        <w:t>in vivo</w:t>
      </w:r>
      <w:r w:rsidRPr="00875420">
        <w:rPr>
          <w:rFonts w:ascii="Times New Roman" w:hAnsi="Times New Roman"/>
          <w:color w:val="000000"/>
          <w:sz w:val="20"/>
          <w:szCs w:val="20"/>
        </w:rPr>
        <w:t xml:space="preserve"> o</w:t>
      </w:r>
      <w:r>
        <w:rPr>
          <w:rFonts w:ascii="Times New Roman" w:hAnsi="Times New Roman"/>
          <w:color w:val="000000"/>
          <w:sz w:val="20"/>
          <w:szCs w:val="20"/>
        </w:rPr>
        <w:t>f antioxidant mechanism in this vegetable.</w:t>
      </w:r>
    </w:p>
    <w:p w:rsidR="006768E9" w:rsidRPr="00802DCC" w:rsidRDefault="006768E9" w:rsidP="006B1068">
      <w:pPr>
        <w:spacing w:after="0" w:line="240" w:lineRule="auto"/>
        <w:jc w:val="center"/>
        <w:rPr>
          <w:rFonts w:ascii="Times New Roman" w:hAnsi="Times New Roman"/>
          <w:noProof/>
          <w:sz w:val="20"/>
          <w:szCs w:val="20"/>
          <w:lang w:bidi="ar-SA"/>
        </w:rPr>
      </w:pPr>
    </w:p>
    <w:p w:rsidR="006768E9" w:rsidRPr="00802DCC" w:rsidRDefault="008C77F2" w:rsidP="006B1068">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Acknowledgement</w:t>
      </w:r>
    </w:p>
    <w:p w:rsidR="00ED5AB7" w:rsidRPr="0020703B" w:rsidRDefault="00ED5AB7" w:rsidP="00ED5AB7">
      <w:pPr>
        <w:pStyle w:val="NoSpacing"/>
        <w:jc w:val="both"/>
        <w:rPr>
          <w:rFonts w:ascii="Times New Roman" w:hAnsi="Times New Roman"/>
          <w:color w:val="000000"/>
          <w:sz w:val="20"/>
          <w:szCs w:val="20"/>
        </w:rPr>
      </w:pPr>
      <w:r w:rsidRPr="0020703B">
        <w:rPr>
          <w:rFonts w:ascii="Times New Roman" w:hAnsi="Times New Roman"/>
          <w:color w:val="000000"/>
          <w:sz w:val="20"/>
          <w:szCs w:val="20"/>
        </w:rPr>
        <w:t>The authors are grateful to Faculty Science and Technology, Universiti Sains Islam Malaysia, Malaysia for the use of all laboratory facilities, apparatus, and financial support of this entire work.  Thanks and appreciation also to Ms. Normah Haron, Laboratory Assistant, Faculty Science and Technology, U</w:t>
      </w:r>
      <w:r>
        <w:rPr>
          <w:rFonts w:ascii="Times New Roman" w:hAnsi="Times New Roman"/>
          <w:color w:val="000000"/>
          <w:sz w:val="20"/>
          <w:szCs w:val="20"/>
        </w:rPr>
        <w:t xml:space="preserve">niversiti Sains Islam Malaysia, </w:t>
      </w:r>
      <w:r w:rsidRPr="00654457">
        <w:rPr>
          <w:rFonts w:ascii="Times New Roman" w:hAnsi="Times New Roman"/>
          <w:color w:val="000000"/>
          <w:sz w:val="20"/>
          <w:szCs w:val="20"/>
        </w:rPr>
        <w:t>for their assistance in this work.</w:t>
      </w:r>
    </w:p>
    <w:p w:rsidR="006768E9" w:rsidRPr="00802DCC" w:rsidRDefault="006768E9" w:rsidP="00ED5AB7">
      <w:pPr>
        <w:spacing w:after="0" w:line="240" w:lineRule="auto"/>
        <w:jc w:val="center"/>
        <w:rPr>
          <w:rFonts w:ascii="Times New Roman" w:hAnsi="Times New Roman"/>
          <w:noProof/>
          <w:sz w:val="20"/>
          <w:szCs w:val="20"/>
          <w:lang w:bidi="ar-SA"/>
        </w:rPr>
      </w:pPr>
    </w:p>
    <w:p w:rsidR="006768E9" w:rsidRPr="00802DCC" w:rsidRDefault="006768E9" w:rsidP="006B1068">
      <w:pPr>
        <w:spacing w:after="0" w:line="240" w:lineRule="auto"/>
        <w:jc w:val="center"/>
        <w:rPr>
          <w:rFonts w:ascii="Times New Roman" w:hAnsi="Times New Roman"/>
          <w:b/>
          <w:noProof/>
          <w:sz w:val="18"/>
          <w:szCs w:val="18"/>
          <w:lang w:bidi="ar-SA"/>
        </w:rPr>
      </w:pPr>
      <w:bookmarkStart w:id="0" w:name="_GoBack"/>
      <w:r w:rsidRPr="00802DCC">
        <w:rPr>
          <w:rFonts w:ascii="Times New Roman" w:hAnsi="Times New Roman"/>
          <w:b/>
          <w:noProof/>
          <w:sz w:val="20"/>
          <w:szCs w:val="20"/>
          <w:lang w:bidi="ar-SA"/>
        </w:rPr>
        <w:t>References</w:t>
      </w:r>
    </w:p>
    <w:p w:rsidR="00ED5AB7" w:rsidRP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Xia, E. Q., Deng, G. F., Guo, Y. J. and Li, H. B. (2010). Biological activities of polyphenols from grapes. </w:t>
      </w:r>
      <w:r w:rsidRPr="00ED5AB7">
        <w:rPr>
          <w:rFonts w:ascii="Times New Roman" w:hAnsi="Times New Roman"/>
          <w:i/>
          <w:iCs/>
          <w:color w:val="000000"/>
          <w:sz w:val="20"/>
          <w:szCs w:val="20"/>
        </w:rPr>
        <w:t xml:space="preserve">International Journal of Molecular Sciences, </w:t>
      </w:r>
      <w:r w:rsidRPr="00ED5AB7">
        <w:rPr>
          <w:rFonts w:ascii="Times New Roman" w:hAnsi="Times New Roman"/>
          <w:color w:val="000000"/>
          <w:sz w:val="20"/>
          <w:szCs w:val="20"/>
        </w:rPr>
        <w:t xml:space="preserve">11(2): 622-646.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Soerjomataram, I., Oomen, D., Lemmens, V., Oenema, A., Benetou, V., Trichopoulou, A., Coebergh, J. W., Barendregt, J. and de Vries, E. (2010). Increased consumption of fruit and vegetables and future cancer incidence in selected European countries. </w:t>
      </w:r>
      <w:r w:rsidRPr="00ED5AB7">
        <w:rPr>
          <w:rFonts w:ascii="Times New Roman" w:hAnsi="Times New Roman"/>
          <w:i/>
          <w:iCs/>
          <w:color w:val="000000"/>
          <w:sz w:val="20"/>
          <w:szCs w:val="20"/>
        </w:rPr>
        <w:t>European Journal of Cancer,</w:t>
      </w:r>
      <w:r w:rsidRPr="00ED5AB7">
        <w:rPr>
          <w:rFonts w:ascii="Times New Roman" w:hAnsi="Times New Roman"/>
          <w:color w:val="000000"/>
          <w:sz w:val="20"/>
          <w:szCs w:val="20"/>
        </w:rPr>
        <w:t xml:space="preserve"> 46(14): 2563-2580.</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Norhanom, A. W., Ashril, Y. and Mustafa, A. M. (1999). Anti-tumour activity in local ulam. In: Ali, A.M., Shaari, K. and Zakaria, Z. (Eds.) </w:t>
      </w:r>
      <w:r w:rsidRPr="00ED5AB7">
        <w:rPr>
          <w:rFonts w:ascii="Times New Roman" w:hAnsi="Times New Roman"/>
          <w:i/>
          <w:iCs/>
          <w:color w:val="000000"/>
          <w:sz w:val="20"/>
          <w:szCs w:val="20"/>
        </w:rPr>
        <w:t xml:space="preserve">Phytochemicals and Biopharmaceutins from the Malaysian Rainforest. </w:t>
      </w:r>
      <w:r w:rsidRPr="00ED5AB7">
        <w:rPr>
          <w:rFonts w:ascii="Times New Roman" w:hAnsi="Times New Roman"/>
          <w:color w:val="000000"/>
          <w:sz w:val="20"/>
          <w:szCs w:val="20"/>
        </w:rPr>
        <w:t>pp. 135-141. Malaysia: FRIM, Kuala Lumpur.</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Mansor, P. (1988). </w:t>
      </w:r>
      <w:r w:rsidRPr="00ED5AB7">
        <w:rPr>
          <w:rFonts w:ascii="Times New Roman" w:hAnsi="Times New Roman"/>
          <w:i/>
          <w:iCs/>
          <w:color w:val="000000"/>
          <w:sz w:val="20"/>
          <w:szCs w:val="20"/>
        </w:rPr>
        <w:t xml:space="preserve">Teknologi sayur-sayuran. </w:t>
      </w:r>
      <w:r w:rsidRPr="00ED5AB7">
        <w:rPr>
          <w:rFonts w:ascii="Times New Roman" w:hAnsi="Times New Roman"/>
          <w:color w:val="000000"/>
          <w:sz w:val="20"/>
          <w:szCs w:val="20"/>
        </w:rPr>
        <w:t xml:space="preserve">pp. 1-5. Malaysia: MARDI, Kuala Lumpur.  </w:t>
      </w:r>
    </w:p>
    <w:p w:rsidR="00ED5AB7" w:rsidRP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Huda-Faujan, N., Noriham, A., Norrakiah, A. S. and Babji, A. S. (2009). Antioxidant activity of plants methanolic extracts containing phenolic compounds. </w:t>
      </w:r>
      <w:r w:rsidRPr="00ED5AB7">
        <w:rPr>
          <w:rFonts w:ascii="Times New Roman" w:hAnsi="Times New Roman"/>
          <w:i/>
          <w:iCs/>
          <w:color w:val="000000"/>
          <w:sz w:val="20"/>
          <w:szCs w:val="20"/>
        </w:rPr>
        <w:t>African Journal of Biotechnology,</w:t>
      </w:r>
      <w:r w:rsidRPr="00ED5AB7">
        <w:rPr>
          <w:rFonts w:ascii="Times New Roman" w:hAnsi="Times New Roman"/>
          <w:color w:val="000000"/>
          <w:sz w:val="20"/>
          <w:szCs w:val="20"/>
        </w:rPr>
        <w:t xml:space="preserve"> 8(3): 484-489.</w:t>
      </w:r>
      <w:r w:rsidRPr="00ED5AB7">
        <w:rPr>
          <w:rFonts w:ascii="Times New Roman" w:hAnsi="Times New Roman"/>
          <w:sz w:val="20"/>
          <w:szCs w:val="20"/>
          <w:lang w:val="ms-MY"/>
        </w:rPr>
        <w:t xml:space="preserve">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Asif, M. and Khodadadi, E. (2013). Medicinal uses and chemistry of flavonoid contents of some common edible tropical plants. </w:t>
      </w:r>
      <w:r w:rsidRPr="00ED5AB7">
        <w:rPr>
          <w:rFonts w:ascii="Times New Roman" w:hAnsi="Times New Roman"/>
          <w:i/>
          <w:iCs/>
          <w:color w:val="000000"/>
          <w:sz w:val="20"/>
          <w:szCs w:val="20"/>
        </w:rPr>
        <w:t>Journal of Paramedical Sciences,</w:t>
      </w:r>
      <w:r w:rsidRPr="00ED5AB7">
        <w:rPr>
          <w:rFonts w:ascii="Times New Roman" w:hAnsi="Times New Roman"/>
          <w:color w:val="000000"/>
          <w:sz w:val="20"/>
          <w:szCs w:val="20"/>
        </w:rPr>
        <w:t xml:space="preserve"> 4(3): 119-138.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Mushtaq, M. and Wani, S. M. (2013). Polyphenols and human health: a review. </w:t>
      </w:r>
      <w:r w:rsidRPr="00ED5AB7">
        <w:rPr>
          <w:rFonts w:ascii="Times New Roman" w:hAnsi="Times New Roman"/>
          <w:i/>
          <w:iCs/>
          <w:color w:val="000000"/>
          <w:sz w:val="20"/>
          <w:szCs w:val="20"/>
        </w:rPr>
        <w:t xml:space="preserve">International Journal of Pharma and Bio Sciences, </w:t>
      </w:r>
      <w:r w:rsidRPr="00ED5AB7">
        <w:rPr>
          <w:rFonts w:ascii="Times New Roman" w:hAnsi="Times New Roman"/>
          <w:color w:val="000000"/>
          <w:sz w:val="20"/>
          <w:szCs w:val="20"/>
        </w:rPr>
        <w:t>4(2): B338-B360.</w:t>
      </w:r>
    </w:p>
    <w:p w:rsidR="00ED5AB7" w:rsidRP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Nagavani, V. and Rao, T. R. (2010). Evaluation of antioxidant potential and qualitative analysis of major polyphenols by RP-HPLC in </w:t>
      </w:r>
      <w:r w:rsidRPr="00ED5AB7">
        <w:rPr>
          <w:rFonts w:ascii="Times New Roman" w:hAnsi="Times New Roman"/>
          <w:i/>
          <w:iCs/>
          <w:color w:val="000000"/>
          <w:sz w:val="20"/>
          <w:szCs w:val="20"/>
        </w:rPr>
        <w:t xml:space="preserve">Nyamphaea nouchali </w:t>
      </w:r>
      <w:r w:rsidRPr="00ED5AB7">
        <w:rPr>
          <w:rFonts w:ascii="Times New Roman" w:hAnsi="Times New Roman"/>
          <w:color w:val="000000"/>
          <w:sz w:val="20"/>
          <w:szCs w:val="20"/>
        </w:rPr>
        <w:t xml:space="preserve">brum flower. </w:t>
      </w:r>
      <w:r w:rsidRPr="00ED5AB7">
        <w:rPr>
          <w:rFonts w:ascii="Times New Roman" w:hAnsi="Times New Roman"/>
          <w:i/>
          <w:iCs/>
          <w:color w:val="000000"/>
          <w:sz w:val="20"/>
          <w:szCs w:val="20"/>
        </w:rPr>
        <w:t xml:space="preserve">International Journal of Pharmacy and Pharmaceutical Sciences, </w:t>
      </w:r>
      <w:r w:rsidRPr="00ED5AB7">
        <w:rPr>
          <w:rFonts w:ascii="Times New Roman" w:hAnsi="Times New Roman"/>
          <w:color w:val="000000"/>
          <w:sz w:val="20"/>
          <w:szCs w:val="20"/>
        </w:rPr>
        <w:t>2(Suppl 4): 98–104.</w:t>
      </w:r>
      <w:r w:rsidRPr="00ED5AB7">
        <w:rPr>
          <w:rFonts w:ascii="Times New Roman" w:hAnsi="Times New Roman"/>
          <w:sz w:val="20"/>
          <w:szCs w:val="20"/>
          <w:lang w:val="ms-MY" w:eastAsia="ms-MY"/>
        </w:rPr>
        <w:t xml:space="preserve">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Shiban, M. S., Al-Otaibi, M. M. and Al-Zoreky, N. S. (2012). Antioxidant activity of pomegranate (</w:t>
      </w:r>
      <w:r w:rsidRPr="00ED5AB7">
        <w:rPr>
          <w:rFonts w:ascii="Times New Roman" w:hAnsi="Times New Roman"/>
          <w:i/>
          <w:iCs/>
          <w:color w:val="000000"/>
          <w:sz w:val="20"/>
          <w:szCs w:val="20"/>
        </w:rPr>
        <w:t>Punica granatum</w:t>
      </w:r>
      <w:r w:rsidRPr="00ED5AB7">
        <w:rPr>
          <w:rFonts w:ascii="Times New Roman" w:hAnsi="Times New Roman"/>
          <w:color w:val="000000"/>
          <w:sz w:val="20"/>
          <w:szCs w:val="20"/>
        </w:rPr>
        <w:t xml:space="preserve"> L.) fruit peels. </w:t>
      </w:r>
      <w:r w:rsidRPr="00ED5AB7">
        <w:rPr>
          <w:rFonts w:ascii="Times New Roman" w:hAnsi="Times New Roman"/>
          <w:i/>
          <w:iCs/>
          <w:color w:val="000000"/>
          <w:sz w:val="20"/>
          <w:szCs w:val="20"/>
        </w:rPr>
        <w:t>Food and Nutrition Sciences</w:t>
      </w:r>
      <w:r w:rsidRPr="00ED5AB7">
        <w:rPr>
          <w:rFonts w:ascii="Times New Roman" w:hAnsi="Times New Roman"/>
          <w:color w:val="000000"/>
          <w:sz w:val="20"/>
          <w:szCs w:val="20"/>
        </w:rPr>
        <w:t>, 3(7): 991-996.</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Rice-Evans, C. A., Miller, N. J., Bolwell, P. G., Bramley, P. M. and Pridham, J. B. (1995). The relative anti-oxidant activities of plant derived polyphenolic flavonoids. </w:t>
      </w:r>
      <w:r w:rsidRPr="00ED5AB7">
        <w:rPr>
          <w:rFonts w:ascii="Times New Roman" w:hAnsi="Times New Roman"/>
          <w:i/>
          <w:iCs/>
          <w:color w:val="000000"/>
          <w:sz w:val="20"/>
          <w:szCs w:val="20"/>
        </w:rPr>
        <w:t>Free Radical Research,</w:t>
      </w:r>
      <w:r w:rsidRPr="00ED5AB7">
        <w:rPr>
          <w:rFonts w:ascii="Times New Roman" w:hAnsi="Times New Roman"/>
          <w:color w:val="000000"/>
          <w:sz w:val="20"/>
          <w:szCs w:val="20"/>
        </w:rPr>
        <w:t xml:space="preserve"> 22(4): 375-383.</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Wong, S. P., Leong, L. P. and Koh, J. H. W. (2006). Antioxidant activities of aqueous extracts of selected plants.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99(4): 775-783.</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Dimitrios, B. (2006). Sources of natural phenolic antioxidants. </w:t>
      </w:r>
      <w:r w:rsidRPr="00ED5AB7">
        <w:rPr>
          <w:rFonts w:ascii="Times New Roman" w:hAnsi="Times New Roman"/>
          <w:i/>
          <w:iCs/>
          <w:color w:val="000000"/>
          <w:sz w:val="20"/>
          <w:szCs w:val="20"/>
        </w:rPr>
        <w:t xml:space="preserve">Trends in Food Science &amp; Technology, </w:t>
      </w:r>
      <w:r w:rsidRPr="00ED5AB7">
        <w:rPr>
          <w:rFonts w:ascii="Times New Roman" w:hAnsi="Times New Roman"/>
          <w:color w:val="000000"/>
          <w:sz w:val="20"/>
          <w:szCs w:val="20"/>
        </w:rPr>
        <w:t>17: 505-512.</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Nor Asna, A. and Noriham, A. (2014). Antioxidant activity and bioactive components of oxalidaceae fruit extracts. </w:t>
      </w:r>
      <w:r w:rsidRPr="00ED5AB7">
        <w:rPr>
          <w:rFonts w:ascii="Times New Roman" w:hAnsi="Times New Roman"/>
          <w:i/>
          <w:iCs/>
          <w:color w:val="000000"/>
          <w:sz w:val="20"/>
          <w:szCs w:val="20"/>
        </w:rPr>
        <w:t>The Malaysian Journal of Analytical Sciences</w:t>
      </w:r>
      <w:r w:rsidRPr="00ED5AB7">
        <w:rPr>
          <w:rFonts w:ascii="Times New Roman" w:hAnsi="Times New Roman"/>
          <w:color w:val="000000"/>
          <w:sz w:val="20"/>
          <w:szCs w:val="20"/>
        </w:rPr>
        <w:t>, 18(1): 116-512.</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Abas, F., Lajis, N. H., Israf, D. A., Khozirah, S. and Umi Kalsom Y. (2006) Antioxidant and nitric oxide inhibition activities of selected Malay traditional vegetables.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95(4): 566-573.</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Rahman, M. M., Habib, M. R., Hasan, M. A., Al-Amin, M., Saha, A. and Mannan, A. (2014). Comparative assessment on </w:t>
      </w:r>
      <w:r w:rsidRPr="00ED5AB7">
        <w:rPr>
          <w:rFonts w:ascii="Times New Roman" w:hAnsi="Times New Roman"/>
          <w:i/>
          <w:iCs/>
          <w:color w:val="000000"/>
          <w:sz w:val="20"/>
          <w:szCs w:val="20"/>
        </w:rPr>
        <w:t>in vitro</w:t>
      </w:r>
      <w:r w:rsidRPr="00ED5AB7">
        <w:rPr>
          <w:rFonts w:ascii="Times New Roman" w:hAnsi="Times New Roman"/>
          <w:color w:val="000000"/>
          <w:sz w:val="20"/>
          <w:szCs w:val="20"/>
        </w:rPr>
        <w:t xml:space="preserve"> antioxidant activities of ethanol extracts of </w:t>
      </w:r>
      <w:r w:rsidRPr="00ED5AB7">
        <w:rPr>
          <w:rFonts w:ascii="Times New Roman" w:hAnsi="Times New Roman"/>
          <w:i/>
          <w:iCs/>
          <w:color w:val="000000"/>
          <w:sz w:val="20"/>
          <w:szCs w:val="20"/>
        </w:rPr>
        <w:t>Averrhoa bilimbi</w:t>
      </w:r>
      <w:r w:rsidRPr="00ED5AB7">
        <w:rPr>
          <w:rFonts w:ascii="Times New Roman" w:hAnsi="Times New Roman"/>
          <w:color w:val="000000"/>
          <w:sz w:val="20"/>
          <w:szCs w:val="20"/>
        </w:rPr>
        <w:t xml:space="preserve">, </w:t>
      </w:r>
      <w:r w:rsidRPr="00ED5AB7">
        <w:rPr>
          <w:rFonts w:ascii="Times New Roman" w:hAnsi="Times New Roman"/>
          <w:i/>
          <w:iCs/>
          <w:color w:val="000000"/>
          <w:sz w:val="20"/>
          <w:szCs w:val="20"/>
        </w:rPr>
        <w:t>Gymnema sylvestre</w:t>
      </w:r>
      <w:r w:rsidRPr="00ED5AB7">
        <w:rPr>
          <w:rFonts w:ascii="Times New Roman" w:hAnsi="Times New Roman"/>
          <w:color w:val="000000"/>
          <w:sz w:val="20"/>
          <w:szCs w:val="20"/>
        </w:rPr>
        <w:t xml:space="preserve"> and </w:t>
      </w:r>
      <w:r w:rsidRPr="00ED5AB7">
        <w:rPr>
          <w:rFonts w:ascii="Times New Roman" w:hAnsi="Times New Roman"/>
          <w:i/>
          <w:iCs/>
          <w:color w:val="000000"/>
          <w:sz w:val="20"/>
          <w:szCs w:val="20"/>
        </w:rPr>
        <w:t>Capsicum frutescens. Pharmacognosy Research,</w:t>
      </w:r>
      <w:r w:rsidRPr="00ED5AB7">
        <w:rPr>
          <w:rFonts w:ascii="Times New Roman" w:hAnsi="Times New Roman"/>
          <w:color w:val="000000"/>
          <w:sz w:val="20"/>
          <w:szCs w:val="20"/>
        </w:rPr>
        <w:t xml:space="preserve"> 6(1): 36-41.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Zainol, M. K., Abd-Hamid, A., Yusof, S. and Muse, R. (2003). Antioxidative activity and total phenolic compounds of leaf, root and petiole of four accessions of </w:t>
      </w:r>
      <w:r w:rsidRPr="00ED5AB7">
        <w:rPr>
          <w:rFonts w:ascii="Times New Roman" w:hAnsi="Times New Roman"/>
          <w:i/>
          <w:iCs/>
          <w:color w:val="000000"/>
          <w:sz w:val="20"/>
          <w:szCs w:val="20"/>
        </w:rPr>
        <w:t>Centella asiatica</w:t>
      </w:r>
      <w:r w:rsidRPr="00ED5AB7">
        <w:rPr>
          <w:rFonts w:ascii="Times New Roman" w:hAnsi="Times New Roman"/>
          <w:color w:val="000000"/>
          <w:sz w:val="20"/>
          <w:szCs w:val="20"/>
        </w:rPr>
        <w:t xml:space="preserve"> (L.) Urban. </w:t>
      </w:r>
      <w:r w:rsidRPr="00ED5AB7">
        <w:rPr>
          <w:rFonts w:ascii="Times New Roman" w:hAnsi="Times New Roman"/>
          <w:i/>
          <w:iCs/>
          <w:color w:val="000000"/>
          <w:sz w:val="20"/>
          <w:szCs w:val="20"/>
        </w:rPr>
        <w:t xml:space="preserve">Food Chemistry, </w:t>
      </w:r>
      <w:r w:rsidRPr="00ED5AB7">
        <w:rPr>
          <w:rFonts w:ascii="Times New Roman" w:hAnsi="Times New Roman"/>
          <w:color w:val="000000"/>
          <w:sz w:val="20"/>
          <w:szCs w:val="20"/>
        </w:rPr>
        <w:t>81(4): 575-581.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Mohd Zin, Z., Abdul-Hamid, A. and Osman, A. (2002). Antioxidative activity of extracts from mengkudu (</w:t>
      </w:r>
      <w:r w:rsidRPr="00ED5AB7">
        <w:rPr>
          <w:rFonts w:ascii="Times New Roman" w:hAnsi="Times New Roman"/>
          <w:i/>
          <w:iCs/>
          <w:color w:val="000000"/>
          <w:sz w:val="20"/>
          <w:szCs w:val="20"/>
        </w:rPr>
        <w:t>Morinda citrifolia</w:t>
      </w:r>
      <w:r w:rsidRPr="00ED5AB7">
        <w:rPr>
          <w:rFonts w:ascii="Times New Roman" w:hAnsi="Times New Roman"/>
          <w:color w:val="000000"/>
          <w:sz w:val="20"/>
          <w:szCs w:val="20"/>
        </w:rPr>
        <w:t xml:space="preserve"> L.) root, fruit and leaf. </w:t>
      </w:r>
      <w:r w:rsidRPr="00ED5AB7">
        <w:rPr>
          <w:rFonts w:ascii="Times New Roman" w:hAnsi="Times New Roman"/>
          <w:i/>
          <w:iCs/>
          <w:color w:val="000000"/>
          <w:sz w:val="20"/>
          <w:szCs w:val="20"/>
        </w:rPr>
        <w:t xml:space="preserve">Food Chemistry, </w:t>
      </w:r>
      <w:r w:rsidRPr="00ED5AB7">
        <w:rPr>
          <w:rFonts w:ascii="Times New Roman" w:hAnsi="Times New Roman"/>
          <w:color w:val="000000"/>
          <w:sz w:val="20"/>
          <w:szCs w:val="20"/>
        </w:rPr>
        <w:t>78(2): 227-231.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Othman, A., Mukhtar, N. J., Ismail, N. S. and Chang, S. K. (2014). Phenolics, flavonoids content and antioxidant activities of 4 Malaysian herbal plants. </w:t>
      </w:r>
      <w:r w:rsidRPr="00ED5AB7">
        <w:rPr>
          <w:rFonts w:ascii="Times New Roman" w:hAnsi="Times New Roman"/>
          <w:i/>
          <w:iCs/>
          <w:color w:val="000000"/>
          <w:sz w:val="20"/>
          <w:szCs w:val="20"/>
        </w:rPr>
        <w:t xml:space="preserve">International Food Research Journal, </w:t>
      </w:r>
      <w:r w:rsidRPr="00ED5AB7">
        <w:rPr>
          <w:rFonts w:ascii="Times New Roman" w:hAnsi="Times New Roman"/>
          <w:color w:val="000000"/>
          <w:sz w:val="20"/>
          <w:szCs w:val="20"/>
        </w:rPr>
        <w:t xml:space="preserve">21(2): 759-766. </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lastRenderedPageBreak/>
        <w:t>Apak, R., Güçlü, K., Demirata, B., Özyürek, M., Çelik, S. E., Bektaşoğlu, B., Berker, K. I. and Özyurt,  D. (2007). Comparative evaluation of various total antioxidant capacity assays applied to phenolic compounds with the CUPRAC assay.</w:t>
      </w:r>
      <w:r w:rsidRPr="00ED5AB7">
        <w:rPr>
          <w:rFonts w:ascii="Times New Roman" w:hAnsi="Times New Roman"/>
          <w:color w:val="000000"/>
          <w:sz w:val="20"/>
          <w:szCs w:val="20"/>
          <w:lang w:val="ms-MY"/>
        </w:rPr>
        <w:t xml:space="preserve"> </w:t>
      </w:r>
      <w:r w:rsidRPr="00ED5AB7">
        <w:rPr>
          <w:rFonts w:ascii="Times New Roman" w:hAnsi="Times New Roman"/>
          <w:i/>
          <w:iCs/>
          <w:color w:val="000000"/>
          <w:sz w:val="20"/>
          <w:szCs w:val="20"/>
        </w:rPr>
        <w:t xml:space="preserve">Molecules, </w:t>
      </w:r>
      <w:r w:rsidRPr="00ED5AB7">
        <w:rPr>
          <w:rFonts w:ascii="Times New Roman" w:hAnsi="Times New Roman"/>
          <w:color w:val="000000"/>
          <w:sz w:val="20"/>
          <w:szCs w:val="20"/>
        </w:rPr>
        <w:t>12(7): 1496-1547.</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Singleton, V. L. and Rossi, J. A. (1965). Colorimetry of total phenolics with phosphomolybdic phosphotungstic acid. </w:t>
      </w:r>
      <w:r w:rsidRPr="00ED5AB7">
        <w:rPr>
          <w:rFonts w:ascii="Times New Roman" w:hAnsi="Times New Roman"/>
          <w:i/>
          <w:iCs/>
          <w:color w:val="000000"/>
          <w:sz w:val="20"/>
          <w:szCs w:val="20"/>
        </w:rPr>
        <w:t>American Journal of Enology and Viticulture,</w:t>
      </w:r>
      <w:r w:rsidRPr="00ED5AB7">
        <w:rPr>
          <w:rFonts w:ascii="Times New Roman" w:hAnsi="Times New Roman"/>
          <w:color w:val="000000"/>
          <w:sz w:val="20"/>
          <w:szCs w:val="20"/>
        </w:rPr>
        <w:t xml:space="preserve"> 16(3): 155-158.</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Hoff, J. F. and Singleton, K. I. (1977). A method for determination of tannin in foods by means of immobilized enzymes. </w:t>
      </w:r>
      <w:r w:rsidRPr="00ED5AB7">
        <w:rPr>
          <w:rFonts w:ascii="Times New Roman" w:hAnsi="Times New Roman"/>
          <w:i/>
          <w:iCs/>
          <w:color w:val="000000"/>
          <w:sz w:val="20"/>
          <w:szCs w:val="20"/>
        </w:rPr>
        <w:t>Journal of Food Science,</w:t>
      </w:r>
      <w:r w:rsidRPr="00ED5AB7">
        <w:rPr>
          <w:rFonts w:ascii="Times New Roman" w:hAnsi="Times New Roman"/>
          <w:color w:val="000000"/>
          <w:sz w:val="20"/>
          <w:szCs w:val="20"/>
        </w:rPr>
        <w:t xml:space="preserve"> 42(6): 1566-1569.</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Gupta, C. and Verma, H. (2011). Visual estimation and spectrophotometric determination of tannin content and antioxidant activity of three common vegetables. </w:t>
      </w:r>
      <w:r w:rsidRPr="00ED5AB7">
        <w:rPr>
          <w:rFonts w:ascii="Times New Roman" w:hAnsi="Times New Roman"/>
          <w:i/>
          <w:iCs/>
          <w:color w:val="000000"/>
          <w:sz w:val="20"/>
          <w:szCs w:val="20"/>
        </w:rPr>
        <w:t xml:space="preserve">International Journal of Pharmaceutical Sciences and Research, </w:t>
      </w:r>
      <w:r w:rsidRPr="00ED5AB7">
        <w:rPr>
          <w:rFonts w:ascii="Times New Roman" w:hAnsi="Times New Roman"/>
          <w:color w:val="000000"/>
          <w:sz w:val="20"/>
          <w:szCs w:val="20"/>
        </w:rPr>
        <w:t>2(1): 189-196.</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Osawa, T. and Namiki, M. (1981). A novel type of antioxidant isolated from leaf wax of </w:t>
      </w:r>
      <w:r w:rsidRPr="00ED5AB7">
        <w:rPr>
          <w:rFonts w:ascii="Times New Roman" w:hAnsi="Times New Roman"/>
          <w:i/>
          <w:iCs/>
          <w:color w:val="000000"/>
          <w:sz w:val="20"/>
          <w:szCs w:val="20"/>
        </w:rPr>
        <w:t>Eucalyptus</w:t>
      </w:r>
      <w:r w:rsidRPr="00ED5AB7">
        <w:rPr>
          <w:rFonts w:ascii="Times New Roman" w:hAnsi="Times New Roman"/>
          <w:color w:val="000000"/>
          <w:sz w:val="20"/>
          <w:szCs w:val="20"/>
        </w:rPr>
        <w:t xml:space="preserve"> leaves. </w:t>
      </w:r>
      <w:r w:rsidRPr="00ED5AB7">
        <w:rPr>
          <w:rFonts w:ascii="Times New Roman" w:hAnsi="Times New Roman"/>
          <w:i/>
          <w:iCs/>
          <w:color w:val="000000"/>
          <w:sz w:val="20"/>
          <w:szCs w:val="20"/>
        </w:rPr>
        <w:t>Agricultural and Biological Chemistry,</w:t>
      </w:r>
      <w:r w:rsidRPr="00ED5AB7">
        <w:rPr>
          <w:rFonts w:ascii="Times New Roman" w:hAnsi="Times New Roman"/>
          <w:color w:val="000000"/>
          <w:sz w:val="20"/>
          <w:szCs w:val="20"/>
        </w:rPr>
        <w:t xml:space="preserve"> 45(3): 735-739.</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Azlim Almey, A. A., Ahmed Jalal Khan, C., Syed Zahir, I., Mustapha Suleiman, K., Aisyah, M. R. and Kamarul Rahim, K. (2010). Total phenolic content and primary antioxidant activity of methanolic and ethanolic extracts of aromatic plant’s leaves. </w:t>
      </w:r>
      <w:r w:rsidRPr="00ED5AB7">
        <w:rPr>
          <w:rFonts w:ascii="Times New Roman" w:hAnsi="Times New Roman"/>
          <w:i/>
          <w:iCs/>
          <w:color w:val="000000"/>
          <w:sz w:val="20"/>
          <w:szCs w:val="20"/>
        </w:rPr>
        <w:t xml:space="preserve">International Food Research Journal, </w:t>
      </w:r>
      <w:r w:rsidRPr="00ED5AB7">
        <w:rPr>
          <w:rFonts w:ascii="Times New Roman" w:hAnsi="Times New Roman"/>
          <w:color w:val="000000"/>
          <w:sz w:val="20"/>
          <w:szCs w:val="20"/>
        </w:rPr>
        <w:t>17: 1077-1084.</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Moure, A., Cruz, J. M., Franco, D., Dominguez, J. M., Sineiro, J. and Dominguez, H. (2001). Natural antioxidants from residual sources. </w:t>
      </w:r>
      <w:r w:rsidRPr="00ED5AB7">
        <w:rPr>
          <w:rFonts w:ascii="Times New Roman" w:hAnsi="Times New Roman"/>
          <w:i/>
          <w:iCs/>
          <w:color w:val="000000"/>
          <w:sz w:val="20"/>
          <w:szCs w:val="20"/>
        </w:rPr>
        <w:t>Food Chemistry,</w:t>
      </w:r>
      <w:r w:rsidRPr="00ED5AB7">
        <w:rPr>
          <w:rFonts w:ascii="Times New Roman" w:hAnsi="Times New Roman"/>
          <w:color w:val="000000"/>
          <w:sz w:val="20"/>
          <w:szCs w:val="20"/>
        </w:rPr>
        <w:t xml:space="preserve"> 72: 45-171.</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Singh, P.P. and Saldaña, M. D. A. (2011). Subcritical water extraction of phenolic compounds from potato peel. </w:t>
      </w:r>
      <w:r w:rsidRPr="00ED5AB7">
        <w:rPr>
          <w:rFonts w:ascii="Times New Roman" w:hAnsi="Times New Roman"/>
          <w:i/>
          <w:iCs/>
          <w:color w:val="000000"/>
          <w:sz w:val="20"/>
          <w:szCs w:val="20"/>
        </w:rPr>
        <w:t xml:space="preserve">Food Research International, </w:t>
      </w:r>
      <w:r w:rsidRPr="00ED5AB7">
        <w:rPr>
          <w:rFonts w:ascii="Times New Roman" w:hAnsi="Times New Roman"/>
          <w:color w:val="000000"/>
          <w:sz w:val="20"/>
          <w:szCs w:val="20"/>
        </w:rPr>
        <w:t>44(8): 2452-2458.</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Bimakr, M, Abdul Rahman R, Saleena Taip F, Ganjloo A, Salleh L. M, Selamat J, Hamid A., Zaidul I. S. M. (2011). Comparison of different extraction methods for the extraction of major bioactive flavonoid compounds from spearmint (</w:t>
      </w:r>
      <w:r w:rsidRPr="00ED5AB7">
        <w:rPr>
          <w:rFonts w:ascii="Times New Roman" w:hAnsi="Times New Roman"/>
          <w:i/>
          <w:iCs/>
          <w:color w:val="000000"/>
          <w:sz w:val="20"/>
          <w:szCs w:val="20"/>
        </w:rPr>
        <w:t>Mentha spicata</w:t>
      </w:r>
      <w:r w:rsidRPr="00ED5AB7">
        <w:rPr>
          <w:rFonts w:ascii="Times New Roman" w:hAnsi="Times New Roman"/>
          <w:color w:val="000000"/>
          <w:sz w:val="20"/>
          <w:szCs w:val="20"/>
        </w:rPr>
        <w:t xml:space="preserve"> L.) leaves. </w:t>
      </w:r>
      <w:r w:rsidRPr="00ED5AB7">
        <w:rPr>
          <w:rFonts w:ascii="Times New Roman" w:hAnsi="Times New Roman"/>
          <w:i/>
          <w:iCs/>
          <w:color w:val="000000"/>
          <w:sz w:val="20"/>
          <w:szCs w:val="20"/>
        </w:rPr>
        <w:t>Food and Bioproducts Processing,</w:t>
      </w:r>
      <w:r w:rsidRPr="00ED5AB7">
        <w:rPr>
          <w:rFonts w:ascii="Times New Roman" w:hAnsi="Times New Roman"/>
          <w:color w:val="000000"/>
          <w:sz w:val="20"/>
          <w:szCs w:val="20"/>
        </w:rPr>
        <w:t xml:space="preserve"> 2011; 89(1): 67-72.</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González, M., Guzmán, B., Rudyk, R., Romano, E. and Molina, A. A. (2003).Spectrophotometric determination of phenolic compounds in propolis. </w:t>
      </w:r>
      <w:r w:rsidRPr="00ED5AB7">
        <w:rPr>
          <w:rFonts w:ascii="Times New Roman" w:hAnsi="Times New Roman"/>
          <w:i/>
          <w:iCs/>
          <w:color w:val="000000"/>
          <w:sz w:val="20"/>
          <w:szCs w:val="20"/>
        </w:rPr>
        <w:t>Latin American Journal of Pharmacy,</w:t>
      </w:r>
      <w:r w:rsidRPr="00ED5AB7">
        <w:rPr>
          <w:rFonts w:ascii="Times New Roman" w:hAnsi="Times New Roman"/>
          <w:color w:val="000000"/>
          <w:sz w:val="20"/>
          <w:szCs w:val="20"/>
        </w:rPr>
        <w:t xml:space="preserve"> 22(3): 243-248.</w:t>
      </w:r>
    </w:p>
    <w:p w:rsidR="00ED5AB7" w:rsidRDefault="00ED5AB7" w:rsidP="00ED5AB7">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Stratil, P., Kuban, V. and Fojtova, J. (2008). Comparison of the phenolic content and total antioxidant activity in wines as determined by spectrophotometer methods. </w:t>
      </w:r>
      <w:r w:rsidRPr="00ED5AB7">
        <w:rPr>
          <w:rFonts w:ascii="Times New Roman" w:hAnsi="Times New Roman"/>
          <w:i/>
          <w:iCs/>
          <w:color w:val="000000"/>
          <w:sz w:val="20"/>
          <w:szCs w:val="20"/>
        </w:rPr>
        <w:t>Czech Journal of Food Sciences,</w:t>
      </w:r>
      <w:r w:rsidRPr="00ED5AB7">
        <w:rPr>
          <w:rFonts w:ascii="Times New Roman" w:hAnsi="Times New Roman"/>
          <w:color w:val="000000"/>
          <w:sz w:val="20"/>
          <w:szCs w:val="20"/>
        </w:rPr>
        <w:t xml:space="preserve"> 26(4): 242-253.</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ED5AB7">
        <w:rPr>
          <w:rFonts w:ascii="Times New Roman" w:hAnsi="Times New Roman"/>
          <w:color w:val="000000"/>
          <w:sz w:val="20"/>
          <w:szCs w:val="20"/>
        </w:rPr>
        <w:t xml:space="preserve">Conforti, F., Statti, G., Uzunov, D. and Menichini, F. (2006). Comparative chemical composition and antioxidant activities of wild and cultivated </w:t>
      </w:r>
      <w:r w:rsidRPr="00ED5AB7">
        <w:rPr>
          <w:rFonts w:ascii="Times New Roman" w:hAnsi="Times New Roman"/>
          <w:i/>
          <w:iCs/>
          <w:color w:val="000000"/>
          <w:sz w:val="20"/>
          <w:szCs w:val="20"/>
        </w:rPr>
        <w:t>Laurus nobilis</w:t>
      </w:r>
      <w:r w:rsidRPr="00ED5AB7">
        <w:rPr>
          <w:rFonts w:ascii="Times New Roman" w:hAnsi="Times New Roman"/>
          <w:color w:val="000000"/>
          <w:sz w:val="20"/>
          <w:szCs w:val="20"/>
        </w:rPr>
        <w:t xml:space="preserve"> L. leaves and </w:t>
      </w:r>
      <w:r w:rsidRPr="00ED5AB7">
        <w:rPr>
          <w:rFonts w:ascii="Times New Roman" w:hAnsi="Times New Roman"/>
          <w:i/>
          <w:iCs/>
          <w:color w:val="000000"/>
          <w:sz w:val="20"/>
          <w:szCs w:val="20"/>
        </w:rPr>
        <w:t xml:space="preserve">Foeniculum vulgare </w:t>
      </w:r>
      <w:r w:rsidRPr="00ED5AB7">
        <w:rPr>
          <w:rFonts w:ascii="Times New Roman" w:hAnsi="Times New Roman"/>
          <w:color w:val="000000"/>
          <w:sz w:val="20"/>
          <w:szCs w:val="20"/>
        </w:rPr>
        <w:t xml:space="preserve">subsp. </w:t>
      </w:r>
      <w:r w:rsidRPr="00ED5AB7">
        <w:rPr>
          <w:rFonts w:ascii="Times New Roman" w:hAnsi="Times New Roman"/>
          <w:i/>
          <w:iCs/>
          <w:color w:val="000000"/>
          <w:sz w:val="20"/>
          <w:szCs w:val="20"/>
        </w:rPr>
        <w:t xml:space="preserve">piperitum </w:t>
      </w:r>
      <w:r w:rsidRPr="00ED5AB7">
        <w:rPr>
          <w:rFonts w:ascii="Times New Roman" w:hAnsi="Times New Roman"/>
          <w:color w:val="000000"/>
          <w:sz w:val="20"/>
          <w:szCs w:val="20"/>
        </w:rPr>
        <w:t xml:space="preserve">(Ucria) coutinho seeds. </w:t>
      </w:r>
      <w:r w:rsidRPr="00ED5AB7">
        <w:rPr>
          <w:rFonts w:ascii="Times New Roman" w:hAnsi="Times New Roman"/>
          <w:i/>
          <w:iCs/>
          <w:color w:val="000000"/>
          <w:sz w:val="20"/>
          <w:szCs w:val="20"/>
        </w:rPr>
        <w:t>Biological &amp; Pharmaceutical Bulletin,</w:t>
      </w:r>
      <w:r w:rsidRPr="00ED5AB7">
        <w:rPr>
          <w:rFonts w:ascii="Times New Roman" w:hAnsi="Times New Roman"/>
          <w:color w:val="000000"/>
          <w:sz w:val="20"/>
          <w:szCs w:val="20"/>
        </w:rPr>
        <w:t xml:space="preserve"> 29(10): 2056-2064.</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Naczk, M. and Shahidi, F. (2004). Extraction and analysis of phenolics in food.</w:t>
      </w:r>
      <w:r w:rsidRPr="00C6037A">
        <w:rPr>
          <w:rFonts w:ascii="Times New Roman" w:hAnsi="Times New Roman"/>
          <w:color w:val="000000"/>
          <w:sz w:val="20"/>
          <w:szCs w:val="20"/>
          <w:lang w:val="ms-MY"/>
        </w:rPr>
        <w:t xml:space="preserve"> </w:t>
      </w:r>
      <w:r w:rsidRPr="00C6037A">
        <w:rPr>
          <w:rFonts w:ascii="Times New Roman" w:hAnsi="Times New Roman"/>
          <w:i/>
          <w:iCs/>
          <w:color w:val="000000"/>
          <w:sz w:val="20"/>
          <w:szCs w:val="20"/>
          <w:lang w:val="ms-MY"/>
        </w:rPr>
        <w:t>Journal of Chromatography  A,</w:t>
      </w:r>
      <w:r w:rsidRPr="00C6037A">
        <w:rPr>
          <w:rFonts w:ascii="Times New Roman" w:hAnsi="Times New Roman"/>
          <w:color w:val="000000"/>
          <w:sz w:val="20"/>
          <w:szCs w:val="20"/>
          <w:lang w:val="ms-MY"/>
        </w:rPr>
        <w:t xml:space="preserve"> </w:t>
      </w:r>
      <w:r w:rsidRPr="00C6037A">
        <w:rPr>
          <w:rFonts w:ascii="Times New Roman" w:hAnsi="Times New Roman"/>
          <w:color w:val="000000"/>
          <w:sz w:val="20"/>
          <w:szCs w:val="20"/>
        </w:rPr>
        <w:t>1054(1-2): 95-111.</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Saeed, N., Khan, M. R. and Shabbir, M. (2012). Antioxidant activity, total phenolic and total flavonoid contents of whole plant extracts </w:t>
      </w:r>
      <w:r w:rsidRPr="00C6037A">
        <w:rPr>
          <w:rFonts w:ascii="Times New Roman" w:hAnsi="Times New Roman"/>
          <w:i/>
          <w:iCs/>
          <w:color w:val="000000"/>
          <w:sz w:val="20"/>
          <w:szCs w:val="20"/>
        </w:rPr>
        <w:t>Torilis leptophylla</w:t>
      </w:r>
      <w:r w:rsidRPr="00C6037A">
        <w:rPr>
          <w:rFonts w:ascii="Times New Roman" w:hAnsi="Times New Roman"/>
          <w:color w:val="000000"/>
          <w:sz w:val="20"/>
          <w:szCs w:val="20"/>
        </w:rPr>
        <w:t xml:space="preserve"> L. </w:t>
      </w:r>
      <w:r w:rsidRPr="00C6037A">
        <w:rPr>
          <w:rFonts w:ascii="Times New Roman" w:hAnsi="Times New Roman"/>
          <w:i/>
          <w:iCs/>
          <w:sz w:val="20"/>
          <w:szCs w:val="20"/>
          <w:lang w:val="en-GB"/>
        </w:rPr>
        <w:t>BMC Complementary and Alternative Medicine,</w:t>
      </w:r>
      <w:r w:rsidRPr="00C6037A">
        <w:rPr>
          <w:rFonts w:ascii="Times New Roman" w:hAnsi="Times New Roman"/>
          <w:color w:val="000000"/>
          <w:sz w:val="20"/>
          <w:szCs w:val="20"/>
        </w:rPr>
        <w:t xml:space="preserve"> 2012; 12:221.</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Ikram, E. H. K., Kho, H. E., Jalil, A. M. M., Ismail, A., Isris, S., Azlan, A., Nazri, H. S. M., Dito, N. A. M. and Mokhtar, R. A. M. (2009). Antioxidant activity and total phenolic content of Malaysian underutilized fruits. </w:t>
      </w:r>
      <w:r w:rsidRPr="00C6037A">
        <w:rPr>
          <w:rFonts w:ascii="Times New Roman" w:hAnsi="Times New Roman"/>
          <w:i/>
          <w:iCs/>
          <w:color w:val="000000"/>
          <w:sz w:val="20"/>
          <w:szCs w:val="20"/>
        </w:rPr>
        <w:t>Journal of Food Composition and Analysis,</w:t>
      </w:r>
      <w:r w:rsidRPr="00C6037A">
        <w:rPr>
          <w:rFonts w:ascii="Times New Roman" w:hAnsi="Times New Roman"/>
          <w:color w:val="000000"/>
          <w:sz w:val="20"/>
          <w:szCs w:val="20"/>
        </w:rPr>
        <w:t xml:space="preserve"> </w:t>
      </w:r>
      <w:r w:rsidRPr="00C6037A">
        <w:rPr>
          <w:rFonts w:ascii="Times New Roman" w:hAnsi="Times New Roman"/>
          <w:b/>
          <w:bCs/>
          <w:color w:val="000000"/>
          <w:sz w:val="20"/>
          <w:szCs w:val="20"/>
        </w:rPr>
        <w:t>22(5)</w:t>
      </w:r>
      <w:r w:rsidRPr="00C6037A">
        <w:rPr>
          <w:rFonts w:ascii="Times New Roman" w:hAnsi="Times New Roman"/>
          <w:color w:val="000000"/>
          <w:sz w:val="20"/>
          <w:szCs w:val="20"/>
        </w:rPr>
        <w:t>: 388-393.</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Hosein, H. K. M. and Zinab, D. (2007). Phenolic compounds and antioxidant activity of Henna leaves extracts (</w:t>
      </w:r>
      <w:r w:rsidRPr="00C6037A">
        <w:rPr>
          <w:rFonts w:ascii="Times New Roman" w:hAnsi="Times New Roman"/>
          <w:i/>
          <w:iCs/>
          <w:color w:val="000000"/>
          <w:sz w:val="20"/>
          <w:szCs w:val="20"/>
        </w:rPr>
        <w:t>Lawsonia inermis</w:t>
      </w:r>
      <w:r w:rsidRPr="00C6037A">
        <w:rPr>
          <w:rFonts w:ascii="Times New Roman" w:hAnsi="Times New Roman"/>
          <w:color w:val="000000"/>
          <w:sz w:val="20"/>
          <w:szCs w:val="20"/>
        </w:rPr>
        <w:t>)</w:t>
      </w:r>
      <w:r w:rsidRPr="00C6037A">
        <w:rPr>
          <w:rFonts w:ascii="Times New Roman" w:hAnsi="Times New Roman"/>
          <w:sz w:val="20"/>
          <w:szCs w:val="20"/>
          <w:lang w:val="ms-MY"/>
        </w:rPr>
        <w:t xml:space="preserve">. </w:t>
      </w:r>
      <w:r w:rsidRPr="00C6037A">
        <w:rPr>
          <w:rFonts w:ascii="Times New Roman" w:hAnsi="Times New Roman"/>
          <w:i/>
          <w:iCs/>
          <w:color w:val="000000"/>
          <w:sz w:val="20"/>
          <w:szCs w:val="20"/>
        </w:rPr>
        <w:t>World Journal of Dairy &amp; Food Sciences,</w:t>
      </w:r>
      <w:r w:rsidRPr="00C6037A">
        <w:rPr>
          <w:rFonts w:ascii="Times New Roman" w:hAnsi="Times New Roman"/>
          <w:color w:val="000000"/>
          <w:sz w:val="20"/>
          <w:szCs w:val="20"/>
        </w:rPr>
        <w:t xml:space="preserve"> 2(1): 38-41.</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Agbangnan, P. C., Tachon, D. C., Dangou, J., Chrostowska, A., Fouquet, E. and Sohounhloue, D. C. K. (2012). Optimization of the extraction of sorghum’s polyphenols for industrial production by membrane processes. </w:t>
      </w:r>
      <w:r w:rsidRPr="00C6037A">
        <w:rPr>
          <w:rFonts w:ascii="Times New Roman" w:hAnsi="Times New Roman"/>
          <w:i/>
          <w:iCs/>
          <w:color w:val="000000"/>
          <w:sz w:val="20"/>
          <w:szCs w:val="20"/>
        </w:rPr>
        <w:t>Research Journal of Recent Sciences,</w:t>
      </w:r>
      <w:r w:rsidRPr="00C6037A">
        <w:rPr>
          <w:rFonts w:ascii="Times New Roman" w:hAnsi="Times New Roman"/>
          <w:b/>
          <w:bCs/>
          <w:color w:val="000000"/>
          <w:sz w:val="20"/>
          <w:szCs w:val="20"/>
        </w:rPr>
        <w:t xml:space="preserve"> </w:t>
      </w:r>
      <w:r w:rsidRPr="00C6037A">
        <w:rPr>
          <w:rFonts w:ascii="Times New Roman" w:hAnsi="Times New Roman"/>
          <w:color w:val="000000"/>
          <w:sz w:val="20"/>
          <w:szCs w:val="20"/>
        </w:rPr>
        <w:t>1(4): 1-8.</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Khokhar, S. and Magnusdottí, S. G. M. (2002). Total phenol, catechin, and caffeine contents of teas commonly consumed in the United Kingdom. </w:t>
      </w:r>
      <w:r w:rsidRPr="00C6037A">
        <w:rPr>
          <w:rFonts w:ascii="Times New Roman" w:hAnsi="Times New Roman"/>
          <w:i/>
          <w:iCs/>
          <w:color w:val="000000"/>
          <w:sz w:val="20"/>
          <w:szCs w:val="20"/>
        </w:rPr>
        <w:t>Journal of Agricultural and Food Chemistry,</w:t>
      </w:r>
      <w:r w:rsidRPr="00C6037A">
        <w:rPr>
          <w:rFonts w:ascii="Times New Roman" w:hAnsi="Times New Roman"/>
          <w:color w:val="000000"/>
          <w:sz w:val="20"/>
          <w:szCs w:val="20"/>
        </w:rPr>
        <w:t xml:space="preserve"> 50(3): 565-570.</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Garcia-Salas, P., Morales-Soto, A., Segura-Carretero, A. and Fernández-Gutiérrez, A. (2010). Phenolic compound-extraction systems for fruit and vegetable samples.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15(12): 8813-8826.</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Turkmen, N., Velioglu, S., Sari, F. and Polat, G. (2007). Effect of extraction conditions on measured total polyphenol contents and antioxidant and antibacterial activities of black tea. </w:t>
      </w:r>
      <w:r w:rsidRPr="00C6037A">
        <w:rPr>
          <w:rFonts w:ascii="Times New Roman" w:hAnsi="Times New Roman"/>
          <w:i/>
          <w:iCs/>
          <w:color w:val="000000"/>
          <w:sz w:val="20"/>
          <w:szCs w:val="20"/>
        </w:rPr>
        <w:t xml:space="preserve">Molecules, </w:t>
      </w:r>
      <w:r w:rsidRPr="00C6037A">
        <w:rPr>
          <w:rFonts w:ascii="Times New Roman" w:hAnsi="Times New Roman"/>
          <w:color w:val="000000"/>
          <w:sz w:val="20"/>
          <w:szCs w:val="20"/>
        </w:rPr>
        <w:t>12(3)</w:t>
      </w:r>
      <w:r w:rsidR="00C6037A">
        <w:rPr>
          <w:rFonts w:ascii="Times New Roman" w:hAnsi="Times New Roman"/>
          <w:color w:val="000000"/>
          <w:sz w:val="20"/>
          <w:szCs w:val="20"/>
        </w:rPr>
        <w:t>: 484-496.</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Spigno, G., Tramelli, L. and De Faveri, D. M. (2007). Effects of extraction time, temperature and solvent on concentration and antioxidant activity of grape marc phenolics. </w:t>
      </w:r>
      <w:r w:rsidRPr="00C6037A">
        <w:rPr>
          <w:rFonts w:ascii="Times New Roman" w:hAnsi="Times New Roman"/>
          <w:i/>
          <w:iCs/>
          <w:color w:val="000000"/>
          <w:sz w:val="20"/>
          <w:szCs w:val="20"/>
        </w:rPr>
        <w:t>Journal of Food Engineering,</w:t>
      </w:r>
      <w:r w:rsidRPr="00C6037A">
        <w:rPr>
          <w:rFonts w:ascii="Times New Roman" w:hAnsi="Times New Roman"/>
          <w:color w:val="000000"/>
          <w:sz w:val="20"/>
          <w:szCs w:val="20"/>
        </w:rPr>
        <w:t xml:space="preserve"> 81(1): 200-208.</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Normala, H. and Suhaimi, M. I. (2011). Quantification of total phenolics in different parts of </w:t>
      </w:r>
      <w:r w:rsidRPr="00C6037A">
        <w:rPr>
          <w:rFonts w:ascii="Times New Roman" w:hAnsi="Times New Roman"/>
          <w:i/>
          <w:iCs/>
          <w:color w:val="000000"/>
          <w:sz w:val="20"/>
          <w:szCs w:val="20"/>
        </w:rPr>
        <w:t>Pluchea indica</w:t>
      </w:r>
      <w:r w:rsidRPr="00C6037A">
        <w:rPr>
          <w:rFonts w:ascii="Times New Roman" w:hAnsi="Times New Roman"/>
          <w:color w:val="000000"/>
          <w:sz w:val="20"/>
          <w:szCs w:val="20"/>
        </w:rPr>
        <w:t xml:space="preserve"> (less) ethanolic and water extracts. </w:t>
      </w:r>
      <w:r w:rsidRPr="00C6037A">
        <w:rPr>
          <w:rFonts w:ascii="Times New Roman" w:hAnsi="Times New Roman"/>
          <w:i/>
          <w:iCs/>
          <w:color w:val="000000"/>
          <w:sz w:val="20"/>
          <w:szCs w:val="20"/>
        </w:rPr>
        <w:t xml:space="preserve">Pertanika Journal of Science &amp; Technology, </w:t>
      </w:r>
      <w:r w:rsidRPr="00C6037A">
        <w:rPr>
          <w:rFonts w:ascii="Times New Roman" w:hAnsi="Times New Roman"/>
          <w:color w:val="000000"/>
          <w:sz w:val="20"/>
          <w:szCs w:val="20"/>
        </w:rPr>
        <w:t>19(1): 19-24.</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rPr>
        <w:t>Chavan, U. D. and Amarowicz, R.</w:t>
      </w:r>
      <w:r w:rsidRPr="00C6037A">
        <w:rPr>
          <w:rFonts w:ascii="Times New Roman" w:hAnsi="Times New Roman"/>
          <w:sz w:val="20"/>
          <w:szCs w:val="20"/>
          <w:lang w:val="ms-MY"/>
        </w:rPr>
        <w:t xml:space="preserve"> (2013). </w:t>
      </w:r>
      <w:r w:rsidRPr="00C6037A">
        <w:rPr>
          <w:rFonts w:ascii="Times New Roman" w:hAnsi="Times New Roman"/>
          <w:sz w:val="20"/>
          <w:szCs w:val="20"/>
        </w:rPr>
        <w:t>Effect of various solvent systems on extraction of phenolics, tannins and sugars from beach pea (</w:t>
      </w:r>
      <w:r w:rsidRPr="00C6037A">
        <w:rPr>
          <w:rFonts w:ascii="Times New Roman" w:hAnsi="Times New Roman"/>
          <w:i/>
          <w:iCs/>
          <w:sz w:val="20"/>
          <w:szCs w:val="20"/>
        </w:rPr>
        <w:t xml:space="preserve">Lathyrus maritimus </w:t>
      </w:r>
      <w:r w:rsidRPr="00C6037A">
        <w:rPr>
          <w:rFonts w:ascii="Times New Roman" w:hAnsi="Times New Roman"/>
          <w:sz w:val="20"/>
          <w:szCs w:val="20"/>
        </w:rPr>
        <w:t xml:space="preserve">L.) </w:t>
      </w:r>
      <w:r w:rsidRPr="00C6037A">
        <w:rPr>
          <w:rFonts w:ascii="Times New Roman" w:hAnsi="Times New Roman"/>
          <w:i/>
          <w:iCs/>
          <w:sz w:val="20"/>
          <w:szCs w:val="20"/>
        </w:rPr>
        <w:t xml:space="preserve">International Food Research Journal, </w:t>
      </w:r>
      <w:r w:rsidRPr="00C6037A">
        <w:rPr>
          <w:rFonts w:ascii="Times New Roman" w:hAnsi="Times New Roman"/>
          <w:sz w:val="20"/>
          <w:szCs w:val="20"/>
        </w:rPr>
        <w:t xml:space="preserve">20(3): 1139-1144. </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lastRenderedPageBreak/>
        <w:t xml:space="preserve">Dai, J. and Mumper, R. J. (2010). Plant phenolics: extraction, analysis and their antioxidant and anticancer properties.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15(10): 7313-7352.</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Khoddami, A., Wilkes, M. A. and Roberts, T. H. (2013). Techniques for analysis of plant phenolic compounds.</w:t>
      </w:r>
      <w:r w:rsidRPr="00C6037A">
        <w:rPr>
          <w:rFonts w:ascii="Times New Roman" w:hAnsi="Times New Roman"/>
          <w:sz w:val="20"/>
          <w:szCs w:val="20"/>
          <w:lang w:val="ms-MY"/>
        </w:rPr>
        <w:t xml:space="preserve"> </w:t>
      </w:r>
      <w:r w:rsidRPr="00C6037A">
        <w:rPr>
          <w:rFonts w:ascii="Times New Roman" w:hAnsi="Times New Roman"/>
          <w:i/>
          <w:iCs/>
          <w:color w:val="000000"/>
          <w:sz w:val="20"/>
          <w:szCs w:val="20"/>
        </w:rPr>
        <w:t>Molecules,</w:t>
      </w:r>
      <w:r w:rsidRPr="00C6037A">
        <w:rPr>
          <w:rFonts w:ascii="Times New Roman" w:hAnsi="Times New Roman"/>
          <w:color w:val="000000"/>
          <w:sz w:val="20"/>
          <w:szCs w:val="20"/>
        </w:rPr>
        <w:t xml:space="preserve"> 18(2): 2328-2375.</w:t>
      </w:r>
    </w:p>
    <w:p w:rsid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Huda-Faujan, N., Noriham, A., Norrakiah, A. S. and Babji, A. S. (2007). Antioxidative activities of water extracts of some Malaysian herbs. </w:t>
      </w:r>
      <w:r w:rsidRPr="00C6037A">
        <w:rPr>
          <w:rFonts w:ascii="Times New Roman" w:hAnsi="Times New Roman"/>
          <w:i/>
          <w:iCs/>
          <w:color w:val="000000"/>
          <w:sz w:val="20"/>
          <w:szCs w:val="20"/>
        </w:rPr>
        <w:t>ASEAN Food Journal,</w:t>
      </w:r>
      <w:r w:rsidRPr="00C6037A">
        <w:rPr>
          <w:rFonts w:ascii="Times New Roman" w:hAnsi="Times New Roman"/>
          <w:color w:val="000000"/>
          <w:sz w:val="20"/>
          <w:szCs w:val="20"/>
        </w:rPr>
        <w:t xml:space="preserve"> 14(1): 61-68.</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rPr>
        <w:t xml:space="preserve">Chatha, S. A. S., Hussain, A. I., Asad, R., Majeed, M. and Aslam, N. (2014). </w:t>
      </w:r>
      <w:r w:rsidRPr="00C6037A">
        <w:rPr>
          <w:rFonts w:ascii="Times New Roman" w:hAnsi="Times New Roman"/>
          <w:color w:val="000000"/>
          <w:sz w:val="20"/>
          <w:szCs w:val="20"/>
          <w:lang w:val="en-GB"/>
        </w:rPr>
        <w:t xml:space="preserve">Bioactive components and antioxidant properties of </w:t>
      </w:r>
      <w:r w:rsidRPr="00C6037A">
        <w:rPr>
          <w:rFonts w:ascii="Times New Roman" w:hAnsi="Times New Roman"/>
          <w:i/>
          <w:iCs/>
          <w:color w:val="000000"/>
          <w:sz w:val="20"/>
          <w:szCs w:val="20"/>
          <w:lang w:val="en-GB"/>
        </w:rPr>
        <w:t>Terminalia arjuna</w:t>
      </w:r>
      <w:r w:rsidRPr="00C6037A">
        <w:rPr>
          <w:rFonts w:ascii="Times New Roman" w:hAnsi="Times New Roman"/>
          <w:color w:val="000000"/>
          <w:sz w:val="20"/>
          <w:szCs w:val="20"/>
          <w:lang w:val="en-GB"/>
        </w:rPr>
        <w:t xml:space="preserve"> L. extracts.</w:t>
      </w:r>
      <w:r w:rsidRPr="00C6037A">
        <w:rPr>
          <w:rFonts w:ascii="Times New Roman" w:hAnsi="Times New Roman"/>
          <w:color w:val="000000"/>
          <w:sz w:val="20"/>
          <w:szCs w:val="20"/>
          <w:lang w:val="ms-MY"/>
        </w:rPr>
        <w:t xml:space="preserve"> </w:t>
      </w:r>
      <w:r w:rsidRPr="00C6037A">
        <w:rPr>
          <w:rFonts w:ascii="Times New Roman" w:hAnsi="Times New Roman"/>
          <w:i/>
          <w:iCs/>
          <w:color w:val="000000"/>
          <w:sz w:val="20"/>
          <w:szCs w:val="20"/>
          <w:lang w:val="en-GB"/>
        </w:rPr>
        <w:t xml:space="preserve">Journal of Food Processing and Technology, </w:t>
      </w:r>
      <w:r w:rsidRPr="00C6037A">
        <w:rPr>
          <w:rFonts w:ascii="Times New Roman" w:hAnsi="Times New Roman"/>
          <w:color w:val="000000"/>
          <w:sz w:val="20"/>
          <w:szCs w:val="20"/>
          <w:lang w:val="en-GB"/>
        </w:rPr>
        <w:t>5(2): 1-5.</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Prior, R. L., Wu, X. and Schaich, K. (2005). Standardized methods for the determination of antioxidant capacity and phenolics in foods and dietary supplements. </w:t>
      </w:r>
      <w:r w:rsidRPr="00C6037A">
        <w:rPr>
          <w:rFonts w:ascii="Times New Roman" w:hAnsi="Times New Roman"/>
          <w:i/>
          <w:iCs/>
          <w:sz w:val="20"/>
          <w:szCs w:val="20"/>
          <w:lang w:val="en-GB"/>
        </w:rPr>
        <w:t>Journal of Agricultural and Food Chemistry,</w:t>
      </w:r>
      <w:r w:rsidRPr="00C6037A">
        <w:rPr>
          <w:rFonts w:ascii="Times New Roman" w:hAnsi="Times New Roman"/>
          <w:sz w:val="20"/>
          <w:szCs w:val="20"/>
          <w:lang w:val="en-GB"/>
        </w:rPr>
        <w:t xml:space="preserve"> 53(10): 4290-4302.</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Proestos, C., Lytoudi, K., Mavromelanidou, O. K., Zoumpoulakis, P. and Sinanoglou, V. J</w:t>
      </w:r>
      <w:r w:rsidRPr="00C6037A">
        <w:rPr>
          <w:rFonts w:ascii="Times New Roman" w:hAnsi="Times New Roman"/>
          <w:sz w:val="20"/>
          <w:szCs w:val="20"/>
          <w:lang w:val="ms-MY"/>
        </w:rPr>
        <w:t xml:space="preserve">. (2013). </w:t>
      </w:r>
      <w:r w:rsidRPr="00C6037A">
        <w:rPr>
          <w:rFonts w:ascii="Times New Roman" w:hAnsi="Times New Roman"/>
          <w:sz w:val="20"/>
          <w:szCs w:val="20"/>
          <w:lang w:val="en-GB"/>
        </w:rPr>
        <w:t xml:space="preserve">Antioxidant capacity of selected plant extracts and their essential oils. </w:t>
      </w:r>
      <w:r w:rsidRPr="00C6037A">
        <w:rPr>
          <w:rFonts w:ascii="Times New Roman" w:hAnsi="Times New Roman"/>
          <w:i/>
          <w:iCs/>
          <w:sz w:val="20"/>
          <w:szCs w:val="20"/>
          <w:lang w:val="en-GB"/>
        </w:rPr>
        <w:t xml:space="preserve">Antioxidants, </w:t>
      </w:r>
      <w:r w:rsidRPr="00C6037A">
        <w:rPr>
          <w:rFonts w:ascii="Times New Roman" w:hAnsi="Times New Roman"/>
          <w:sz w:val="20"/>
          <w:szCs w:val="20"/>
          <w:lang w:val="en-GB"/>
        </w:rPr>
        <w:t>2(1): 11-22.</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Olajuyigbe, O. O. and Afolayan, A. J. (2011). Phenolic content and antioxidant property of the bark extracts of </w:t>
      </w:r>
      <w:r w:rsidRPr="00C6037A">
        <w:rPr>
          <w:rFonts w:ascii="Times New Roman" w:hAnsi="Times New Roman"/>
          <w:i/>
          <w:iCs/>
          <w:sz w:val="20"/>
          <w:szCs w:val="20"/>
          <w:lang w:val="en-GB"/>
        </w:rPr>
        <w:t xml:space="preserve">Ziziphus mucronata </w:t>
      </w:r>
      <w:r w:rsidRPr="00C6037A">
        <w:rPr>
          <w:rFonts w:ascii="Times New Roman" w:hAnsi="Times New Roman"/>
          <w:sz w:val="20"/>
          <w:szCs w:val="20"/>
          <w:lang w:val="en-GB"/>
        </w:rPr>
        <w:t xml:space="preserve">Willd. subsp. </w:t>
      </w:r>
      <w:r w:rsidRPr="00C6037A">
        <w:rPr>
          <w:rFonts w:ascii="Times New Roman" w:hAnsi="Times New Roman"/>
          <w:i/>
          <w:iCs/>
          <w:sz w:val="20"/>
          <w:szCs w:val="20"/>
          <w:lang w:val="en-GB"/>
        </w:rPr>
        <w:t>mucronata</w:t>
      </w:r>
      <w:r w:rsidRPr="00C6037A">
        <w:rPr>
          <w:rFonts w:ascii="Times New Roman" w:hAnsi="Times New Roman"/>
          <w:sz w:val="20"/>
          <w:szCs w:val="20"/>
          <w:lang w:val="en-GB"/>
        </w:rPr>
        <w:t xml:space="preserve"> Willd. </w:t>
      </w:r>
      <w:r w:rsidRPr="00C6037A">
        <w:rPr>
          <w:rFonts w:ascii="Times New Roman" w:hAnsi="Times New Roman"/>
          <w:i/>
          <w:iCs/>
          <w:sz w:val="20"/>
          <w:szCs w:val="20"/>
          <w:lang w:val="en-GB"/>
        </w:rPr>
        <w:t xml:space="preserve">BMC Complementary and Alternative Medicine, </w:t>
      </w:r>
      <w:r w:rsidRPr="00C6037A">
        <w:rPr>
          <w:rFonts w:ascii="Times New Roman" w:hAnsi="Times New Roman"/>
          <w:sz w:val="20"/>
          <w:szCs w:val="20"/>
          <w:lang w:val="en-GB"/>
        </w:rPr>
        <w:t>11(130): 1-8.</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Li, X., Wu, X. and Huang, L. (2009). Correlation between antioxidant activities and phenolic contents of Radix Angelicae Sinensis (Danggui). </w:t>
      </w:r>
      <w:r w:rsidRPr="00C6037A">
        <w:rPr>
          <w:rFonts w:ascii="Times New Roman" w:hAnsi="Times New Roman"/>
          <w:i/>
          <w:iCs/>
          <w:sz w:val="20"/>
          <w:szCs w:val="20"/>
          <w:lang w:val="en-GB"/>
        </w:rPr>
        <w:t>Molecules,</w:t>
      </w:r>
      <w:r w:rsidRPr="00C6037A">
        <w:rPr>
          <w:rFonts w:ascii="Times New Roman" w:hAnsi="Times New Roman"/>
          <w:sz w:val="20"/>
          <w:szCs w:val="20"/>
          <w:lang w:val="en-GB"/>
        </w:rPr>
        <w:t xml:space="preserve"> 14(12): 5349-5361.</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Paixão, N., Perestrelo, R., Marques, J. C. and Câmara, J. S. (2007). Relationship between antioxidant capacity and total phenolic content of red, rose and white wines. </w:t>
      </w:r>
      <w:r w:rsidRPr="00C6037A">
        <w:rPr>
          <w:rFonts w:ascii="Times New Roman" w:hAnsi="Times New Roman"/>
          <w:i/>
          <w:iCs/>
          <w:sz w:val="20"/>
          <w:szCs w:val="20"/>
          <w:lang w:val="en-GB"/>
        </w:rPr>
        <w:t>Food Chemistry,</w:t>
      </w:r>
      <w:r w:rsidRPr="00C6037A">
        <w:rPr>
          <w:rFonts w:ascii="Times New Roman" w:hAnsi="Times New Roman"/>
          <w:sz w:val="20"/>
          <w:szCs w:val="20"/>
          <w:lang w:val="en-GB"/>
        </w:rPr>
        <w:t xml:space="preserve"> 105(1): 204-214.</w:t>
      </w:r>
    </w:p>
    <w:p w:rsidR="00C6037A"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sz w:val="20"/>
          <w:szCs w:val="20"/>
          <w:lang w:val="en-GB"/>
        </w:rPr>
        <w:t xml:space="preserve">Amin, I. and Lee, W. Y. (2005). Effect of different blanching times on antioxidant properties in selected cruciferous vegetables. </w:t>
      </w:r>
      <w:r w:rsidRPr="00C6037A">
        <w:rPr>
          <w:rFonts w:ascii="Times New Roman" w:hAnsi="Times New Roman"/>
          <w:i/>
          <w:iCs/>
          <w:sz w:val="20"/>
          <w:szCs w:val="20"/>
          <w:lang w:val="en-GB"/>
        </w:rPr>
        <w:t xml:space="preserve">Journal of the Science of Food and Agriculture, </w:t>
      </w:r>
      <w:r w:rsidRPr="00C6037A">
        <w:rPr>
          <w:rFonts w:ascii="Times New Roman" w:hAnsi="Times New Roman"/>
          <w:sz w:val="20"/>
          <w:szCs w:val="20"/>
          <w:lang w:val="en-GB"/>
        </w:rPr>
        <w:t>85(13): 2314-2320.</w:t>
      </w:r>
    </w:p>
    <w:p w:rsidR="00ED5AB7" w:rsidRPr="00C6037A" w:rsidRDefault="00ED5AB7" w:rsidP="00C6037A">
      <w:pPr>
        <w:pStyle w:val="ListParagraph"/>
        <w:numPr>
          <w:ilvl w:val="0"/>
          <w:numId w:val="3"/>
        </w:numPr>
        <w:spacing w:after="0" w:line="240" w:lineRule="auto"/>
        <w:ind w:left="360"/>
        <w:jc w:val="both"/>
        <w:rPr>
          <w:rFonts w:ascii="Times New Roman" w:hAnsi="Times New Roman"/>
          <w:color w:val="000000"/>
          <w:sz w:val="20"/>
          <w:szCs w:val="20"/>
        </w:rPr>
      </w:pPr>
      <w:r w:rsidRPr="00C6037A">
        <w:rPr>
          <w:rFonts w:ascii="Times New Roman" w:hAnsi="Times New Roman"/>
          <w:color w:val="000000"/>
          <w:sz w:val="20"/>
          <w:szCs w:val="20"/>
          <w:lang w:val="en-GB"/>
        </w:rPr>
        <w:t>Yu, J., Ahmedna, M. and Goktepe, I</w:t>
      </w:r>
      <w:r w:rsidRPr="00C6037A">
        <w:rPr>
          <w:rFonts w:ascii="Times New Roman" w:hAnsi="Times New Roman"/>
          <w:color w:val="000000"/>
          <w:sz w:val="20"/>
          <w:szCs w:val="20"/>
          <w:lang w:val="ms-MY"/>
        </w:rPr>
        <w:t xml:space="preserve">. (2007). </w:t>
      </w:r>
      <w:r w:rsidRPr="00C6037A">
        <w:rPr>
          <w:rFonts w:ascii="Times New Roman" w:hAnsi="Times New Roman"/>
          <w:color w:val="000000"/>
          <w:sz w:val="20"/>
          <w:szCs w:val="20"/>
          <w:lang w:val="en-GB"/>
        </w:rPr>
        <w:t xml:space="preserve">Peanut protein concentrate: production and functional properties as affected by processing. </w:t>
      </w:r>
      <w:r w:rsidRPr="00C6037A">
        <w:rPr>
          <w:rFonts w:ascii="Times New Roman" w:hAnsi="Times New Roman"/>
          <w:i/>
          <w:iCs/>
          <w:color w:val="000000"/>
          <w:sz w:val="20"/>
          <w:szCs w:val="20"/>
          <w:lang w:val="en-GB"/>
        </w:rPr>
        <w:t>Food Chemistry,</w:t>
      </w:r>
      <w:r w:rsidRPr="00C6037A">
        <w:rPr>
          <w:rFonts w:ascii="Times New Roman" w:hAnsi="Times New Roman"/>
          <w:color w:val="000000"/>
          <w:sz w:val="20"/>
          <w:szCs w:val="20"/>
          <w:lang w:val="en-GB"/>
        </w:rPr>
        <w:t xml:space="preserve"> 103(1): 121-129.  </w:t>
      </w:r>
    </w:p>
    <w:bookmarkEnd w:id="0"/>
    <w:p w:rsidR="00E66197" w:rsidRPr="00136AC1" w:rsidRDefault="00E66197" w:rsidP="00136AC1">
      <w:pPr>
        <w:spacing w:after="0" w:line="240" w:lineRule="auto"/>
        <w:rPr>
          <w:rFonts w:ascii="Times New Roman" w:hAnsi="Times New Roman"/>
          <w:noProof/>
          <w:lang w:bidi="ar-SA"/>
        </w:rPr>
      </w:pPr>
    </w:p>
    <w:sectPr w:rsidR="00E66197" w:rsidRPr="00136AC1" w:rsidSect="00F21621">
      <w:headerReference w:type="even" r:id="rId15"/>
      <w:headerReference w:type="default" r:id="rId16"/>
      <w:footerReference w:type="even" r:id="rId17"/>
      <w:footerReference w:type="default" r:id="rId18"/>
      <w:pgSz w:w="12240" w:h="15840" w:code="1"/>
      <w:pgMar w:top="1800" w:right="1469" w:bottom="1699" w:left="1440" w:header="706" w:footer="706" w:gutter="0"/>
      <w:pgNumType w:start="6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942" w:rsidRDefault="000C2942" w:rsidP="00FB4C59">
      <w:pPr>
        <w:spacing w:after="0" w:line="240" w:lineRule="auto"/>
      </w:pPr>
      <w:r>
        <w:separator/>
      </w:r>
    </w:p>
  </w:endnote>
  <w:endnote w:type="continuationSeparator" w:id="0">
    <w:p w:rsidR="000C2942" w:rsidRDefault="000C294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136AC1" w:rsidRDefault="00A14DB9" w:rsidP="008C77F2">
    <w:pPr>
      <w:pStyle w:val="Footer"/>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6037A">
      <w:rPr>
        <w:rFonts w:ascii="Times New Roman" w:hAnsi="Times New Roman"/>
        <w:noProof/>
      </w:rPr>
      <w:t>624</w:t>
    </w:r>
    <w:r w:rsidRPr="00A14DB9">
      <w:rPr>
        <w:rFonts w:ascii="Times New Roman" w:hAnsi="Times New Roman"/>
      </w:rPr>
      <w:fldChar w:fldCharType="end"/>
    </w:r>
  </w:p>
  <w:p w:rsidR="008C77F2" w:rsidRPr="008C77F2" w:rsidRDefault="008C77F2">
    <w:pPr>
      <w:pStyle w:val="Footer"/>
      <w:rPr>
        <w:rFonts w:ascii="Times New Roman" w:hAnsi="Times New Roman"/>
        <w:lang w:val="en-US"/>
      </w:rPr>
    </w:pP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B75BF6" w:rsidRDefault="00A14DB9" w:rsidP="008C77F2">
    <w:pPr>
      <w:pStyle w:val="Footer"/>
      <w:jc w:val="right"/>
      <w:rPr>
        <w:rFonts w:ascii="Times New Roman" w:hAnsi="Times New Roman"/>
        <w:lang w:val="en-US"/>
      </w:rPr>
    </w:pPr>
    <w:r w:rsidRPr="00A14DB9">
      <w:rPr>
        <w:rFonts w:ascii="Times New Roman" w:hAnsi="Times New Roman"/>
      </w:rPr>
      <w:fldChar w:fldCharType="begin"/>
    </w:r>
    <w:r w:rsidRPr="00A14DB9">
      <w:rPr>
        <w:rFonts w:ascii="Times New Roman" w:hAnsi="Times New Roman"/>
      </w:rPr>
      <w:instrText xml:space="preserve"> PAGE   \* MERGEFORMAT </w:instrText>
    </w:r>
    <w:r w:rsidRPr="00A14DB9">
      <w:rPr>
        <w:rFonts w:ascii="Times New Roman" w:hAnsi="Times New Roman"/>
      </w:rPr>
      <w:fldChar w:fldCharType="separate"/>
    </w:r>
    <w:r w:rsidR="00C6037A">
      <w:rPr>
        <w:rFonts w:ascii="Times New Roman" w:hAnsi="Times New Roman"/>
        <w:noProof/>
      </w:rPr>
      <w:t>623</w:t>
    </w:r>
    <w:r w:rsidRPr="00A14DB9">
      <w:rPr>
        <w:rFonts w:ascii="Times New Roman" w:hAnsi="Times New Roman"/>
      </w:rPr>
      <w:fldChar w:fldCharType="end"/>
    </w:r>
  </w:p>
  <w:p w:rsidR="008C77F2" w:rsidRPr="008C77F2" w:rsidRDefault="008C77F2">
    <w:pPr>
      <w:pStyle w:val="Footer"/>
      <w:jc w:val="right"/>
      <w:rPr>
        <w:rFonts w:ascii="Times New Roman" w:hAnsi="Times New Roman"/>
        <w:lang w:val="en-US"/>
      </w:rPr>
    </w:pPr>
  </w:p>
  <w:p w:rsidR="00D75B35" w:rsidRDefault="00D75B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942" w:rsidRDefault="000C2942" w:rsidP="00FB4C59">
      <w:pPr>
        <w:spacing w:after="0" w:line="240" w:lineRule="auto"/>
      </w:pPr>
      <w:r>
        <w:separator/>
      </w:r>
    </w:p>
  </w:footnote>
  <w:footnote w:type="continuationSeparator" w:id="0">
    <w:p w:rsidR="000C2942" w:rsidRDefault="000C294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037A" w:rsidRPr="00C6037A" w:rsidRDefault="00C6037A" w:rsidP="00C6037A">
    <w:pPr>
      <w:autoSpaceDE w:val="0"/>
      <w:autoSpaceDN w:val="0"/>
      <w:adjustRightInd w:val="0"/>
      <w:spacing w:after="0" w:line="240" w:lineRule="auto"/>
      <w:ind w:left="1350" w:hanging="1350"/>
      <w:rPr>
        <w:rFonts w:ascii="Times New Roman" w:hAnsi="Times New Roman"/>
        <w:bCs/>
        <w:color w:val="000000"/>
        <w:sz w:val="20"/>
        <w:szCs w:val="20"/>
      </w:rPr>
    </w:pPr>
    <w:r>
      <w:rPr>
        <w:rFonts w:ascii="Times New Roman" w:hAnsi="Times New Roman"/>
        <w:sz w:val="20"/>
        <w:szCs w:val="20"/>
      </w:rPr>
      <w:t>Nur Huda et al</w:t>
    </w:r>
    <w:r w:rsidR="00A14DB9" w:rsidRPr="00C6037A">
      <w:rPr>
        <w:rFonts w:ascii="Times New Roman" w:hAnsi="Times New Roman"/>
        <w:sz w:val="20"/>
        <w:szCs w:val="20"/>
      </w:rPr>
      <w:t xml:space="preserve">:  </w:t>
    </w:r>
    <w:r>
      <w:rPr>
        <w:rFonts w:ascii="Times New Roman" w:hAnsi="Times New Roman"/>
        <w:sz w:val="20"/>
        <w:szCs w:val="20"/>
      </w:rPr>
      <w:tab/>
    </w:r>
    <w:r w:rsidRPr="00C6037A">
      <w:rPr>
        <w:rFonts w:ascii="Times New Roman" w:hAnsi="Times New Roman"/>
        <w:bCs/>
        <w:color w:val="000000"/>
        <w:sz w:val="20"/>
        <w:szCs w:val="20"/>
      </w:rPr>
      <w:t>COMPARATIVE ANALYSIS OF PHENOLIC CONTENT AND ANTIOXIDATIVE ACTIVITIES OF EIGHT MALAYSIAN TRADITIONAL VEGETABLES</w:t>
    </w:r>
    <w:r w:rsidRPr="00C6037A">
      <w:rPr>
        <w:rFonts w:ascii="Times New Roman" w:hAnsi="Times New Roman"/>
        <w:sz w:val="20"/>
        <w:szCs w:val="20"/>
      </w:rPr>
      <w:t xml:space="preserve"> </w:t>
    </w:r>
  </w:p>
  <w:p w:rsidR="00A14DB9" w:rsidRPr="008C77F2" w:rsidRDefault="00A14DB9">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7F2" w:rsidRPr="00C6037A" w:rsidRDefault="00D75B35" w:rsidP="008C77F2">
    <w:pPr>
      <w:pStyle w:val="Header"/>
      <w:jc w:val="right"/>
      <w:rPr>
        <w:rFonts w:ascii="Times New Roman" w:hAnsi="Times New Roman"/>
        <w:i/>
        <w:lang w:val="en-US"/>
      </w:rPr>
    </w:pPr>
    <w:r w:rsidRPr="00D75B35">
      <w:rPr>
        <w:rFonts w:ascii="Times New Roman" w:hAnsi="Times New Roman"/>
        <w:i/>
      </w:rPr>
      <w:t xml:space="preserve">Malaysian Journal of </w:t>
    </w:r>
    <w:r w:rsidR="00BC3ED2">
      <w:rPr>
        <w:rFonts w:ascii="Times New Roman" w:hAnsi="Times New Roman"/>
        <w:i/>
      </w:rPr>
      <w:t>Analytical Sciences, Vol 1</w:t>
    </w:r>
    <w:r w:rsidR="00531BCF">
      <w:rPr>
        <w:rFonts w:ascii="Times New Roman" w:hAnsi="Times New Roman"/>
        <w:i/>
        <w:lang w:val="en-US"/>
      </w:rPr>
      <w:t>9</w:t>
    </w:r>
    <w:r w:rsidR="00BC3ED2">
      <w:rPr>
        <w:rFonts w:ascii="Times New Roman" w:hAnsi="Times New Roman"/>
        <w:i/>
      </w:rPr>
      <w:t xml:space="preserve"> No </w:t>
    </w:r>
    <w:r w:rsidR="0016514A">
      <w:rPr>
        <w:rFonts w:ascii="Times New Roman" w:hAnsi="Times New Roman"/>
        <w:i/>
        <w:lang w:val="en-US"/>
      </w:rPr>
      <w:t>3</w:t>
    </w:r>
    <w:r w:rsidR="00012278">
      <w:rPr>
        <w:rFonts w:ascii="Times New Roman" w:hAnsi="Times New Roman"/>
        <w:i/>
      </w:rPr>
      <w:t xml:space="preserve"> (201</w:t>
    </w:r>
    <w:r w:rsidR="00531BCF">
      <w:rPr>
        <w:rFonts w:ascii="Times New Roman" w:hAnsi="Times New Roman"/>
        <w:i/>
        <w:lang w:val="en-US"/>
      </w:rPr>
      <w:t>5</w:t>
    </w:r>
    <w:r w:rsidRPr="00D75B35">
      <w:rPr>
        <w:rFonts w:ascii="Times New Roman" w:hAnsi="Times New Roman"/>
        <w:i/>
      </w:rPr>
      <w:t xml:space="preserve">): </w:t>
    </w:r>
    <w:r w:rsidR="00C6037A">
      <w:rPr>
        <w:rFonts w:ascii="Times New Roman" w:hAnsi="Times New Roman"/>
        <w:i/>
        <w:lang w:val="en-US"/>
      </w:rPr>
      <w:t>611 - 624</w:t>
    </w:r>
  </w:p>
  <w:p w:rsidR="008C77F2" w:rsidRPr="008C77F2" w:rsidRDefault="008C77F2" w:rsidP="00D75B35">
    <w:pPr>
      <w:pStyle w:val="Header"/>
      <w:jc w:val="right"/>
      <w:rPr>
        <w:rFonts w:ascii="Times New Roman" w:hAnsi="Times New Roman"/>
        <w:i/>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6FAE"/>
    <w:multiLevelType w:val="hybridMultilevel"/>
    <w:tmpl w:val="F2507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F2826BC"/>
    <w:multiLevelType w:val="hybridMultilevel"/>
    <w:tmpl w:val="DEFCE974"/>
    <w:lvl w:ilvl="0" w:tplc="043E000F">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100A2"/>
    <w:rsid w:val="00012278"/>
    <w:rsid w:val="000C2942"/>
    <w:rsid w:val="000F4FCC"/>
    <w:rsid w:val="00117BCD"/>
    <w:rsid w:val="00136AC1"/>
    <w:rsid w:val="0016514A"/>
    <w:rsid w:val="001B35D1"/>
    <w:rsid w:val="001D035A"/>
    <w:rsid w:val="001E6B6A"/>
    <w:rsid w:val="00295A67"/>
    <w:rsid w:val="002B188F"/>
    <w:rsid w:val="002C30C6"/>
    <w:rsid w:val="002F2505"/>
    <w:rsid w:val="0030708B"/>
    <w:rsid w:val="00317C2D"/>
    <w:rsid w:val="00330EFD"/>
    <w:rsid w:val="00361BAF"/>
    <w:rsid w:val="003D585B"/>
    <w:rsid w:val="003E7DA6"/>
    <w:rsid w:val="00461C5C"/>
    <w:rsid w:val="00522681"/>
    <w:rsid w:val="00531BCF"/>
    <w:rsid w:val="005367DB"/>
    <w:rsid w:val="00544B69"/>
    <w:rsid w:val="005E552B"/>
    <w:rsid w:val="006768E9"/>
    <w:rsid w:val="006B1068"/>
    <w:rsid w:val="006C64F5"/>
    <w:rsid w:val="006C780C"/>
    <w:rsid w:val="006D0052"/>
    <w:rsid w:val="006D695E"/>
    <w:rsid w:val="00725A6A"/>
    <w:rsid w:val="00762D11"/>
    <w:rsid w:val="00802DCC"/>
    <w:rsid w:val="00805D1F"/>
    <w:rsid w:val="0082181A"/>
    <w:rsid w:val="00822688"/>
    <w:rsid w:val="00862958"/>
    <w:rsid w:val="008B1EAF"/>
    <w:rsid w:val="008B3A1F"/>
    <w:rsid w:val="008B470E"/>
    <w:rsid w:val="008C77F2"/>
    <w:rsid w:val="008E5BBF"/>
    <w:rsid w:val="009B140D"/>
    <w:rsid w:val="00A14DB9"/>
    <w:rsid w:val="00A42874"/>
    <w:rsid w:val="00A43654"/>
    <w:rsid w:val="00A4762A"/>
    <w:rsid w:val="00B1121C"/>
    <w:rsid w:val="00B2639F"/>
    <w:rsid w:val="00B2770A"/>
    <w:rsid w:val="00B314AD"/>
    <w:rsid w:val="00BB58AF"/>
    <w:rsid w:val="00BC3ED2"/>
    <w:rsid w:val="00BF0954"/>
    <w:rsid w:val="00C31E76"/>
    <w:rsid w:val="00C43D22"/>
    <w:rsid w:val="00C5417D"/>
    <w:rsid w:val="00C6037A"/>
    <w:rsid w:val="00CA513F"/>
    <w:rsid w:val="00D4023F"/>
    <w:rsid w:val="00D75B35"/>
    <w:rsid w:val="00D878E4"/>
    <w:rsid w:val="00D9792A"/>
    <w:rsid w:val="00DA5B15"/>
    <w:rsid w:val="00E41EE7"/>
    <w:rsid w:val="00E66197"/>
    <w:rsid w:val="00ED5AB7"/>
    <w:rsid w:val="00F21621"/>
    <w:rsid w:val="00F24A99"/>
    <w:rsid w:val="00F31093"/>
    <w:rsid w:val="00F36A6F"/>
    <w:rsid w:val="00F50BDF"/>
    <w:rsid w:val="00F97683"/>
    <w:rsid w:val="00FB4C59"/>
    <w:rsid w:val="00FD0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st">
    <w:name w:val="st"/>
    <w:rsid w:val="00F36A6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qFormat/>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qFormat/>
    <w:rsid w:val="00D9792A"/>
    <w:pPr>
      <w:spacing w:after="0" w:line="240" w:lineRule="auto"/>
      <w:jc w:val="center"/>
    </w:pPr>
    <w:rPr>
      <w:rFonts w:ascii="Times New Roman" w:hAnsi="Times New Roman"/>
      <w:sz w:val="20"/>
    </w:rPr>
  </w:style>
  <w:style w:type="paragraph" w:customStyle="1" w:styleId="Addresses">
    <w:name w:val="Addresses"/>
    <w:basedOn w:val="Authors"/>
    <w:qFormat/>
    <w:rsid w:val="00D9792A"/>
    <w:rPr>
      <w:i/>
      <w:sz w:val="18"/>
    </w:rPr>
  </w:style>
  <w:style w:type="paragraph" w:customStyle="1" w:styleId="Abs-Content">
    <w:name w:val="Abs-Content"/>
    <w:basedOn w:val="Normal"/>
    <w:qFormat/>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qFormat/>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qFormat/>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customStyle="1" w:styleId="st">
    <w:name w:val="st"/>
    <w:rsid w:val="00F36A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D9349-E4D1-4AD9-82B2-E3F09D21C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Pages>
  <Words>7271</Words>
  <Characters>41447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Hj Hamzah</dc:creator>
  <cp:lastModifiedBy>ANALIS</cp:lastModifiedBy>
  <cp:revision>3</cp:revision>
  <cp:lastPrinted>2015-06-04T10:19:00Z</cp:lastPrinted>
  <dcterms:created xsi:type="dcterms:W3CDTF">2015-06-04T09:24:00Z</dcterms:created>
  <dcterms:modified xsi:type="dcterms:W3CDTF">2015-06-04T10:20:00Z</dcterms:modified>
</cp:coreProperties>
</file>