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62A" w:rsidRPr="00F447A7" w:rsidRDefault="00F43667" w:rsidP="00F447A7">
      <w:pPr>
        <w:spacing w:after="0" w:line="240" w:lineRule="auto"/>
        <w:jc w:val="center"/>
        <w:rPr>
          <w:rFonts w:ascii="Times New Roman" w:hAnsi="Times New Roman"/>
          <w:noProof/>
          <w:lang w:bidi="ar-SA"/>
        </w:rPr>
      </w:pPr>
      <w:r>
        <w:rPr>
          <w:rFonts w:ascii="Times New Roman" w:hAnsi="Times New Roman"/>
          <w:noProof/>
          <w:lang w:bidi="ar-SA"/>
        </w:rPr>
        <mc:AlternateContent>
          <mc:Choice Requires="wps">
            <w:drawing>
              <wp:anchor distT="0" distB="0" distL="114300" distR="114300" simplePos="0" relativeHeight="251657728" behindDoc="1" locked="0" layoutInCell="1" allowOverlap="1">
                <wp:simplePos x="0" y="0"/>
                <wp:positionH relativeFrom="column">
                  <wp:posOffset>0</wp:posOffset>
                </wp:positionH>
                <wp:positionV relativeFrom="paragraph">
                  <wp:posOffset>-17780</wp:posOffset>
                </wp:positionV>
                <wp:extent cx="5943600" cy="491490"/>
                <wp:effectExtent l="9525" t="10795" r="9525" b="120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491490"/>
                        </a:xfrm>
                        <a:prstGeom prst="rect">
                          <a:avLst/>
                        </a:prstGeom>
                        <a:solidFill>
                          <a:srgbClr val="17365D"/>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0;margin-top:-1.4pt;width:468pt;height:38.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" fillcolor="#17365d" strokeweight="1.5pt"/>
            </w:pict>
          </mc:Fallback>
        </mc:AlternateContent>
      </w:r>
      <w:r>
        <w:rPr>
          <w:rFonts w:ascii="Times New Roman" w:hAnsi="Times New Roman"/>
          <w:noProof/>
          <w:lang w:bidi="ar-SA"/>
        </w:rPr>
        <w:drawing>
          <wp:inline distT="0" distB="0" distL="0" distR="0">
            <wp:extent cx="1457325" cy="485775"/>
            <wp:effectExtent l="0" t="0" r="9525" b="9525"/>
            <wp:docPr id="1" name="Picture 1" descr="jurnal_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rnal_titl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57325" cy="485775"/>
                    </a:xfrm>
                    <a:prstGeom prst="rect">
                      <a:avLst/>
                    </a:prstGeom>
                    <a:noFill/>
                    <a:ln>
                      <a:noFill/>
                    </a:ln>
                  </pic:spPr>
                </pic:pic>
              </a:graphicData>
            </a:graphic>
          </wp:inline>
        </w:drawing>
      </w:r>
    </w:p>
    <w:p w:rsidR="00F447A7" w:rsidRPr="00F447A7" w:rsidRDefault="00F447A7" w:rsidP="00F447A7">
      <w:pPr>
        <w:spacing w:after="0" w:line="240" w:lineRule="auto"/>
        <w:jc w:val="center"/>
        <w:rPr>
          <w:rFonts w:ascii="Times New Roman" w:hAnsi="Times New Roman"/>
          <w:noProof/>
          <w:sz w:val="20"/>
          <w:szCs w:val="20"/>
          <w:lang w:bidi="ar-SA"/>
        </w:rPr>
      </w:pPr>
    </w:p>
    <w:p w:rsidR="0079209E" w:rsidRDefault="0079209E" w:rsidP="0079209E">
      <w:pPr>
        <w:spacing w:after="0" w:line="240" w:lineRule="auto"/>
        <w:contextualSpacing/>
        <w:jc w:val="center"/>
        <w:rPr>
          <w:rFonts w:ascii="Times New Roman" w:hAnsi="Times New Roman"/>
          <w:sz w:val="28"/>
          <w:szCs w:val="28"/>
        </w:rPr>
      </w:pPr>
      <w:r>
        <w:rPr>
          <w:rFonts w:ascii="Times New Roman" w:hAnsi="Times New Roman"/>
          <w:sz w:val="28"/>
          <w:szCs w:val="28"/>
        </w:rPr>
        <w:t xml:space="preserve">DISTRIBUTION, SOURCES AND TOXICITY POTENTIALS OF POLYCYCLIC AROMATIC HYDROCARBONS IN SOIL </w:t>
      </w:r>
    </w:p>
    <w:p w:rsidR="0079209E" w:rsidRDefault="0079209E" w:rsidP="0079209E">
      <w:pPr>
        <w:spacing w:after="0" w:line="240" w:lineRule="auto"/>
        <w:contextualSpacing/>
        <w:jc w:val="center"/>
        <w:rPr>
          <w:rFonts w:ascii="Times New Roman" w:hAnsi="Times New Roman"/>
          <w:sz w:val="28"/>
          <w:szCs w:val="28"/>
        </w:rPr>
      </w:pPr>
      <w:r>
        <w:rPr>
          <w:rFonts w:ascii="Times New Roman" w:hAnsi="Times New Roman"/>
          <w:sz w:val="28"/>
          <w:szCs w:val="28"/>
        </w:rPr>
        <w:t xml:space="preserve">AROUND THE VICINITY OF BALOGUN-BIRRO DUMPSITE </w:t>
      </w:r>
    </w:p>
    <w:p w:rsidR="0079209E" w:rsidRDefault="0079209E" w:rsidP="0079209E">
      <w:pPr>
        <w:spacing w:after="0" w:line="240" w:lineRule="auto"/>
        <w:contextualSpacing/>
        <w:jc w:val="center"/>
        <w:rPr>
          <w:rFonts w:ascii="Times New Roman" w:hAnsi="Times New Roman"/>
          <w:sz w:val="28"/>
          <w:szCs w:val="28"/>
        </w:rPr>
      </w:pPr>
      <w:r>
        <w:rPr>
          <w:rFonts w:ascii="Times New Roman" w:hAnsi="Times New Roman"/>
          <w:sz w:val="28"/>
          <w:szCs w:val="28"/>
        </w:rPr>
        <w:t>OF OSHOGBO, NIGERIA</w:t>
      </w:r>
    </w:p>
    <w:p w:rsidR="006768E9" w:rsidRPr="00F447A7" w:rsidRDefault="006768E9" w:rsidP="0079209E">
      <w:pPr>
        <w:spacing w:after="0" w:line="240" w:lineRule="auto"/>
        <w:jc w:val="center"/>
        <w:rPr>
          <w:rFonts w:ascii="Times New Roman" w:hAnsi="Times New Roman"/>
          <w:noProof/>
          <w:sz w:val="24"/>
          <w:szCs w:val="24"/>
          <w:lang w:bidi="ar-SA"/>
        </w:rPr>
      </w:pPr>
    </w:p>
    <w:p w:rsidR="0079209E" w:rsidRDefault="0079209E" w:rsidP="0079209E">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(Taburan, Sumber dan Potensi Ketoksikan Polisiklik Aromatik Hidrokarbon di dalam Tanah Sekitar Tapak Pelupusan Balogun-Birro, Oshogbo, Nigeria)</w:t>
      </w:r>
    </w:p>
    <w:p w:rsidR="006768E9" w:rsidRPr="00F447A7" w:rsidRDefault="006768E9" w:rsidP="0079209E">
      <w:pPr>
        <w:spacing w:after="0" w:line="240" w:lineRule="auto"/>
        <w:jc w:val="center"/>
        <w:rPr>
          <w:rFonts w:ascii="Times New Roman" w:hAnsi="Times New Roman"/>
          <w:noProof/>
          <w:sz w:val="20"/>
          <w:szCs w:val="20"/>
          <w:lang w:bidi="ar-SA"/>
        </w:rPr>
      </w:pPr>
    </w:p>
    <w:p w:rsidR="0079209E" w:rsidRDefault="0079209E" w:rsidP="0079209E">
      <w:pPr>
        <w:spacing w:after="0" w:line="240" w:lineRule="auto"/>
        <w:ind w:firstLine="720"/>
        <w:contextualSpacing/>
        <w:jc w:val="center"/>
        <w:rPr>
          <w:rFonts w:ascii="Times New Roman" w:hAnsi="Times New Roman"/>
          <w:sz w:val="20"/>
          <w:szCs w:val="20"/>
          <w:vertAlign w:val="superscript"/>
        </w:rPr>
      </w:pPr>
      <w:r>
        <w:rPr>
          <w:rFonts w:ascii="Times New Roman" w:hAnsi="Times New Roman"/>
          <w:sz w:val="20"/>
          <w:szCs w:val="20"/>
        </w:rPr>
        <w:t xml:space="preserve">Taofik Adewale </w:t>
      </w:r>
      <w:bookmarkStart w:id="0" w:name="_GoBack"/>
      <w:r>
        <w:rPr>
          <w:rFonts w:ascii="Times New Roman" w:hAnsi="Times New Roman"/>
          <w:sz w:val="20"/>
          <w:szCs w:val="20"/>
        </w:rPr>
        <w:t>Adedosu</w:t>
      </w:r>
      <w:bookmarkEnd w:id="0"/>
      <w:r>
        <w:rPr>
          <w:rFonts w:ascii="Times New Roman" w:hAnsi="Times New Roman"/>
          <w:sz w:val="20"/>
          <w:szCs w:val="20"/>
          <w:vertAlign w:val="superscript"/>
        </w:rPr>
        <w:t>1</w:t>
      </w:r>
      <w:r>
        <w:rPr>
          <w:rFonts w:ascii="Times New Roman" w:hAnsi="Times New Roman"/>
          <w:sz w:val="20"/>
          <w:szCs w:val="20"/>
        </w:rPr>
        <w:t>*, Omotayo Kayode Adeniyi</w:t>
      </w:r>
      <w:r>
        <w:rPr>
          <w:rFonts w:ascii="Times New Roman" w:hAnsi="Times New Roman"/>
          <w:sz w:val="20"/>
          <w:szCs w:val="20"/>
          <w:vertAlign w:val="superscript"/>
        </w:rPr>
        <w:t>2</w:t>
      </w:r>
      <w:r>
        <w:rPr>
          <w:rFonts w:ascii="Times New Roman" w:hAnsi="Times New Roman"/>
          <w:sz w:val="20"/>
          <w:szCs w:val="20"/>
        </w:rPr>
        <w:t>, Haleema Omolola Adedosu</w:t>
      </w:r>
      <w:r>
        <w:rPr>
          <w:rFonts w:ascii="Times New Roman" w:hAnsi="Times New Roman"/>
          <w:sz w:val="20"/>
          <w:szCs w:val="20"/>
          <w:vertAlign w:val="superscript"/>
        </w:rPr>
        <w:t>2</w:t>
      </w:r>
    </w:p>
    <w:p w:rsidR="006768E9" w:rsidRPr="00F447A7" w:rsidRDefault="006768E9" w:rsidP="0079209E">
      <w:pPr>
        <w:spacing w:after="0" w:line="240" w:lineRule="auto"/>
        <w:rPr>
          <w:rFonts w:ascii="Times New Roman" w:hAnsi="Times New Roman"/>
          <w:noProof/>
          <w:sz w:val="18"/>
          <w:szCs w:val="18"/>
          <w:lang w:bidi="ar-SA"/>
        </w:rPr>
      </w:pPr>
    </w:p>
    <w:p w:rsidR="0079209E" w:rsidRDefault="0079209E" w:rsidP="0079209E">
      <w:pPr>
        <w:autoSpaceDE w:val="0"/>
        <w:autoSpaceDN w:val="0"/>
        <w:adjustRightInd w:val="0"/>
        <w:spacing w:after="0" w:line="240" w:lineRule="auto"/>
        <w:jc w:val="center"/>
        <w:rPr>
          <w:rFonts w:ascii="Times New Roman" w:hAnsi="Times New Roman"/>
          <w:i/>
          <w:sz w:val="18"/>
          <w:szCs w:val="18"/>
        </w:rPr>
      </w:pPr>
      <w:r>
        <w:rPr>
          <w:rFonts w:ascii="Times New Roman" w:hAnsi="Times New Roman"/>
          <w:i/>
          <w:sz w:val="18"/>
          <w:szCs w:val="18"/>
          <w:vertAlign w:val="superscript"/>
        </w:rPr>
        <w:t>1</w:t>
      </w:r>
      <w:r>
        <w:rPr>
          <w:rFonts w:ascii="Times New Roman" w:hAnsi="Times New Roman"/>
          <w:i/>
          <w:sz w:val="18"/>
          <w:szCs w:val="18"/>
        </w:rPr>
        <w:t>Department of Pure and Applied Chemistry, Faculty of Pure and Applied Sciences,</w:t>
      </w:r>
    </w:p>
    <w:p w:rsidR="0079209E" w:rsidRDefault="0079209E" w:rsidP="0079209E">
      <w:pPr>
        <w:autoSpaceDE w:val="0"/>
        <w:autoSpaceDN w:val="0"/>
        <w:adjustRightInd w:val="0"/>
        <w:spacing w:after="0" w:line="240" w:lineRule="auto"/>
        <w:jc w:val="center"/>
        <w:rPr>
          <w:rFonts w:ascii="Times New Roman" w:hAnsi="Times New Roman"/>
          <w:i/>
          <w:sz w:val="18"/>
          <w:szCs w:val="18"/>
        </w:rPr>
      </w:pPr>
      <w:r>
        <w:rPr>
          <w:rFonts w:ascii="Times New Roman" w:hAnsi="Times New Roman"/>
          <w:i/>
          <w:sz w:val="18"/>
          <w:szCs w:val="18"/>
        </w:rPr>
        <w:t>Ladoke Akintola University of Technology Ogbomoso, PMB 4000, Nigeria</w:t>
      </w:r>
    </w:p>
    <w:p w:rsidR="0079209E" w:rsidRDefault="0079209E" w:rsidP="0079209E">
      <w:pPr>
        <w:autoSpaceDE w:val="0"/>
        <w:autoSpaceDN w:val="0"/>
        <w:adjustRightInd w:val="0"/>
        <w:spacing w:after="0" w:line="240" w:lineRule="auto"/>
        <w:ind w:left="900" w:hanging="1800"/>
        <w:jc w:val="center"/>
        <w:rPr>
          <w:rFonts w:ascii="Times New Roman" w:hAnsi="Times New Roman"/>
          <w:i/>
          <w:sz w:val="18"/>
          <w:szCs w:val="18"/>
        </w:rPr>
      </w:pPr>
      <w:r>
        <w:rPr>
          <w:rFonts w:ascii="Times New Roman" w:hAnsi="Times New Roman"/>
          <w:i/>
          <w:sz w:val="18"/>
          <w:szCs w:val="18"/>
          <w:vertAlign w:val="superscript"/>
        </w:rPr>
        <w:t>2</w:t>
      </w:r>
      <w:r>
        <w:rPr>
          <w:rFonts w:ascii="Times New Roman" w:hAnsi="Times New Roman"/>
          <w:i/>
          <w:sz w:val="18"/>
          <w:szCs w:val="18"/>
        </w:rPr>
        <w:t>Department of Physical and Earth Science, College of Physical Sciences</w:t>
      </w:r>
    </w:p>
    <w:p w:rsidR="0079209E" w:rsidRDefault="0079209E" w:rsidP="0079209E">
      <w:pPr>
        <w:autoSpaceDE w:val="0"/>
        <w:autoSpaceDN w:val="0"/>
        <w:adjustRightInd w:val="0"/>
        <w:spacing w:after="0" w:line="240" w:lineRule="auto"/>
        <w:ind w:left="90" w:hanging="360"/>
        <w:jc w:val="center"/>
        <w:rPr>
          <w:rFonts w:ascii="Times New Roman" w:hAnsi="Times New Roman"/>
          <w:i/>
          <w:sz w:val="18"/>
          <w:szCs w:val="18"/>
        </w:rPr>
      </w:pPr>
      <w:r>
        <w:rPr>
          <w:rFonts w:ascii="Times New Roman" w:hAnsi="Times New Roman"/>
          <w:i/>
          <w:sz w:val="18"/>
          <w:szCs w:val="18"/>
        </w:rPr>
        <w:t>Wesley University of Science and Technology Ondo, PMB 507, Nigeria</w:t>
      </w:r>
    </w:p>
    <w:p w:rsidR="0079209E" w:rsidRDefault="0079209E" w:rsidP="0079209E">
      <w:pPr>
        <w:autoSpaceDE w:val="0"/>
        <w:autoSpaceDN w:val="0"/>
        <w:adjustRightInd w:val="0"/>
        <w:spacing w:after="0" w:line="240" w:lineRule="auto"/>
        <w:ind w:left="180" w:hanging="90"/>
        <w:jc w:val="center"/>
        <w:rPr>
          <w:rFonts w:ascii="Times New Roman" w:hAnsi="Times New Roman"/>
          <w:i/>
          <w:sz w:val="18"/>
          <w:szCs w:val="18"/>
        </w:rPr>
      </w:pPr>
      <w:r>
        <w:rPr>
          <w:rFonts w:ascii="Times New Roman" w:hAnsi="Times New Roman"/>
          <w:i/>
          <w:sz w:val="18"/>
          <w:szCs w:val="18"/>
          <w:vertAlign w:val="superscript"/>
        </w:rPr>
        <w:t>3</w:t>
      </w:r>
      <w:r>
        <w:rPr>
          <w:rFonts w:ascii="Times New Roman" w:hAnsi="Times New Roman"/>
          <w:i/>
          <w:sz w:val="18"/>
          <w:szCs w:val="18"/>
        </w:rPr>
        <w:t>Department of Science Laboratory Technology, Faculty of Pure and Applied Sciences</w:t>
      </w:r>
    </w:p>
    <w:p w:rsidR="006768E9" w:rsidRDefault="0079209E" w:rsidP="0079209E">
      <w:pPr>
        <w:spacing w:after="0" w:line="240" w:lineRule="auto"/>
        <w:jc w:val="center"/>
        <w:rPr>
          <w:rFonts w:ascii="Times New Roman" w:hAnsi="Times New Roman"/>
          <w:i/>
          <w:sz w:val="18"/>
          <w:szCs w:val="18"/>
        </w:rPr>
      </w:pPr>
      <w:r>
        <w:rPr>
          <w:rFonts w:ascii="Times New Roman" w:hAnsi="Times New Roman"/>
          <w:i/>
          <w:sz w:val="18"/>
          <w:szCs w:val="18"/>
        </w:rPr>
        <w:t>Ladoke Akintola University of Technology Ogbomoso, PMB 4000, Nigeria</w:t>
      </w:r>
    </w:p>
    <w:p w:rsidR="0079209E" w:rsidRPr="00F447A7" w:rsidRDefault="0079209E" w:rsidP="0079209E">
      <w:pPr>
        <w:spacing w:after="0" w:line="240" w:lineRule="auto"/>
        <w:jc w:val="center"/>
        <w:rPr>
          <w:rFonts w:ascii="Times New Roman" w:hAnsi="Times New Roman"/>
          <w:noProof/>
          <w:sz w:val="18"/>
          <w:szCs w:val="18"/>
          <w:lang w:bidi="ar-SA"/>
        </w:rPr>
      </w:pPr>
    </w:p>
    <w:p w:rsidR="006768E9" w:rsidRPr="00F447A7" w:rsidRDefault="006768E9" w:rsidP="0079209E">
      <w:pPr>
        <w:spacing w:after="0" w:line="240" w:lineRule="auto"/>
        <w:jc w:val="center"/>
        <w:rPr>
          <w:rFonts w:ascii="Times New Roman" w:hAnsi="Times New Roman"/>
          <w:i/>
          <w:noProof/>
          <w:sz w:val="18"/>
          <w:szCs w:val="18"/>
          <w:lang w:bidi="ar-SA"/>
        </w:rPr>
      </w:pPr>
      <w:r w:rsidRPr="00F447A7">
        <w:rPr>
          <w:rFonts w:ascii="Times New Roman" w:hAnsi="Times New Roman"/>
          <w:i/>
          <w:noProof/>
          <w:sz w:val="18"/>
          <w:szCs w:val="18"/>
          <w:lang w:bidi="ar-SA"/>
        </w:rPr>
        <w:t>*Corresponding author:</w:t>
      </w:r>
      <w:r w:rsidR="00BE7C30">
        <w:rPr>
          <w:rFonts w:ascii="Times New Roman" w:hAnsi="Times New Roman"/>
          <w:i/>
          <w:noProof/>
          <w:sz w:val="18"/>
          <w:szCs w:val="18"/>
          <w:lang w:bidi="ar-SA"/>
        </w:rPr>
        <w:t xml:space="preserve"> </w:t>
      </w:r>
      <w:r w:rsidR="0079209E">
        <w:rPr>
          <w:rFonts w:ascii="Times New Roman" w:hAnsi="Times New Roman"/>
          <w:i/>
          <w:sz w:val="18"/>
          <w:szCs w:val="18"/>
        </w:rPr>
        <w:t>taadedosu@lautech.edu.ng</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8D37EC">
        <w:rPr>
          <w:rFonts w:ascii="Times New Roman" w:hAnsi="Times New Roman"/>
          <w:noProof/>
          <w:sz w:val="18"/>
          <w:szCs w:val="18"/>
          <w:lang w:bidi="ar-SA"/>
        </w:rPr>
        <w:t>12 February 2015</w:t>
      </w:r>
      <w:r>
        <w:rPr>
          <w:rFonts w:ascii="Times New Roman" w:hAnsi="Times New Roman"/>
          <w:noProof/>
          <w:sz w:val="18"/>
          <w:szCs w:val="18"/>
          <w:lang w:bidi="ar-SA"/>
        </w:rPr>
        <w:t xml:space="preserve">; Accepted: </w:t>
      </w:r>
      <w:r w:rsidR="008D37EC">
        <w:rPr>
          <w:rFonts w:ascii="Times New Roman" w:hAnsi="Times New Roman"/>
          <w:noProof/>
          <w:sz w:val="18"/>
          <w:szCs w:val="18"/>
          <w:lang w:bidi="ar-SA"/>
        </w:rPr>
        <w:t>3 April 2015</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79209E" w:rsidRDefault="0079209E" w:rsidP="0079209E">
      <w:pPr>
        <w:autoSpaceDE w:val="0"/>
        <w:autoSpaceDN w:val="0"/>
        <w:adjustRightInd w:val="0"/>
        <w:spacing w:after="0" w:line="240" w:lineRule="auto"/>
        <w:jc w:val="both"/>
        <w:rPr>
          <w:rFonts w:ascii="Times New Roman" w:hAnsi="Times New Roman"/>
          <w:iCs/>
          <w:sz w:val="18"/>
          <w:szCs w:val="18"/>
        </w:rPr>
      </w:pPr>
      <w:r>
        <w:rPr>
          <w:rFonts w:ascii="Times New Roman" w:hAnsi="Times New Roman"/>
          <w:sz w:val="18"/>
          <w:szCs w:val="18"/>
        </w:rPr>
        <w:t xml:space="preserve">Contamination of soil within the vicinity of dumpsites by toxic and persistent organic pollutants is of environmental concern because of their carcinogenic, genotoxic and environmental persistence. Waste disposal sites have been identified as potential source of PAHs accumulating in soil. Assessment of level, distribution and sources of PAHs in environmental media is important for evaluation of ecotoxicological and health effect. This study investigated the distribution, sources and level of PAHs in soil within the vicinity of Balogun-Birro Dumpsite in Osogbo, Nigeria and their potential impacts on human health. Soil samples were collected at ten points within the vicinity of the dumpsite. The level of the 16 USEPA PAHs in the soil samples were determined by gas chromatography – flame ionization detector (GC-FID). </w:t>
      </w:r>
      <w:r>
        <w:rPr>
          <w:rFonts w:ascii="Times New Roman" w:hAnsi="Times New Roman"/>
          <w:iCs/>
          <w:sz w:val="18"/>
          <w:szCs w:val="18"/>
        </w:rPr>
        <w:t xml:space="preserve">The total concentration of </w:t>
      </w:r>
      <w:r>
        <w:rPr>
          <w:rFonts w:ascii="Times New Roman" w:eastAsia="TimesNewRoman,Italic" w:hAnsi="Times New Roman"/>
          <w:iCs/>
          <w:sz w:val="18"/>
          <w:szCs w:val="18"/>
        </w:rPr>
        <w:t xml:space="preserve">the </w:t>
      </w:r>
      <w:r>
        <w:rPr>
          <w:rFonts w:ascii="Times New Roman" w:hAnsi="Times New Roman"/>
          <w:iCs/>
          <w:sz w:val="18"/>
          <w:szCs w:val="18"/>
        </w:rPr>
        <w:t xml:space="preserve">16PAHs ranged between </w:t>
      </w:r>
      <w:r>
        <w:rPr>
          <w:rFonts w:ascii="Times New Roman" w:hAnsi="Times New Roman"/>
          <w:sz w:val="18"/>
          <w:szCs w:val="18"/>
        </w:rPr>
        <w:t>0.1137mg/kg to 5.6491mg/kg. Samples from the main dumpsite and the mechanic workshops had highest PAHs concentrations of 5.6491mg/kg and 3.6529mg/kg respectively. The distribution of PAHs ring size is in the order of 3˃4˃5˃6˃2.</w:t>
      </w:r>
      <w:r>
        <w:rPr>
          <w:rFonts w:ascii="Times New Roman" w:hAnsi="Times New Roman"/>
          <w:iCs/>
          <w:sz w:val="18"/>
          <w:szCs w:val="18"/>
        </w:rPr>
        <w:t xml:space="preserve"> Carcinogenic fractions represent 34.74% of the total PAHs. The total concentration of carcinogenic PAHs ranged from 0.06425mg/kg to 1.6775mg/kg.  Diagnostic ratios of PAHs indicate that pyrogenic activities are major sources of PAHs. The study had revealed increasing accumulation of carcinogenic PAHs in soil within the vicinity of the dumpsite.</w:t>
      </w:r>
    </w:p>
    <w:p w:rsidR="0079209E" w:rsidRDefault="0079209E" w:rsidP="0079209E">
      <w:pPr>
        <w:autoSpaceDE w:val="0"/>
        <w:autoSpaceDN w:val="0"/>
        <w:adjustRightInd w:val="0"/>
        <w:spacing w:after="0" w:line="240" w:lineRule="auto"/>
        <w:jc w:val="both"/>
        <w:rPr>
          <w:rFonts w:ascii="Times New Roman" w:hAnsi="Times New Roman"/>
          <w:b/>
          <w:sz w:val="18"/>
          <w:szCs w:val="18"/>
        </w:rPr>
      </w:pPr>
    </w:p>
    <w:p w:rsidR="0079209E" w:rsidRDefault="0079209E" w:rsidP="0079209E">
      <w:pPr>
        <w:autoSpaceDE w:val="0"/>
        <w:autoSpaceDN w:val="0"/>
        <w:adjustRightInd w:val="0"/>
        <w:spacing w:after="0" w:line="240" w:lineRule="auto"/>
        <w:ind w:left="1350" w:hanging="1350"/>
        <w:rPr>
          <w:rFonts w:ascii="Times New Roman" w:hAnsi="Times New Roman"/>
          <w:sz w:val="18"/>
          <w:szCs w:val="18"/>
        </w:rPr>
      </w:pPr>
      <w:r>
        <w:rPr>
          <w:rFonts w:ascii="Times New Roman" w:hAnsi="Times New Roman"/>
          <w:b/>
          <w:sz w:val="18"/>
          <w:szCs w:val="18"/>
        </w:rPr>
        <w:t xml:space="preserve">Keywords: </w:t>
      </w:r>
      <w:r>
        <w:rPr>
          <w:rFonts w:ascii="Times New Roman" w:hAnsi="Times New Roman"/>
          <w:sz w:val="18"/>
          <w:szCs w:val="18"/>
        </w:rPr>
        <w:t>Polycyclic Aromatic Hydrocarbons (PAHs), carcinogenic, dumpsite, toxicity equivalent potency, pyrogenic</w:t>
      </w:r>
    </w:p>
    <w:p w:rsidR="0079209E" w:rsidRDefault="0079209E" w:rsidP="00AE713F">
      <w:pPr>
        <w:spacing w:after="0" w:line="240" w:lineRule="auto"/>
        <w:jc w:val="center"/>
        <w:rPr>
          <w:rFonts w:ascii="Times New Roman" w:hAnsi="Times New Roman"/>
          <w:b/>
          <w:noProof/>
          <w:sz w:val="18"/>
          <w:szCs w:val="18"/>
          <w:lang w:bidi="ar-SA"/>
        </w:rPr>
      </w:pPr>
    </w:p>
    <w:p w:rsidR="006768E9" w:rsidRPr="00F447A7" w:rsidRDefault="006768E9" w:rsidP="00AE713F">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Abstrak</w:t>
      </w:r>
    </w:p>
    <w:p w:rsidR="0079209E" w:rsidRDefault="0079209E" w:rsidP="0079209E">
      <w:pPr>
        <w:spacing w:after="0" w:line="240" w:lineRule="auto"/>
        <w:jc w:val="both"/>
        <w:rPr>
          <w:rFonts w:ascii="Times New Roman" w:hAnsi="Times New Roman"/>
          <w:sz w:val="18"/>
          <w:szCs w:val="18"/>
        </w:rPr>
      </w:pPr>
      <w:r>
        <w:rPr>
          <w:rFonts w:ascii="Times New Roman" w:hAnsi="Times New Roman"/>
          <w:sz w:val="18"/>
          <w:szCs w:val="18"/>
        </w:rPr>
        <w:t xml:space="preserve">Pencemaran tanah di sekitar tapak pembuangan oleh pencemar organik yang toksik dan tahan lama adalah isu alam sekitar yang mendapat perhatian kerana ia bersifat karsinogenik, genotoksik dan kekal di alam sekitar. Tapak pelupusan sisa telah dikenal pasti sebagai sumber berpotensi kehadiran PAHs di dalam tanah. Penilaian aras, taburan dan sumber pencemar PAHs dalam media alam sekitar adalah penting bagi menilai kesan ekotoksikologi dan kesihatan. Kajian ini menilai aras kandungan, taburan, dan sumber PAHs di dalam tanah di sekitar tapak pelupusan Balogun-Birro Osogbo, Nigeria dan kesannya kepada kesihatan manusia. Sampel tanah telah diambil dari 10 titik persampelan di sekitarnya. Aras kandungan 16 USEPA PAHs id dalam tanah ditentukan oleh kromatografi gas – pengesan nyala pengionan (GC-FID).Jumlah kepekatan bagi 16 PAHs di antara julat 0.1137 mg/kg hingga 5.6491 mg/kg. Sampel daripada tapak pelupusan utama dan bengkel mekanik masing – masing merekodkan kepekatan PAHs tertinggi iaitu masing – masing ialah 5.6491 mg/kg dan 3.6529 mg/kg. Taburan PAHs mengikut gelang aromatik adalah mengikut tertib 3˃4˃5˃6˃2. Pecahan karsinogenik mewakili 34.74% daripada jumlah keseluruhan PAHs. Jumlah kepekatan karsinogenik PAHs adalah dari julat 0.06425 mg/kg untuk 1.6775 mg/kg. Nisbah diagnostik PAHs </w:t>
      </w:r>
      <w:r>
        <w:rPr>
          <w:rFonts w:ascii="Times New Roman" w:hAnsi="Times New Roman"/>
          <w:sz w:val="18"/>
          <w:szCs w:val="18"/>
        </w:rPr>
        <w:lastRenderedPageBreak/>
        <w:t>menunjukkan bahawa aktiviti-aktiviti pirogenik adalah sumber utama bagi PAHs. Kajian telah menunjukkan peningkatan penumpukan bagi karsinogenik PAHs di dalam tanah di sekitar tapak pelupusan.</w:t>
      </w:r>
    </w:p>
    <w:p w:rsidR="0079209E" w:rsidRDefault="0079209E" w:rsidP="0079209E">
      <w:pPr>
        <w:spacing w:after="0" w:line="240" w:lineRule="auto"/>
        <w:jc w:val="both"/>
        <w:rPr>
          <w:rFonts w:ascii="Times New Roman" w:hAnsi="Times New Roman"/>
          <w:sz w:val="18"/>
          <w:szCs w:val="18"/>
        </w:rPr>
      </w:pPr>
    </w:p>
    <w:p w:rsidR="0079209E" w:rsidRDefault="0079209E" w:rsidP="0079209E">
      <w:pPr>
        <w:autoSpaceDE w:val="0"/>
        <w:autoSpaceDN w:val="0"/>
        <w:adjustRightInd w:val="0"/>
        <w:spacing w:after="0" w:line="240" w:lineRule="auto"/>
        <w:jc w:val="both"/>
        <w:rPr>
          <w:rFonts w:ascii="Times New Roman" w:hAnsi="Times New Roman"/>
          <w:sz w:val="18"/>
          <w:szCs w:val="18"/>
        </w:rPr>
      </w:pPr>
      <w:r>
        <w:rPr>
          <w:rFonts w:ascii="Times New Roman" w:hAnsi="Times New Roman"/>
          <w:b/>
          <w:sz w:val="18"/>
          <w:szCs w:val="18"/>
        </w:rPr>
        <w:t>Kata kunci</w:t>
      </w:r>
      <w:r>
        <w:rPr>
          <w:rFonts w:ascii="Times New Roman" w:hAnsi="Times New Roman"/>
          <w:sz w:val="18"/>
          <w:szCs w:val="18"/>
        </w:rPr>
        <w:t xml:space="preserve">: </w:t>
      </w:r>
      <w:r>
        <w:rPr>
          <w:rFonts w:ascii="Times New Roman" w:hAnsi="Times New Roman"/>
          <w:bCs/>
          <w:color w:val="000000"/>
          <w:sz w:val="18"/>
          <w:szCs w:val="18"/>
        </w:rPr>
        <w:t>Polisiklik Aromatik Hidrokarbon, karsinogenik, tapak pelupusan, potensi ketoksikan, pirogenik</w:t>
      </w:r>
    </w:p>
    <w:p w:rsidR="006768E9" w:rsidRDefault="006768E9" w:rsidP="0079209E">
      <w:pPr>
        <w:spacing w:after="0" w:line="240" w:lineRule="auto"/>
        <w:jc w:val="center"/>
        <w:rPr>
          <w:rFonts w:ascii="Times New Roman" w:hAnsi="Times New Roman"/>
          <w:noProof/>
          <w:sz w:val="20"/>
          <w:szCs w:val="20"/>
          <w:lang w:bidi="ar-SA"/>
        </w:rPr>
      </w:pPr>
    </w:p>
    <w:p w:rsidR="0079209E" w:rsidRPr="00BE7C30" w:rsidRDefault="0079209E" w:rsidP="0079209E">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79209E" w:rsidRDefault="0079209E" w:rsidP="0079209E">
      <w:pPr>
        <w:spacing w:after="0" w:line="240" w:lineRule="auto"/>
        <w:jc w:val="both"/>
        <w:rPr>
          <w:rFonts w:ascii="Times New Roman" w:hAnsi="Times New Roman"/>
          <w:sz w:val="20"/>
          <w:szCs w:val="20"/>
        </w:rPr>
      </w:pPr>
      <w:r>
        <w:rPr>
          <w:rFonts w:ascii="Times New Roman" w:hAnsi="Times New Roman"/>
          <w:sz w:val="20"/>
          <w:szCs w:val="20"/>
        </w:rPr>
        <w:t>Environmental pollution by toxic and persistent organic pollutants is a widespread problem facing major cities in developing countries. Over the past three decades, there has been increasing concern over the public health issues attributed to environmental pollution in developing countries.  The World Health Organization (WHO) estimated that 23% of deaths in developing countries are attributed to environmental factors and over two hundred million people globally may be affected by exposure to persistent and toxic substances [1, 2]. Polycyclic aromatic hydrocarbons (PAHs), Polychlorinated biphenyls (PCBs), Pesticides and heavy metals have been identified as toxic and persistent xenobiotic pollutants accumulating in environmental media and pose serious health risk [3].</w:t>
      </w:r>
    </w:p>
    <w:p w:rsidR="0079209E" w:rsidRDefault="0079209E" w:rsidP="0079209E">
      <w:pPr>
        <w:spacing w:after="0" w:line="240" w:lineRule="auto"/>
        <w:jc w:val="both"/>
        <w:rPr>
          <w:rFonts w:ascii="Times New Roman" w:hAnsi="Times New Roman"/>
          <w:sz w:val="20"/>
          <w:szCs w:val="20"/>
        </w:rPr>
      </w:pPr>
    </w:p>
    <w:p w:rsidR="0079209E" w:rsidRDefault="0079209E" w:rsidP="0079209E">
      <w:pPr>
        <w:spacing w:after="0" w:line="240" w:lineRule="auto"/>
        <w:jc w:val="both"/>
        <w:rPr>
          <w:rFonts w:ascii="Times New Roman" w:hAnsi="Times New Roman"/>
          <w:sz w:val="20"/>
          <w:szCs w:val="20"/>
        </w:rPr>
      </w:pPr>
      <w:r>
        <w:rPr>
          <w:rFonts w:ascii="Times New Roman" w:hAnsi="Times New Roman"/>
          <w:sz w:val="20"/>
          <w:szCs w:val="20"/>
        </w:rPr>
        <w:t xml:space="preserve">Lack of proper waste management facilities is one of the leading causes of environmental pollution and degradation in developing countries. Increasing population and development of small scale industries have led to an increase in the generation of domestic and industrial wastes in most cities and major towns in Nigeria. However, there is no regulation on the proper management of these wastes.  Most cities lack proper waste disposal facilities [4, 5], heaps and accumulation of waste are seen in open dumpsites which lack proper treatment facilities [6]. The manners in which wastes are disposed are creating serious health and environmental problems. Studies have shown that soils and groundwater aquifers have been polluted due to disposal of wastes in open waste dumpsites [7-9].  Dumpsites are the oldest form and unorganized method of waste treatment [10]. </w:t>
      </w:r>
    </w:p>
    <w:p w:rsidR="0079209E" w:rsidRDefault="0079209E" w:rsidP="0079209E">
      <w:pPr>
        <w:spacing w:after="0" w:line="240" w:lineRule="auto"/>
        <w:jc w:val="both"/>
        <w:rPr>
          <w:rFonts w:ascii="Times New Roman" w:hAnsi="Times New Roman"/>
          <w:sz w:val="20"/>
          <w:szCs w:val="20"/>
        </w:rPr>
      </w:pPr>
    </w:p>
    <w:p w:rsidR="0079209E" w:rsidRDefault="0079209E" w:rsidP="0079209E">
      <w:pPr>
        <w:spacing w:after="0" w:line="240" w:lineRule="auto"/>
        <w:jc w:val="both"/>
        <w:rPr>
          <w:rFonts w:ascii="Times New Roman" w:hAnsi="Times New Roman"/>
          <w:sz w:val="20"/>
          <w:szCs w:val="20"/>
        </w:rPr>
      </w:pPr>
      <w:r>
        <w:rPr>
          <w:rFonts w:ascii="Times New Roman" w:hAnsi="Times New Roman"/>
          <w:sz w:val="20"/>
          <w:szCs w:val="20"/>
        </w:rPr>
        <w:t xml:space="preserve"> In Nigeria, wastes are dumped in open dumpsites scattered around many cities and major towns without consideration of environmental and health impacts. Most dumpsites are located within the vicinity of living communities. People living within this vicinity of dumpsites may be at greater risk of potential exposure to toxic pollutants through exposure to contaminated soil, groundwater and air [11, 12].  Heavy pollution of dumpsite may results in an elevated accumulation of contaminants in soil and groundwater aquifer. In Nigeria, studies on assessment of toxic pollutants in dumpsites have been carried out by many researcher but most studies are focused on the pollution of soil and groundwater aquifer within the vicinity of dumpsites by heavy metals [10-15] without consideration of the effect of other pollutants such as PAHs. However, waste disposal sites can be a concentrated source of PAHs on a local scale [16, 17]. Few studies have been reported on the assessment, and toxicity potential of PAHs contaminated soil within the vicinity of dumpsites. </w:t>
      </w:r>
    </w:p>
    <w:p w:rsidR="0079209E" w:rsidRDefault="0079209E" w:rsidP="0079209E">
      <w:pPr>
        <w:spacing w:after="0" w:line="240" w:lineRule="auto"/>
        <w:jc w:val="both"/>
        <w:rPr>
          <w:rFonts w:ascii="Times New Roman" w:hAnsi="Times New Roman"/>
          <w:sz w:val="20"/>
          <w:szCs w:val="20"/>
        </w:rPr>
      </w:pPr>
    </w:p>
    <w:p w:rsidR="0079209E" w:rsidRDefault="0079209E" w:rsidP="0079209E">
      <w:pPr>
        <w:spacing w:after="0" w:line="240" w:lineRule="auto"/>
        <w:jc w:val="both"/>
        <w:rPr>
          <w:rFonts w:ascii="Times New Roman" w:hAnsi="Times New Roman"/>
          <w:sz w:val="20"/>
          <w:szCs w:val="20"/>
        </w:rPr>
      </w:pPr>
      <w:r>
        <w:rPr>
          <w:rFonts w:ascii="Times New Roman" w:hAnsi="Times New Roman"/>
          <w:sz w:val="20"/>
          <w:szCs w:val="20"/>
        </w:rPr>
        <w:t xml:space="preserve">Polycyclic aromatic hydrocarbons (PAHs) are some of the most widely spread organic pollutants in the environment [18, 19]. PAHs occur naturally in fossil fuel and are products of incomplete combustion of organic matter [20- 22] and they are found in soil, water, air and sediments [23]. It has been estimated that about 90% of total environmental burden of PAHs reside in surface soil [24]. Tang </w:t>
      </w:r>
      <w:r>
        <w:rPr>
          <w:rFonts w:ascii="Times New Roman" w:hAnsi="Times New Roman"/>
          <w:i/>
          <w:sz w:val="20"/>
          <w:szCs w:val="20"/>
        </w:rPr>
        <w:t>et al.,</w:t>
      </w:r>
      <w:r>
        <w:rPr>
          <w:rFonts w:ascii="Times New Roman" w:hAnsi="Times New Roman"/>
          <w:sz w:val="20"/>
          <w:szCs w:val="20"/>
        </w:rPr>
        <w:t xml:space="preserve"> [25], observed that adsorption, transportation and partitioning mechanism of organic pollutants including PAHs in soil and sediments is determined by the organic carbon content. Environmental concerns have been focused on PAHs due to their immunotoxicity, genotoxicity, reproductive toxicity and carcinogenic potential [26, 27]. The United States Environment Programme (USEPA), have identified 16 PAHs as priority pollutants that require environmental monitoring. These include naphthalene, acenaphthylene, acenaphthene, fluorene, phenanthrene, anthracene, fluoranthene, pyrene, benzo(a) anthracene, chrysene, benzo(k)fluoranthene, benzo(b)fluoranthene, benzo(a)pyrene, dibenzo(a,h)anthraces, benzo(g,h,i)perylene and  indeno(1,2,3cd)pyrene [28]. The International Agency on cancer Research have identified seven PAHs as potential carcinogen [28-30]. Investigation of spatial distribution, source and level of PAHs in contaminated soil would help to identify the associated risk. The aims of this study are to investigate the concentration, sources and distribution of PAHs in soil and to assess the potential impact of PAHs on the health of people living within the vicinity of Balogun-Birro, dumpsite in Oshogbo, South West Nigeria. </w:t>
      </w:r>
    </w:p>
    <w:p w:rsidR="006768E9" w:rsidRDefault="006768E9" w:rsidP="0079209E">
      <w:pPr>
        <w:spacing w:after="0" w:line="240" w:lineRule="auto"/>
        <w:jc w:val="center"/>
        <w:rPr>
          <w:rFonts w:ascii="Times New Roman" w:hAnsi="Times New Roman"/>
          <w:noProof/>
          <w:sz w:val="20"/>
          <w:szCs w:val="20"/>
          <w:lang w:bidi="ar-SA"/>
        </w:rPr>
      </w:pPr>
    </w:p>
    <w:p w:rsidR="0079209E" w:rsidRDefault="0079209E" w:rsidP="0079209E">
      <w:pPr>
        <w:spacing w:after="0" w:line="240" w:lineRule="auto"/>
        <w:jc w:val="center"/>
        <w:rPr>
          <w:rFonts w:ascii="Times New Roman" w:hAnsi="Times New Roman"/>
          <w:noProof/>
          <w:sz w:val="20"/>
          <w:szCs w:val="20"/>
          <w:lang w:bidi="ar-SA"/>
        </w:rPr>
      </w:pPr>
    </w:p>
    <w:p w:rsidR="0079209E" w:rsidRDefault="0079209E" w:rsidP="0079209E">
      <w:pPr>
        <w:spacing w:after="0" w:line="240" w:lineRule="auto"/>
        <w:jc w:val="center"/>
        <w:rPr>
          <w:rFonts w:ascii="Times New Roman" w:hAnsi="Times New Roman"/>
          <w:noProof/>
          <w:sz w:val="20"/>
          <w:szCs w:val="20"/>
          <w:lang w:bidi="ar-SA"/>
        </w:rPr>
      </w:pPr>
    </w:p>
    <w:p w:rsidR="0079209E" w:rsidRPr="00F447A7" w:rsidRDefault="0079209E" w:rsidP="0079209E">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Materials and Methods</w:t>
      </w:r>
    </w:p>
    <w:p w:rsidR="0079209E" w:rsidRDefault="0079209E" w:rsidP="0079209E">
      <w:pPr>
        <w:pStyle w:val="ListParagraph"/>
        <w:autoSpaceDE w:val="0"/>
        <w:autoSpaceDN w:val="0"/>
        <w:adjustRightInd w:val="0"/>
        <w:spacing w:after="0" w:line="240" w:lineRule="auto"/>
        <w:ind w:left="0"/>
        <w:jc w:val="both"/>
        <w:rPr>
          <w:rFonts w:ascii="Times New Roman" w:hAnsi="Times New Roman"/>
          <w:b/>
          <w:sz w:val="20"/>
          <w:szCs w:val="20"/>
        </w:rPr>
      </w:pPr>
      <w:r>
        <w:rPr>
          <w:rFonts w:ascii="Times New Roman" w:hAnsi="Times New Roman"/>
          <w:b/>
          <w:sz w:val="20"/>
          <w:szCs w:val="20"/>
        </w:rPr>
        <w:t xml:space="preserve">Description of Study Area </w:t>
      </w:r>
    </w:p>
    <w:p w:rsidR="0079209E" w:rsidRDefault="0079209E" w:rsidP="0079209E">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The Balogun-Birro dumpsite is a municipal open dumpsite located at the Oke-Bale area of Oshogbo in Osun State, South West Nigeria. It is the main dumping site receiving most of the solid waste from the area. It is located at latitude 07°46</w:t>
      </w:r>
      <w:r>
        <w:rPr>
          <w:rFonts w:ascii="Times New Roman" w:hAnsi="Times New Roman"/>
          <w:sz w:val="20"/>
          <w:szCs w:val="20"/>
          <w:vertAlign w:val="superscript"/>
        </w:rPr>
        <w:t>I</w:t>
      </w:r>
      <w:r>
        <w:rPr>
          <w:rFonts w:ascii="Times New Roman" w:hAnsi="Times New Roman"/>
          <w:sz w:val="20"/>
          <w:szCs w:val="20"/>
        </w:rPr>
        <w:t xml:space="preserve"> N and longitude 0° 43</w:t>
      </w:r>
      <w:r>
        <w:rPr>
          <w:rFonts w:ascii="Times New Roman" w:hAnsi="Times New Roman"/>
          <w:sz w:val="20"/>
          <w:szCs w:val="20"/>
          <w:vertAlign w:val="superscript"/>
        </w:rPr>
        <w:t>I</w:t>
      </w:r>
      <w:r>
        <w:rPr>
          <w:rFonts w:ascii="Times New Roman" w:hAnsi="Times New Roman"/>
          <w:sz w:val="20"/>
          <w:szCs w:val="20"/>
        </w:rPr>
        <w:t xml:space="preserve">E. Figure 1, shows the map of Osogbo with an insert of the sampling points. The site is surrounded by residential buildings and auto repair workshops. Dumping at the site is unrestricted and contains mixtures of both organic and inorganic waste materials, including organic industrial, agricultural, domestic, medical wastes and other miscellaneous materials such as used engine oil, metals and ash. Waste are burnt indiscriminately on the dumpsite without proper regulation on the toxic effect of such waste polluting the atmosphere and toxic pollutants from the wastes may leached into soil, contaminating groundwater aquifer within the area and may also run off into nearby surface water bodies thus extending environmental and health risks to the communities living within the vicinity as well as those using the runoff receiving water bodies for domestic and agricultural purposes. </w:t>
      </w:r>
    </w:p>
    <w:p w:rsidR="0079209E" w:rsidRDefault="0079209E" w:rsidP="0079209E">
      <w:pPr>
        <w:pStyle w:val="ListParagraph"/>
        <w:autoSpaceDE w:val="0"/>
        <w:autoSpaceDN w:val="0"/>
        <w:adjustRightInd w:val="0"/>
        <w:spacing w:after="0" w:line="240" w:lineRule="auto"/>
        <w:ind w:left="0"/>
        <w:jc w:val="both"/>
        <w:rPr>
          <w:rFonts w:ascii="Times New Roman" w:hAnsi="Times New Roman"/>
          <w:b/>
          <w:sz w:val="20"/>
          <w:szCs w:val="20"/>
        </w:rPr>
      </w:pPr>
    </w:p>
    <w:p w:rsidR="0079209E" w:rsidRDefault="0079209E" w:rsidP="0079209E">
      <w:pPr>
        <w:autoSpaceDE w:val="0"/>
        <w:autoSpaceDN w:val="0"/>
        <w:adjustRightInd w:val="0"/>
        <w:spacing w:after="0" w:line="240" w:lineRule="auto"/>
        <w:jc w:val="both"/>
        <w:rPr>
          <w:rFonts w:ascii="Times New Roman" w:hAnsi="Times New Roman"/>
          <w:sz w:val="20"/>
          <w:szCs w:val="20"/>
        </w:rPr>
      </w:pPr>
    </w:p>
    <w:p w:rsidR="0079209E" w:rsidRDefault="0079209E" w:rsidP="0079209E">
      <w:pPr>
        <w:autoSpaceDE w:val="0"/>
        <w:autoSpaceDN w:val="0"/>
        <w:adjustRightInd w:val="0"/>
        <w:spacing w:after="0" w:line="240" w:lineRule="auto"/>
        <w:jc w:val="center"/>
        <w:rPr>
          <w:rFonts w:ascii="Times New Roman" w:hAnsi="Times New Roman"/>
          <w:sz w:val="20"/>
          <w:szCs w:val="20"/>
        </w:rPr>
      </w:pPr>
      <w:r>
        <w:rPr>
          <w:rFonts w:ascii="Times New Roman" w:hAnsi="Times New Roman"/>
          <w:noProof/>
          <w:sz w:val="20"/>
          <w:szCs w:val="20"/>
          <w:lang w:bidi="ar-SA"/>
        </w:rPr>
        <w:drawing>
          <wp:inline distT="0" distB="0" distL="0" distR="0">
            <wp:extent cx="5448300" cy="42767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48300" cy="4276725"/>
                    </a:xfrm>
                    <a:prstGeom prst="rect">
                      <a:avLst/>
                    </a:prstGeom>
                    <a:noFill/>
                    <a:ln>
                      <a:noFill/>
                    </a:ln>
                  </pic:spPr>
                </pic:pic>
              </a:graphicData>
            </a:graphic>
          </wp:inline>
        </w:drawing>
      </w:r>
    </w:p>
    <w:p w:rsidR="0079209E" w:rsidRDefault="0079209E" w:rsidP="0079209E">
      <w:pPr>
        <w:pStyle w:val="Caption"/>
        <w:spacing w:after="0" w:line="240" w:lineRule="auto"/>
        <w:ind w:left="851" w:hanging="851"/>
        <w:jc w:val="both"/>
        <w:rPr>
          <w:rFonts w:ascii="Times New Roman" w:hAnsi="Times New Roman"/>
          <w:b w:val="0"/>
        </w:rPr>
      </w:pPr>
    </w:p>
    <w:p w:rsidR="0079209E" w:rsidRDefault="0079209E" w:rsidP="0079209E">
      <w:pPr>
        <w:pStyle w:val="Caption"/>
        <w:spacing w:after="0" w:line="240" w:lineRule="auto"/>
        <w:ind w:left="851" w:hanging="851"/>
        <w:jc w:val="both"/>
        <w:rPr>
          <w:rFonts w:ascii="Times New Roman" w:hAnsi="Times New Roman"/>
          <w:b w:val="0"/>
        </w:rPr>
      </w:pPr>
      <w:r>
        <w:rPr>
          <w:rFonts w:ascii="Times New Roman" w:hAnsi="Times New Roman"/>
          <w:b w:val="0"/>
        </w:rPr>
        <w:t xml:space="preserve">Figure </w:t>
      </w:r>
      <w:r>
        <w:rPr>
          <w:rFonts w:ascii="Times New Roman" w:hAnsi="Times New Roman"/>
          <w:b w:val="0"/>
        </w:rPr>
        <w:fldChar w:fldCharType="begin"/>
      </w:r>
      <w:r>
        <w:rPr>
          <w:rFonts w:ascii="Times New Roman" w:hAnsi="Times New Roman"/>
          <w:b w:val="0"/>
        </w:rPr>
        <w:instrText xml:space="preserve"> SEQ Figure \* ARABIC </w:instrText>
      </w:r>
      <w:r>
        <w:rPr>
          <w:rFonts w:ascii="Times New Roman" w:hAnsi="Times New Roman"/>
          <w:b w:val="0"/>
        </w:rPr>
        <w:fldChar w:fldCharType="separate"/>
      </w:r>
      <w:r w:rsidR="00B71DD6">
        <w:rPr>
          <w:rFonts w:ascii="Times New Roman" w:hAnsi="Times New Roman"/>
          <w:b w:val="0"/>
          <w:noProof/>
        </w:rPr>
        <w:t>1</w:t>
      </w:r>
      <w:r>
        <w:rPr>
          <w:rFonts w:ascii="Times New Roman" w:hAnsi="Times New Roman"/>
          <w:b w:val="0"/>
        </w:rPr>
        <w:fldChar w:fldCharType="end"/>
      </w:r>
      <w:r>
        <w:rPr>
          <w:rFonts w:ascii="Times New Roman" w:hAnsi="Times New Roman"/>
          <w:b w:val="0"/>
        </w:rPr>
        <w:t xml:space="preserve">. </w:t>
      </w:r>
      <w:r>
        <w:rPr>
          <w:rFonts w:ascii="Times New Roman" w:hAnsi="Times New Roman"/>
          <w:b w:val="0"/>
        </w:rPr>
        <w:tab/>
        <w:t>Extract map of Oshogbo showing the study area and insert of base map of the study site showing the sampling coordinates.</w:t>
      </w:r>
    </w:p>
    <w:p w:rsidR="0079209E" w:rsidRDefault="0079209E" w:rsidP="0079209E">
      <w:pPr>
        <w:spacing w:after="0" w:line="240" w:lineRule="auto"/>
        <w:jc w:val="both"/>
        <w:rPr>
          <w:rFonts w:ascii="Times New Roman" w:hAnsi="Times New Roman"/>
          <w:sz w:val="20"/>
          <w:szCs w:val="20"/>
        </w:rPr>
      </w:pPr>
    </w:p>
    <w:p w:rsidR="0079209E" w:rsidRDefault="0079209E" w:rsidP="0079209E">
      <w:pPr>
        <w:spacing w:after="0" w:line="240" w:lineRule="auto"/>
        <w:jc w:val="both"/>
        <w:rPr>
          <w:rFonts w:ascii="Times New Roman" w:hAnsi="Times New Roman"/>
          <w:sz w:val="20"/>
          <w:szCs w:val="20"/>
        </w:rPr>
      </w:pPr>
    </w:p>
    <w:p w:rsidR="0079209E" w:rsidRDefault="0079209E" w:rsidP="0079209E">
      <w:pPr>
        <w:pStyle w:val="ListParagraph"/>
        <w:autoSpaceDE w:val="0"/>
        <w:autoSpaceDN w:val="0"/>
        <w:adjustRightInd w:val="0"/>
        <w:spacing w:after="0" w:line="240" w:lineRule="auto"/>
        <w:ind w:left="0"/>
        <w:jc w:val="both"/>
        <w:rPr>
          <w:rFonts w:ascii="Times New Roman" w:hAnsi="Times New Roman"/>
          <w:b/>
          <w:sz w:val="20"/>
          <w:szCs w:val="20"/>
        </w:rPr>
      </w:pPr>
      <w:r>
        <w:rPr>
          <w:rFonts w:ascii="Times New Roman" w:hAnsi="Times New Roman"/>
          <w:b/>
          <w:sz w:val="20"/>
          <w:szCs w:val="20"/>
        </w:rPr>
        <w:t>Sampling and Samples Collection</w:t>
      </w:r>
    </w:p>
    <w:p w:rsidR="0079209E" w:rsidRDefault="0079209E" w:rsidP="0079209E">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Top soil samples were collected in February 2012 at an interval of 50m, from ten different sampling points within the vicinity of the Balogun Biiro dumpsite in Oshogbo Nigeria (Figure 1). Duplicate samples were collected from each point and composited to represent samples from each point.  Table 1 shows the sampling point description and </w:t>
      </w:r>
      <w:r>
        <w:rPr>
          <w:rFonts w:ascii="Times New Roman" w:hAnsi="Times New Roman"/>
          <w:sz w:val="20"/>
          <w:szCs w:val="20"/>
        </w:rPr>
        <w:lastRenderedPageBreak/>
        <w:t>coordinate. The sampling points were labeled S1, S2, S3, S4, S5, S6, S7, S8, S9 and S10. Soil samples were collected at 0-10cm deep at each of the sampling point with a soil auger and stored in a stainless steel lined with aluminum foil. Samples were air dried at room temperature, ground and sieved with a 5mm mesh size and wrapped with aluminum foil and stored at room temperature prior to analysis.</w:t>
      </w:r>
    </w:p>
    <w:p w:rsidR="0079209E" w:rsidRDefault="0079209E" w:rsidP="0079209E">
      <w:pPr>
        <w:spacing w:after="0" w:line="240" w:lineRule="auto"/>
        <w:jc w:val="both"/>
        <w:rPr>
          <w:rFonts w:ascii="Times New Roman" w:hAnsi="Times New Roman"/>
          <w:sz w:val="20"/>
          <w:szCs w:val="20"/>
        </w:rPr>
      </w:pPr>
    </w:p>
    <w:p w:rsidR="0079209E" w:rsidRDefault="0079209E" w:rsidP="0079209E">
      <w:pPr>
        <w:spacing w:after="0" w:line="240" w:lineRule="auto"/>
        <w:jc w:val="both"/>
        <w:rPr>
          <w:rFonts w:ascii="Times New Roman" w:hAnsi="Times New Roman"/>
          <w:sz w:val="20"/>
          <w:szCs w:val="20"/>
        </w:rPr>
      </w:pPr>
    </w:p>
    <w:p w:rsidR="0079209E" w:rsidRDefault="0079209E" w:rsidP="0079209E">
      <w:pPr>
        <w:spacing w:after="0" w:line="240" w:lineRule="auto"/>
        <w:jc w:val="center"/>
        <w:rPr>
          <w:rFonts w:ascii="Times New Roman" w:hAnsi="Times New Roman"/>
          <w:sz w:val="20"/>
          <w:szCs w:val="20"/>
        </w:rPr>
      </w:pPr>
      <w:r>
        <w:rPr>
          <w:rFonts w:ascii="Times New Roman" w:hAnsi="Times New Roman"/>
          <w:sz w:val="20"/>
          <w:szCs w:val="20"/>
        </w:rPr>
        <w:t>Table 1.  Description of Sampling Point</w:t>
      </w:r>
    </w:p>
    <w:tbl>
      <w:tblPr>
        <w:tblpPr w:leftFromText="180" w:rightFromText="180" w:vertAnchor="text" w:horzAnchor="margin" w:tblpXSpec="center" w:tblpY="162"/>
        <w:tblW w:w="8970" w:type="dxa"/>
        <w:tblBorders>
          <w:top w:val="single" w:sz="4" w:space="0" w:color="auto"/>
          <w:bottom w:val="single" w:sz="4" w:space="0" w:color="auto"/>
        </w:tblBorders>
        <w:tblLayout w:type="fixed"/>
        <w:tblLook w:val="04A0" w:firstRow="1" w:lastRow="0" w:firstColumn="1" w:lastColumn="0" w:noHBand="0" w:noVBand="1"/>
      </w:tblPr>
      <w:tblGrid>
        <w:gridCol w:w="1427"/>
        <w:gridCol w:w="2963"/>
        <w:gridCol w:w="4580"/>
      </w:tblGrid>
      <w:tr w:rsidR="0079209E" w:rsidTr="0079209E">
        <w:trPr>
          <w:trHeight w:val="294"/>
        </w:trPr>
        <w:tc>
          <w:tcPr>
            <w:tcW w:w="1427" w:type="dxa"/>
            <w:tcBorders>
              <w:top w:val="single" w:sz="4" w:space="0" w:color="auto"/>
              <w:left w:val="nil"/>
              <w:bottom w:val="single" w:sz="4" w:space="0" w:color="auto"/>
              <w:right w:val="nil"/>
            </w:tcBorders>
            <w:vAlign w:val="center"/>
            <w:hideMark/>
          </w:tcPr>
          <w:p w:rsidR="0079209E" w:rsidRDefault="0079209E">
            <w:pPr>
              <w:autoSpaceDE w:val="0"/>
              <w:autoSpaceDN w:val="0"/>
              <w:adjustRightInd w:val="0"/>
              <w:spacing w:before="60" w:after="60" w:line="240" w:lineRule="auto"/>
              <w:jc w:val="both"/>
              <w:rPr>
                <w:rFonts w:ascii="Times New Roman" w:hAnsi="Times New Roman"/>
                <w:b/>
                <w:sz w:val="20"/>
                <w:szCs w:val="20"/>
              </w:rPr>
            </w:pPr>
            <w:r>
              <w:rPr>
                <w:rFonts w:ascii="Times New Roman" w:hAnsi="Times New Roman"/>
                <w:b/>
                <w:sz w:val="20"/>
                <w:szCs w:val="20"/>
              </w:rPr>
              <w:t>Sampling Point</w:t>
            </w:r>
          </w:p>
        </w:tc>
        <w:tc>
          <w:tcPr>
            <w:tcW w:w="2965" w:type="dxa"/>
            <w:tcBorders>
              <w:top w:val="single" w:sz="4" w:space="0" w:color="auto"/>
              <w:left w:val="nil"/>
              <w:bottom w:val="single" w:sz="4" w:space="0" w:color="auto"/>
              <w:right w:val="nil"/>
            </w:tcBorders>
            <w:vAlign w:val="center"/>
            <w:hideMark/>
          </w:tcPr>
          <w:p w:rsidR="0079209E" w:rsidRDefault="0079209E">
            <w:pPr>
              <w:autoSpaceDE w:val="0"/>
              <w:autoSpaceDN w:val="0"/>
              <w:adjustRightInd w:val="0"/>
              <w:spacing w:after="0" w:line="240" w:lineRule="auto"/>
              <w:jc w:val="both"/>
              <w:rPr>
                <w:rFonts w:ascii="Times New Roman" w:hAnsi="Times New Roman"/>
                <w:b/>
                <w:sz w:val="20"/>
                <w:szCs w:val="20"/>
              </w:rPr>
            </w:pPr>
            <w:r>
              <w:rPr>
                <w:rFonts w:ascii="Times New Roman" w:hAnsi="Times New Roman"/>
                <w:b/>
                <w:sz w:val="20"/>
                <w:szCs w:val="20"/>
              </w:rPr>
              <w:t>Coordinate</w:t>
            </w:r>
          </w:p>
        </w:tc>
        <w:tc>
          <w:tcPr>
            <w:tcW w:w="4583" w:type="dxa"/>
            <w:tcBorders>
              <w:top w:val="single" w:sz="4" w:space="0" w:color="auto"/>
              <w:left w:val="nil"/>
              <w:bottom w:val="single" w:sz="4" w:space="0" w:color="auto"/>
              <w:right w:val="nil"/>
            </w:tcBorders>
            <w:vAlign w:val="center"/>
            <w:hideMark/>
          </w:tcPr>
          <w:p w:rsidR="0079209E" w:rsidRDefault="0079209E">
            <w:pPr>
              <w:autoSpaceDE w:val="0"/>
              <w:autoSpaceDN w:val="0"/>
              <w:adjustRightInd w:val="0"/>
              <w:spacing w:after="0" w:line="240" w:lineRule="auto"/>
              <w:jc w:val="both"/>
              <w:rPr>
                <w:rFonts w:ascii="Times New Roman" w:hAnsi="Times New Roman"/>
                <w:b/>
                <w:sz w:val="20"/>
                <w:szCs w:val="20"/>
              </w:rPr>
            </w:pPr>
            <w:r>
              <w:rPr>
                <w:rFonts w:ascii="Times New Roman" w:hAnsi="Times New Roman"/>
                <w:b/>
                <w:sz w:val="20"/>
                <w:szCs w:val="20"/>
              </w:rPr>
              <w:t>Description of Related Activities</w:t>
            </w:r>
          </w:p>
        </w:tc>
      </w:tr>
      <w:tr w:rsidR="0079209E" w:rsidTr="0079209E">
        <w:trPr>
          <w:trHeight w:val="294"/>
        </w:trPr>
        <w:tc>
          <w:tcPr>
            <w:tcW w:w="1427" w:type="dxa"/>
            <w:tcBorders>
              <w:top w:val="single" w:sz="4" w:space="0" w:color="auto"/>
              <w:left w:val="nil"/>
              <w:bottom w:val="nil"/>
              <w:right w:val="nil"/>
            </w:tcBorders>
            <w:vAlign w:val="center"/>
            <w:hideMark/>
          </w:tcPr>
          <w:p w:rsidR="0079209E" w:rsidRDefault="0079209E">
            <w:pPr>
              <w:autoSpaceDE w:val="0"/>
              <w:autoSpaceDN w:val="0"/>
              <w:adjustRightInd w:val="0"/>
              <w:spacing w:before="120" w:after="0" w:line="240" w:lineRule="auto"/>
              <w:jc w:val="both"/>
              <w:rPr>
                <w:rFonts w:ascii="Times New Roman" w:hAnsi="Times New Roman"/>
                <w:sz w:val="20"/>
                <w:szCs w:val="20"/>
              </w:rPr>
            </w:pPr>
            <w:r>
              <w:rPr>
                <w:rFonts w:ascii="Times New Roman" w:hAnsi="Times New Roman"/>
                <w:sz w:val="20"/>
                <w:szCs w:val="20"/>
              </w:rPr>
              <w:t>S1</w:t>
            </w:r>
          </w:p>
        </w:tc>
        <w:tc>
          <w:tcPr>
            <w:tcW w:w="2965" w:type="dxa"/>
            <w:tcBorders>
              <w:top w:val="single" w:sz="4" w:space="0" w:color="auto"/>
              <w:left w:val="nil"/>
              <w:bottom w:val="nil"/>
              <w:right w:val="nil"/>
            </w:tcBorders>
            <w:vAlign w:val="center"/>
            <w:hideMark/>
          </w:tcPr>
          <w:p w:rsidR="0079209E" w:rsidRDefault="0079209E">
            <w:pPr>
              <w:autoSpaceDE w:val="0"/>
              <w:autoSpaceDN w:val="0"/>
              <w:adjustRightInd w:val="0"/>
              <w:spacing w:before="120" w:after="0" w:line="240" w:lineRule="auto"/>
              <w:jc w:val="both"/>
              <w:rPr>
                <w:rFonts w:ascii="Times New Roman" w:hAnsi="Times New Roman"/>
                <w:b/>
                <w:sz w:val="20"/>
                <w:szCs w:val="20"/>
              </w:rPr>
            </w:pPr>
            <w:r>
              <w:rPr>
                <w:rFonts w:ascii="Times New Roman" w:hAnsi="Times New Roman"/>
                <w:sz w:val="20"/>
                <w:szCs w:val="20"/>
              </w:rPr>
              <w:t>07</w:t>
            </w:r>
            <w:r>
              <w:rPr>
                <w:rFonts w:ascii="Times New Roman" w:hAnsi="Times New Roman"/>
                <w:sz w:val="20"/>
                <w:szCs w:val="20"/>
                <w:vertAlign w:val="superscript"/>
              </w:rPr>
              <w:t>0</w:t>
            </w:r>
            <w:r>
              <w:rPr>
                <w:rFonts w:ascii="Times New Roman" w:hAnsi="Times New Roman"/>
                <w:sz w:val="20"/>
                <w:szCs w:val="20"/>
              </w:rPr>
              <w:t xml:space="preserve"> 46ˈ 18ˈˈ N, 004</w:t>
            </w:r>
            <w:r>
              <w:rPr>
                <w:rFonts w:ascii="Times New Roman" w:hAnsi="Times New Roman"/>
                <w:sz w:val="20"/>
                <w:szCs w:val="20"/>
                <w:vertAlign w:val="superscript"/>
              </w:rPr>
              <w:t>0</w:t>
            </w:r>
            <w:r>
              <w:rPr>
                <w:rFonts w:ascii="Times New Roman" w:hAnsi="Times New Roman"/>
                <w:sz w:val="20"/>
                <w:szCs w:val="20"/>
              </w:rPr>
              <w:t xml:space="preserve"> 34ˈ 18ˈˈ E</w:t>
            </w:r>
          </w:p>
        </w:tc>
        <w:tc>
          <w:tcPr>
            <w:tcW w:w="4583" w:type="dxa"/>
            <w:tcBorders>
              <w:top w:val="single" w:sz="4" w:space="0" w:color="auto"/>
              <w:left w:val="nil"/>
              <w:bottom w:val="nil"/>
              <w:right w:val="nil"/>
            </w:tcBorders>
            <w:vAlign w:val="center"/>
            <w:hideMark/>
          </w:tcPr>
          <w:p w:rsidR="0079209E" w:rsidRDefault="0079209E">
            <w:pPr>
              <w:autoSpaceDE w:val="0"/>
              <w:autoSpaceDN w:val="0"/>
              <w:adjustRightInd w:val="0"/>
              <w:spacing w:before="120" w:after="0" w:line="240" w:lineRule="auto"/>
              <w:jc w:val="both"/>
              <w:rPr>
                <w:rFonts w:ascii="Times New Roman" w:hAnsi="Times New Roman"/>
                <w:b/>
                <w:sz w:val="20"/>
                <w:szCs w:val="20"/>
              </w:rPr>
            </w:pPr>
            <w:r>
              <w:rPr>
                <w:rFonts w:ascii="Times New Roman" w:hAnsi="Times New Roman"/>
                <w:sz w:val="20"/>
                <w:szCs w:val="20"/>
              </w:rPr>
              <w:t>Dumpsite</w:t>
            </w:r>
          </w:p>
        </w:tc>
      </w:tr>
      <w:tr w:rsidR="0079209E" w:rsidTr="0079209E">
        <w:trPr>
          <w:trHeight w:val="294"/>
        </w:trPr>
        <w:tc>
          <w:tcPr>
            <w:tcW w:w="1427" w:type="dxa"/>
            <w:tcBorders>
              <w:top w:val="nil"/>
              <w:left w:val="nil"/>
              <w:bottom w:val="nil"/>
              <w:right w:val="nil"/>
            </w:tcBorders>
            <w:vAlign w:val="center"/>
            <w:hideMark/>
          </w:tcPr>
          <w:p w:rsidR="0079209E" w:rsidRDefault="0079209E">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S2</w:t>
            </w:r>
          </w:p>
        </w:tc>
        <w:tc>
          <w:tcPr>
            <w:tcW w:w="2965" w:type="dxa"/>
            <w:tcBorders>
              <w:top w:val="nil"/>
              <w:left w:val="nil"/>
              <w:bottom w:val="nil"/>
              <w:right w:val="nil"/>
            </w:tcBorders>
            <w:vAlign w:val="center"/>
            <w:hideMark/>
          </w:tcPr>
          <w:p w:rsidR="0079209E" w:rsidRDefault="0079209E">
            <w:pPr>
              <w:autoSpaceDE w:val="0"/>
              <w:autoSpaceDN w:val="0"/>
              <w:adjustRightInd w:val="0"/>
              <w:spacing w:after="0" w:line="240" w:lineRule="auto"/>
              <w:jc w:val="both"/>
              <w:rPr>
                <w:rFonts w:ascii="Times New Roman" w:hAnsi="Times New Roman"/>
                <w:b/>
                <w:sz w:val="20"/>
                <w:szCs w:val="20"/>
              </w:rPr>
            </w:pPr>
            <w:r>
              <w:rPr>
                <w:rFonts w:ascii="Times New Roman" w:hAnsi="Times New Roman"/>
                <w:sz w:val="20"/>
                <w:szCs w:val="20"/>
              </w:rPr>
              <w:t>07</w:t>
            </w:r>
            <w:r>
              <w:rPr>
                <w:rFonts w:ascii="Times New Roman" w:hAnsi="Times New Roman"/>
                <w:sz w:val="20"/>
                <w:szCs w:val="20"/>
                <w:vertAlign w:val="superscript"/>
              </w:rPr>
              <w:t>0</w:t>
            </w:r>
            <w:r>
              <w:rPr>
                <w:rFonts w:ascii="Times New Roman" w:hAnsi="Times New Roman"/>
                <w:sz w:val="20"/>
                <w:szCs w:val="20"/>
              </w:rPr>
              <w:t xml:space="preserve"> 46ˈ 19ˈˈ N, 04</w:t>
            </w:r>
            <w:r>
              <w:rPr>
                <w:rFonts w:ascii="Times New Roman" w:hAnsi="Times New Roman"/>
                <w:sz w:val="20"/>
                <w:szCs w:val="20"/>
                <w:vertAlign w:val="superscript"/>
              </w:rPr>
              <w:t>0</w:t>
            </w:r>
            <w:r>
              <w:rPr>
                <w:rFonts w:ascii="Times New Roman" w:hAnsi="Times New Roman"/>
                <w:sz w:val="20"/>
                <w:szCs w:val="20"/>
              </w:rPr>
              <w:t xml:space="preserve"> 34ˈ 18ˈˈ E</w:t>
            </w:r>
          </w:p>
        </w:tc>
        <w:tc>
          <w:tcPr>
            <w:tcW w:w="4583" w:type="dxa"/>
            <w:tcBorders>
              <w:top w:val="nil"/>
              <w:left w:val="nil"/>
              <w:bottom w:val="nil"/>
              <w:right w:val="nil"/>
            </w:tcBorders>
            <w:vAlign w:val="center"/>
            <w:hideMark/>
          </w:tcPr>
          <w:p w:rsidR="0079209E" w:rsidRDefault="0079209E">
            <w:pPr>
              <w:autoSpaceDE w:val="0"/>
              <w:autoSpaceDN w:val="0"/>
              <w:adjustRightInd w:val="0"/>
              <w:spacing w:after="0" w:line="240" w:lineRule="auto"/>
              <w:jc w:val="both"/>
              <w:rPr>
                <w:rFonts w:ascii="Times New Roman" w:hAnsi="Times New Roman"/>
                <w:b/>
                <w:sz w:val="20"/>
                <w:szCs w:val="20"/>
              </w:rPr>
            </w:pPr>
            <w:r>
              <w:rPr>
                <w:rFonts w:ascii="Times New Roman" w:hAnsi="Times New Roman"/>
                <w:sz w:val="20"/>
                <w:szCs w:val="20"/>
              </w:rPr>
              <w:t>Close to dumpsite</w:t>
            </w:r>
          </w:p>
        </w:tc>
      </w:tr>
      <w:tr w:rsidR="0079209E" w:rsidTr="0079209E">
        <w:trPr>
          <w:trHeight w:val="294"/>
        </w:trPr>
        <w:tc>
          <w:tcPr>
            <w:tcW w:w="1427" w:type="dxa"/>
            <w:tcBorders>
              <w:top w:val="nil"/>
              <w:left w:val="nil"/>
              <w:bottom w:val="nil"/>
              <w:right w:val="nil"/>
            </w:tcBorders>
            <w:vAlign w:val="center"/>
            <w:hideMark/>
          </w:tcPr>
          <w:p w:rsidR="0079209E" w:rsidRDefault="0079209E">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S3</w:t>
            </w:r>
          </w:p>
        </w:tc>
        <w:tc>
          <w:tcPr>
            <w:tcW w:w="2965" w:type="dxa"/>
            <w:tcBorders>
              <w:top w:val="nil"/>
              <w:left w:val="nil"/>
              <w:bottom w:val="nil"/>
              <w:right w:val="nil"/>
            </w:tcBorders>
            <w:vAlign w:val="center"/>
            <w:hideMark/>
          </w:tcPr>
          <w:p w:rsidR="0079209E" w:rsidRDefault="0079209E">
            <w:pPr>
              <w:autoSpaceDE w:val="0"/>
              <w:autoSpaceDN w:val="0"/>
              <w:adjustRightInd w:val="0"/>
              <w:spacing w:after="0" w:line="240" w:lineRule="auto"/>
              <w:jc w:val="both"/>
              <w:rPr>
                <w:rFonts w:ascii="Times New Roman" w:hAnsi="Times New Roman"/>
                <w:b/>
                <w:sz w:val="20"/>
                <w:szCs w:val="20"/>
              </w:rPr>
            </w:pPr>
            <w:r>
              <w:rPr>
                <w:rFonts w:ascii="Times New Roman" w:hAnsi="Times New Roman"/>
                <w:sz w:val="20"/>
                <w:szCs w:val="20"/>
              </w:rPr>
              <w:t>07</w:t>
            </w:r>
            <w:r>
              <w:rPr>
                <w:rFonts w:ascii="Times New Roman" w:hAnsi="Times New Roman"/>
                <w:sz w:val="20"/>
                <w:szCs w:val="20"/>
                <w:vertAlign w:val="superscript"/>
              </w:rPr>
              <w:t>0</w:t>
            </w:r>
            <w:r>
              <w:rPr>
                <w:rFonts w:ascii="Times New Roman" w:hAnsi="Times New Roman"/>
                <w:sz w:val="20"/>
                <w:szCs w:val="20"/>
              </w:rPr>
              <w:t xml:space="preserve"> 46ˈ 19ˈˈ N, 04</w:t>
            </w:r>
            <w:r>
              <w:rPr>
                <w:rFonts w:ascii="Times New Roman" w:hAnsi="Times New Roman"/>
                <w:sz w:val="20"/>
                <w:szCs w:val="20"/>
                <w:vertAlign w:val="superscript"/>
              </w:rPr>
              <w:t>0</w:t>
            </w:r>
            <w:r>
              <w:rPr>
                <w:rFonts w:ascii="Times New Roman" w:hAnsi="Times New Roman"/>
                <w:sz w:val="20"/>
                <w:szCs w:val="20"/>
              </w:rPr>
              <w:t xml:space="preserve"> 34ˈ 17ˈˈ E</w:t>
            </w:r>
          </w:p>
        </w:tc>
        <w:tc>
          <w:tcPr>
            <w:tcW w:w="4583" w:type="dxa"/>
            <w:tcBorders>
              <w:top w:val="nil"/>
              <w:left w:val="nil"/>
              <w:bottom w:val="nil"/>
              <w:right w:val="nil"/>
            </w:tcBorders>
            <w:vAlign w:val="center"/>
            <w:hideMark/>
          </w:tcPr>
          <w:p w:rsidR="0079209E" w:rsidRDefault="0079209E">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Close to dumpsite</w:t>
            </w:r>
          </w:p>
        </w:tc>
      </w:tr>
      <w:tr w:rsidR="0079209E" w:rsidTr="0079209E">
        <w:trPr>
          <w:trHeight w:val="294"/>
        </w:trPr>
        <w:tc>
          <w:tcPr>
            <w:tcW w:w="1427" w:type="dxa"/>
            <w:tcBorders>
              <w:top w:val="nil"/>
              <w:left w:val="nil"/>
              <w:bottom w:val="nil"/>
              <w:right w:val="nil"/>
            </w:tcBorders>
            <w:vAlign w:val="center"/>
            <w:hideMark/>
          </w:tcPr>
          <w:p w:rsidR="0079209E" w:rsidRDefault="0079209E">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S4</w:t>
            </w:r>
          </w:p>
        </w:tc>
        <w:tc>
          <w:tcPr>
            <w:tcW w:w="2965" w:type="dxa"/>
            <w:tcBorders>
              <w:top w:val="nil"/>
              <w:left w:val="nil"/>
              <w:bottom w:val="nil"/>
              <w:right w:val="nil"/>
            </w:tcBorders>
            <w:vAlign w:val="center"/>
            <w:hideMark/>
          </w:tcPr>
          <w:p w:rsidR="0079209E" w:rsidRDefault="0079209E">
            <w:pPr>
              <w:autoSpaceDE w:val="0"/>
              <w:autoSpaceDN w:val="0"/>
              <w:adjustRightInd w:val="0"/>
              <w:spacing w:after="0" w:line="240" w:lineRule="auto"/>
              <w:jc w:val="both"/>
              <w:rPr>
                <w:rFonts w:ascii="Times New Roman" w:hAnsi="Times New Roman"/>
                <w:b/>
                <w:sz w:val="20"/>
                <w:szCs w:val="20"/>
              </w:rPr>
            </w:pPr>
            <w:r>
              <w:rPr>
                <w:rFonts w:ascii="Times New Roman" w:hAnsi="Times New Roman"/>
                <w:sz w:val="20"/>
                <w:szCs w:val="20"/>
              </w:rPr>
              <w:t>07</w:t>
            </w:r>
            <w:r>
              <w:rPr>
                <w:rFonts w:ascii="Times New Roman" w:hAnsi="Times New Roman"/>
                <w:sz w:val="20"/>
                <w:szCs w:val="20"/>
                <w:vertAlign w:val="superscript"/>
              </w:rPr>
              <w:t>0</w:t>
            </w:r>
            <w:r>
              <w:rPr>
                <w:rFonts w:ascii="Times New Roman" w:hAnsi="Times New Roman"/>
                <w:sz w:val="20"/>
                <w:szCs w:val="20"/>
              </w:rPr>
              <w:t xml:space="preserve"> 46ˈ 19ˈˈ N, 04</w:t>
            </w:r>
            <w:r>
              <w:rPr>
                <w:rFonts w:ascii="Times New Roman" w:hAnsi="Times New Roman"/>
                <w:sz w:val="20"/>
                <w:szCs w:val="20"/>
                <w:vertAlign w:val="superscript"/>
              </w:rPr>
              <w:t>0</w:t>
            </w:r>
            <w:r>
              <w:rPr>
                <w:rFonts w:ascii="Times New Roman" w:hAnsi="Times New Roman"/>
                <w:sz w:val="20"/>
                <w:szCs w:val="20"/>
              </w:rPr>
              <w:t xml:space="preserve"> 34ˈ 18ˈˈ E</w:t>
            </w:r>
          </w:p>
        </w:tc>
        <w:tc>
          <w:tcPr>
            <w:tcW w:w="4583" w:type="dxa"/>
            <w:tcBorders>
              <w:top w:val="nil"/>
              <w:left w:val="nil"/>
              <w:bottom w:val="nil"/>
              <w:right w:val="nil"/>
            </w:tcBorders>
            <w:vAlign w:val="center"/>
            <w:hideMark/>
          </w:tcPr>
          <w:p w:rsidR="0079209E" w:rsidRDefault="0079209E">
            <w:pPr>
              <w:autoSpaceDE w:val="0"/>
              <w:autoSpaceDN w:val="0"/>
              <w:adjustRightInd w:val="0"/>
              <w:spacing w:after="0" w:line="240" w:lineRule="auto"/>
              <w:jc w:val="both"/>
              <w:rPr>
                <w:rFonts w:ascii="Times New Roman" w:hAnsi="Times New Roman"/>
                <w:b/>
                <w:sz w:val="20"/>
                <w:szCs w:val="20"/>
              </w:rPr>
            </w:pPr>
            <w:r>
              <w:rPr>
                <w:rFonts w:ascii="Times New Roman" w:hAnsi="Times New Roman"/>
                <w:sz w:val="20"/>
                <w:szCs w:val="20"/>
              </w:rPr>
              <w:t>Close to dumpsite</w:t>
            </w:r>
          </w:p>
        </w:tc>
      </w:tr>
      <w:tr w:rsidR="0079209E" w:rsidTr="0079209E">
        <w:trPr>
          <w:trHeight w:val="294"/>
        </w:trPr>
        <w:tc>
          <w:tcPr>
            <w:tcW w:w="1427" w:type="dxa"/>
            <w:tcBorders>
              <w:top w:val="nil"/>
              <w:left w:val="nil"/>
              <w:bottom w:val="nil"/>
              <w:right w:val="nil"/>
            </w:tcBorders>
            <w:vAlign w:val="center"/>
            <w:hideMark/>
          </w:tcPr>
          <w:p w:rsidR="0079209E" w:rsidRDefault="0079209E">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S5</w:t>
            </w:r>
          </w:p>
        </w:tc>
        <w:tc>
          <w:tcPr>
            <w:tcW w:w="2965" w:type="dxa"/>
            <w:tcBorders>
              <w:top w:val="nil"/>
              <w:left w:val="nil"/>
              <w:bottom w:val="nil"/>
              <w:right w:val="nil"/>
            </w:tcBorders>
            <w:vAlign w:val="center"/>
            <w:hideMark/>
          </w:tcPr>
          <w:p w:rsidR="0079209E" w:rsidRDefault="0079209E">
            <w:pPr>
              <w:autoSpaceDE w:val="0"/>
              <w:autoSpaceDN w:val="0"/>
              <w:adjustRightInd w:val="0"/>
              <w:spacing w:after="0" w:line="240" w:lineRule="auto"/>
              <w:jc w:val="both"/>
              <w:rPr>
                <w:rFonts w:ascii="Times New Roman" w:hAnsi="Times New Roman"/>
                <w:b/>
                <w:sz w:val="20"/>
                <w:szCs w:val="20"/>
              </w:rPr>
            </w:pPr>
            <w:r>
              <w:rPr>
                <w:rFonts w:ascii="Times New Roman" w:hAnsi="Times New Roman"/>
                <w:sz w:val="20"/>
                <w:szCs w:val="20"/>
              </w:rPr>
              <w:t>07</w:t>
            </w:r>
            <w:r>
              <w:rPr>
                <w:rFonts w:ascii="Times New Roman" w:hAnsi="Times New Roman"/>
                <w:sz w:val="20"/>
                <w:szCs w:val="20"/>
                <w:vertAlign w:val="superscript"/>
              </w:rPr>
              <w:t xml:space="preserve">0 </w:t>
            </w:r>
            <w:r>
              <w:rPr>
                <w:rFonts w:ascii="Times New Roman" w:hAnsi="Times New Roman"/>
                <w:sz w:val="20"/>
                <w:szCs w:val="20"/>
              </w:rPr>
              <w:t>46ˈ 18ˈˈ N, 004</w:t>
            </w:r>
            <w:r>
              <w:rPr>
                <w:rFonts w:ascii="Times New Roman" w:hAnsi="Times New Roman"/>
                <w:sz w:val="20"/>
                <w:szCs w:val="20"/>
                <w:vertAlign w:val="superscript"/>
              </w:rPr>
              <w:t>0</w:t>
            </w:r>
            <w:r>
              <w:rPr>
                <w:rFonts w:ascii="Times New Roman" w:hAnsi="Times New Roman"/>
                <w:sz w:val="20"/>
                <w:szCs w:val="20"/>
              </w:rPr>
              <w:t xml:space="preserve"> 34ˈ 15ˈˈ E</w:t>
            </w:r>
          </w:p>
        </w:tc>
        <w:tc>
          <w:tcPr>
            <w:tcW w:w="4583" w:type="dxa"/>
            <w:tcBorders>
              <w:top w:val="nil"/>
              <w:left w:val="nil"/>
              <w:bottom w:val="nil"/>
              <w:right w:val="nil"/>
            </w:tcBorders>
            <w:vAlign w:val="center"/>
            <w:hideMark/>
          </w:tcPr>
          <w:p w:rsidR="0079209E" w:rsidRDefault="0079209E">
            <w:pPr>
              <w:autoSpaceDE w:val="0"/>
              <w:autoSpaceDN w:val="0"/>
              <w:adjustRightInd w:val="0"/>
              <w:spacing w:after="0" w:line="240" w:lineRule="auto"/>
              <w:jc w:val="both"/>
              <w:rPr>
                <w:rFonts w:ascii="Times New Roman" w:hAnsi="Times New Roman"/>
                <w:b/>
                <w:sz w:val="20"/>
                <w:szCs w:val="20"/>
              </w:rPr>
            </w:pPr>
            <w:r>
              <w:rPr>
                <w:rFonts w:ascii="Times New Roman" w:hAnsi="Times New Roman"/>
                <w:sz w:val="20"/>
                <w:szCs w:val="20"/>
              </w:rPr>
              <w:t>Close to Mechanic Workshops and dumpsite</w:t>
            </w:r>
          </w:p>
        </w:tc>
      </w:tr>
      <w:tr w:rsidR="0079209E" w:rsidTr="0079209E">
        <w:trPr>
          <w:trHeight w:val="294"/>
        </w:trPr>
        <w:tc>
          <w:tcPr>
            <w:tcW w:w="1427" w:type="dxa"/>
            <w:tcBorders>
              <w:top w:val="nil"/>
              <w:left w:val="nil"/>
              <w:bottom w:val="nil"/>
              <w:right w:val="nil"/>
            </w:tcBorders>
            <w:vAlign w:val="center"/>
            <w:hideMark/>
          </w:tcPr>
          <w:p w:rsidR="0079209E" w:rsidRDefault="0079209E">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S6</w:t>
            </w:r>
          </w:p>
        </w:tc>
        <w:tc>
          <w:tcPr>
            <w:tcW w:w="2965" w:type="dxa"/>
            <w:tcBorders>
              <w:top w:val="nil"/>
              <w:left w:val="nil"/>
              <w:bottom w:val="nil"/>
              <w:right w:val="nil"/>
            </w:tcBorders>
            <w:vAlign w:val="center"/>
            <w:hideMark/>
          </w:tcPr>
          <w:p w:rsidR="0079209E" w:rsidRDefault="0079209E">
            <w:pPr>
              <w:autoSpaceDE w:val="0"/>
              <w:autoSpaceDN w:val="0"/>
              <w:adjustRightInd w:val="0"/>
              <w:spacing w:after="0" w:line="240" w:lineRule="auto"/>
              <w:jc w:val="both"/>
              <w:rPr>
                <w:rFonts w:ascii="Times New Roman" w:hAnsi="Times New Roman"/>
                <w:b/>
                <w:sz w:val="20"/>
                <w:szCs w:val="20"/>
              </w:rPr>
            </w:pPr>
            <w:r>
              <w:rPr>
                <w:rFonts w:ascii="Times New Roman" w:hAnsi="Times New Roman"/>
                <w:sz w:val="20"/>
                <w:szCs w:val="20"/>
              </w:rPr>
              <w:t>07</w:t>
            </w:r>
            <w:r>
              <w:rPr>
                <w:rFonts w:ascii="Times New Roman" w:hAnsi="Times New Roman"/>
                <w:sz w:val="20"/>
                <w:szCs w:val="20"/>
                <w:vertAlign w:val="superscript"/>
              </w:rPr>
              <w:t>0</w:t>
            </w:r>
            <w:r>
              <w:rPr>
                <w:rFonts w:ascii="Times New Roman" w:hAnsi="Times New Roman"/>
                <w:sz w:val="20"/>
                <w:szCs w:val="20"/>
              </w:rPr>
              <w:t xml:space="preserve"> 46ˈ 16ˈˈ N, 004</w:t>
            </w:r>
            <w:r>
              <w:rPr>
                <w:rFonts w:ascii="Times New Roman" w:hAnsi="Times New Roman"/>
                <w:sz w:val="20"/>
                <w:szCs w:val="20"/>
                <w:vertAlign w:val="superscript"/>
              </w:rPr>
              <w:t>0</w:t>
            </w:r>
            <w:r>
              <w:rPr>
                <w:rFonts w:ascii="Times New Roman" w:hAnsi="Times New Roman"/>
                <w:sz w:val="20"/>
                <w:szCs w:val="20"/>
              </w:rPr>
              <w:t xml:space="preserve"> 34ˈ 17ˈˈ E</w:t>
            </w:r>
          </w:p>
        </w:tc>
        <w:tc>
          <w:tcPr>
            <w:tcW w:w="4583" w:type="dxa"/>
            <w:tcBorders>
              <w:top w:val="nil"/>
              <w:left w:val="nil"/>
              <w:bottom w:val="nil"/>
              <w:right w:val="nil"/>
            </w:tcBorders>
            <w:vAlign w:val="center"/>
            <w:hideMark/>
          </w:tcPr>
          <w:p w:rsidR="0079209E" w:rsidRDefault="0079209E">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Close to Mechanic Workshop</w:t>
            </w:r>
          </w:p>
        </w:tc>
      </w:tr>
      <w:tr w:rsidR="0079209E" w:rsidTr="0079209E">
        <w:trPr>
          <w:trHeight w:val="294"/>
        </w:trPr>
        <w:tc>
          <w:tcPr>
            <w:tcW w:w="1427" w:type="dxa"/>
            <w:tcBorders>
              <w:top w:val="nil"/>
              <w:left w:val="nil"/>
              <w:bottom w:val="nil"/>
              <w:right w:val="nil"/>
            </w:tcBorders>
            <w:vAlign w:val="center"/>
            <w:hideMark/>
          </w:tcPr>
          <w:p w:rsidR="0079209E" w:rsidRDefault="0079209E">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S7</w:t>
            </w:r>
          </w:p>
        </w:tc>
        <w:tc>
          <w:tcPr>
            <w:tcW w:w="2965" w:type="dxa"/>
            <w:tcBorders>
              <w:top w:val="nil"/>
              <w:left w:val="nil"/>
              <w:bottom w:val="nil"/>
              <w:right w:val="nil"/>
            </w:tcBorders>
            <w:vAlign w:val="center"/>
            <w:hideMark/>
          </w:tcPr>
          <w:p w:rsidR="0079209E" w:rsidRDefault="0079209E">
            <w:pPr>
              <w:autoSpaceDE w:val="0"/>
              <w:autoSpaceDN w:val="0"/>
              <w:adjustRightInd w:val="0"/>
              <w:spacing w:after="0" w:line="240" w:lineRule="auto"/>
              <w:jc w:val="both"/>
              <w:rPr>
                <w:rFonts w:ascii="Times New Roman" w:hAnsi="Times New Roman"/>
                <w:b/>
                <w:sz w:val="20"/>
                <w:szCs w:val="20"/>
              </w:rPr>
            </w:pPr>
            <w:r>
              <w:rPr>
                <w:rFonts w:ascii="Times New Roman" w:hAnsi="Times New Roman"/>
                <w:sz w:val="20"/>
                <w:szCs w:val="20"/>
              </w:rPr>
              <w:t>07</w:t>
            </w:r>
            <w:r>
              <w:rPr>
                <w:rFonts w:ascii="Times New Roman" w:hAnsi="Times New Roman"/>
                <w:sz w:val="20"/>
                <w:szCs w:val="20"/>
                <w:vertAlign w:val="superscript"/>
              </w:rPr>
              <w:t>0</w:t>
            </w:r>
            <w:r>
              <w:rPr>
                <w:rFonts w:ascii="Times New Roman" w:hAnsi="Times New Roman"/>
                <w:sz w:val="20"/>
                <w:szCs w:val="20"/>
              </w:rPr>
              <w:t xml:space="preserve"> 46ˈ 16ˈˈ N, 04</w:t>
            </w:r>
            <w:r>
              <w:rPr>
                <w:rFonts w:ascii="Times New Roman" w:hAnsi="Times New Roman"/>
                <w:sz w:val="20"/>
                <w:szCs w:val="20"/>
                <w:vertAlign w:val="superscript"/>
              </w:rPr>
              <w:t>0</w:t>
            </w:r>
            <w:r>
              <w:rPr>
                <w:rFonts w:ascii="Times New Roman" w:hAnsi="Times New Roman"/>
                <w:sz w:val="20"/>
                <w:szCs w:val="20"/>
              </w:rPr>
              <w:t xml:space="preserve"> 34ˈ 18ˈˈ E</w:t>
            </w:r>
          </w:p>
        </w:tc>
        <w:tc>
          <w:tcPr>
            <w:tcW w:w="4583" w:type="dxa"/>
            <w:tcBorders>
              <w:top w:val="nil"/>
              <w:left w:val="nil"/>
              <w:bottom w:val="nil"/>
              <w:right w:val="nil"/>
            </w:tcBorders>
            <w:vAlign w:val="center"/>
            <w:hideMark/>
          </w:tcPr>
          <w:p w:rsidR="0079209E" w:rsidRDefault="0079209E">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Mechanic Workshop</w:t>
            </w:r>
          </w:p>
        </w:tc>
      </w:tr>
      <w:tr w:rsidR="0079209E" w:rsidTr="0079209E">
        <w:trPr>
          <w:trHeight w:val="294"/>
        </w:trPr>
        <w:tc>
          <w:tcPr>
            <w:tcW w:w="1427" w:type="dxa"/>
            <w:tcBorders>
              <w:top w:val="nil"/>
              <w:left w:val="nil"/>
              <w:bottom w:val="nil"/>
              <w:right w:val="nil"/>
            </w:tcBorders>
            <w:vAlign w:val="center"/>
            <w:hideMark/>
          </w:tcPr>
          <w:p w:rsidR="0079209E" w:rsidRDefault="0079209E">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S8</w:t>
            </w:r>
          </w:p>
        </w:tc>
        <w:tc>
          <w:tcPr>
            <w:tcW w:w="2965" w:type="dxa"/>
            <w:tcBorders>
              <w:top w:val="nil"/>
              <w:left w:val="nil"/>
              <w:bottom w:val="nil"/>
              <w:right w:val="nil"/>
            </w:tcBorders>
            <w:vAlign w:val="center"/>
            <w:hideMark/>
          </w:tcPr>
          <w:p w:rsidR="0079209E" w:rsidRDefault="0079209E">
            <w:pPr>
              <w:autoSpaceDE w:val="0"/>
              <w:autoSpaceDN w:val="0"/>
              <w:adjustRightInd w:val="0"/>
              <w:spacing w:after="0" w:line="240" w:lineRule="auto"/>
              <w:jc w:val="both"/>
              <w:rPr>
                <w:rFonts w:ascii="Times New Roman" w:hAnsi="Times New Roman"/>
                <w:b/>
                <w:sz w:val="20"/>
                <w:szCs w:val="20"/>
              </w:rPr>
            </w:pPr>
            <w:r>
              <w:rPr>
                <w:rFonts w:ascii="Times New Roman" w:hAnsi="Times New Roman"/>
                <w:sz w:val="20"/>
                <w:szCs w:val="20"/>
              </w:rPr>
              <w:t>07</w:t>
            </w:r>
            <w:r>
              <w:rPr>
                <w:rFonts w:ascii="Times New Roman" w:hAnsi="Times New Roman"/>
                <w:sz w:val="20"/>
                <w:szCs w:val="20"/>
                <w:vertAlign w:val="superscript"/>
              </w:rPr>
              <w:t>0</w:t>
            </w:r>
            <w:r>
              <w:rPr>
                <w:rFonts w:ascii="Times New Roman" w:hAnsi="Times New Roman"/>
                <w:sz w:val="20"/>
                <w:szCs w:val="20"/>
              </w:rPr>
              <w:t xml:space="preserve"> 46ˈ 20ˈˈ N, 04</w:t>
            </w:r>
            <w:r>
              <w:rPr>
                <w:rFonts w:ascii="Times New Roman" w:hAnsi="Times New Roman"/>
                <w:sz w:val="20"/>
                <w:szCs w:val="20"/>
                <w:vertAlign w:val="superscript"/>
              </w:rPr>
              <w:t>0</w:t>
            </w:r>
            <w:r>
              <w:rPr>
                <w:rFonts w:ascii="Times New Roman" w:hAnsi="Times New Roman"/>
                <w:sz w:val="20"/>
                <w:szCs w:val="20"/>
              </w:rPr>
              <w:t xml:space="preserve"> 34ˈ 18ˈˈ E</w:t>
            </w:r>
          </w:p>
        </w:tc>
        <w:tc>
          <w:tcPr>
            <w:tcW w:w="4583" w:type="dxa"/>
            <w:tcBorders>
              <w:top w:val="nil"/>
              <w:left w:val="nil"/>
              <w:bottom w:val="nil"/>
              <w:right w:val="nil"/>
            </w:tcBorders>
            <w:vAlign w:val="center"/>
            <w:hideMark/>
          </w:tcPr>
          <w:p w:rsidR="0079209E" w:rsidRDefault="0079209E">
            <w:pPr>
              <w:autoSpaceDE w:val="0"/>
              <w:autoSpaceDN w:val="0"/>
              <w:adjustRightInd w:val="0"/>
              <w:spacing w:after="0" w:line="240" w:lineRule="auto"/>
              <w:jc w:val="both"/>
              <w:rPr>
                <w:rFonts w:ascii="Times New Roman" w:hAnsi="Times New Roman"/>
                <w:b/>
                <w:sz w:val="20"/>
                <w:szCs w:val="20"/>
              </w:rPr>
            </w:pPr>
            <w:r>
              <w:rPr>
                <w:rFonts w:ascii="Times New Roman" w:hAnsi="Times New Roman"/>
                <w:sz w:val="20"/>
                <w:szCs w:val="20"/>
              </w:rPr>
              <w:t>Close to dumpsite</w:t>
            </w:r>
          </w:p>
        </w:tc>
      </w:tr>
      <w:tr w:rsidR="0079209E" w:rsidTr="0079209E">
        <w:trPr>
          <w:trHeight w:val="294"/>
        </w:trPr>
        <w:tc>
          <w:tcPr>
            <w:tcW w:w="1427" w:type="dxa"/>
            <w:tcBorders>
              <w:top w:val="nil"/>
              <w:left w:val="nil"/>
              <w:bottom w:val="nil"/>
              <w:right w:val="nil"/>
            </w:tcBorders>
            <w:vAlign w:val="center"/>
            <w:hideMark/>
          </w:tcPr>
          <w:p w:rsidR="0079209E" w:rsidRDefault="0079209E">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S9</w:t>
            </w:r>
          </w:p>
        </w:tc>
        <w:tc>
          <w:tcPr>
            <w:tcW w:w="2965" w:type="dxa"/>
            <w:tcBorders>
              <w:top w:val="nil"/>
              <w:left w:val="nil"/>
              <w:bottom w:val="nil"/>
              <w:right w:val="nil"/>
            </w:tcBorders>
            <w:vAlign w:val="center"/>
            <w:hideMark/>
          </w:tcPr>
          <w:p w:rsidR="0079209E" w:rsidRDefault="0079209E">
            <w:pPr>
              <w:autoSpaceDE w:val="0"/>
              <w:autoSpaceDN w:val="0"/>
              <w:adjustRightInd w:val="0"/>
              <w:spacing w:after="0" w:line="240" w:lineRule="auto"/>
              <w:jc w:val="both"/>
              <w:rPr>
                <w:rFonts w:ascii="Times New Roman" w:hAnsi="Times New Roman"/>
                <w:b/>
                <w:sz w:val="20"/>
                <w:szCs w:val="20"/>
              </w:rPr>
            </w:pPr>
            <w:r>
              <w:rPr>
                <w:rFonts w:ascii="Times New Roman" w:hAnsi="Times New Roman"/>
                <w:sz w:val="20"/>
                <w:szCs w:val="20"/>
              </w:rPr>
              <w:t>07</w:t>
            </w:r>
            <w:r>
              <w:rPr>
                <w:rFonts w:ascii="Times New Roman" w:hAnsi="Times New Roman"/>
                <w:sz w:val="20"/>
                <w:szCs w:val="20"/>
                <w:vertAlign w:val="superscript"/>
              </w:rPr>
              <w:t>0</w:t>
            </w:r>
            <w:r>
              <w:rPr>
                <w:rFonts w:ascii="Times New Roman" w:hAnsi="Times New Roman"/>
                <w:sz w:val="20"/>
                <w:szCs w:val="20"/>
              </w:rPr>
              <w:t xml:space="preserve"> 46ˈ 20ˈˈ N, 04</w:t>
            </w:r>
            <w:r>
              <w:rPr>
                <w:rFonts w:ascii="Times New Roman" w:hAnsi="Times New Roman"/>
                <w:sz w:val="20"/>
                <w:szCs w:val="20"/>
                <w:vertAlign w:val="superscript"/>
              </w:rPr>
              <w:t>0</w:t>
            </w:r>
            <w:r>
              <w:rPr>
                <w:rFonts w:ascii="Times New Roman" w:hAnsi="Times New Roman"/>
                <w:sz w:val="20"/>
                <w:szCs w:val="20"/>
              </w:rPr>
              <w:t xml:space="preserve"> 34ˈ 21ˈˈ E</w:t>
            </w:r>
          </w:p>
        </w:tc>
        <w:tc>
          <w:tcPr>
            <w:tcW w:w="4583" w:type="dxa"/>
            <w:tcBorders>
              <w:top w:val="nil"/>
              <w:left w:val="nil"/>
              <w:bottom w:val="nil"/>
              <w:right w:val="nil"/>
            </w:tcBorders>
            <w:vAlign w:val="center"/>
            <w:hideMark/>
          </w:tcPr>
          <w:p w:rsidR="0079209E" w:rsidRDefault="0079209E">
            <w:pPr>
              <w:autoSpaceDE w:val="0"/>
              <w:autoSpaceDN w:val="0"/>
              <w:adjustRightInd w:val="0"/>
              <w:spacing w:after="0" w:line="240" w:lineRule="auto"/>
              <w:jc w:val="both"/>
              <w:rPr>
                <w:rFonts w:ascii="Times New Roman" w:hAnsi="Times New Roman"/>
                <w:b/>
                <w:sz w:val="20"/>
                <w:szCs w:val="20"/>
              </w:rPr>
            </w:pPr>
            <w:r>
              <w:rPr>
                <w:rFonts w:ascii="Times New Roman" w:hAnsi="Times New Roman"/>
                <w:sz w:val="20"/>
                <w:szCs w:val="20"/>
              </w:rPr>
              <w:t>Close to dumpsite</w:t>
            </w:r>
          </w:p>
        </w:tc>
      </w:tr>
      <w:tr w:rsidR="0079209E" w:rsidTr="0079209E">
        <w:trPr>
          <w:trHeight w:val="294"/>
        </w:trPr>
        <w:tc>
          <w:tcPr>
            <w:tcW w:w="1427" w:type="dxa"/>
            <w:tcBorders>
              <w:top w:val="nil"/>
              <w:left w:val="nil"/>
              <w:bottom w:val="single" w:sz="4" w:space="0" w:color="auto"/>
              <w:right w:val="nil"/>
            </w:tcBorders>
            <w:vAlign w:val="center"/>
            <w:hideMark/>
          </w:tcPr>
          <w:p w:rsidR="0079209E" w:rsidRDefault="0079209E">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S10</w:t>
            </w:r>
          </w:p>
        </w:tc>
        <w:tc>
          <w:tcPr>
            <w:tcW w:w="2965" w:type="dxa"/>
            <w:tcBorders>
              <w:top w:val="nil"/>
              <w:left w:val="nil"/>
              <w:bottom w:val="single" w:sz="4" w:space="0" w:color="auto"/>
              <w:right w:val="nil"/>
            </w:tcBorders>
            <w:vAlign w:val="center"/>
            <w:hideMark/>
          </w:tcPr>
          <w:p w:rsidR="0079209E" w:rsidRDefault="0079209E">
            <w:pPr>
              <w:autoSpaceDE w:val="0"/>
              <w:autoSpaceDN w:val="0"/>
              <w:adjustRightInd w:val="0"/>
              <w:spacing w:after="0" w:line="240" w:lineRule="auto"/>
              <w:jc w:val="both"/>
              <w:rPr>
                <w:rFonts w:ascii="Times New Roman" w:hAnsi="Times New Roman"/>
                <w:b/>
                <w:sz w:val="20"/>
                <w:szCs w:val="20"/>
              </w:rPr>
            </w:pPr>
            <w:r>
              <w:rPr>
                <w:rFonts w:ascii="Times New Roman" w:hAnsi="Times New Roman"/>
                <w:sz w:val="20"/>
                <w:szCs w:val="20"/>
              </w:rPr>
              <w:t>07</w:t>
            </w:r>
            <w:r>
              <w:rPr>
                <w:rFonts w:ascii="Times New Roman" w:hAnsi="Times New Roman"/>
                <w:sz w:val="20"/>
                <w:szCs w:val="20"/>
                <w:vertAlign w:val="superscript"/>
              </w:rPr>
              <w:t xml:space="preserve">0 </w:t>
            </w:r>
            <w:r>
              <w:rPr>
                <w:rFonts w:ascii="Times New Roman" w:hAnsi="Times New Roman"/>
                <w:sz w:val="20"/>
                <w:szCs w:val="20"/>
              </w:rPr>
              <w:t>46ˈ 22ˈˈ N, 04</w:t>
            </w:r>
            <w:r>
              <w:rPr>
                <w:rFonts w:ascii="Times New Roman" w:hAnsi="Times New Roman"/>
                <w:sz w:val="20"/>
                <w:szCs w:val="20"/>
                <w:vertAlign w:val="superscript"/>
              </w:rPr>
              <w:t>0</w:t>
            </w:r>
            <w:r>
              <w:rPr>
                <w:rFonts w:ascii="Times New Roman" w:hAnsi="Times New Roman"/>
                <w:sz w:val="20"/>
                <w:szCs w:val="20"/>
              </w:rPr>
              <w:t xml:space="preserve"> 34ˈ 23ˈˈ E</w:t>
            </w:r>
          </w:p>
        </w:tc>
        <w:tc>
          <w:tcPr>
            <w:tcW w:w="4583" w:type="dxa"/>
            <w:tcBorders>
              <w:top w:val="nil"/>
              <w:left w:val="nil"/>
              <w:bottom w:val="single" w:sz="4" w:space="0" w:color="auto"/>
              <w:right w:val="nil"/>
            </w:tcBorders>
            <w:vAlign w:val="center"/>
            <w:hideMark/>
          </w:tcPr>
          <w:p w:rsidR="0079209E" w:rsidRDefault="0079209E">
            <w:pPr>
              <w:autoSpaceDE w:val="0"/>
              <w:autoSpaceDN w:val="0"/>
              <w:adjustRightInd w:val="0"/>
              <w:spacing w:after="120" w:line="240" w:lineRule="auto"/>
              <w:jc w:val="both"/>
              <w:rPr>
                <w:rFonts w:ascii="Times New Roman" w:hAnsi="Times New Roman"/>
                <w:sz w:val="20"/>
                <w:szCs w:val="20"/>
              </w:rPr>
            </w:pPr>
            <w:r>
              <w:rPr>
                <w:rFonts w:ascii="Times New Roman" w:hAnsi="Times New Roman"/>
                <w:sz w:val="20"/>
                <w:szCs w:val="20"/>
              </w:rPr>
              <w:t>Far distance from the main dumpsite and mechanic workshop but within the vicinity of the dumpsite</w:t>
            </w:r>
          </w:p>
        </w:tc>
      </w:tr>
    </w:tbl>
    <w:p w:rsidR="0079209E" w:rsidRDefault="0079209E" w:rsidP="0079209E">
      <w:pPr>
        <w:pStyle w:val="Caption"/>
        <w:spacing w:after="0" w:line="240" w:lineRule="auto"/>
        <w:contextualSpacing/>
        <w:jc w:val="both"/>
        <w:rPr>
          <w:rFonts w:ascii="Times New Roman" w:hAnsi="Times New Roman"/>
          <w:b w:val="0"/>
        </w:rPr>
      </w:pPr>
    </w:p>
    <w:p w:rsidR="0079209E" w:rsidRDefault="0079209E" w:rsidP="0079209E">
      <w:pPr>
        <w:pStyle w:val="ListParagraph"/>
        <w:autoSpaceDE w:val="0"/>
        <w:autoSpaceDN w:val="0"/>
        <w:adjustRightInd w:val="0"/>
        <w:spacing w:after="0" w:line="240" w:lineRule="auto"/>
        <w:ind w:left="0"/>
        <w:jc w:val="both"/>
        <w:rPr>
          <w:rFonts w:ascii="Times New Roman" w:hAnsi="Times New Roman"/>
          <w:sz w:val="20"/>
          <w:szCs w:val="20"/>
        </w:rPr>
      </w:pPr>
    </w:p>
    <w:p w:rsidR="0079209E" w:rsidRDefault="0079209E" w:rsidP="0079209E">
      <w:pPr>
        <w:autoSpaceDE w:val="0"/>
        <w:autoSpaceDN w:val="0"/>
        <w:adjustRightInd w:val="0"/>
        <w:spacing w:after="0" w:line="240" w:lineRule="auto"/>
        <w:jc w:val="both"/>
        <w:rPr>
          <w:rFonts w:ascii="Times New Roman" w:hAnsi="Times New Roman"/>
          <w:b/>
          <w:sz w:val="20"/>
          <w:szCs w:val="20"/>
        </w:rPr>
      </w:pPr>
      <w:r>
        <w:rPr>
          <w:rFonts w:ascii="Times New Roman" w:hAnsi="Times New Roman"/>
          <w:b/>
          <w:sz w:val="20"/>
          <w:szCs w:val="20"/>
        </w:rPr>
        <w:t>Reagents and Materials</w:t>
      </w:r>
    </w:p>
    <w:p w:rsidR="0079209E" w:rsidRDefault="0079209E" w:rsidP="0079209E">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All the reagents used for the analysis are of high purity analytical grade (HPLC grade) and are used as provided by the supplier. Hexane, dichloromethane, sodium sulphate (99.0%) and silica gel (100-200 mesh, 75-100µm) were purchased from Sigma Aldrich (Bistol Scientific, Nigeria). 16 EPA PAHs standard mixture (2000µg/mL in methylene chloride) was purchased from (RESTEK, USA). The sodium sulphate was purified by heating at 400</w:t>
      </w:r>
      <w:r>
        <w:rPr>
          <w:rFonts w:ascii="Times New Roman" w:hAnsi="Times New Roman"/>
          <w:sz w:val="20"/>
          <w:szCs w:val="20"/>
          <w:vertAlign w:val="superscript"/>
        </w:rPr>
        <w:t>o</w:t>
      </w:r>
      <w:r>
        <w:rPr>
          <w:rFonts w:ascii="Times New Roman" w:hAnsi="Times New Roman"/>
          <w:sz w:val="20"/>
          <w:szCs w:val="20"/>
        </w:rPr>
        <w:t xml:space="preserve">C for 4 hours prior to use. All glassware used in the study were soaked in dilute nitric acid and washed with distilled water before each use.  </w:t>
      </w:r>
    </w:p>
    <w:p w:rsidR="0079209E" w:rsidRDefault="0079209E" w:rsidP="0079209E">
      <w:pPr>
        <w:pStyle w:val="ListParagraph"/>
        <w:autoSpaceDE w:val="0"/>
        <w:autoSpaceDN w:val="0"/>
        <w:adjustRightInd w:val="0"/>
        <w:spacing w:after="0" w:line="240" w:lineRule="auto"/>
        <w:ind w:left="0"/>
        <w:jc w:val="both"/>
        <w:rPr>
          <w:rFonts w:ascii="Times New Roman" w:hAnsi="Times New Roman"/>
          <w:b/>
          <w:sz w:val="20"/>
          <w:szCs w:val="20"/>
        </w:rPr>
      </w:pPr>
    </w:p>
    <w:p w:rsidR="0079209E" w:rsidRDefault="0079209E" w:rsidP="0079209E">
      <w:pPr>
        <w:pStyle w:val="ListParagraph"/>
        <w:autoSpaceDE w:val="0"/>
        <w:autoSpaceDN w:val="0"/>
        <w:adjustRightInd w:val="0"/>
        <w:spacing w:after="0" w:line="240" w:lineRule="auto"/>
        <w:ind w:left="0"/>
        <w:jc w:val="both"/>
        <w:rPr>
          <w:rFonts w:ascii="Times New Roman" w:hAnsi="Times New Roman"/>
          <w:b/>
          <w:sz w:val="20"/>
          <w:szCs w:val="20"/>
        </w:rPr>
      </w:pPr>
      <w:r>
        <w:rPr>
          <w:rFonts w:ascii="Times New Roman" w:hAnsi="Times New Roman"/>
          <w:b/>
          <w:sz w:val="20"/>
          <w:szCs w:val="20"/>
        </w:rPr>
        <w:t>Extraction and Cleanup of samples</w:t>
      </w:r>
    </w:p>
    <w:p w:rsidR="0079209E" w:rsidRDefault="0079209E" w:rsidP="0079209E">
      <w:pPr>
        <w:pStyle w:val="ListParagraph"/>
        <w:autoSpaceDE w:val="0"/>
        <w:autoSpaceDN w:val="0"/>
        <w:adjustRightInd w:val="0"/>
        <w:spacing w:after="0" w:line="240" w:lineRule="auto"/>
        <w:ind w:left="0"/>
        <w:jc w:val="both"/>
        <w:rPr>
          <w:rFonts w:ascii="Times New Roman" w:hAnsi="Times New Roman"/>
          <w:sz w:val="20"/>
          <w:szCs w:val="20"/>
        </w:rPr>
      </w:pPr>
      <w:r>
        <w:rPr>
          <w:rFonts w:ascii="Times New Roman" w:hAnsi="Times New Roman"/>
          <w:sz w:val="20"/>
          <w:szCs w:val="20"/>
        </w:rPr>
        <w:t xml:space="preserve">Samples extraction and cleanup were carried out according to USEPA (Ultrasonic Method 3550C) and USEPA (Silica gel cleanup Method 3630C) respectively with little modifications. 10g of dried soil sample mixed with anhydrous sodium sulphate (1:1) was ultrasonically extracted with 50 mL mixture of acetone and dichloromethane (1:1) for 45 minutes and centrifuge for 10 minutes. The supernatant was collected and extraction was repeated three times with fresh 50 mL portion of dichloromethane. The supernatant were collected together and concentrated by a rotary evaporator to about 2mL the solvent was exchanged for hexane for cleanup. The cleanup column was prepared by slurring about 10g of activated silica gel (about100-200mesh, activated at 200 </w:t>
      </w:r>
      <w:r>
        <w:rPr>
          <w:rFonts w:ascii="Times New Roman" w:hAnsi="Times New Roman"/>
          <w:sz w:val="20"/>
          <w:szCs w:val="20"/>
          <w:vertAlign w:val="superscript"/>
        </w:rPr>
        <w:t>o</w:t>
      </w:r>
      <w:r>
        <w:rPr>
          <w:rFonts w:ascii="Times New Roman" w:hAnsi="Times New Roman"/>
          <w:sz w:val="20"/>
          <w:szCs w:val="20"/>
        </w:rPr>
        <w:t>C for 16 hours) with dichloromethane into a chromatography column. About 1g of anhydrous sodium sulphate was added to the top of the column. The column was pre-eluted with 50 mL of n-hexane. The concentrated extracts were transferred quantitatively to the top of the column with an additional 5mL of dichloromethane and eluted with 25 mL of n-hexane followed by 50 mL of hexane/dichloromethane (2:3 V/V). The n-hexane extract was discarded and the hexane/dichloromethane extract was concentrated with a rotary evaporator under nitrogen to about 0.5 mL and adjusted to 1 mL with n-hexane for chromatographic analysis.</w:t>
      </w:r>
    </w:p>
    <w:p w:rsidR="0079209E" w:rsidRDefault="0079209E" w:rsidP="0079209E">
      <w:pPr>
        <w:pStyle w:val="ListParagraph"/>
        <w:autoSpaceDE w:val="0"/>
        <w:autoSpaceDN w:val="0"/>
        <w:adjustRightInd w:val="0"/>
        <w:spacing w:after="0" w:line="240" w:lineRule="auto"/>
        <w:ind w:left="0"/>
        <w:jc w:val="both"/>
        <w:rPr>
          <w:rFonts w:ascii="Times New Roman" w:hAnsi="Times New Roman"/>
          <w:sz w:val="20"/>
          <w:szCs w:val="20"/>
        </w:rPr>
      </w:pPr>
    </w:p>
    <w:p w:rsidR="0079209E" w:rsidRDefault="0079209E" w:rsidP="0079209E">
      <w:pPr>
        <w:pStyle w:val="ListParagraph"/>
        <w:autoSpaceDE w:val="0"/>
        <w:autoSpaceDN w:val="0"/>
        <w:adjustRightInd w:val="0"/>
        <w:spacing w:after="0" w:line="240" w:lineRule="auto"/>
        <w:ind w:left="0"/>
        <w:jc w:val="both"/>
        <w:rPr>
          <w:rFonts w:ascii="Times New Roman" w:hAnsi="Times New Roman"/>
          <w:sz w:val="20"/>
          <w:szCs w:val="20"/>
        </w:rPr>
      </w:pPr>
      <w:r>
        <w:rPr>
          <w:rFonts w:ascii="Times New Roman" w:hAnsi="Times New Roman"/>
          <w:b/>
          <w:sz w:val="20"/>
          <w:szCs w:val="20"/>
        </w:rPr>
        <w:t xml:space="preserve">Gas Chromatograph Analysis of Sample Extracts  </w:t>
      </w:r>
    </w:p>
    <w:p w:rsidR="0079209E" w:rsidRDefault="0079209E" w:rsidP="0079209E">
      <w:pPr>
        <w:pStyle w:val="ListParagraph"/>
        <w:autoSpaceDE w:val="0"/>
        <w:autoSpaceDN w:val="0"/>
        <w:adjustRightInd w:val="0"/>
        <w:spacing w:after="0" w:line="240" w:lineRule="auto"/>
        <w:ind w:left="0"/>
        <w:jc w:val="both"/>
        <w:rPr>
          <w:rFonts w:ascii="Times New Roman" w:hAnsi="Times New Roman"/>
          <w:sz w:val="20"/>
          <w:szCs w:val="20"/>
        </w:rPr>
      </w:pPr>
      <w:r>
        <w:rPr>
          <w:rFonts w:ascii="Times New Roman" w:hAnsi="Times New Roman"/>
          <w:sz w:val="20"/>
          <w:szCs w:val="20"/>
        </w:rPr>
        <w:t xml:space="preserve">The concentration of PAHs in the sample extracts were determined according to USEPA Method 8100 using  Gas Chromatograph coupled to a Flame Ionization Detector (Agilent 5890 GC-FID) with little modifications. The separation was carried out on an HP5 (30 m x 0.25 mm id) fused silica capillary column. 1.0 µL of the extract was </w:t>
      </w:r>
      <w:r>
        <w:rPr>
          <w:rFonts w:ascii="Times New Roman" w:hAnsi="Times New Roman"/>
          <w:sz w:val="20"/>
          <w:szCs w:val="20"/>
        </w:rPr>
        <w:lastRenderedPageBreak/>
        <w:t>injected using split/splitless (25:1) injection mode. Helium was used as the carrier gas at a flow rate of 1 mL/ min and nitrogen was used as the makeup gas. The oven temperature was programmed from 60 ºC (held for 2 min) to 180 ºC at a rate of 30 ºC min</w:t>
      </w:r>
      <w:r>
        <w:rPr>
          <w:rFonts w:ascii="Times New Roman" w:hAnsi="Times New Roman"/>
          <w:sz w:val="20"/>
          <w:szCs w:val="20"/>
          <w:vertAlign w:val="superscript"/>
        </w:rPr>
        <w:t>-1</w:t>
      </w:r>
      <w:r>
        <w:rPr>
          <w:rFonts w:ascii="Times New Roman" w:hAnsi="Times New Roman"/>
          <w:sz w:val="20"/>
          <w:szCs w:val="20"/>
        </w:rPr>
        <w:t>, from 180 ºC to 250 ºC at a rate of 5 ºC min</w:t>
      </w:r>
      <w:r>
        <w:rPr>
          <w:rFonts w:ascii="Times New Roman" w:hAnsi="Times New Roman"/>
          <w:sz w:val="20"/>
          <w:szCs w:val="20"/>
          <w:vertAlign w:val="superscript"/>
        </w:rPr>
        <w:t>-1</w:t>
      </w:r>
      <w:r>
        <w:rPr>
          <w:rFonts w:ascii="Times New Roman" w:hAnsi="Times New Roman"/>
          <w:sz w:val="20"/>
          <w:szCs w:val="20"/>
        </w:rPr>
        <w:t xml:space="preserve"> and from 250 ºC to 330 ºC at a rate of 15 ºC min</w:t>
      </w:r>
      <w:r>
        <w:rPr>
          <w:rFonts w:ascii="Times New Roman" w:hAnsi="Times New Roman"/>
          <w:sz w:val="20"/>
          <w:szCs w:val="20"/>
          <w:vertAlign w:val="superscript"/>
        </w:rPr>
        <w:t>-1</w:t>
      </w:r>
      <w:r>
        <w:rPr>
          <w:rFonts w:ascii="Times New Roman" w:hAnsi="Times New Roman"/>
          <w:sz w:val="20"/>
          <w:szCs w:val="20"/>
        </w:rPr>
        <w:t xml:space="preserve"> and then held for 8 min. The USEPA 16 priority PAHs standard mix was analyzed using the same instrumental conditions. The identification of PAHs was by comparison of samples retention times with that of the USEPA standard mix. The quantification was performed by the five point external calibration curve of the standard. For quality control recovery studies was carried out by spiking samples of known concentration of PAHs with PAH mix standard of known concentrations and analyzed by the test method. Two methods blanks (solvents) were also analyzed along with the samples. The concentrations of the PAHs in the method blanks are below the method detection limit. </w:t>
      </w:r>
    </w:p>
    <w:p w:rsidR="0079209E" w:rsidRDefault="0079209E" w:rsidP="0079209E">
      <w:pPr>
        <w:pStyle w:val="ListParagraph"/>
        <w:autoSpaceDE w:val="0"/>
        <w:autoSpaceDN w:val="0"/>
        <w:adjustRightInd w:val="0"/>
        <w:spacing w:after="0" w:line="240" w:lineRule="auto"/>
        <w:ind w:left="0"/>
        <w:jc w:val="both"/>
        <w:rPr>
          <w:rFonts w:ascii="Times New Roman" w:hAnsi="Times New Roman"/>
          <w:sz w:val="20"/>
          <w:szCs w:val="20"/>
        </w:rPr>
      </w:pPr>
    </w:p>
    <w:p w:rsidR="0079209E" w:rsidRDefault="0079209E" w:rsidP="0079209E">
      <w:pPr>
        <w:pStyle w:val="ListParagraph"/>
        <w:autoSpaceDE w:val="0"/>
        <w:autoSpaceDN w:val="0"/>
        <w:adjustRightInd w:val="0"/>
        <w:spacing w:after="0" w:line="240" w:lineRule="auto"/>
        <w:ind w:left="0"/>
        <w:jc w:val="both"/>
        <w:rPr>
          <w:rFonts w:ascii="Times New Roman" w:hAnsi="Times New Roman"/>
          <w:b/>
          <w:sz w:val="20"/>
          <w:szCs w:val="20"/>
        </w:rPr>
      </w:pPr>
      <w:r>
        <w:rPr>
          <w:rFonts w:ascii="Times New Roman" w:hAnsi="Times New Roman"/>
          <w:b/>
          <w:sz w:val="20"/>
          <w:szCs w:val="20"/>
        </w:rPr>
        <w:t xml:space="preserve">Analysis of Total Organic Carbon, TOC </w:t>
      </w:r>
    </w:p>
    <w:p w:rsidR="0079209E" w:rsidRDefault="0079209E" w:rsidP="0079209E">
      <w:pPr>
        <w:pStyle w:val="ListParagraph"/>
        <w:autoSpaceDE w:val="0"/>
        <w:autoSpaceDN w:val="0"/>
        <w:adjustRightInd w:val="0"/>
        <w:spacing w:after="0" w:line="240" w:lineRule="auto"/>
        <w:ind w:left="0"/>
        <w:jc w:val="both"/>
        <w:rPr>
          <w:rFonts w:ascii="Times New Roman" w:hAnsi="Times New Roman"/>
          <w:sz w:val="20"/>
          <w:szCs w:val="20"/>
        </w:rPr>
      </w:pPr>
      <w:r>
        <w:rPr>
          <w:rFonts w:ascii="Times New Roman" w:hAnsi="Times New Roman"/>
          <w:sz w:val="20"/>
          <w:szCs w:val="20"/>
        </w:rPr>
        <w:t>The total organic carbon was determined by the Walkey-Black method [31]. About 5g of the dried soil sample was ground to pass through 0.5 mm sieve. 0.5 g of each sample was measured in triplicate and transferred into different 250 mL Erlenmeyer flask. 10 mL of 1 N K</w:t>
      </w:r>
      <w:r>
        <w:rPr>
          <w:rFonts w:ascii="Times New Roman" w:hAnsi="Times New Roman"/>
          <w:sz w:val="20"/>
          <w:szCs w:val="20"/>
          <w:vertAlign w:val="subscript"/>
        </w:rPr>
        <w:t>2</w:t>
      </w:r>
      <w:r>
        <w:rPr>
          <w:rFonts w:ascii="Times New Roman" w:hAnsi="Times New Roman"/>
          <w:sz w:val="20"/>
          <w:szCs w:val="20"/>
        </w:rPr>
        <w:t>Cr</w:t>
      </w:r>
      <w:r>
        <w:rPr>
          <w:rFonts w:ascii="Times New Roman" w:hAnsi="Times New Roman"/>
          <w:sz w:val="20"/>
          <w:szCs w:val="20"/>
          <w:vertAlign w:val="subscript"/>
        </w:rPr>
        <w:t>2</w:t>
      </w:r>
      <w:r>
        <w:rPr>
          <w:rFonts w:ascii="Times New Roman" w:hAnsi="Times New Roman"/>
          <w:sz w:val="20"/>
          <w:szCs w:val="20"/>
        </w:rPr>
        <w:t>O</w:t>
      </w:r>
      <w:r>
        <w:rPr>
          <w:rFonts w:ascii="Times New Roman" w:hAnsi="Times New Roman"/>
          <w:sz w:val="20"/>
          <w:szCs w:val="20"/>
          <w:vertAlign w:val="subscript"/>
        </w:rPr>
        <w:t>7</w:t>
      </w:r>
      <w:r>
        <w:rPr>
          <w:rFonts w:ascii="Times New Roman" w:hAnsi="Times New Roman"/>
          <w:sz w:val="20"/>
          <w:szCs w:val="20"/>
        </w:rPr>
        <w:t xml:space="preserve"> solution was added into each flask and swirl gently to disperse the soil. 20 mL of concentrated H</w:t>
      </w:r>
      <w:r>
        <w:rPr>
          <w:rFonts w:ascii="Times New Roman" w:hAnsi="Times New Roman"/>
          <w:sz w:val="20"/>
          <w:szCs w:val="20"/>
          <w:vertAlign w:val="subscript"/>
        </w:rPr>
        <w:t>2</w:t>
      </w:r>
      <w:r>
        <w:rPr>
          <w:rFonts w:ascii="Times New Roman" w:hAnsi="Times New Roman"/>
          <w:sz w:val="20"/>
          <w:szCs w:val="20"/>
        </w:rPr>
        <w:t>SO</w:t>
      </w:r>
      <w:r>
        <w:rPr>
          <w:rFonts w:ascii="Times New Roman" w:hAnsi="Times New Roman"/>
          <w:sz w:val="20"/>
          <w:szCs w:val="20"/>
          <w:vertAlign w:val="subscript"/>
        </w:rPr>
        <w:t>4</w:t>
      </w:r>
      <w:r>
        <w:rPr>
          <w:rFonts w:ascii="Times New Roman" w:hAnsi="Times New Roman"/>
          <w:sz w:val="20"/>
          <w:szCs w:val="20"/>
        </w:rPr>
        <w:t xml:space="preserve"> was rapidly added. The flask was gently swirled immediately until the soil and reagents are mixed, and then swirled more vigorously for 60 seconds. The flask was rotated again and allowed to stand on a sheet of asbestos for about 30 minutes. After standing for 30 minutes, 100 mL of distilled water was added to the mixture to provide a clear suspension for viewing the end point, three drops of ferroin indicator was then added and the resulting solution titrated with 0.5 N ferrous sulphate solution. As the end point was approached, the solution took on a greenish cast and then changed to dark green at which point ferrous sulphate was added drop by drop until the colour changes rapidly from blue to maroon red. This procedure was then repeated for the remaining samples. The blank titration was carried out. The result of the TOC was then calculated as equation 1 below</w:t>
      </w:r>
    </w:p>
    <w:p w:rsidR="0079209E" w:rsidRDefault="0079209E" w:rsidP="0079209E">
      <w:pPr>
        <w:pStyle w:val="ListParagraph"/>
        <w:autoSpaceDE w:val="0"/>
        <w:autoSpaceDN w:val="0"/>
        <w:adjustRightInd w:val="0"/>
        <w:spacing w:after="0" w:line="240" w:lineRule="auto"/>
        <w:ind w:left="0"/>
        <w:jc w:val="both"/>
        <w:rPr>
          <w:rFonts w:ascii="Times New Roman" w:hAnsi="Times New Roman"/>
          <w:sz w:val="20"/>
          <w:szCs w:val="20"/>
        </w:rPr>
      </w:pPr>
    </w:p>
    <w:p w:rsidR="0079209E" w:rsidRDefault="0079209E" w:rsidP="0079209E">
      <w:pPr>
        <w:tabs>
          <w:tab w:val="left" w:pos="709"/>
        </w:tabs>
        <w:spacing w:after="0" w:line="240" w:lineRule="auto"/>
        <w:jc w:val="both"/>
        <w:rPr>
          <w:rFonts w:ascii="Times New Roman" w:hAnsi="Times New Roman"/>
          <w:sz w:val="20"/>
          <w:szCs w:val="20"/>
        </w:rPr>
      </w:pPr>
      <w:r>
        <w:rPr>
          <w:rFonts w:ascii="Times New Roman" w:hAnsi="Times New Roman"/>
          <w:sz w:val="20"/>
          <w:szCs w:val="20"/>
        </w:rPr>
        <w:tab/>
        <w:t>% Organic Carbon in Soil = [(A-B) x 0.003 x 100 x F] / C</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         (1)</w:t>
      </w:r>
    </w:p>
    <w:p w:rsidR="0079209E" w:rsidRDefault="0079209E" w:rsidP="0079209E">
      <w:pPr>
        <w:tabs>
          <w:tab w:val="left" w:pos="709"/>
        </w:tabs>
        <w:spacing w:after="0" w:line="240" w:lineRule="auto"/>
        <w:jc w:val="both"/>
        <w:rPr>
          <w:rFonts w:ascii="Times New Roman" w:hAnsi="Times New Roman"/>
          <w:sz w:val="20"/>
          <w:szCs w:val="20"/>
        </w:rPr>
      </w:pPr>
    </w:p>
    <w:p w:rsidR="0079209E" w:rsidRDefault="0079209E" w:rsidP="0079209E">
      <w:pPr>
        <w:tabs>
          <w:tab w:val="left" w:pos="709"/>
        </w:tabs>
        <w:spacing w:after="0" w:line="240" w:lineRule="auto"/>
        <w:jc w:val="both"/>
        <w:rPr>
          <w:rFonts w:ascii="Times New Roman" w:hAnsi="Times New Roman"/>
          <w:sz w:val="20"/>
          <w:szCs w:val="20"/>
        </w:rPr>
      </w:pPr>
      <w:r>
        <w:rPr>
          <w:rFonts w:ascii="Times New Roman" w:hAnsi="Times New Roman"/>
          <w:sz w:val="20"/>
          <w:szCs w:val="20"/>
        </w:rPr>
        <w:t>where as A is normality of K</w:t>
      </w:r>
      <w:r>
        <w:rPr>
          <w:rFonts w:ascii="Times New Roman" w:hAnsi="Times New Roman"/>
          <w:sz w:val="20"/>
          <w:szCs w:val="20"/>
          <w:vertAlign w:val="subscript"/>
        </w:rPr>
        <w:t>2</w:t>
      </w:r>
      <w:r>
        <w:rPr>
          <w:rFonts w:ascii="Times New Roman" w:hAnsi="Times New Roman"/>
          <w:sz w:val="20"/>
          <w:szCs w:val="20"/>
        </w:rPr>
        <w:t>Cr</w:t>
      </w:r>
      <w:r>
        <w:rPr>
          <w:rFonts w:ascii="Times New Roman" w:hAnsi="Times New Roman"/>
          <w:sz w:val="20"/>
          <w:szCs w:val="20"/>
          <w:vertAlign w:val="subscript"/>
        </w:rPr>
        <w:t>2</w:t>
      </w:r>
      <w:r>
        <w:rPr>
          <w:rFonts w:ascii="Times New Roman" w:hAnsi="Times New Roman"/>
          <w:sz w:val="20"/>
          <w:szCs w:val="20"/>
        </w:rPr>
        <w:t>O</w:t>
      </w:r>
      <w:r>
        <w:rPr>
          <w:rFonts w:ascii="Times New Roman" w:hAnsi="Times New Roman"/>
          <w:sz w:val="20"/>
          <w:szCs w:val="20"/>
          <w:vertAlign w:val="subscript"/>
        </w:rPr>
        <w:t>7</w:t>
      </w:r>
      <w:r>
        <w:rPr>
          <w:rFonts w:ascii="Times New Roman" w:hAnsi="Times New Roman"/>
          <w:sz w:val="20"/>
          <w:szCs w:val="20"/>
        </w:rPr>
        <w:t xml:space="preserve"> x ml of solution, B is normality of FeSO</w:t>
      </w:r>
      <w:r>
        <w:rPr>
          <w:rFonts w:ascii="Times New Roman" w:hAnsi="Times New Roman"/>
          <w:sz w:val="20"/>
          <w:szCs w:val="20"/>
          <w:vertAlign w:val="subscript"/>
        </w:rPr>
        <w:t xml:space="preserve">4 </w:t>
      </w:r>
      <w:r>
        <w:rPr>
          <w:rFonts w:ascii="Times New Roman" w:hAnsi="Times New Roman"/>
          <w:sz w:val="20"/>
          <w:szCs w:val="20"/>
        </w:rPr>
        <w:t>x ml of solution, C is mass of air-dry soil (g) and F= correction factor = 1.33</w:t>
      </w:r>
    </w:p>
    <w:p w:rsidR="006768E9" w:rsidRPr="00F447A7" w:rsidRDefault="006768E9" w:rsidP="0079209E">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79209E" w:rsidRDefault="0079209E" w:rsidP="0079209E">
      <w:pPr>
        <w:pStyle w:val="ListParagraph"/>
        <w:autoSpaceDE w:val="0"/>
        <w:autoSpaceDN w:val="0"/>
        <w:adjustRightInd w:val="0"/>
        <w:spacing w:after="0" w:line="240" w:lineRule="auto"/>
        <w:ind w:left="0"/>
        <w:jc w:val="both"/>
        <w:rPr>
          <w:rFonts w:ascii="Times New Roman" w:hAnsi="Times New Roman"/>
          <w:sz w:val="20"/>
          <w:szCs w:val="20"/>
        </w:rPr>
      </w:pPr>
      <w:r>
        <w:rPr>
          <w:rFonts w:ascii="Times New Roman" w:hAnsi="Times New Roman"/>
          <w:sz w:val="20"/>
          <w:szCs w:val="20"/>
        </w:rPr>
        <w:t xml:space="preserve">The Health Investigation Level, (HIL) for total PAHs have been based on the sum of the 16 USEPA priority PAHs for most contaminated sites [32]. The concentration of the 16 PAHs were determined in the soil sample within the vicinity of the dumpsites. These include Napthalene (Nap); Acenapthene, (Ace-nap), Acenaphtalene, (Ace-naph), Fluorene, (Flu), Phenanthrene, (Phen), Anthracene, (Anth), Flouranthene (Flan), Pyrene (pyr), benzo(a)pyrene, (B(a)P), Benzo(a)anthracene (B(a)A), Benzo(b)flouranthrene (B(b)F), Benzo(k)flouranthrene (B(k)F), Indeno(123-cd)pyrene (IP), Dibenzo(a,h)anthracene (Dib(ah)A and Benzo(ghi)pyrelene (B(ghi)P). The source, toxicity potency and distribution of these PAHs were assessed in the study. </w:t>
      </w:r>
    </w:p>
    <w:p w:rsidR="0079209E" w:rsidRDefault="0079209E" w:rsidP="0079209E">
      <w:pPr>
        <w:pStyle w:val="ListParagraph"/>
        <w:autoSpaceDE w:val="0"/>
        <w:autoSpaceDN w:val="0"/>
        <w:adjustRightInd w:val="0"/>
        <w:spacing w:after="0" w:line="240" w:lineRule="auto"/>
        <w:ind w:left="0"/>
        <w:jc w:val="both"/>
        <w:rPr>
          <w:rFonts w:ascii="Times New Roman" w:hAnsi="Times New Roman"/>
          <w:sz w:val="20"/>
          <w:szCs w:val="20"/>
        </w:rPr>
      </w:pPr>
    </w:p>
    <w:p w:rsidR="0079209E" w:rsidRDefault="0079209E" w:rsidP="0079209E">
      <w:pPr>
        <w:pStyle w:val="ListParagraph"/>
        <w:autoSpaceDE w:val="0"/>
        <w:autoSpaceDN w:val="0"/>
        <w:adjustRightInd w:val="0"/>
        <w:spacing w:after="0" w:line="240" w:lineRule="auto"/>
        <w:ind w:left="0"/>
        <w:jc w:val="both"/>
        <w:rPr>
          <w:rFonts w:ascii="Times New Roman" w:hAnsi="Times New Roman"/>
          <w:b/>
          <w:sz w:val="20"/>
          <w:szCs w:val="20"/>
        </w:rPr>
      </w:pPr>
      <w:r>
        <w:rPr>
          <w:rFonts w:ascii="Times New Roman" w:hAnsi="Times New Roman"/>
          <w:b/>
          <w:sz w:val="20"/>
          <w:szCs w:val="20"/>
        </w:rPr>
        <w:t>Distribution and Level of Polycyclic Aromatic hydrocarbon</w:t>
      </w:r>
    </w:p>
    <w:p w:rsidR="0079209E" w:rsidRDefault="0079209E" w:rsidP="0079209E">
      <w:pPr>
        <w:pStyle w:val="ListParagraph"/>
        <w:autoSpaceDE w:val="0"/>
        <w:autoSpaceDN w:val="0"/>
        <w:adjustRightInd w:val="0"/>
        <w:spacing w:after="0" w:line="240" w:lineRule="auto"/>
        <w:ind w:left="0"/>
        <w:jc w:val="both"/>
        <w:rPr>
          <w:rFonts w:ascii="Times New Roman" w:hAnsi="Times New Roman"/>
          <w:sz w:val="20"/>
          <w:szCs w:val="20"/>
        </w:rPr>
      </w:pPr>
      <w:r>
        <w:rPr>
          <w:rFonts w:ascii="Times New Roman" w:hAnsi="Times New Roman"/>
          <w:sz w:val="20"/>
          <w:szCs w:val="20"/>
        </w:rPr>
        <w:t xml:space="preserve">The concentrations and distributions of the 16 EPA priority PAHs in the dumpsite soil were presented in Table 2. The result (Table 2) shows that, the concentration of PAHs in the soil sample do not follow a specific order of distribution, all the 16 USEPA priority PAHs were detected in the soil at varied concentration. The total EPA PAHs concentrations found in the soil ranged from 0.11374mg/kg to 5.6491mg/kg with a mean concentration of 0.0718±0.01mg/kg and 0.35307±0.23mg/kg (Table 2). The highest PAHs concentration (5.64913mg/kg) was detected in soil samples around the mechanics workshops (point S7) within the vicinity of the dumpsite. Fluoranthrene (0.75197 mg/kg) a class 3 carcinogenic compound [31] and fluorene (0.67488 mg/kg) were found in highest concentrations at S7. This shows that wastes from the mechanic workshop are contributing to the contamination of soil within the vicinity of the dumpsites by PAHs. The concentration of total USEPA PAHs  on the main dump area (sampling point S1 and S2) are 3.09671mg/kg and 3.65275mg/kg respectively with a mean concentration of 0.1935±0.23 mg/kg and 0.22829±0.14 mg/kg  respectively. The concentration of pyrene (0.67420 mg/kg) and chyrsene (0.64619 mg/kg) were the highest at point S1 and phenanthrene (0.44119 mg/kg) was the highest at point S2 when compared with other detected PAHs.  The total and mean concentrations of PAHs at area </w:t>
      </w:r>
      <w:r>
        <w:rPr>
          <w:rFonts w:ascii="Times New Roman" w:hAnsi="Times New Roman"/>
          <w:sz w:val="20"/>
          <w:szCs w:val="20"/>
        </w:rPr>
        <w:lastRenderedPageBreak/>
        <w:t>close to the main dump area (S3, S4 and S5) and mechanics workshop (S6) is higher than the total concentrations in soil at the main dump and mechanic workshop. This shows that the dumps and activities within the mechanics workshop are leading to the accumulation of PAHs in soil within the vicinity of the dumpsites. The concentration of the individual PAHs at point S5 is lowest when compared with other sampling point. The total PAHs concentration at S5 was 0.11374mg/kg with a mean concentration of 0.00718±0.01mg/kg.</w:t>
      </w:r>
    </w:p>
    <w:p w:rsidR="0079209E" w:rsidRDefault="0079209E" w:rsidP="0079209E">
      <w:pPr>
        <w:pStyle w:val="ListParagraph"/>
        <w:autoSpaceDE w:val="0"/>
        <w:autoSpaceDN w:val="0"/>
        <w:adjustRightInd w:val="0"/>
        <w:spacing w:after="0" w:line="240" w:lineRule="auto"/>
        <w:ind w:left="0"/>
        <w:jc w:val="both"/>
        <w:rPr>
          <w:rFonts w:ascii="Times New Roman" w:hAnsi="Times New Roman"/>
          <w:sz w:val="20"/>
          <w:szCs w:val="20"/>
        </w:rPr>
      </w:pPr>
    </w:p>
    <w:p w:rsidR="0079209E" w:rsidRDefault="0079209E" w:rsidP="0079209E">
      <w:pPr>
        <w:pStyle w:val="ListParagraph"/>
        <w:autoSpaceDE w:val="0"/>
        <w:autoSpaceDN w:val="0"/>
        <w:adjustRightInd w:val="0"/>
        <w:spacing w:after="0" w:line="240" w:lineRule="auto"/>
        <w:ind w:left="0"/>
        <w:jc w:val="both"/>
        <w:rPr>
          <w:rFonts w:ascii="Times New Roman" w:hAnsi="Times New Roman"/>
          <w:sz w:val="20"/>
          <w:szCs w:val="20"/>
        </w:rPr>
      </w:pPr>
      <w:r>
        <w:rPr>
          <w:rFonts w:ascii="Times New Roman" w:hAnsi="Times New Roman"/>
          <w:sz w:val="20"/>
          <w:szCs w:val="20"/>
        </w:rPr>
        <w:t xml:space="preserve">The distribution of high molecular weight PAHs, (∑HMW) and low molecular weight PAHs, (∑LMW) in the soil samples (Table 2) show that ∑HMW are the dominant in the dumpsite soil. The total concentration of ∑HMW is higher than (∑LMW) at most of the sampling points (S1, S4, S5, S7, S8, S9, S10). The lower molecular weight PAHs with lower numbers of ring are volatile and easily biodegradable than the high molecular weight PAHs which more are persistent in the environment. The percentage relative concentration of the PAHs based on the numbers of rings to the total concentrations of PAHs in the dumpsite soil (17.12841mg/kg) was shown in Figure 2. The concentration of PAHs in the soil samples based on the ring size are in the order of 3-ring ˃ 4-ring ˃5-ring ˃ 6-ring ˃ 2-ring. The three rings sized PAHs; acenaphthlene, fluorene, phenanthrene, anthracene, acenaphthylene were the most abundant in the dumpsite soil with a relative abundance of 43.80%. The percentage abundance of the  four rings PAHs, fluoranthene, chrysene, benzo(a)anthracene and pyrene was 32%  and abundance of  five ring PAHs; benzo(k)fluoranthene, benzo(k)fluoranthene , benzo(a)pyrene was 16% . The six rings and two rings PAHs was the lowest with an abundance of 5.50% and </w:t>
      </w:r>
      <w:r w:rsidR="00DB6CEF">
        <w:rPr>
          <w:rFonts w:ascii="Times New Roman" w:hAnsi="Times New Roman"/>
          <w:sz w:val="20"/>
          <w:szCs w:val="20"/>
        </w:rPr>
        <w:t xml:space="preserve">2.41% respectively (Figure 2). </w:t>
      </w:r>
    </w:p>
    <w:p w:rsidR="0079209E" w:rsidRDefault="0079209E" w:rsidP="0079209E">
      <w:pPr>
        <w:pStyle w:val="ListParagraph"/>
        <w:autoSpaceDE w:val="0"/>
        <w:autoSpaceDN w:val="0"/>
        <w:adjustRightInd w:val="0"/>
        <w:spacing w:after="0" w:line="240" w:lineRule="auto"/>
        <w:ind w:left="0"/>
        <w:jc w:val="both"/>
        <w:rPr>
          <w:rFonts w:ascii="Times New Roman" w:hAnsi="Times New Roman"/>
          <w:sz w:val="20"/>
          <w:szCs w:val="20"/>
        </w:rPr>
      </w:pPr>
    </w:p>
    <w:p w:rsidR="0079209E" w:rsidRDefault="0079209E" w:rsidP="0079209E">
      <w:pPr>
        <w:pStyle w:val="ListParagraph"/>
        <w:autoSpaceDE w:val="0"/>
        <w:autoSpaceDN w:val="0"/>
        <w:adjustRightInd w:val="0"/>
        <w:spacing w:after="0" w:line="240" w:lineRule="auto"/>
        <w:ind w:left="0"/>
        <w:jc w:val="both"/>
        <w:rPr>
          <w:rFonts w:ascii="Times New Roman" w:hAnsi="Times New Roman"/>
          <w:b/>
          <w:sz w:val="20"/>
          <w:szCs w:val="20"/>
        </w:rPr>
      </w:pPr>
    </w:p>
    <w:p w:rsidR="00BD3D50" w:rsidRDefault="0079209E" w:rsidP="0079209E">
      <w:pPr>
        <w:pStyle w:val="Caption"/>
        <w:keepNext/>
        <w:spacing w:after="0" w:line="240" w:lineRule="auto"/>
        <w:ind w:left="709" w:hanging="709"/>
        <w:jc w:val="center"/>
        <w:rPr>
          <w:rFonts w:ascii="Times New Roman" w:hAnsi="Times New Roman"/>
          <w:b w:val="0"/>
        </w:rPr>
      </w:pPr>
      <w:r>
        <w:rPr>
          <w:rFonts w:ascii="Times New Roman" w:hAnsi="Times New Roman"/>
          <w:b w:val="0"/>
        </w:rPr>
        <w:t xml:space="preserve">Table 2. </w:t>
      </w:r>
      <w:r w:rsidR="007923F3">
        <w:rPr>
          <w:rFonts w:ascii="Times New Roman" w:hAnsi="Times New Roman"/>
          <w:b w:val="0"/>
        </w:rPr>
        <w:t xml:space="preserve"> </w:t>
      </w:r>
      <w:r>
        <w:rPr>
          <w:rFonts w:ascii="Times New Roman" w:hAnsi="Times New Roman"/>
          <w:b w:val="0"/>
        </w:rPr>
        <w:t xml:space="preserve">Concentrations of Polycyclic Aromatic Hydrocarbon in soil samples </w:t>
      </w:r>
      <w:r w:rsidR="00BD3D50">
        <w:rPr>
          <w:rFonts w:ascii="Times New Roman" w:hAnsi="Times New Roman"/>
          <w:b w:val="0"/>
        </w:rPr>
        <w:t>from</w:t>
      </w:r>
    </w:p>
    <w:p w:rsidR="0079209E" w:rsidRDefault="00BD3D50" w:rsidP="00BD3D50">
      <w:pPr>
        <w:pStyle w:val="Caption"/>
        <w:keepNext/>
        <w:spacing w:after="120" w:line="240" w:lineRule="auto"/>
        <w:ind w:left="706" w:hanging="706"/>
        <w:jc w:val="center"/>
        <w:rPr>
          <w:rFonts w:ascii="Times New Roman" w:hAnsi="Times New Roman"/>
          <w:b w:val="0"/>
        </w:rPr>
      </w:pPr>
      <w:r>
        <w:rPr>
          <w:rFonts w:ascii="Times New Roman" w:hAnsi="Times New Roman"/>
          <w:b w:val="0"/>
        </w:rPr>
        <w:t xml:space="preserve">Balogun-Biiro Dumpsite </w:t>
      </w:r>
      <w:r w:rsidR="0079209E">
        <w:rPr>
          <w:rFonts w:ascii="Times New Roman" w:hAnsi="Times New Roman"/>
          <w:b w:val="0"/>
        </w:rPr>
        <w:t>in Oshogbo (mg/kg)</w:t>
      </w:r>
    </w:p>
    <w:tbl>
      <w:tblPr>
        <w:tblpPr w:leftFromText="180" w:rightFromText="180" w:vertAnchor="text" w:horzAnchor="margin" w:tblpXSpec="center" w:tblpY="61"/>
        <w:tblW w:w="0" w:type="auto"/>
        <w:tblBorders>
          <w:top w:val="single" w:sz="4" w:space="0" w:color="auto"/>
          <w:bottom w:val="single" w:sz="4" w:space="0" w:color="auto"/>
        </w:tblBorders>
        <w:tblLayout w:type="fixed"/>
        <w:tblLook w:val="04A0" w:firstRow="1" w:lastRow="0" w:firstColumn="1" w:lastColumn="0" w:noHBand="0" w:noVBand="1"/>
      </w:tblPr>
      <w:tblGrid>
        <w:gridCol w:w="2538"/>
        <w:gridCol w:w="1170"/>
        <w:gridCol w:w="1260"/>
        <w:gridCol w:w="1170"/>
        <w:gridCol w:w="1260"/>
        <w:gridCol w:w="1080"/>
      </w:tblGrid>
      <w:tr w:rsidR="00DB6CEF" w:rsidRPr="00DB6CEF" w:rsidTr="00C57AFB">
        <w:trPr>
          <w:trHeight w:val="295"/>
        </w:trPr>
        <w:tc>
          <w:tcPr>
            <w:tcW w:w="2538" w:type="dxa"/>
            <w:vMerge w:val="restart"/>
            <w:tcBorders>
              <w:top w:val="single" w:sz="4" w:space="0" w:color="auto"/>
              <w:left w:val="nil"/>
              <w:bottom w:val="single" w:sz="4" w:space="0" w:color="auto"/>
              <w:right w:val="nil"/>
            </w:tcBorders>
            <w:vAlign w:val="center"/>
            <w:hideMark/>
          </w:tcPr>
          <w:p w:rsidR="00DB6CEF" w:rsidRPr="00DB6CEF" w:rsidRDefault="00DB6CEF" w:rsidP="0079209E">
            <w:pPr>
              <w:spacing w:after="0" w:line="240" w:lineRule="auto"/>
              <w:contextualSpacing/>
              <w:jc w:val="both"/>
              <w:rPr>
                <w:rFonts w:ascii="Times New Roman" w:hAnsi="Times New Roman"/>
                <w:b/>
                <w:sz w:val="20"/>
                <w:szCs w:val="20"/>
              </w:rPr>
            </w:pPr>
            <w:r w:rsidRPr="00DB6CEF">
              <w:rPr>
                <w:rFonts w:ascii="Times New Roman" w:hAnsi="Times New Roman"/>
                <w:b/>
                <w:sz w:val="20"/>
                <w:szCs w:val="20"/>
              </w:rPr>
              <w:t>PAHs</w:t>
            </w:r>
          </w:p>
        </w:tc>
        <w:tc>
          <w:tcPr>
            <w:tcW w:w="5940" w:type="dxa"/>
            <w:gridSpan w:val="5"/>
            <w:tcBorders>
              <w:top w:val="single" w:sz="4" w:space="0" w:color="auto"/>
              <w:left w:val="nil"/>
              <w:bottom w:val="single" w:sz="4" w:space="0" w:color="auto"/>
              <w:right w:val="nil"/>
            </w:tcBorders>
            <w:vAlign w:val="center"/>
            <w:hideMark/>
          </w:tcPr>
          <w:p w:rsidR="00DB6CEF" w:rsidRPr="00DB6CEF" w:rsidRDefault="00DB6CEF" w:rsidP="00DB6CEF">
            <w:pPr>
              <w:spacing w:after="0" w:line="240" w:lineRule="auto"/>
              <w:contextualSpacing/>
              <w:jc w:val="center"/>
              <w:rPr>
                <w:rFonts w:ascii="Times New Roman" w:hAnsi="Times New Roman"/>
                <w:b/>
                <w:sz w:val="20"/>
                <w:szCs w:val="20"/>
              </w:rPr>
            </w:pPr>
            <w:r w:rsidRPr="00DB6CEF">
              <w:rPr>
                <w:rFonts w:ascii="Times New Roman" w:hAnsi="Times New Roman"/>
                <w:b/>
                <w:sz w:val="20"/>
                <w:szCs w:val="20"/>
              </w:rPr>
              <w:t>Sampling Points</w:t>
            </w:r>
          </w:p>
        </w:tc>
      </w:tr>
      <w:tr w:rsidR="00DB02EA" w:rsidRPr="00DB6CEF" w:rsidTr="00DB02EA">
        <w:trPr>
          <w:trHeight w:val="70"/>
        </w:trPr>
        <w:tc>
          <w:tcPr>
            <w:tcW w:w="2538" w:type="dxa"/>
            <w:vMerge/>
            <w:tcBorders>
              <w:top w:val="single" w:sz="4" w:space="0" w:color="auto"/>
              <w:left w:val="nil"/>
              <w:bottom w:val="single" w:sz="4" w:space="0" w:color="auto"/>
              <w:right w:val="nil"/>
            </w:tcBorders>
            <w:vAlign w:val="center"/>
            <w:hideMark/>
          </w:tcPr>
          <w:p w:rsidR="00DB6CEF" w:rsidRPr="00DB6CEF" w:rsidRDefault="00DB6CEF" w:rsidP="0079209E">
            <w:pPr>
              <w:spacing w:before="60" w:after="60" w:line="240" w:lineRule="auto"/>
              <w:rPr>
                <w:rFonts w:ascii="Times New Roman" w:hAnsi="Times New Roman"/>
                <w:b/>
                <w:sz w:val="20"/>
                <w:szCs w:val="20"/>
              </w:rPr>
            </w:pPr>
          </w:p>
        </w:tc>
        <w:tc>
          <w:tcPr>
            <w:tcW w:w="1170" w:type="dxa"/>
            <w:tcBorders>
              <w:top w:val="single" w:sz="4" w:space="0" w:color="auto"/>
              <w:left w:val="nil"/>
              <w:bottom w:val="single" w:sz="4" w:space="0" w:color="auto"/>
              <w:right w:val="nil"/>
            </w:tcBorders>
            <w:vAlign w:val="center"/>
            <w:hideMark/>
          </w:tcPr>
          <w:p w:rsidR="00DB6CEF" w:rsidRPr="00DB6CEF" w:rsidRDefault="00DB6CEF" w:rsidP="00DB02EA">
            <w:pPr>
              <w:spacing w:before="60" w:after="60" w:line="240" w:lineRule="auto"/>
              <w:rPr>
                <w:rFonts w:ascii="Times New Roman" w:hAnsi="Times New Roman"/>
                <w:b/>
                <w:sz w:val="20"/>
                <w:szCs w:val="20"/>
              </w:rPr>
            </w:pPr>
            <w:r w:rsidRPr="00DB6CEF">
              <w:rPr>
                <w:rFonts w:ascii="Times New Roman" w:hAnsi="Times New Roman"/>
                <w:b/>
                <w:sz w:val="20"/>
                <w:szCs w:val="20"/>
              </w:rPr>
              <w:t>S1</w:t>
            </w:r>
          </w:p>
        </w:tc>
        <w:tc>
          <w:tcPr>
            <w:tcW w:w="1260" w:type="dxa"/>
            <w:tcBorders>
              <w:top w:val="single" w:sz="4" w:space="0" w:color="auto"/>
              <w:left w:val="nil"/>
              <w:bottom w:val="single" w:sz="4" w:space="0" w:color="auto"/>
              <w:right w:val="nil"/>
            </w:tcBorders>
            <w:vAlign w:val="center"/>
            <w:hideMark/>
          </w:tcPr>
          <w:p w:rsidR="00DB6CEF" w:rsidRPr="00DB6CEF" w:rsidRDefault="00DB6CEF" w:rsidP="00DB02EA">
            <w:pPr>
              <w:spacing w:before="60" w:after="60" w:line="240" w:lineRule="auto"/>
              <w:rPr>
                <w:rFonts w:ascii="Times New Roman" w:hAnsi="Times New Roman"/>
                <w:b/>
                <w:sz w:val="20"/>
                <w:szCs w:val="20"/>
              </w:rPr>
            </w:pPr>
            <w:r w:rsidRPr="00DB6CEF">
              <w:rPr>
                <w:rFonts w:ascii="Times New Roman" w:hAnsi="Times New Roman"/>
                <w:b/>
                <w:sz w:val="20"/>
                <w:szCs w:val="20"/>
              </w:rPr>
              <w:t>S2</w:t>
            </w:r>
          </w:p>
        </w:tc>
        <w:tc>
          <w:tcPr>
            <w:tcW w:w="1170" w:type="dxa"/>
            <w:tcBorders>
              <w:top w:val="single" w:sz="4" w:space="0" w:color="auto"/>
              <w:left w:val="nil"/>
              <w:bottom w:val="single" w:sz="4" w:space="0" w:color="auto"/>
              <w:right w:val="nil"/>
            </w:tcBorders>
            <w:vAlign w:val="center"/>
            <w:hideMark/>
          </w:tcPr>
          <w:p w:rsidR="00DB6CEF" w:rsidRPr="00DB6CEF" w:rsidRDefault="00DB6CEF" w:rsidP="00DB02EA">
            <w:pPr>
              <w:spacing w:before="60" w:after="60" w:line="240" w:lineRule="auto"/>
              <w:rPr>
                <w:rFonts w:ascii="Times New Roman" w:hAnsi="Times New Roman"/>
                <w:b/>
                <w:sz w:val="20"/>
                <w:szCs w:val="20"/>
              </w:rPr>
            </w:pPr>
            <w:r w:rsidRPr="00DB6CEF">
              <w:rPr>
                <w:rFonts w:ascii="Times New Roman" w:hAnsi="Times New Roman"/>
                <w:b/>
                <w:sz w:val="20"/>
                <w:szCs w:val="20"/>
              </w:rPr>
              <w:t>S3</w:t>
            </w:r>
          </w:p>
        </w:tc>
        <w:tc>
          <w:tcPr>
            <w:tcW w:w="1260" w:type="dxa"/>
            <w:tcBorders>
              <w:top w:val="single" w:sz="4" w:space="0" w:color="auto"/>
              <w:left w:val="nil"/>
              <w:bottom w:val="single" w:sz="4" w:space="0" w:color="auto"/>
              <w:right w:val="nil"/>
            </w:tcBorders>
            <w:vAlign w:val="center"/>
            <w:hideMark/>
          </w:tcPr>
          <w:p w:rsidR="00DB6CEF" w:rsidRPr="00DB6CEF" w:rsidRDefault="00DB6CEF" w:rsidP="00DB02EA">
            <w:pPr>
              <w:spacing w:before="60" w:after="60" w:line="240" w:lineRule="auto"/>
              <w:rPr>
                <w:rFonts w:ascii="Times New Roman" w:hAnsi="Times New Roman"/>
                <w:b/>
                <w:sz w:val="20"/>
                <w:szCs w:val="20"/>
              </w:rPr>
            </w:pPr>
            <w:r w:rsidRPr="00DB6CEF">
              <w:rPr>
                <w:rFonts w:ascii="Times New Roman" w:hAnsi="Times New Roman"/>
                <w:b/>
                <w:sz w:val="20"/>
                <w:szCs w:val="20"/>
              </w:rPr>
              <w:t>S4</w:t>
            </w:r>
          </w:p>
        </w:tc>
        <w:tc>
          <w:tcPr>
            <w:tcW w:w="1080" w:type="dxa"/>
            <w:tcBorders>
              <w:top w:val="single" w:sz="4" w:space="0" w:color="auto"/>
              <w:left w:val="nil"/>
              <w:bottom w:val="single" w:sz="4" w:space="0" w:color="auto"/>
              <w:right w:val="nil"/>
            </w:tcBorders>
            <w:vAlign w:val="center"/>
            <w:hideMark/>
          </w:tcPr>
          <w:p w:rsidR="00DB6CEF" w:rsidRPr="00DB6CEF" w:rsidRDefault="00DB6CEF" w:rsidP="00DB02EA">
            <w:pPr>
              <w:spacing w:before="60" w:after="60" w:line="240" w:lineRule="auto"/>
              <w:rPr>
                <w:rFonts w:ascii="Times New Roman" w:hAnsi="Times New Roman"/>
                <w:b/>
                <w:sz w:val="20"/>
                <w:szCs w:val="20"/>
              </w:rPr>
            </w:pPr>
            <w:r w:rsidRPr="00DB6CEF">
              <w:rPr>
                <w:rFonts w:ascii="Times New Roman" w:hAnsi="Times New Roman"/>
                <w:b/>
                <w:sz w:val="20"/>
                <w:szCs w:val="20"/>
              </w:rPr>
              <w:t>S5</w:t>
            </w:r>
          </w:p>
        </w:tc>
      </w:tr>
      <w:tr w:rsidR="00DB02EA" w:rsidRPr="00DB6CEF" w:rsidTr="00DB02EA">
        <w:trPr>
          <w:trHeight w:val="144"/>
        </w:trPr>
        <w:tc>
          <w:tcPr>
            <w:tcW w:w="2538" w:type="dxa"/>
            <w:tcBorders>
              <w:top w:val="single" w:sz="4" w:space="0" w:color="auto"/>
              <w:left w:val="nil"/>
              <w:bottom w:val="nil"/>
              <w:right w:val="nil"/>
            </w:tcBorders>
            <w:vAlign w:val="center"/>
            <w:hideMark/>
          </w:tcPr>
          <w:p w:rsidR="00DB6CEF" w:rsidRPr="00DB6CEF" w:rsidRDefault="00DB6CEF" w:rsidP="00C57AFB">
            <w:pPr>
              <w:spacing w:before="120" w:after="0" w:line="240" w:lineRule="auto"/>
              <w:jc w:val="both"/>
              <w:rPr>
                <w:rFonts w:ascii="Times New Roman" w:hAnsi="Times New Roman"/>
                <w:sz w:val="20"/>
                <w:szCs w:val="20"/>
              </w:rPr>
            </w:pPr>
            <w:r w:rsidRPr="00DB6CEF">
              <w:rPr>
                <w:rFonts w:ascii="Times New Roman" w:hAnsi="Times New Roman"/>
                <w:sz w:val="20"/>
                <w:szCs w:val="20"/>
              </w:rPr>
              <w:t>Naphthalene</w:t>
            </w:r>
          </w:p>
        </w:tc>
        <w:tc>
          <w:tcPr>
            <w:tcW w:w="1170" w:type="dxa"/>
            <w:tcBorders>
              <w:top w:val="single" w:sz="4" w:space="0" w:color="auto"/>
              <w:left w:val="nil"/>
              <w:bottom w:val="nil"/>
              <w:right w:val="nil"/>
            </w:tcBorders>
            <w:vAlign w:val="center"/>
            <w:hideMark/>
          </w:tcPr>
          <w:p w:rsidR="00DB6CEF" w:rsidRPr="00DB6CEF" w:rsidRDefault="00DB6CEF" w:rsidP="00DB02EA">
            <w:pPr>
              <w:spacing w:before="120" w:after="0" w:line="240" w:lineRule="auto"/>
              <w:rPr>
                <w:rFonts w:ascii="Times New Roman" w:hAnsi="Times New Roman"/>
                <w:sz w:val="20"/>
                <w:szCs w:val="20"/>
              </w:rPr>
            </w:pPr>
            <w:r w:rsidRPr="00DB6CEF">
              <w:rPr>
                <w:rFonts w:ascii="Times New Roman" w:hAnsi="Times New Roman"/>
                <w:sz w:val="20"/>
                <w:szCs w:val="20"/>
              </w:rPr>
              <w:t>0.00267</w:t>
            </w:r>
          </w:p>
        </w:tc>
        <w:tc>
          <w:tcPr>
            <w:tcW w:w="1260" w:type="dxa"/>
            <w:tcBorders>
              <w:top w:val="single" w:sz="4" w:space="0" w:color="auto"/>
              <w:left w:val="nil"/>
              <w:bottom w:val="nil"/>
              <w:right w:val="nil"/>
            </w:tcBorders>
            <w:vAlign w:val="center"/>
            <w:hideMark/>
          </w:tcPr>
          <w:p w:rsidR="00DB6CEF" w:rsidRPr="00DB6CEF" w:rsidRDefault="00DB6CEF" w:rsidP="00DB02EA">
            <w:pPr>
              <w:spacing w:before="120" w:after="0" w:line="240" w:lineRule="auto"/>
              <w:rPr>
                <w:rFonts w:ascii="Times New Roman" w:hAnsi="Times New Roman"/>
                <w:sz w:val="20"/>
                <w:szCs w:val="20"/>
              </w:rPr>
            </w:pPr>
            <w:r w:rsidRPr="00DB6CEF">
              <w:rPr>
                <w:rFonts w:ascii="Times New Roman" w:hAnsi="Times New Roman"/>
                <w:sz w:val="20"/>
                <w:szCs w:val="20"/>
              </w:rPr>
              <w:t>0.37052</w:t>
            </w:r>
          </w:p>
        </w:tc>
        <w:tc>
          <w:tcPr>
            <w:tcW w:w="1170" w:type="dxa"/>
            <w:tcBorders>
              <w:top w:val="single" w:sz="4" w:space="0" w:color="auto"/>
              <w:left w:val="nil"/>
              <w:bottom w:val="nil"/>
              <w:right w:val="nil"/>
            </w:tcBorders>
            <w:vAlign w:val="center"/>
            <w:hideMark/>
          </w:tcPr>
          <w:p w:rsidR="00DB6CEF" w:rsidRPr="00DB6CEF" w:rsidRDefault="00DB6CEF" w:rsidP="00DB02EA">
            <w:pPr>
              <w:spacing w:before="120" w:after="0" w:line="240" w:lineRule="auto"/>
              <w:rPr>
                <w:rFonts w:ascii="Times New Roman" w:hAnsi="Times New Roman"/>
                <w:sz w:val="20"/>
                <w:szCs w:val="20"/>
              </w:rPr>
            </w:pPr>
            <w:r w:rsidRPr="00DB6CEF">
              <w:rPr>
                <w:rFonts w:ascii="Times New Roman" w:hAnsi="Times New Roman"/>
                <w:sz w:val="20"/>
                <w:szCs w:val="20"/>
              </w:rPr>
              <w:t>0.01425</w:t>
            </w:r>
          </w:p>
        </w:tc>
        <w:tc>
          <w:tcPr>
            <w:tcW w:w="1260" w:type="dxa"/>
            <w:tcBorders>
              <w:top w:val="single" w:sz="4" w:space="0" w:color="auto"/>
              <w:left w:val="nil"/>
              <w:bottom w:val="nil"/>
              <w:right w:val="nil"/>
            </w:tcBorders>
            <w:vAlign w:val="center"/>
            <w:hideMark/>
          </w:tcPr>
          <w:p w:rsidR="00DB6CEF" w:rsidRPr="00DB6CEF" w:rsidRDefault="00DB6CEF" w:rsidP="00DB02EA">
            <w:pPr>
              <w:spacing w:before="120" w:after="0" w:line="240" w:lineRule="auto"/>
              <w:rPr>
                <w:rFonts w:ascii="Times New Roman" w:hAnsi="Times New Roman"/>
                <w:sz w:val="20"/>
                <w:szCs w:val="20"/>
              </w:rPr>
            </w:pPr>
            <w:r w:rsidRPr="00DB6CEF">
              <w:rPr>
                <w:rFonts w:ascii="Times New Roman" w:hAnsi="Times New Roman"/>
                <w:sz w:val="20"/>
                <w:szCs w:val="20"/>
              </w:rPr>
              <w:t>0.00254</w:t>
            </w:r>
          </w:p>
        </w:tc>
        <w:tc>
          <w:tcPr>
            <w:tcW w:w="1080" w:type="dxa"/>
            <w:tcBorders>
              <w:top w:val="single" w:sz="4" w:space="0" w:color="auto"/>
              <w:left w:val="nil"/>
              <w:bottom w:val="nil"/>
              <w:right w:val="nil"/>
            </w:tcBorders>
            <w:vAlign w:val="center"/>
            <w:hideMark/>
          </w:tcPr>
          <w:p w:rsidR="00DB6CEF" w:rsidRPr="00DB6CEF" w:rsidRDefault="00DB6CEF" w:rsidP="00DB02EA">
            <w:pPr>
              <w:spacing w:before="120" w:after="0" w:line="240" w:lineRule="auto"/>
              <w:rPr>
                <w:rFonts w:ascii="Times New Roman" w:hAnsi="Times New Roman"/>
                <w:sz w:val="20"/>
                <w:szCs w:val="20"/>
              </w:rPr>
            </w:pPr>
            <w:r w:rsidRPr="00DB6CEF">
              <w:rPr>
                <w:rFonts w:ascii="Times New Roman" w:hAnsi="Times New Roman"/>
                <w:sz w:val="20"/>
                <w:szCs w:val="20"/>
              </w:rPr>
              <w:t>0.00051</w:t>
            </w:r>
          </w:p>
        </w:tc>
      </w:tr>
      <w:tr w:rsidR="00DB02EA" w:rsidRPr="00DB6CEF" w:rsidTr="00DB02EA">
        <w:trPr>
          <w:trHeight w:val="144"/>
        </w:trPr>
        <w:tc>
          <w:tcPr>
            <w:tcW w:w="2538" w:type="dxa"/>
            <w:tcBorders>
              <w:top w:val="nil"/>
              <w:left w:val="nil"/>
              <w:bottom w:val="nil"/>
              <w:right w:val="nil"/>
            </w:tcBorders>
            <w:vAlign w:val="center"/>
            <w:hideMark/>
          </w:tcPr>
          <w:p w:rsidR="00DB6CEF" w:rsidRPr="00DB6CEF" w:rsidRDefault="00DB6CEF" w:rsidP="0079209E">
            <w:pPr>
              <w:spacing w:after="0" w:line="240" w:lineRule="auto"/>
              <w:jc w:val="both"/>
              <w:rPr>
                <w:rFonts w:ascii="Times New Roman" w:hAnsi="Times New Roman"/>
                <w:sz w:val="20"/>
                <w:szCs w:val="20"/>
              </w:rPr>
            </w:pPr>
            <w:r w:rsidRPr="00DB6CEF">
              <w:rPr>
                <w:rFonts w:ascii="Times New Roman" w:hAnsi="Times New Roman"/>
                <w:sz w:val="20"/>
                <w:szCs w:val="20"/>
              </w:rPr>
              <w:t>Acenaphthylene</w:t>
            </w:r>
          </w:p>
        </w:tc>
        <w:tc>
          <w:tcPr>
            <w:tcW w:w="1170" w:type="dxa"/>
            <w:tcBorders>
              <w:top w:val="nil"/>
              <w:left w:val="nil"/>
              <w:bottom w:val="nil"/>
              <w:right w:val="nil"/>
            </w:tcBorders>
            <w:vAlign w:val="center"/>
            <w:hideMark/>
          </w:tcPr>
          <w:p w:rsidR="00DB6CEF" w:rsidRPr="00DB6CEF" w:rsidRDefault="00DB6CEF" w:rsidP="00DB02EA">
            <w:pPr>
              <w:spacing w:after="0" w:line="240" w:lineRule="auto"/>
              <w:rPr>
                <w:rFonts w:ascii="Times New Roman" w:hAnsi="Times New Roman"/>
                <w:sz w:val="20"/>
                <w:szCs w:val="20"/>
              </w:rPr>
            </w:pPr>
            <w:r w:rsidRPr="00DB6CEF">
              <w:rPr>
                <w:rFonts w:ascii="Times New Roman" w:hAnsi="Times New Roman"/>
                <w:sz w:val="20"/>
                <w:szCs w:val="20"/>
              </w:rPr>
              <w:t>0.00421</w:t>
            </w:r>
          </w:p>
        </w:tc>
        <w:tc>
          <w:tcPr>
            <w:tcW w:w="1260" w:type="dxa"/>
            <w:tcBorders>
              <w:top w:val="nil"/>
              <w:left w:val="nil"/>
              <w:bottom w:val="nil"/>
              <w:right w:val="nil"/>
            </w:tcBorders>
            <w:vAlign w:val="center"/>
            <w:hideMark/>
          </w:tcPr>
          <w:p w:rsidR="00DB6CEF" w:rsidRPr="00DB6CEF" w:rsidRDefault="00DB6CEF" w:rsidP="00DB02EA">
            <w:pPr>
              <w:spacing w:after="0" w:line="240" w:lineRule="auto"/>
              <w:rPr>
                <w:rFonts w:ascii="Times New Roman" w:hAnsi="Times New Roman"/>
                <w:sz w:val="20"/>
                <w:szCs w:val="20"/>
              </w:rPr>
            </w:pPr>
            <w:r w:rsidRPr="00DB6CEF">
              <w:rPr>
                <w:rFonts w:ascii="Times New Roman" w:hAnsi="Times New Roman"/>
                <w:sz w:val="20"/>
                <w:szCs w:val="20"/>
              </w:rPr>
              <w:t>0.14336</w:t>
            </w:r>
          </w:p>
        </w:tc>
        <w:tc>
          <w:tcPr>
            <w:tcW w:w="1170" w:type="dxa"/>
            <w:tcBorders>
              <w:top w:val="nil"/>
              <w:left w:val="nil"/>
              <w:bottom w:val="nil"/>
              <w:right w:val="nil"/>
            </w:tcBorders>
            <w:vAlign w:val="center"/>
            <w:hideMark/>
          </w:tcPr>
          <w:p w:rsidR="00DB6CEF" w:rsidRPr="00DB6CEF" w:rsidRDefault="00DB6CEF" w:rsidP="00DB02EA">
            <w:pPr>
              <w:spacing w:after="0" w:line="240" w:lineRule="auto"/>
              <w:rPr>
                <w:rFonts w:ascii="Times New Roman" w:hAnsi="Times New Roman"/>
                <w:sz w:val="20"/>
                <w:szCs w:val="20"/>
              </w:rPr>
            </w:pPr>
            <w:r w:rsidRPr="00DB6CEF">
              <w:rPr>
                <w:rFonts w:ascii="Times New Roman" w:hAnsi="Times New Roman"/>
                <w:sz w:val="20"/>
                <w:szCs w:val="20"/>
              </w:rPr>
              <w:t>0.00692</w:t>
            </w:r>
          </w:p>
        </w:tc>
        <w:tc>
          <w:tcPr>
            <w:tcW w:w="1260" w:type="dxa"/>
            <w:tcBorders>
              <w:top w:val="nil"/>
              <w:left w:val="nil"/>
              <w:bottom w:val="nil"/>
              <w:right w:val="nil"/>
            </w:tcBorders>
            <w:vAlign w:val="center"/>
            <w:hideMark/>
          </w:tcPr>
          <w:p w:rsidR="00DB6CEF" w:rsidRPr="00DB6CEF" w:rsidRDefault="00DB6CEF" w:rsidP="00DB02EA">
            <w:pPr>
              <w:spacing w:after="0" w:line="240" w:lineRule="auto"/>
              <w:rPr>
                <w:rFonts w:ascii="Times New Roman" w:hAnsi="Times New Roman"/>
                <w:sz w:val="20"/>
                <w:szCs w:val="20"/>
              </w:rPr>
            </w:pPr>
            <w:r w:rsidRPr="00DB6CEF">
              <w:rPr>
                <w:rFonts w:ascii="Times New Roman" w:hAnsi="Times New Roman"/>
                <w:sz w:val="20"/>
                <w:szCs w:val="20"/>
              </w:rPr>
              <w:t>0.06294</w:t>
            </w:r>
          </w:p>
        </w:tc>
        <w:tc>
          <w:tcPr>
            <w:tcW w:w="1080" w:type="dxa"/>
            <w:tcBorders>
              <w:top w:val="nil"/>
              <w:left w:val="nil"/>
              <w:bottom w:val="nil"/>
              <w:right w:val="nil"/>
            </w:tcBorders>
            <w:vAlign w:val="center"/>
            <w:hideMark/>
          </w:tcPr>
          <w:p w:rsidR="00DB6CEF" w:rsidRPr="00DB6CEF" w:rsidRDefault="00DB6CEF" w:rsidP="00DB02EA">
            <w:pPr>
              <w:spacing w:after="0" w:line="240" w:lineRule="auto"/>
              <w:rPr>
                <w:rFonts w:ascii="Times New Roman" w:hAnsi="Times New Roman"/>
                <w:sz w:val="20"/>
                <w:szCs w:val="20"/>
              </w:rPr>
            </w:pPr>
            <w:r w:rsidRPr="00DB6CEF">
              <w:rPr>
                <w:rFonts w:ascii="Times New Roman" w:hAnsi="Times New Roman"/>
                <w:sz w:val="20"/>
                <w:szCs w:val="20"/>
              </w:rPr>
              <w:t>0.03292</w:t>
            </w:r>
          </w:p>
        </w:tc>
      </w:tr>
      <w:tr w:rsidR="00DB02EA" w:rsidRPr="00DB6CEF" w:rsidTr="00DB02EA">
        <w:trPr>
          <w:trHeight w:val="144"/>
        </w:trPr>
        <w:tc>
          <w:tcPr>
            <w:tcW w:w="2538" w:type="dxa"/>
            <w:tcBorders>
              <w:top w:val="nil"/>
              <w:left w:val="nil"/>
              <w:bottom w:val="nil"/>
              <w:right w:val="nil"/>
            </w:tcBorders>
            <w:vAlign w:val="center"/>
            <w:hideMark/>
          </w:tcPr>
          <w:p w:rsidR="00DB6CEF" w:rsidRPr="00DB6CEF" w:rsidRDefault="00DB6CEF" w:rsidP="0079209E">
            <w:pPr>
              <w:spacing w:after="0" w:line="240" w:lineRule="auto"/>
              <w:jc w:val="both"/>
              <w:rPr>
                <w:rFonts w:ascii="Times New Roman" w:hAnsi="Times New Roman"/>
                <w:sz w:val="20"/>
                <w:szCs w:val="20"/>
              </w:rPr>
            </w:pPr>
            <w:r w:rsidRPr="00DB6CEF">
              <w:rPr>
                <w:rFonts w:ascii="Times New Roman" w:hAnsi="Times New Roman"/>
                <w:sz w:val="20"/>
                <w:szCs w:val="20"/>
              </w:rPr>
              <w:t>Acenaphthene</w:t>
            </w:r>
          </w:p>
        </w:tc>
        <w:tc>
          <w:tcPr>
            <w:tcW w:w="1170" w:type="dxa"/>
            <w:tcBorders>
              <w:top w:val="nil"/>
              <w:left w:val="nil"/>
              <w:bottom w:val="nil"/>
              <w:right w:val="nil"/>
            </w:tcBorders>
            <w:vAlign w:val="center"/>
            <w:hideMark/>
          </w:tcPr>
          <w:p w:rsidR="00DB6CEF" w:rsidRPr="00DB6CEF" w:rsidRDefault="00DB6CEF" w:rsidP="00DB02EA">
            <w:pPr>
              <w:spacing w:after="0" w:line="240" w:lineRule="auto"/>
              <w:rPr>
                <w:rFonts w:ascii="Times New Roman" w:hAnsi="Times New Roman"/>
                <w:sz w:val="20"/>
                <w:szCs w:val="20"/>
              </w:rPr>
            </w:pPr>
            <w:r w:rsidRPr="00DB6CEF">
              <w:rPr>
                <w:rFonts w:ascii="Times New Roman" w:hAnsi="Times New Roman"/>
                <w:sz w:val="20"/>
                <w:szCs w:val="20"/>
              </w:rPr>
              <w:t>0.00209</w:t>
            </w:r>
          </w:p>
        </w:tc>
        <w:tc>
          <w:tcPr>
            <w:tcW w:w="1260" w:type="dxa"/>
            <w:tcBorders>
              <w:top w:val="nil"/>
              <w:left w:val="nil"/>
              <w:bottom w:val="nil"/>
              <w:right w:val="nil"/>
            </w:tcBorders>
            <w:vAlign w:val="center"/>
            <w:hideMark/>
          </w:tcPr>
          <w:p w:rsidR="00DB6CEF" w:rsidRPr="00DB6CEF" w:rsidRDefault="00DB6CEF" w:rsidP="00DB02EA">
            <w:pPr>
              <w:spacing w:after="0" w:line="240" w:lineRule="auto"/>
              <w:rPr>
                <w:rFonts w:ascii="Times New Roman" w:hAnsi="Times New Roman"/>
                <w:sz w:val="20"/>
                <w:szCs w:val="20"/>
              </w:rPr>
            </w:pPr>
            <w:r w:rsidRPr="00DB6CEF">
              <w:rPr>
                <w:rFonts w:ascii="Times New Roman" w:hAnsi="Times New Roman"/>
                <w:sz w:val="20"/>
                <w:szCs w:val="20"/>
              </w:rPr>
              <w:t>0.26362</w:t>
            </w:r>
          </w:p>
        </w:tc>
        <w:tc>
          <w:tcPr>
            <w:tcW w:w="1170" w:type="dxa"/>
            <w:tcBorders>
              <w:top w:val="nil"/>
              <w:left w:val="nil"/>
              <w:bottom w:val="nil"/>
              <w:right w:val="nil"/>
            </w:tcBorders>
            <w:vAlign w:val="center"/>
            <w:hideMark/>
          </w:tcPr>
          <w:p w:rsidR="00DB6CEF" w:rsidRPr="00DB6CEF" w:rsidRDefault="00DB6CEF" w:rsidP="00DB02EA">
            <w:pPr>
              <w:spacing w:after="0" w:line="240" w:lineRule="auto"/>
              <w:rPr>
                <w:rFonts w:ascii="Times New Roman" w:hAnsi="Times New Roman"/>
                <w:sz w:val="20"/>
                <w:szCs w:val="20"/>
              </w:rPr>
            </w:pPr>
            <w:r w:rsidRPr="00DB6CEF">
              <w:rPr>
                <w:rFonts w:ascii="Times New Roman" w:hAnsi="Times New Roman"/>
                <w:sz w:val="20"/>
                <w:szCs w:val="20"/>
              </w:rPr>
              <w:t>0.32753</w:t>
            </w:r>
          </w:p>
        </w:tc>
        <w:tc>
          <w:tcPr>
            <w:tcW w:w="1260" w:type="dxa"/>
            <w:tcBorders>
              <w:top w:val="nil"/>
              <w:left w:val="nil"/>
              <w:bottom w:val="nil"/>
              <w:right w:val="nil"/>
            </w:tcBorders>
            <w:vAlign w:val="center"/>
            <w:hideMark/>
          </w:tcPr>
          <w:p w:rsidR="00DB6CEF" w:rsidRPr="00DB6CEF" w:rsidRDefault="00DB6CEF" w:rsidP="00DB02EA">
            <w:pPr>
              <w:spacing w:after="0" w:line="240" w:lineRule="auto"/>
              <w:rPr>
                <w:rFonts w:ascii="Times New Roman" w:hAnsi="Times New Roman"/>
                <w:sz w:val="20"/>
                <w:szCs w:val="20"/>
              </w:rPr>
            </w:pPr>
            <w:r w:rsidRPr="00DB6CEF">
              <w:rPr>
                <w:rFonts w:ascii="Times New Roman" w:hAnsi="Times New Roman"/>
                <w:sz w:val="20"/>
                <w:szCs w:val="20"/>
              </w:rPr>
              <w:t>0.04287</w:t>
            </w:r>
          </w:p>
        </w:tc>
        <w:tc>
          <w:tcPr>
            <w:tcW w:w="1080" w:type="dxa"/>
            <w:tcBorders>
              <w:top w:val="nil"/>
              <w:left w:val="nil"/>
              <w:bottom w:val="nil"/>
              <w:right w:val="nil"/>
            </w:tcBorders>
            <w:vAlign w:val="center"/>
            <w:hideMark/>
          </w:tcPr>
          <w:p w:rsidR="00DB6CEF" w:rsidRPr="00DB6CEF" w:rsidRDefault="00DB6CEF" w:rsidP="00DB02EA">
            <w:pPr>
              <w:spacing w:after="0" w:line="240" w:lineRule="auto"/>
              <w:rPr>
                <w:rFonts w:ascii="Times New Roman" w:hAnsi="Times New Roman"/>
                <w:sz w:val="20"/>
                <w:szCs w:val="20"/>
              </w:rPr>
            </w:pPr>
            <w:r w:rsidRPr="00DB6CEF">
              <w:rPr>
                <w:rFonts w:ascii="Times New Roman" w:hAnsi="Times New Roman"/>
                <w:sz w:val="20"/>
                <w:szCs w:val="20"/>
              </w:rPr>
              <w:t>0.00132</w:t>
            </w:r>
          </w:p>
        </w:tc>
      </w:tr>
      <w:tr w:rsidR="00DB02EA" w:rsidRPr="00DB6CEF" w:rsidTr="00DB02EA">
        <w:trPr>
          <w:trHeight w:val="144"/>
        </w:trPr>
        <w:tc>
          <w:tcPr>
            <w:tcW w:w="2538" w:type="dxa"/>
            <w:tcBorders>
              <w:top w:val="nil"/>
              <w:left w:val="nil"/>
              <w:bottom w:val="nil"/>
              <w:right w:val="nil"/>
            </w:tcBorders>
            <w:vAlign w:val="center"/>
            <w:hideMark/>
          </w:tcPr>
          <w:p w:rsidR="00DB6CEF" w:rsidRPr="00DB6CEF" w:rsidRDefault="00DB6CEF" w:rsidP="0079209E">
            <w:pPr>
              <w:spacing w:after="0" w:line="240" w:lineRule="auto"/>
              <w:jc w:val="both"/>
              <w:rPr>
                <w:rFonts w:ascii="Times New Roman" w:hAnsi="Times New Roman"/>
                <w:sz w:val="20"/>
                <w:szCs w:val="20"/>
              </w:rPr>
            </w:pPr>
            <w:r w:rsidRPr="00DB6CEF">
              <w:rPr>
                <w:rFonts w:ascii="Times New Roman" w:hAnsi="Times New Roman"/>
                <w:sz w:val="20"/>
                <w:szCs w:val="20"/>
              </w:rPr>
              <w:t>Fluorene</w:t>
            </w:r>
          </w:p>
        </w:tc>
        <w:tc>
          <w:tcPr>
            <w:tcW w:w="1170" w:type="dxa"/>
            <w:tcBorders>
              <w:top w:val="nil"/>
              <w:left w:val="nil"/>
              <w:bottom w:val="nil"/>
              <w:right w:val="nil"/>
            </w:tcBorders>
            <w:vAlign w:val="center"/>
            <w:hideMark/>
          </w:tcPr>
          <w:p w:rsidR="00DB6CEF" w:rsidRPr="00DB6CEF" w:rsidRDefault="00DB6CEF" w:rsidP="00DB02EA">
            <w:pPr>
              <w:spacing w:after="0" w:line="240" w:lineRule="auto"/>
              <w:rPr>
                <w:rFonts w:ascii="Times New Roman" w:hAnsi="Times New Roman"/>
                <w:sz w:val="20"/>
                <w:szCs w:val="20"/>
              </w:rPr>
            </w:pPr>
            <w:r w:rsidRPr="00DB6CEF">
              <w:rPr>
                <w:rFonts w:ascii="Times New Roman" w:hAnsi="Times New Roman"/>
                <w:sz w:val="20"/>
                <w:szCs w:val="20"/>
              </w:rPr>
              <w:t>0.00002</w:t>
            </w:r>
          </w:p>
        </w:tc>
        <w:tc>
          <w:tcPr>
            <w:tcW w:w="1260" w:type="dxa"/>
            <w:tcBorders>
              <w:top w:val="nil"/>
              <w:left w:val="nil"/>
              <w:bottom w:val="nil"/>
              <w:right w:val="nil"/>
            </w:tcBorders>
            <w:vAlign w:val="center"/>
            <w:hideMark/>
          </w:tcPr>
          <w:p w:rsidR="00DB6CEF" w:rsidRPr="00DB6CEF" w:rsidRDefault="00DB6CEF" w:rsidP="00DB02EA">
            <w:pPr>
              <w:spacing w:after="0" w:line="240" w:lineRule="auto"/>
              <w:rPr>
                <w:rFonts w:ascii="Times New Roman" w:hAnsi="Times New Roman"/>
                <w:sz w:val="20"/>
                <w:szCs w:val="20"/>
              </w:rPr>
            </w:pPr>
            <w:r w:rsidRPr="00DB6CEF">
              <w:rPr>
                <w:rFonts w:ascii="Times New Roman" w:hAnsi="Times New Roman"/>
                <w:sz w:val="20"/>
                <w:szCs w:val="20"/>
              </w:rPr>
              <w:t>0.49429</w:t>
            </w:r>
          </w:p>
        </w:tc>
        <w:tc>
          <w:tcPr>
            <w:tcW w:w="1170" w:type="dxa"/>
            <w:tcBorders>
              <w:top w:val="nil"/>
              <w:left w:val="nil"/>
              <w:bottom w:val="nil"/>
              <w:right w:val="nil"/>
            </w:tcBorders>
            <w:vAlign w:val="center"/>
            <w:hideMark/>
          </w:tcPr>
          <w:p w:rsidR="00DB6CEF" w:rsidRPr="00DB6CEF" w:rsidRDefault="00DB6CEF" w:rsidP="00DB02EA">
            <w:pPr>
              <w:spacing w:after="0" w:line="240" w:lineRule="auto"/>
              <w:rPr>
                <w:rFonts w:ascii="Times New Roman" w:hAnsi="Times New Roman"/>
                <w:sz w:val="20"/>
                <w:szCs w:val="20"/>
              </w:rPr>
            </w:pPr>
            <w:r w:rsidRPr="00DB6CEF">
              <w:rPr>
                <w:rFonts w:ascii="Times New Roman" w:hAnsi="Times New Roman"/>
                <w:sz w:val="20"/>
                <w:szCs w:val="20"/>
              </w:rPr>
              <w:t>0.52784</w:t>
            </w:r>
          </w:p>
        </w:tc>
        <w:tc>
          <w:tcPr>
            <w:tcW w:w="1260" w:type="dxa"/>
            <w:tcBorders>
              <w:top w:val="nil"/>
              <w:left w:val="nil"/>
              <w:bottom w:val="nil"/>
              <w:right w:val="nil"/>
            </w:tcBorders>
            <w:vAlign w:val="center"/>
            <w:hideMark/>
          </w:tcPr>
          <w:p w:rsidR="00DB6CEF" w:rsidRPr="00DB6CEF" w:rsidRDefault="00DB6CEF" w:rsidP="00DB02EA">
            <w:pPr>
              <w:spacing w:after="0" w:line="240" w:lineRule="auto"/>
              <w:rPr>
                <w:rFonts w:ascii="Times New Roman" w:hAnsi="Times New Roman"/>
                <w:sz w:val="20"/>
                <w:szCs w:val="20"/>
              </w:rPr>
            </w:pPr>
            <w:r w:rsidRPr="00DB6CEF">
              <w:rPr>
                <w:rFonts w:ascii="Times New Roman" w:hAnsi="Times New Roman"/>
                <w:sz w:val="20"/>
                <w:szCs w:val="20"/>
              </w:rPr>
              <w:t>0.06924</w:t>
            </w:r>
          </w:p>
        </w:tc>
        <w:tc>
          <w:tcPr>
            <w:tcW w:w="1080" w:type="dxa"/>
            <w:tcBorders>
              <w:top w:val="nil"/>
              <w:left w:val="nil"/>
              <w:bottom w:val="nil"/>
              <w:right w:val="nil"/>
            </w:tcBorders>
            <w:vAlign w:val="center"/>
            <w:hideMark/>
          </w:tcPr>
          <w:p w:rsidR="00DB6CEF" w:rsidRPr="00DB6CEF" w:rsidRDefault="00DB6CEF" w:rsidP="00DB02EA">
            <w:pPr>
              <w:spacing w:after="0" w:line="240" w:lineRule="auto"/>
              <w:rPr>
                <w:rFonts w:ascii="Times New Roman" w:hAnsi="Times New Roman"/>
                <w:sz w:val="20"/>
                <w:szCs w:val="20"/>
              </w:rPr>
            </w:pPr>
            <w:r w:rsidRPr="00DB6CEF">
              <w:rPr>
                <w:rFonts w:ascii="Times New Roman" w:hAnsi="Times New Roman"/>
                <w:sz w:val="20"/>
                <w:szCs w:val="20"/>
              </w:rPr>
              <w:t>0.00023</w:t>
            </w:r>
          </w:p>
        </w:tc>
      </w:tr>
      <w:tr w:rsidR="00DB02EA" w:rsidRPr="00DB6CEF" w:rsidTr="00DB02EA">
        <w:trPr>
          <w:trHeight w:val="144"/>
        </w:trPr>
        <w:tc>
          <w:tcPr>
            <w:tcW w:w="2538" w:type="dxa"/>
            <w:tcBorders>
              <w:top w:val="nil"/>
              <w:left w:val="nil"/>
              <w:bottom w:val="nil"/>
              <w:right w:val="nil"/>
            </w:tcBorders>
            <w:vAlign w:val="center"/>
            <w:hideMark/>
          </w:tcPr>
          <w:p w:rsidR="00DB6CEF" w:rsidRPr="00DB6CEF" w:rsidRDefault="00DB6CEF" w:rsidP="0079209E">
            <w:pPr>
              <w:spacing w:after="0" w:line="240" w:lineRule="auto"/>
              <w:jc w:val="both"/>
              <w:rPr>
                <w:rFonts w:ascii="Times New Roman" w:hAnsi="Times New Roman"/>
                <w:sz w:val="20"/>
                <w:szCs w:val="20"/>
              </w:rPr>
            </w:pPr>
            <w:r w:rsidRPr="00DB6CEF">
              <w:rPr>
                <w:rFonts w:ascii="Times New Roman" w:hAnsi="Times New Roman"/>
                <w:sz w:val="20"/>
                <w:szCs w:val="20"/>
              </w:rPr>
              <w:t>Phenanthrene</w:t>
            </w:r>
          </w:p>
        </w:tc>
        <w:tc>
          <w:tcPr>
            <w:tcW w:w="1170" w:type="dxa"/>
            <w:tcBorders>
              <w:top w:val="nil"/>
              <w:left w:val="nil"/>
              <w:bottom w:val="nil"/>
              <w:right w:val="nil"/>
            </w:tcBorders>
            <w:vAlign w:val="center"/>
            <w:hideMark/>
          </w:tcPr>
          <w:p w:rsidR="00DB6CEF" w:rsidRPr="00DB6CEF" w:rsidRDefault="00DB6CEF" w:rsidP="00DB02EA">
            <w:pPr>
              <w:spacing w:after="0" w:line="240" w:lineRule="auto"/>
              <w:rPr>
                <w:rFonts w:ascii="Times New Roman" w:hAnsi="Times New Roman"/>
                <w:sz w:val="20"/>
                <w:szCs w:val="20"/>
              </w:rPr>
            </w:pPr>
            <w:r w:rsidRPr="00DB6CEF">
              <w:rPr>
                <w:rFonts w:ascii="Times New Roman" w:hAnsi="Times New Roman"/>
                <w:sz w:val="20"/>
                <w:szCs w:val="20"/>
              </w:rPr>
              <w:t>0.03623</w:t>
            </w:r>
          </w:p>
        </w:tc>
        <w:tc>
          <w:tcPr>
            <w:tcW w:w="1260" w:type="dxa"/>
            <w:tcBorders>
              <w:top w:val="nil"/>
              <w:left w:val="nil"/>
              <w:bottom w:val="nil"/>
              <w:right w:val="nil"/>
            </w:tcBorders>
            <w:vAlign w:val="center"/>
            <w:hideMark/>
          </w:tcPr>
          <w:p w:rsidR="00DB6CEF" w:rsidRPr="00DB6CEF" w:rsidRDefault="00DB6CEF" w:rsidP="00DB02EA">
            <w:pPr>
              <w:spacing w:after="0" w:line="240" w:lineRule="auto"/>
              <w:rPr>
                <w:rFonts w:ascii="Times New Roman" w:hAnsi="Times New Roman"/>
                <w:sz w:val="20"/>
                <w:szCs w:val="20"/>
              </w:rPr>
            </w:pPr>
            <w:r w:rsidRPr="00DB6CEF">
              <w:rPr>
                <w:rFonts w:ascii="Times New Roman" w:hAnsi="Times New Roman"/>
                <w:sz w:val="20"/>
                <w:szCs w:val="20"/>
              </w:rPr>
              <w:t>0.44119</w:t>
            </w:r>
          </w:p>
        </w:tc>
        <w:tc>
          <w:tcPr>
            <w:tcW w:w="1170" w:type="dxa"/>
            <w:tcBorders>
              <w:top w:val="nil"/>
              <w:left w:val="nil"/>
              <w:bottom w:val="nil"/>
              <w:right w:val="nil"/>
            </w:tcBorders>
            <w:vAlign w:val="center"/>
            <w:hideMark/>
          </w:tcPr>
          <w:p w:rsidR="00DB6CEF" w:rsidRPr="00DB6CEF" w:rsidRDefault="00DB6CEF" w:rsidP="00DB02EA">
            <w:pPr>
              <w:spacing w:after="0" w:line="240" w:lineRule="auto"/>
              <w:rPr>
                <w:rFonts w:ascii="Times New Roman" w:hAnsi="Times New Roman"/>
                <w:sz w:val="20"/>
                <w:szCs w:val="20"/>
              </w:rPr>
            </w:pPr>
            <w:r w:rsidRPr="00DB6CEF">
              <w:rPr>
                <w:rFonts w:ascii="Times New Roman" w:hAnsi="Times New Roman"/>
                <w:sz w:val="20"/>
                <w:szCs w:val="20"/>
              </w:rPr>
              <w:t>0.39314</w:t>
            </w:r>
          </w:p>
        </w:tc>
        <w:tc>
          <w:tcPr>
            <w:tcW w:w="1260" w:type="dxa"/>
            <w:tcBorders>
              <w:top w:val="nil"/>
              <w:left w:val="nil"/>
              <w:bottom w:val="nil"/>
              <w:right w:val="nil"/>
            </w:tcBorders>
            <w:vAlign w:val="center"/>
            <w:hideMark/>
          </w:tcPr>
          <w:p w:rsidR="00DB6CEF" w:rsidRPr="00DB6CEF" w:rsidRDefault="00DB6CEF" w:rsidP="00DB02EA">
            <w:pPr>
              <w:spacing w:after="0" w:line="240" w:lineRule="auto"/>
              <w:rPr>
                <w:rFonts w:ascii="Times New Roman" w:hAnsi="Times New Roman"/>
                <w:sz w:val="20"/>
                <w:szCs w:val="20"/>
              </w:rPr>
            </w:pPr>
            <w:r w:rsidRPr="00DB6CEF">
              <w:rPr>
                <w:rFonts w:ascii="Times New Roman" w:hAnsi="Times New Roman"/>
                <w:sz w:val="20"/>
                <w:szCs w:val="20"/>
              </w:rPr>
              <w:t>0.05118</w:t>
            </w:r>
          </w:p>
        </w:tc>
        <w:tc>
          <w:tcPr>
            <w:tcW w:w="1080" w:type="dxa"/>
            <w:tcBorders>
              <w:top w:val="nil"/>
              <w:left w:val="nil"/>
              <w:bottom w:val="nil"/>
              <w:right w:val="nil"/>
            </w:tcBorders>
            <w:vAlign w:val="center"/>
            <w:hideMark/>
          </w:tcPr>
          <w:p w:rsidR="00DB6CEF" w:rsidRPr="00DB6CEF" w:rsidRDefault="00DB6CEF" w:rsidP="00DB02EA">
            <w:pPr>
              <w:spacing w:after="0" w:line="240" w:lineRule="auto"/>
              <w:rPr>
                <w:rFonts w:ascii="Times New Roman" w:hAnsi="Times New Roman"/>
                <w:sz w:val="20"/>
                <w:szCs w:val="20"/>
              </w:rPr>
            </w:pPr>
            <w:r w:rsidRPr="00DB6CEF">
              <w:rPr>
                <w:rFonts w:ascii="Times New Roman" w:hAnsi="Times New Roman"/>
                <w:sz w:val="20"/>
                <w:szCs w:val="20"/>
              </w:rPr>
              <w:t>0.00063</w:t>
            </w:r>
          </w:p>
        </w:tc>
      </w:tr>
      <w:tr w:rsidR="00DB02EA" w:rsidRPr="00DB6CEF" w:rsidTr="00DB02EA">
        <w:trPr>
          <w:trHeight w:val="144"/>
        </w:trPr>
        <w:tc>
          <w:tcPr>
            <w:tcW w:w="2538" w:type="dxa"/>
            <w:tcBorders>
              <w:top w:val="nil"/>
              <w:left w:val="nil"/>
              <w:bottom w:val="nil"/>
              <w:right w:val="nil"/>
            </w:tcBorders>
            <w:vAlign w:val="center"/>
            <w:hideMark/>
          </w:tcPr>
          <w:p w:rsidR="00DB6CEF" w:rsidRPr="00DB6CEF" w:rsidRDefault="00DB6CEF" w:rsidP="0079209E">
            <w:pPr>
              <w:spacing w:after="0" w:line="240" w:lineRule="auto"/>
              <w:jc w:val="both"/>
              <w:rPr>
                <w:rFonts w:ascii="Times New Roman" w:hAnsi="Times New Roman"/>
                <w:sz w:val="20"/>
                <w:szCs w:val="20"/>
              </w:rPr>
            </w:pPr>
            <w:r w:rsidRPr="00DB6CEF">
              <w:rPr>
                <w:rFonts w:ascii="Times New Roman" w:hAnsi="Times New Roman"/>
                <w:sz w:val="20"/>
                <w:szCs w:val="20"/>
              </w:rPr>
              <w:t>Anthracene</w:t>
            </w:r>
          </w:p>
        </w:tc>
        <w:tc>
          <w:tcPr>
            <w:tcW w:w="1170" w:type="dxa"/>
            <w:tcBorders>
              <w:top w:val="nil"/>
              <w:left w:val="nil"/>
              <w:bottom w:val="nil"/>
              <w:right w:val="nil"/>
            </w:tcBorders>
            <w:vAlign w:val="center"/>
            <w:hideMark/>
          </w:tcPr>
          <w:p w:rsidR="00DB6CEF" w:rsidRPr="00DB6CEF" w:rsidRDefault="00DB6CEF" w:rsidP="00DB02EA">
            <w:pPr>
              <w:spacing w:after="0" w:line="240" w:lineRule="auto"/>
              <w:rPr>
                <w:rFonts w:ascii="Times New Roman" w:hAnsi="Times New Roman"/>
                <w:sz w:val="20"/>
                <w:szCs w:val="20"/>
              </w:rPr>
            </w:pPr>
            <w:r w:rsidRPr="00DB6CEF">
              <w:rPr>
                <w:rFonts w:ascii="Times New Roman" w:hAnsi="Times New Roman"/>
                <w:sz w:val="20"/>
                <w:szCs w:val="20"/>
              </w:rPr>
              <w:t>0.54004</w:t>
            </w:r>
          </w:p>
        </w:tc>
        <w:tc>
          <w:tcPr>
            <w:tcW w:w="1260" w:type="dxa"/>
            <w:tcBorders>
              <w:top w:val="nil"/>
              <w:left w:val="nil"/>
              <w:bottom w:val="nil"/>
              <w:right w:val="nil"/>
            </w:tcBorders>
            <w:vAlign w:val="center"/>
            <w:hideMark/>
          </w:tcPr>
          <w:p w:rsidR="00DB6CEF" w:rsidRPr="00DB6CEF" w:rsidRDefault="00DB6CEF" w:rsidP="00DB02EA">
            <w:pPr>
              <w:spacing w:after="0" w:line="240" w:lineRule="auto"/>
              <w:rPr>
                <w:rFonts w:ascii="Times New Roman" w:hAnsi="Times New Roman"/>
                <w:sz w:val="20"/>
                <w:szCs w:val="20"/>
              </w:rPr>
            </w:pPr>
            <w:r w:rsidRPr="00DB6CEF">
              <w:rPr>
                <w:rFonts w:ascii="Times New Roman" w:hAnsi="Times New Roman"/>
                <w:sz w:val="20"/>
                <w:szCs w:val="20"/>
              </w:rPr>
              <w:t>0.15408</w:t>
            </w:r>
          </w:p>
        </w:tc>
        <w:tc>
          <w:tcPr>
            <w:tcW w:w="1170" w:type="dxa"/>
            <w:tcBorders>
              <w:top w:val="nil"/>
              <w:left w:val="nil"/>
              <w:bottom w:val="nil"/>
              <w:right w:val="nil"/>
            </w:tcBorders>
            <w:vAlign w:val="center"/>
            <w:hideMark/>
          </w:tcPr>
          <w:p w:rsidR="00DB6CEF" w:rsidRPr="00DB6CEF" w:rsidRDefault="00DB6CEF" w:rsidP="00DB02EA">
            <w:pPr>
              <w:spacing w:after="0" w:line="240" w:lineRule="auto"/>
              <w:rPr>
                <w:rFonts w:ascii="Times New Roman" w:hAnsi="Times New Roman"/>
                <w:sz w:val="20"/>
                <w:szCs w:val="20"/>
              </w:rPr>
            </w:pPr>
            <w:r w:rsidRPr="00DB6CEF">
              <w:rPr>
                <w:rFonts w:ascii="Times New Roman" w:hAnsi="Times New Roman"/>
                <w:sz w:val="20"/>
                <w:szCs w:val="20"/>
              </w:rPr>
              <w:t>0.02132</w:t>
            </w:r>
          </w:p>
        </w:tc>
        <w:tc>
          <w:tcPr>
            <w:tcW w:w="1260" w:type="dxa"/>
            <w:tcBorders>
              <w:top w:val="nil"/>
              <w:left w:val="nil"/>
              <w:bottom w:val="nil"/>
              <w:right w:val="nil"/>
            </w:tcBorders>
            <w:vAlign w:val="center"/>
            <w:hideMark/>
          </w:tcPr>
          <w:p w:rsidR="00DB6CEF" w:rsidRPr="00DB6CEF" w:rsidRDefault="00DB6CEF" w:rsidP="00DB02EA">
            <w:pPr>
              <w:spacing w:after="0" w:line="240" w:lineRule="auto"/>
              <w:rPr>
                <w:rFonts w:ascii="Times New Roman" w:hAnsi="Times New Roman"/>
                <w:sz w:val="20"/>
                <w:szCs w:val="20"/>
              </w:rPr>
            </w:pPr>
            <w:r w:rsidRPr="00DB6CEF">
              <w:rPr>
                <w:rFonts w:ascii="Times New Roman" w:hAnsi="Times New Roman"/>
                <w:sz w:val="20"/>
                <w:szCs w:val="20"/>
              </w:rPr>
              <w:t>0.02819</w:t>
            </w:r>
          </w:p>
        </w:tc>
        <w:tc>
          <w:tcPr>
            <w:tcW w:w="1080" w:type="dxa"/>
            <w:tcBorders>
              <w:top w:val="nil"/>
              <w:left w:val="nil"/>
              <w:bottom w:val="nil"/>
              <w:right w:val="nil"/>
            </w:tcBorders>
            <w:vAlign w:val="center"/>
            <w:hideMark/>
          </w:tcPr>
          <w:p w:rsidR="00DB6CEF" w:rsidRPr="00DB6CEF" w:rsidRDefault="00DB6CEF" w:rsidP="00DB02EA">
            <w:pPr>
              <w:spacing w:after="0" w:line="240" w:lineRule="auto"/>
              <w:rPr>
                <w:rFonts w:ascii="Times New Roman" w:hAnsi="Times New Roman"/>
                <w:sz w:val="20"/>
                <w:szCs w:val="20"/>
              </w:rPr>
            </w:pPr>
            <w:r w:rsidRPr="00DB6CEF">
              <w:rPr>
                <w:rFonts w:ascii="Times New Roman" w:hAnsi="Times New Roman"/>
                <w:sz w:val="20"/>
                <w:szCs w:val="20"/>
              </w:rPr>
              <w:t>0.00006</w:t>
            </w:r>
          </w:p>
        </w:tc>
      </w:tr>
      <w:tr w:rsidR="00DB02EA" w:rsidRPr="00DB6CEF" w:rsidTr="00DB02EA">
        <w:trPr>
          <w:trHeight w:val="144"/>
        </w:trPr>
        <w:tc>
          <w:tcPr>
            <w:tcW w:w="2538" w:type="dxa"/>
            <w:tcBorders>
              <w:top w:val="nil"/>
              <w:left w:val="nil"/>
              <w:bottom w:val="nil"/>
              <w:right w:val="nil"/>
            </w:tcBorders>
            <w:vAlign w:val="center"/>
            <w:hideMark/>
          </w:tcPr>
          <w:p w:rsidR="00DB6CEF" w:rsidRPr="00DB6CEF" w:rsidRDefault="00DB6CEF" w:rsidP="0079209E">
            <w:pPr>
              <w:spacing w:after="0" w:line="240" w:lineRule="auto"/>
              <w:jc w:val="both"/>
              <w:rPr>
                <w:rFonts w:ascii="Times New Roman" w:hAnsi="Times New Roman"/>
                <w:sz w:val="20"/>
                <w:szCs w:val="20"/>
              </w:rPr>
            </w:pPr>
            <w:r w:rsidRPr="00DB6CEF">
              <w:rPr>
                <w:rFonts w:ascii="Times New Roman" w:hAnsi="Times New Roman"/>
                <w:sz w:val="20"/>
                <w:szCs w:val="20"/>
              </w:rPr>
              <w:t>Fluoranthene</w:t>
            </w:r>
          </w:p>
        </w:tc>
        <w:tc>
          <w:tcPr>
            <w:tcW w:w="1170" w:type="dxa"/>
            <w:tcBorders>
              <w:top w:val="nil"/>
              <w:left w:val="nil"/>
              <w:bottom w:val="nil"/>
              <w:right w:val="nil"/>
            </w:tcBorders>
            <w:vAlign w:val="center"/>
            <w:hideMark/>
          </w:tcPr>
          <w:p w:rsidR="00DB6CEF" w:rsidRPr="00DB6CEF" w:rsidRDefault="00DB6CEF" w:rsidP="00DB02EA">
            <w:pPr>
              <w:spacing w:after="0" w:line="240" w:lineRule="auto"/>
              <w:rPr>
                <w:rFonts w:ascii="Times New Roman" w:hAnsi="Times New Roman"/>
                <w:sz w:val="20"/>
                <w:szCs w:val="20"/>
              </w:rPr>
            </w:pPr>
            <w:r w:rsidRPr="00DB6CEF">
              <w:rPr>
                <w:rFonts w:ascii="Times New Roman" w:hAnsi="Times New Roman"/>
                <w:sz w:val="20"/>
                <w:szCs w:val="20"/>
              </w:rPr>
              <w:t>0.18841</w:t>
            </w:r>
          </w:p>
        </w:tc>
        <w:tc>
          <w:tcPr>
            <w:tcW w:w="1260" w:type="dxa"/>
            <w:tcBorders>
              <w:top w:val="nil"/>
              <w:left w:val="nil"/>
              <w:bottom w:val="nil"/>
              <w:right w:val="nil"/>
            </w:tcBorders>
            <w:vAlign w:val="center"/>
            <w:hideMark/>
          </w:tcPr>
          <w:p w:rsidR="00DB6CEF" w:rsidRPr="00DB6CEF" w:rsidRDefault="00DB6CEF" w:rsidP="00DB02EA">
            <w:pPr>
              <w:spacing w:after="0" w:line="240" w:lineRule="auto"/>
              <w:rPr>
                <w:rFonts w:ascii="Times New Roman" w:hAnsi="Times New Roman"/>
                <w:sz w:val="20"/>
                <w:szCs w:val="20"/>
              </w:rPr>
            </w:pPr>
            <w:r w:rsidRPr="00DB6CEF">
              <w:rPr>
                <w:rFonts w:ascii="Times New Roman" w:hAnsi="Times New Roman"/>
                <w:sz w:val="20"/>
                <w:szCs w:val="20"/>
              </w:rPr>
              <w:t>0.10400</w:t>
            </w:r>
          </w:p>
        </w:tc>
        <w:tc>
          <w:tcPr>
            <w:tcW w:w="1170" w:type="dxa"/>
            <w:tcBorders>
              <w:top w:val="nil"/>
              <w:left w:val="nil"/>
              <w:bottom w:val="nil"/>
              <w:right w:val="nil"/>
            </w:tcBorders>
            <w:vAlign w:val="center"/>
            <w:hideMark/>
          </w:tcPr>
          <w:p w:rsidR="00DB6CEF" w:rsidRPr="00DB6CEF" w:rsidRDefault="00DB6CEF" w:rsidP="00DB02EA">
            <w:pPr>
              <w:spacing w:after="0" w:line="240" w:lineRule="auto"/>
              <w:rPr>
                <w:rFonts w:ascii="Times New Roman" w:hAnsi="Times New Roman"/>
                <w:sz w:val="20"/>
                <w:szCs w:val="20"/>
              </w:rPr>
            </w:pPr>
            <w:r w:rsidRPr="00DB6CEF">
              <w:rPr>
                <w:rFonts w:ascii="Times New Roman" w:hAnsi="Times New Roman"/>
                <w:sz w:val="20"/>
                <w:szCs w:val="20"/>
              </w:rPr>
              <w:t>0.05652</w:t>
            </w:r>
          </w:p>
        </w:tc>
        <w:tc>
          <w:tcPr>
            <w:tcW w:w="1260" w:type="dxa"/>
            <w:tcBorders>
              <w:top w:val="nil"/>
              <w:left w:val="nil"/>
              <w:bottom w:val="nil"/>
              <w:right w:val="nil"/>
            </w:tcBorders>
            <w:vAlign w:val="center"/>
            <w:hideMark/>
          </w:tcPr>
          <w:p w:rsidR="00DB6CEF" w:rsidRPr="00DB6CEF" w:rsidRDefault="00DB6CEF" w:rsidP="00DB02EA">
            <w:pPr>
              <w:spacing w:after="0" w:line="240" w:lineRule="auto"/>
              <w:rPr>
                <w:rFonts w:ascii="Times New Roman" w:hAnsi="Times New Roman"/>
                <w:sz w:val="20"/>
                <w:szCs w:val="20"/>
              </w:rPr>
            </w:pPr>
            <w:r w:rsidRPr="00DB6CEF">
              <w:rPr>
                <w:rFonts w:ascii="Times New Roman" w:hAnsi="Times New Roman"/>
                <w:sz w:val="20"/>
                <w:szCs w:val="20"/>
              </w:rPr>
              <w:t>0.07712</w:t>
            </w:r>
          </w:p>
        </w:tc>
        <w:tc>
          <w:tcPr>
            <w:tcW w:w="1080" w:type="dxa"/>
            <w:tcBorders>
              <w:top w:val="nil"/>
              <w:left w:val="nil"/>
              <w:bottom w:val="nil"/>
              <w:right w:val="nil"/>
            </w:tcBorders>
            <w:vAlign w:val="center"/>
            <w:hideMark/>
          </w:tcPr>
          <w:p w:rsidR="00DB6CEF" w:rsidRPr="00DB6CEF" w:rsidRDefault="00DB6CEF" w:rsidP="00DB02EA">
            <w:pPr>
              <w:spacing w:after="0" w:line="240" w:lineRule="auto"/>
              <w:rPr>
                <w:rFonts w:ascii="Times New Roman" w:hAnsi="Times New Roman"/>
                <w:sz w:val="20"/>
                <w:szCs w:val="20"/>
              </w:rPr>
            </w:pPr>
            <w:r w:rsidRPr="00DB6CEF">
              <w:rPr>
                <w:rFonts w:ascii="Times New Roman" w:hAnsi="Times New Roman"/>
                <w:sz w:val="20"/>
                <w:szCs w:val="20"/>
              </w:rPr>
              <w:t>0.00976</w:t>
            </w:r>
          </w:p>
        </w:tc>
      </w:tr>
      <w:tr w:rsidR="00DB02EA" w:rsidRPr="00DB6CEF" w:rsidTr="00DB02EA">
        <w:trPr>
          <w:trHeight w:val="144"/>
        </w:trPr>
        <w:tc>
          <w:tcPr>
            <w:tcW w:w="2538" w:type="dxa"/>
            <w:tcBorders>
              <w:top w:val="nil"/>
              <w:left w:val="nil"/>
              <w:bottom w:val="nil"/>
              <w:right w:val="nil"/>
            </w:tcBorders>
            <w:vAlign w:val="center"/>
            <w:hideMark/>
          </w:tcPr>
          <w:p w:rsidR="00DB6CEF" w:rsidRPr="00DB6CEF" w:rsidRDefault="00DB6CEF" w:rsidP="0079209E">
            <w:pPr>
              <w:spacing w:after="0" w:line="240" w:lineRule="auto"/>
              <w:jc w:val="both"/>
              <w:rPr>
                <w:rFonts w:ascii="Times New Roman" w:hAnsi="Times New Roman"/>
                <w:sz w:val="20"/>
                <w:szCs w:val="20"/>
              </w:rPr>
            </w:pPr>
            <w:r w:rsidRPr="00DB6CEF">
              <w:rPr>
                <w:rFonts w:ascii="Times New Roman" w:hAnsi="Times New Roman"/>
                <w:sz w:val="20"/>
                <w:szCs w:val="20"/>
              </w:rPr>
              <w:t>Pyrene</w:t>
            </w:r>
          </w:p>
        </w:tc>
        <w:tc>
          <w:tcPr>
            <w:tcW w:w="1170" w:type="dxa"/>
            <w:tcBorders>
              <w:top w:val="nil"/>
              <w:left w:val="nil"/>
              <w:bottom w:val="nil"/>
              <w:right w:val="nil"/>
            </w:tcBorders>
            <w:vAlign w:val="center"/>
            <w:hideMark/>
          </w:tcPr>
          <w:p w:rsidR="00DB6CEF" w:rsidRPr="00DB6CEF" w:rsidRDefault="00DB6CEF" w:rsidP="00DB02EA">
            <w:pPr>
              <w:spacing w:after="0" w:line="240" w:lineRule="auto"/>
              <w:rPr>
                <w:rFonts w:ascii="Times New Roman" w:hAnsi="Times New Roman"/>
                <w:sz w:val="20"/>
                <w:szCs w:val="20"/>
              </w:rPr>
            </w:pPr>
            <w:r w:rsidRPr="00DB6CEF">
              <w:rPr>
                <w:rFonts w:ascii="Times New Roman" w:hAnsi="Times New Roman"/>
                <w:sz w:val="20"/>
                <w:szCs w:val="20"/>
              </w:rPr>
              <w:t>0.67420</w:t>
            </w:r>
          </w:p>
        </w:tc>
        <w:tc>
          <w:tcPr>
            <w:tcW w:w="1260" w:type="dxa"/>
            <w:tcBorders>
              <w:top w:val="nil"/>
              <w:left w:val="nil"/>
              <w:bottom w:val="nil"/>
              <w:right w:val="nil"/>
            </w:tcBorders>
            <w:vAlign w:val="center"/>
            <w:hideMark/>
          </w:tcPr>
          <w:p w:rsidR="00DB6CEF" w:rsidRPr="00DB6CEF" w:rsidRDefault="00DB6CEF" w:rsidP="00DB02EA">
            <w:pPr>
              <w:spacing w:after="0" w:line="240" w:lineRule="auto"/>
              <w:rPr>
                <w:rFonts w:ascii="Times New Roman" w:hAnsi="Times New Roman"/>
                <w:sz w:val="20"/>
                <w:szCs w:val="20"/>
              </w:rPr>
            </w:pPr>
            <w:r w:rsidRPr="00DB6CEF">
              <w:rPr>
                <w:rFonts w:ascii="Times New Roman" w:hAnsi="Times New Roman"/>
                <w:sz w:val="20"/>
                <w:szCs w:val="20"/>
              </w:rPr>
              <w:t>0.27611</w:t>
            </w:r>
          </w:p>
        </w:tc>
        <w:tc>
          <w:tcPr>
            <w:tcW w:w="1170" w:type="dxa"/>
            <w:tcBorders>
              <w:top w:val="nil"/>
              <w:left w:val="nil"/>
              <w:bottom w:val="nil"/>
              <w:right w:val="nil"/>
            </w:tcBorders>
            <w:vAlign w:val="center"/>
            <w:hideMark/>
          </w:tcPr>
          <w:p w:rsidR="00DB6CEF" w:rsidRPr="00DB6CEF" w:rsidRDefault="00DB6CEF" w:rsidP="00DB02EA">
            <w:pPr>
              <w:spacing w:after="0" w:line="240" w:lineRule="auto"/>
              <w:rPr>
                <w:rFonts w:ascii="Times New Roman" w:hAnsi="Times New Roman"/>
                <w:sz w:val="20"/>
                <w:szCs w:val="20"/>
              </w:rPr>
            </w:pPr>
            <w:r w:rsidRPr="00DB6CEF">
              <w:rPr>
                <w:rFonts w:ascii="Times New Roman" w:hAnsi="Times New Roman"/>
                <w:sz w:val="20"/>
                <w:szCs w:val="20"/>
              </w:rPr>
              <w:t>0.00208</w:t>
            </w:r>
          </w:p>
        </w:tc>
        <w:tc>
          <w:tcPr>
            <w:tcW w:w="1260" w:type="dxa"/>
            <w:tcBorders>
              <w:top w:val="nil"/>
              <w:left w:val="nil"/>
              <w:bottom w:val="nil"/>
              <w:right w:val="nil"/>
            </w:tcBorders>
            <w:vAlign w:val="center"/>
            <w:hideMark/>
          </w:tcPr>
          <w:p w:rsidR="00DB6CEF" w:rsidRPr="00DB6CEF" w:rsidRDefault="00DB6CEF" w:rsidP="00DB02EA">
            <w:pPr>
              <w:spacing w:after="0" w:line="240" w:lineRule="auto"/>
              <w:rPr>
                <w:rFonts w:ascii="Times New Roman" w:hAnsi="Times New Roman"/>
                <w:sz w:val="20"/>
                <w:szCs w:val="20"/>
              </w:rPr>
            </w:pPr>
            <w:r w:rsidRPr="00DB6CEF">
              <w:rPr>
                <w:rFonts w:ascii="Times New Roman" w:hAnsi="Times New Roman"/>
                <w:sz w:val="20"/>
                <w:szCs w:val="20"/>
              </w:rPr>
              <w:t>0.02750</w:t>
            </w:r>
          </w:p>
        </w:tc>
        <w:tc>
          <w:tcPr>
            <w:tcW w:w="1080" w:type="dxa"/>
            <w:tcBorders>
              <w:top w:val="nil"/>
              <w:left w:val="nil"/>
              <w:bottom w:val="nil"/>
              <w:right w:val="nil"/>
            </w:tcBorders>
            <w:vAlign w:val="center"/>
            <w:hideMark/>
          </w:tcPr>
          <w:p w:rsidR="00DB6CEF" w:rsidRPr="00DB6CEF" w:rsidRDefault="00DB6CEF" w:rsidP="00DB02EA">
            <w:pPr>
              <w:spacing w:after="0" w:line="240" w:lineRule="auto"/>
              <w:rPr>
                <w:rFonts w:ascii="Times New Roman" w:hAnsi="Times New Roman"/>
                <w:sz w:val="20"/>
                <w:szCs w:val="20"/>
              </w:rPr>
            </w:pPr>
            <w:r w:rsidRPr="00DB6CEF">
              <w:rPr>
                <w:rFonts w:ascii="Times New Roman" w:hAnsi="Times New Roman"/>
                <w:sz w:val="20"/>
                <w:szCs w:val="20"/>
              </w:rPr>
              <w:t>0.00367</w:t>
            </w:r>
          </w:p>
        </w:tc>
      </w:tr>
      <w:tr w:rsidR="00DB02EA" w:rsidRPr="00DB6CEF" w:rsidTr="00DB02EA">
        <w:trPr>
          <w:trHeight w:val="144"/>
        </w:trPr>
        <w:tc>
          <w:tcPr>
            <w:tcW w:w="2538" w:type="dxa"/>
            <w:tcBorders>
              <w:top w:val="nil"/>
              <w:left w:val="nil"/>
              <w:bottom w:val="nil"/>
              <w:right w:val="nil"/>
            </w:tcBorders>
            <w:vAlign w:val="center"/>
            <w:hideMark/>
          </w:tcPr>
          <w:p w:rsidR="00DB6CEF" w:rsidRPr="00DB6CEF" w:rsidRDefault="00DB6CEF" w:rsidP="0079209E">
            <w:pPr>
              <w:spacing w:after="0" w:line="240" w:lineRule="auto"/>
              <w:jc w:val="both"/>
              <w:rPr>
                <w:rFonts w:ascii="Times New Roman" w:hAnsi="Times New Roman"/>
                <w:sz w:val="20"/>
                <w:szCs w:val="20"/>
              </w:rPr>
            </w:pPr>
            <w:r w:rsidRPr="00DB6CEF">
              <w:rPr>
                <w:rFonts w:ascii="Times New Roman" w:hAnsi="Times New Roman"/>
                <w:sz w:val="20"/>
                <w:szCs w:val="20"/>
              </w:rPr>
              <w:t>*Benzo(a)anthracene</w:t>
            </w:r>
          </w:p>
        </w:tc>
        <w:tc>
          <w:tcPr>
            <w:tcW w:w="1170" w:type="dxa"/>
            <w:tcBorders>
              <w:top w:val="nil"/>
              <w:left w:val="nil"/>
              <w:bottom w:val="nil"/>
              <w:right w:val="nil"/>
            </w:tcBorders>
            <w:vAlign w:val="center"/>
            <w:hideMark/>
          </w:tcPr>
          <w:p w:rsidR="00DB6CEF" w:rsidRPr="00DB6CEF" w:rsidRDefault="00DB6CEF" w:rsidP="00DB02EA">
            <w:pPr>
              <w:spacing w:after="0" w:line="240" w:lineRule="auto"/>
              <w:rPr>
                <w:rFonts w:ascii="Times New Roman" w:hAnsi="Times New Roman"/>
                <w:sz w:val="20"/>
                <w:szCs w:val="20"/>
              </w:rPr>
            </w:pPr>
            <w:r w:rsidRPr="00DB6CEF">
              <w:rPr>
                <w:rFonts w:ascii="Times New Roman" w:hAnsi="Times New Roman"/>
                <w:sz w:val="20"/>
                <w:szCs w:val="20"/>
              </w:rPr>
              <w:t>0.64619</w:t>
            </w:r>
          </w:p>
        </w:tc>
        <w:tc>
          <w:tcPr>
            <w:tcW w:w="1260" w:type="dxa"/>
            <w:tcBorders>
              <w:top w:val="nil"/>
              <w:left w:val="nil"/>
              <w:bottom w:val="nil"/>
              <w:right w:val="nil"/>
            </w:tcBorders>
            <w:vAlign w:val="center"/>
            <w:hideMark/>
          </w:tcPr>
          <w:p w:rsidR="00DB6CEF" w:rsidRPr="00DB6CEF" w:rsidRDefault="00DB6CEF" w:rsidP="00DB02EA">
            <w:pPr>
              <w:spacing w:after="0" w:line="240" w:lineRule="auto"/>
              <w:rPr>
                <w:rFonts w:ascii="Times New Roman" w:hAnsi="Times New Roman"/>
                <w:sz w:val="20"/>
                <w:szCs w:val="20"/>
              </w:rPr>
            </w:pPr>
            <w:r w:rsidRPr="00DB6CEF">
              <w:rPr>
                <w:rFonts w:ascii="Times New Roman" w:hAnsi="Times New Roman"/>
                <w:sz w:val="20"/>
                <w:szCs w:val="20"/>
              </w:rPr>
              <w:t>0.26445</w:t>
            </w:r>
          </w:p>
        </w:tc>
        <w:tc>
          <w:tcPr>
            <w:tcW w:w="1170" w:type="dxa"/>
            <w:tcBorders>
              <w:top w:val="nil"/>
              <w:left w:val="nil"/>
              <w:bottom w:val="nil"/>
              <w:right w:val="nil"/>
            </w:tcBorders>
            <w:vAlign w:val="center"/>
            <w:hideMark/>
          </w:tcPr>
          <w:p w:rsidR="00DB6CEF" w:rsidRPr="00DB6CEF" w:rsidRDefault="00DB6CEF" w:rsidP="00DB02EA">
            <w:pPr>
              <w:spacing w:after="0" w:line="240" w:lineRule="auto"/>
              <w:rPr>
                <w:rFonts w:ascii="Times New Roman" w:hAnsi="Times New Roman"/>
                <w:sz w:val="20"/>
                <w:szCs w:val="20"/>
              </w:rPr>
            </w:pPr>
            <w:r w:rsidRPr="00DB6CEF">
              <w:rPr>
                <w:rFonts w:ascii="Times New Roman" w:hAnsi="Times New Roman"/>
                <w:sz w:val="20"/>
                <w:szCs w:val="20"/>
              </w:rPr>
              <w:t>0.01856</w:t>
            </w:r>
          </w:p>
        </w:tc>
        <w:tc>
          <w:tcPr>
            <w:tcW w:w="1260" w:type="dxa"/>
            <w:tcBorders>
              <w:top w:val="nil"/>
              <w:left w:val="nil"/>
              <w:bottom w:val="nil"/>
              <w:right w:val="nil"/>
            </w:tcBorders>
            <w:vAlign w:val="center"/>
            <w:hideMark/>
          </w:tcPr>
          <w:p w:rsidR="00DB6CEF" w:rsidRPr="00DB6CEF" w:rsidRDefault="00DB6CEF" w:rsidP="00DB02EA">
            <w:pPr>
              <w:spacing w:after="0" w:line="240" w:lineRule="auto"/>
              <w:rPr>
                <w:rFonts w:ascii="Times New Roman" w:hAnsi="Times New Roman"/>
                <w:sz w:val="20"/>
                <w:szCs w:val="20"/>
              </w:rPr>
            </w:pPr>
            <w:r w:rsidRPr="00DB6CEF">
              <w:rPr>
                <w:rFonts w:ascii="Times New Roman" w:hAnsi="Times New Roman"/>
                <w:sz w:val="20"/>
                <w:szCs w:val="20"/>
              </w:rPr>
              <w:t>0.02536</w:t>
            </w:r>
          </w:p>
        </w:tc>
        <w:tc>
          <w:tcPr>
            <w:tcW w:w="1080" w:type="dxa"/>
            <w:tcBorders>
              <w:top w:val="nil"/>
              <w:left w:val="nil"/>
              <w:bottom w:val="nil"/>
              <w:right w:val="nil"/>
            </w:tcBorders>
            <w:vAlign w:val="center"/>
            <w:hideMark/>
          </w:tcPr>
          <w:p w:rsidR="00DB6CEF" w:rsidRPr="00DB6CEF" w:rsidRDefault="00DB6CEF" w:rsidP="00DB02EA">
            <w:pPr>
              <w:spacing w:after="0" w:line="240" w:lineRule="auto"/>
              <w:rPr>
                <w:rFonts w:ascii="Times New Roman" w:hAnsi="Times New Roman"/>
                <w:sz w:val="20"/>
                <w:szCs w:val="20"/>
              </w:rPr>
            </w:pPr>
            <w:r w:rsidRPr="00DB6CEF">
              <w:rPr>
                <w:rFonts w:ascii="Times New Roman" w:hAnsi="Times New Roman"/>
                <w:sz w:val="20"/>
                <w:szCs w:val="20"/>
              </w:rPr>
              <w:t>0.00676</w:t>
            </w:r>
          </w:p>
        </w:tc>
      </w:tr>
      <w:tr w:rsidR="00DB02EA" w:rsidRPr="00DB6CEF" w:rsidTr="00DB02EA">
        <w:trPr>
          <w:trHeight w:val="144"/>
        </w:trPr>
        <w:tc>
          <w:tcPr>
            <w:tcW w:w="2538" w:type="dxa"/>
            <w:tcBorders>
              <w:top w:val="nil"/>
              <w:left w:val="nil"/>
              <w:bottom w:val="nil"/>
              <w:right w:val="nil"/>
            </w:tcBorders>
            <w:vAlign w:val="center"/>
            <w:hideMark/>
          </w:tcPr>
          <w:p w:rsidR="00DB6CEF" w:rsidRPr="00DB6CEF" w:rsidRDefault="00DB6CEF" w:rsidP="0079209E">
            <w:pPr>
              <w:spacing w:after="0" w:line="240" w:lineRule="auto"/>
              <w:jc w:val="both"/>
              <w:rPr>
                <w:rFonts w:ascii="Times New Roman" w:hAnsi="Times New Roman"/>
                <w:sz w:val="20"/>
                <w:szCs w:val="20"/>
              </w:rPr>
            </w:pPr>
            <w:r w:rsidRPr="00DB6CEF">
              <w:rPr>
                <w:rFonts w:ascii="Times New Roman" w:hAnsi="Times New Roman"/>
                <w:sz w:val="20"/>
                <w:szCs w:val="20"/>
              </w:rPr>
              <w:t>*Chrysene</w:t>
            </w:r>
          </w:p>
        </w:tc>
        <w:tc>
          <w:tcPr>
            <w:tcW w:w="1170" w:type="dxa"/>
            <w:tcBorders>
              <w:top w:val="nil"/>
              <w:left w:val="nil"/>
              <w:bottom w:val="nil"/>
              <w:right w:val="nil"/>
            </w:tcBorders>
            <w:vAlign w:val="center"/>
            <w:hideMark/>
          </w:tcPr>
          <w:p w:rsidR="00DB6CEF" w:rsidRPr="00DB6CEF" w:rsidRDefault="00DB6CEF" w:rsidP="00DB02EA">
            <w:pPr>
              <w:spacing w:after="0" w:line="240" w:lineRule="auto"/>
              <w:rPr>
                <w:rFonts w:ascii="Times New Roman" w:hAnsi="Times New Roman"/>
                <w:sz w:val="20"/>
                <w:szCs w:val="20"/>
              </w:rPr>
            </w:pPr>
            <w:r w:rsidRPr="00DB6CEF">
              <w:rPr>
                <w:rFonts w:ascii="Times New Roman" w:hAnsi="Times New Roman"/>
                <w:sz w:val="20"/>
                <w:szCs w:val="20"/>
              </w:rPr>
              <w:t>0.13343</w:t>
            </w:r>
          </w:p>
        </w:tc>
        <w:tc>
          <w:tcPr>
            <w:tcW w:w="1260" w:type="dxa"/>
            <w:tcBorders>
              <w:top w:val="nil"/>
              <w:left w:val="nil"/>
              <w:bottom w:val="nil"/>
              <w:right w:val="nil"/>
            </w:tcBorders>
            <w:vAlign w:val="center"/>
            <w:hideMark/>
          </w:tcPr>
          <w:p w:rsidR="00DB6CEF" w:rsidRPr="00DB6CEF" w:rsidRDefault="00DB6CEF" w:rsidP="00DB02EA">
            <w:pPr>
              <w:spacing w:after="0" w:line="240" w:lineRule="auto"/>
              <w:rPr>
                <w:rFonts w:ascii="Times New Roman" w:hAnsi="Times New Roman"/>
                <w:sz w:val="20"/>
                <w:szCs w:val="20"/>
              </w:rPr>
            </w:pPr>
            <w:r w:rsidRPr="00DB6CEF">
              <w:rPr>
                <w:rFonts w:ascii="Times New Roman" w:hAnsi="Times New Roman"/>
                <w:sz w:val="20"/>
                <w:szCs w:val="20"/>
              </w:rPr>
              <w:t>0.35450</w:t>
            </w:r>
          </w:p>
        </w:tc>
        <w:tc>
          <w:tcPr>
            <w:tcW w:w="1170" w:type="dxa"/>
            <w:tcBorders>
              <w:top w:val="nil"/>
              <w:left w:val="nil"/>
              <w:bottom w:val="nil"/>
              <w:right w:val="nil"/>
            </w:tcBorders>
            <w:vAlign w:val="center"/>
            <w:hideMark/>
          </w:tcPr>
          <w:p w:rsidR="00DB6CEF" w:rsidRPr="00DB6CEF" w:rsidRDefault="00DB6CEF" w:rsidP="00DB02EA">
            <w:pPr>
              <w:spacing w:after="0" w:line="240" w:lineRule="auto"/>
              <w:rPr>
                <w:rFonts w:ascii="Times New Roman" w:hAnsi="Times New Roman"/>
                <w:sz w:val="20"/>
                <w:szCs w:val="20"/>
              </w:rPr>
            </w:pPr>
            <w:r w:rsidRPr="00DB6CEF">
              <w:rPr>
                <w:rFonts w:ascii="Times New Roman" w:hAnsi="Times New Roman"/>
                <w:sz w:val="20"/>
                <w:szCs w:val="20"/>
              </w:rPr>
              <w:t>0.02421</w:t>
            </w:r>
          </w:p>
        </w:tc>
        <w:tc>
          <w:tcPr>
            <w:tcW w:w="1260" w:type="dxa"/>
            <w:tcBorders>
              <w:top w:val="nil"/>
              <w:left w:val="nil"/>
              <w:bottom w:val="nil"/>
              <w:right w:val="nil"/>
            </w:tcBorders>
            <w:vAlign w:val="center"/>
            <w:hideMark/>
          </w:tcPr>
          <w:p w:rsidR="00DB6CEF" w:rsidRPr="00DB6CEF" w:rsidRDefault="00DB6CEF" w:rsidP="00DB02EA">
            <w:pPr>
              <w:spacing w:after="0" w:line="240" w:lineRule="auto"/>
              <w:rPr>
                <w:rFonts w:ascii="Times New Roman" w:hAnsi="Times New Roman"/>
                <w:sz w:val="20"/>
                <w:szCs w:val="20"/>
              </w:rPr>
            </w:pPr>
            <w:r w:rsidRPr="00DB6CEF">
              <w:rPr>
                <w:rFonts w:ascii="Times New Roman" w:hAnsi="Times New Roman"/>
                <w:sz w:val="20"/>
                <w:szCs w:val="20"/>
              </w:rPr>
              <w:t>0.03326</w:t>
            </w:r>
          </w:p>
        </w:tc>
        <w:tc>
          <w:tcPr>
            <w:tcW w:w="1080" w:type="dxa"/>
            <w:tcBorders>
              <w:top w:val="nil"/>
              <w:left w:val="nil"/>
              <w:bottom w:val="nil"/>
              <w:right w:val="nil"/>
            </w:tcBorders>
            <w:vAlign w:val="center"/>
            <w:hideMark/>
          </w:tcPr>
          <w:p w:rsidR="00DB6CEF" w:rsidRPr="00DB6CEF" w:rsidRDefault="00DB6CEF" w:rsidP="00DB02EA">
            <w:pPr>
              <w:spacing w:after="0" w:line="240" w:lineRule="auto"/>
              <w:rPr>
                <w:rFonts w:ascii="Times New Roman" w:hAnsi="Times New Roman"/>
                <w:sz w:val="20"/>
                <w:szCs w:val="20"/>
              </w:rPr>
            </w:pPr>
            <w:r w:rsidRPr="00DB6CEF">
              <w:rPr>
                <w:rFonts w:ascii="Times New Roman" w:hAnsi="Times New Roman"/>
                <w:sz w:val="20"/>
                <w:szCs w:val="20"/>
              </w:rPr>
              <w:t>0.01045</w:t>
            </w:r>
          </w:p>
        </w:tc>
      </w:tr>
      <w:tr w:rsidR="00DB02EA" w:rsidRPr="00DB6CEF" w:rsidTr="00DB02EA">
        <w:trPr>
          <w:trHeight w:val="144"/>
        </w:trPr>
        <w:tc>
          <w:tcPr>
            <w:tcW w:w="2538" w:type="dxa"/>
            <w:tcBorders>
              <w:top w:val="nil"/>
              <w:left w:val="nil"/>
              <w:bottom w:val="nil"/>
              <w:right w:val="nil"/>
            </w:tcBorders>
            <w:vAlign w:val="center"/>
            <w:hideMark/>
          </w:tcPr>
          <w:p w:rsidR="00DB6CEF" w:rsidRPr="00DB6CEF" w:rsidRDefault="00DB6CEF" w:rsidP="0079209E">
            <w:pPr>
              <w:spacing w:after="0" w:line="240" w:lineRule="auto"/>
              <w:jc w:val="both"/>
              <w:rPr>
                <w:rFonts w:ascii="Times New Roman" w:hAnsi="Times New Roman"/>
                <w:sz w:val="20"/>
                <w:szCs w:val="20"/>
              </w:rPr>
            </w:pPr>
            <w:r w:rsidRPr="00DB6CEF">
              <w:rPr>
                <w:rFonts w:ascii="Times New Roman" w:hAnsi="Times New Roman"/>
                <w:sz w:val="20"/>
                <w:szCs w:val="20"/>
              </w:rPr>
              <w:t>*Benzo(k)fluoranthene</w:t>
            </w:r>
          </w:p>
        </w:tc>
        <w:tc>
          <w:tcPr>
            <w:tcW w:w="1170" w:type="dxa"/>
            <w:tcBorders>
              <w:top w:val="nil"/>
              <w:left w:val="nil"/>
              <w:bottom w:val="nil"/>
              <w:right w:val="nil"/>
            </w:tcBorders>
            <w:vAlign w:val="center"/>
            <w:hideMark/>
          </w:tcPr>
          <w:p w:rsidR="00DB6CEF" w:rsidRPr="00DB6CEF" w:rsidRDefault="00DB6CEF" w:rsidP="00DB02EA">
            <w:pPr>
              <w:spacing w:after="0" w:line="240" w:lineRule="auto"/>
              <w:rPr>
                <w:rFonts w:ascii="Times New Roman" w:hAnsi="Times New Roman"/>
                <w:sz w:val="20"/>
                <w:szCs w:val="20"/>
              </w:rPr>
            </w:pPr>
            <w:r w:rsidRPr="00DB6CEF">
              <w:rPr>
                <w:rFonts w:ascii="Times New Roman" w:hAnsi="Times New Roman"/>
                <w:sz w:val="20"/>
                <w:szCs w:val="20"/>
              </w:rPr>
              <w:t>0.30112</w:t>
            </w:r>
          </w:p>
        </w:tc>
        <w:tc>
          <w:tcPr>
            <w:tcW w:w="1260" w:type="dxa"/>
            <w:tcBorders>
              <w:top w:val="nil"/>
              <w:left w:val="nil"/>
              <w:bottom w:val="nil"/>
              <w:right w:val="nil"/>
            </w:tcBorders>
            <w:vAlign w:val="center"/>
            <w:hideMark/>
          </w:tcPr>
          <w:p w:rsidR="00DB6CEF" w:rsidRPr="00DB6CEF" w:rsidRDefault="00DB6CEF" w:rsidP="00DB02EA">
            <w:pPr>
              <w:spacing w:after="0" w:line="240" w:lineRule="auto"/>
              <w:rPr>
                <w:rFonts w:ascii="Times New Roman" w:hAnsi="Times New Roman"/>
                <w:sz w:val="20"/>
                <w:szCs w:val="20"/>
              </w:rPr>
            </w:pPr>
            <w:r w:rsidRPr="00DB6CEF">
              <w:rPr>
                <w:rFonts w:ascii="Times New Roman" w:hAnsi="Times New Roman"/>
                <w:sz w:val="20"/>
                <w:szCs w:val="20"/>
              </w:rPr>
              <w:t>0.088214</w:t>
            </w:r>
          </w:p>
        </w:tc>
        <w:tc>
          <w:tcPr>
            <w:tcW w:w="1170" w:type="dxa"/>
            <w:tcBorders>
              <w:top w:val="nil"/>
              <w:left w:val="nil"/>
              <w:bottom w:val="nil"/>
              <w:right w:val="nil"/>
            </w:tcBorders>
            <w:vAlign w:val="center"/>
            <w:hideMark/>
          </w:tcPr>
          <w:p w:rsidR="00DB6CEF" w:rsidRPr="00DB6CEF" w:rsidRDefault="00DB6CEF" w:rsidP="00DB02EA">
            <w:pPr>
              <w:spacing w:after="0" w:line="240" w:lineRule="auto"/>
              <w:rPr>
                <w:rFonts w:ascii="Times New Roman" w:hAnsi="Times New Roman"/>
                <w:sz w:val="20"/>
                <w:szCs w:val="20"/>
              </w:rPr>
            </w:pPr>
            <w:r w:rsidRPr="00DB6CEF">
              <w:rPr>
                <w:rFonts w:ascii="Times New Roman" w:hAnsi="Times New Roman"/>
                <w:sz w:val="20"/>
                <w:szCs w:val="20"/>
              </w:rPr>
              <w:t>0.00626</w:t>
            </w:r>
          </w:p>
        </w:tc>
        <w:tc>
          <w:tcPr>
            <w:tcW w:w="1260" w:type="dxa"/>
            <w:tcBorders>
              <w:top w:val="nil"/>
              <w:left w:val="nil"/>
              <w:bottom w:val="nil"/>
              <w:right w:val="nil"/>
            </w:tcBorders>
            <w:vAlign w:val="center"/>
            <w:hideMark/>
          </w:tcPr>
          <w:p w:rsidR="00DB6CEF" w:rsidRPr="00DB6CEF" w:rsidRDefault="00DB6CEF" w:rsidP="00DB02EA">
            <w:pPr>
              <w:spacing w:after="0" w:line="240" w:lineRule="auto"/>
              <w:rPr>
                <w:rFonts w:ascii="Times New Roman" w:hAnsi="Times New Roman"/>
                <w:sz w:val="20"/>
                <w:szCs w:val="20"/>
              </w:rPr>
            </w:pPr>
            <w:r w:rsidRPr="00DB6CEF">
              <w:rPr>
                <w:rFonts w:ascii="Times New Roman" w:hAnsi="Times New Roman"/>
                <w:sz w:val="20"/>
                <w:szCs w:val="20"/>
              </w:rPr>
              <w:t>0.00103</w:t>
            </w:r>
          </w:p>
        </w:tc>
        <w:tc>
          <w:tcPr>
            <w:tcW w:w="1080" w:type="dxa"/>
            <w:tcBorders>
              <w:top w:val="nil"/>
              <w:left w:val="nil"/>
              <w:bottom w:val="nil"/>
              <w:right w:val="nil"/>
            </w:tcBorders>
            <w:vAlign w:val="center"/>
            <w:hideMark/>
          </w:tcPr>
          <w:p w:rsidR="00DB6CEF" w:rsidRPr="00DB6CEF" w:rsidRDefault="00DB6CEF" w:rsidP="00DB02EA">
            <w:pPr>
              <w:spacing w:after="0" w:line="240" w:lineRule="auto"/>
              <w:rPr>
                <w:rFonts w:ascii="Times New Roman" w:hAnsi="Times New Roman"/>
                <w:sz w:val="20"/>
                <w:szCs w:val="20"/>
              </w:rPr>
            </w:pPr>
            <w:r w:rsidRPr="00DB6CEF">
              <w:rPr>
                <w:rFonts w:ascii="Times New Roman" w:hAnsi="Times New Roman"/>
                <w:sz w:val="20"/>
                <w:szCs w:val="20"/>
              </w:rPr>
              <w:t>0.00339</w:t>
            </w:r>
          </w:p>
        </w:tc>
      </w:tr>
      <w:tr w:rsidR="00DB02EA" w:rsidRPr="00DB02EA" w:rsidTr="00DB02EA">
        <w:trPr>
          <w:trHeight w:val="144"/>
        </w:trPr>
        <w:tc>
          <w:tcPr>
            <w:tcW w:w="2538" w:type="dxa"/>
            <w:tcBorders>
              <w:top w:val="nil"/>
              <w:left w:val="nil"/>
              <w:bottom w:val="nil"/>
              <w:right w:val="nil"/>
            </w:tcBorders>
            <w:vAlign w:val="center"/>
          </w:tcPr>
          <w:p w:rsidR="00DB02EA" w:rsidRPr="00DB02EA" w:rsidRDefault="00DB02EA" w:rsidP="00DB02EA">
            <w:pPr>
              <w:spacing w:after="0" w:line="240" w:lineRule="auto"/>
              <w:jc w:val="both"/>
              <w:rPr>
                <w:rFonts w:ascii="Times New Roman" w:hAnsi="Times New Roman"/>
                <w:sz w:val="20"/>
                <w:szCs w:val="20"/>
              </w:rPr>
            </w:pPr>
            <w:r w:rsidRPr="00DB02EA">
              <w:rPr>
                <w:rFonts w:ascii="Times New Roman" w:hAnsi="Times New Roman"/>
                <w:sz w:val="20"/>
                <w:szCs w:val="20"/>
              </w:rPr>
              <w:t>*Benzo(b)fluoranthene</w:t>
            </w:r>
          </w:p>
        </w:tc>
        <w:tc>
          <w:tcPr>
            <w:tcW w:w="1170" w:type="dxa"/>
            <w:tcBorders>
              <w:top w:val="nil"/>
              <w:left w:val="nil"/>
              <w:bottom w:val="nil"/>
              <w:right w:val="nil"/>
            </w:tcBorders>
            <w:vAlign w:val="center"/>
          </w:tcPr>
          <w:p w:rsidR="00DB02EA" w:rsidRPr="00DB02EA" w:rsidRDefault="00DB02EA" w:rsidP="00DB02EA">
            <w:pPr>
              <w:spacing w:after="0" w:line="240" w:lineRule="auto"/>
              <w:rPr>
                <w:rFonts w:ascii="Times New Roman" w:hAnsi="Times New Roman"/>
                <w:sz w:val="20"/>
                <w:szCs w:val="20"/>
              </w:rPr>
            </w:pPr>
            <w:r w:rsidRPr="00DB02EA">
              <w:rPr>
                <w:rFonts w:ascii="Times New Roman" w:hAnsi="Times New Roman"/>
                <w:sz w:val="20"/>
                <w:szCs w:val="20"/>
              </w:rPr>
              <w:t>0.25271</w:t>
            </w:r>
          </w:p>
        </w:tc>
        <w:tc>
          <w:tcPr>
            <w:tcW w:w="1260" w:type="dxa"/>
            <w:tcBorders>
              <w:top w:val="nil"/>
              <w:left w:val="nil"/>
              <w:bottom w:val="nil"/>
              <w:right w:val="nil"/>
            </w:tcBorders>
            <w:vAlign w:val="center"/>
          </w:tcPr>
          <w:p w:rsidR="00DB02EA" w:rsidRPr="00DB02EA" w:rsidRDefault="00DB02EA" w:rsidP="00DB02EA">
            <w:pPr>
              <w:spacing w:after="0" w:line="240" w:lineRule="auto"/>
              <w:rPr>
                <w:rFonts w:ascii="Times New Roman" w:hAnsi="Times New Roman"/>
                <w:sz w:val="20"/>
                <w:szCs w:val="20"/>
              </w:rPr>
            </w:pPr>
            <w:r w:rsidRPr="00DB02EA">
              <w:rPr>
                <w:rFonts w:ascii="Times New Roman" w:hAnsi="Times New Roman"/>
                <w:sz w:val="20"/>
                <w:szCs w:val="20"/>
              </w:rPr>
              <w:t>0.03747</w:t>
            </w:r>
          </w:p>
        </w:tc>
        <w:tc>
          <w:tcPr>
            <w:tcW w:w="1170" w:type="dxa"/>
            <w:tcBorders>
              <w:top w:val="nil"/>
              <w:left w:val="nil"/>
              <w:bottom w:val="nil"/>
              <w:right w:val="nil"/>
            </w:tcBorders>
            <w:vAlign w:val="center"/>
          </w:tcPr>
          <w:p w:rsidR="00DB02EA" w:rsidRPr="00DB02EA" w:rsidRDefault="00DB02EA" w:rsidP="00DB02EA">
            <w:pPr>
              <w:spacing w:after="0" w:line="240" w:lineRule="auto"/>
              <w:rPr>
                <w:rFonts w:ascii="Times New Roman" w:hAnsi="Times New Roman"/>
                <w:sz w:val="20"/>
                <w:szCs w:val="20"/>
              </w:rPr>
            </w:pPr>
            <w:r w:rsidRPr="00DB02EA">
              <w:rPr>
                <w:rFonts w:ascii="Times New Roman" w:hAnsi="Times New Roman"/>
                <w:sz w:val="20"/>
                <w:szCs w:val="20"/>
              </w:rPr>
              <w:t>0.02615</w:t>
            </w:r>
          </w:p>
        </w:tc>
        <w:tc>
          <w:tcPr>
            <w:tcW w:w="1260" w:type="dxa"/>
            <w:tcBorders>
              <w:top w:val="nil"/>
              <w:left w:val="nil"/>
              <w:bottom w:val="nil"/>
              <w:right w:val="nil"/>
            </w:tcBorders>
            <w:vAlign w:val="center"/>
          </w:tcPr>
          <w:p w:rsidR="00DB02EA" w:rsidRPr="00DB02EA" w:rsidRDefault="00DB02EA" w:rsidP="00DB02EA">
            <w:pPr>
              <w:spacing w:after="0" w:line="240" w:lineRule="auto"/>
              <w:rPr>
                <w:rFonts w:ascii="Times New Roman" w:hAnsi="Times New Roman"/>
                <w:sz w:val="20"/>
                <w:szCs w:val="20"/>
              </w:rPr>
            </w:pPr>
            <w:r w:rsidRPr="00DB02EA">
              <w:rPr>
                <w:rFonts w:ascii="Times New Roman" w:hAnsi="Times New Roman"/>
                <w:sz w:val="20"/>
                <w:szCs w:val="20"/>
              </w:rPr>
              <w:t>0.03515</w:t>
            </w:r>
          </w:p>
        </w:tc>
        <w:tc>
          <w:tcPr>
            <w:tcW w:w="1080" w:type="dxa"/>
            <w:tcBorders>
              <w:top w:val="nil"/>
              <w:left w:val="nil"/>
              <w:bottom w:val="nil"/>
              <w:right w:val="nil"/>
            </w:tcBorders>
            <w:vAlign w:val="center"/>
          </w:tcPr>
          <w:p w:rsidR="00DB02EA" w:rsidRPr="00DB02EA" w:rsidRDefault="00DB02EA" w:rsidP="00DB02EA">
            <w:pPr>
              <w:spacing w:after="0" w:line="240" w:lineRule="auto"/>
              <w:rPr>
                <w:rFonts w:ascii="Times New Roman" w:hAnsi="Times New Roman"/>
                <w:sz w:val="20"/>
                <w:szCs w:val="20"/>
              </w:rPr>
            </w:pPr>
            <w:r w:rsidRPr="00DB02EA">
              <w:rPr>
                <w:rFonts w:ascii="Times New Roman" w:hAnsi="Times New Roman"/>
                <w:sz w:val="20"/>
                <w:szCs w:val="20"/>
              </w:rPr>
              <w:t>0.00042</w:t>
            </w:r>
          </w:p>
        </w:tc>
      </w:tr>
      <w:tr w:rsidR="00DB02EA" w:rsidRPr="00DB6CEF" w:rsidTr="00DB02EA">
        <w:trPr>
          <w:trHeight w:val="144"/>
        </w:trPr>
        <w:tc>
          <w:tcPr>
            <w:tcW w:w="2538" w:type="dxa"/>
            <w:tcBorders>
              <w:top w:val="nil"/>
              <w:left w:val="nil"/>
              <w:bottom w:val="nil"/>
              <w:right w:val="nil"/>
            </w:tcBorders>
            <w:vAlign w:val="center"/>
            <w:hideMark/>
          </w:tcPr>
          <w:p w:rsidR="00DB02EA" w:rsidRPr="00DB6CEF" w:rsidRDefault="00DB02EA" w:rsidP="00DB02EA">
            <w:pPr>
              <w:spacing w:after="0" w:line="240" w:lineRule="auto"/>
              <w:jc w:val="both"/>
              <w:rPr>
                <w:rFonts w:ascii="Times New Roman" w:hAnsi="Times New Roman"/>
                <w:sz w:val="20"/>
                <w:szCs w:val="20"/>
              </w:rPr>
            </w:pPr>
            <w:r w:rsidRPr="00DB6CEF">
              <w:rPr>
                <w:rFonts w:ascii="Times New Roman" w:hAnsi="Times New Roman"/>
                <w:sz w:val="20"/>
                <w:szCs w:val="20"/>
              </w:rPr>
              <w:t>*Benzo(a)pyrene</w:t>
            </w:r>
          </w:p>
        </w:tc>
        <w:tc>
          <w:tcPr>
            <w:tcW w:w="1170" w:type="dxa"/>
            <w:tcBorders>
              <w:top w:val="nil"/>
              <w:left w:val="nil"/>
              <w:bottom w:val="nil"/>
              <w:right w:val="nil"/>
            </w:tcBorders>
            <w:vAlign w:val="center"/>
            <w:hideMark/>
          </w:tcPr>
          <w:p w:rsidR="00DB02EA" w:rsidRPr="00DB6CEF" w:rsidRDefault="00DB02EA" w:rsidP="00DB02EA">
            <w:pPr>
              <w:spacing w:after="0" w:line="240" w:lineRule="auto"/>
              <w:rPr>
                <w:rFonts w:ascii="Times New Roman" w:hAnsi="Times New Roman"/>
                <w:sz w:val="20"/>
                <w:szCs w:val="20"/>
              </w:rPr>
            </w:pPr>
            <w:r w:rsidRPr="00DB6CEF">
              <w:rPr>
                <w:rFonts w:ascii="Times New Roman" w:hAnsi="Times New Roman"/>
                <w:sz w:val="20"/>
                <w:szCs w:val="20"/>
              </w:rPr>
              <w:t>0.09223</w:t>
            </w:r>
          </w:p>
        </w:tc>
        <w:tc>
          <w:tcPr>
            <w:tcW w:w="1260" w:type="dxa"/>
            <w:tcBorders>
              <w:top w:val="nil"/>
              <w:left w:val="nil"/>
              <w:bottom w:val="nil"/>
              <w:right w:val="nil"/>
            </w:tcBorders>
            <w:vAlign w:val="center"/>
            <w:hideMark/>
          </w:tcPr>
          <w:p w:rsidR="00DB02EA" w:rsidRPr="00DB6CEF" w:rsidRDefault="00DB02EA" w:rsidP="00DB02EA">
            <w:pPr>
              <w:spacing w:after="0" w:line="240" w:lineRule="auto"/>
              <w:rPr>
                <w:rFonts w:ascii="Times New Roman" w:hAnsi="Times New Roman"/>
                <w:sz w:val="20"/>
                <w:szCs w:val="20"/>
              </w:rPr>
            </w:pPr>
            <w:r w:rsidRPr="00DB6CEF">
              <w:rPr>
                <w:rFonts w:ascii="Times New Roman" w:hAnsi="Times New Roman"/>
                <w:sz w:val="20"/>
                <w:szCs w:val="20"/>
              </w:rPr>
              <w:t>0.28792</w:t>
            </w:r>
          </w:p>
        </w:tc>
        <w:tc>
          <w:tcPr>
            <w:tcW w:w="1170" w:type="dxa"/>
            <w:tcBorders>
              <w:top w:val="nil"/>
              <w:left w:val="nil"/>
              <w:bottom w:val="nil"/>
              <w:right w:val="nil"/>
            </w:tcBorders>
            <w:vAlign w:val="center"/>
            <w:hideMark/>
          </w:tcPr>
          <w:p w:rsidR="00DB02EA" w:rsidRPr="00DB6CEF" w:rsidRDefault="00DB02EA" w:rsidP="00DB02EA">
            <w:pPr>
              <w:spacing w:after="0" w:line="240" w:lineRule="auto"/>
              <w:rPr>
                <w:rFonts w:ascii="Times New Roman" w:hAnsi="Times New Roman"/>
                <w:sz w:val="20"/>
                <w:szCs w:val="20"/>
              </w:rPr>
            </w:pPr>
            <w:r w:rsidRPr="00DB6CEF">
              <w:rPr>
                <w:rFonts w:ascii="Times New Roman" w:hAnsi="Times New Roman"/>
                <w:sz w:val="20"/>
                <w:szCs w:val="20"/>
              </w:rPr>
              <w:t>0.02219</w:t>
            </w:r>
          </w:p>
        </w:tc>
        <w:tc>
          <w:tcPr>
            <w:tcW w:w="1260" w:type="dxa"/>
            <w:tcBorders>
              <w:top w:val="nil"/>
              <w:left w:val="nil"/>
              <w:bottom w:val="nil"/>
              <w:right w:val="nil"/>
            </w:tcBorders>
            <w:vAlign w:val="center"/>
            <w:hideMark/>
          </w:tcPr>
          <w:p w:rsidR="00DB02EA" w:rsidRPr="00DB6CEF" w:rsidRDefault="00DB02EA" w:rsidP="00DB02EA">
            <w:pPr>
              <w:spacing w:after="0" w:line="240" w:lineRule="auto"/>
              <w:rPr>
                <w:rFonts w:ascii="Times New Roman" w:hAnsi="Times New Roman"/>
                <w:sz w:val="20"/>
                <w:szCs w:val="20"/>
              </w:rPr>
            </w:pPr>
            <w:r w:rsidRPr="00DB6CEF">
              <w:rPr>
                <w:rFonts w:ascii="Times New Roman" w:hAnsi="Times New Roman"/>
                <w:sz w:val="20"/>
                <w:szCs w:val="20"/>
              </w:rPr>
              <w:t>0.02923</w:t>
            </w:r>
          </w:p>
        </w:tc>
        <w:tc>
          <w:tcPr>
            <w:tcW w:w="1080" w:type="dxa"/>
            <w:tcBorders>
              <w:top w:val="nil"/>
              <w:left w:val="nil"/>
              <w:bottom w:val="nil"/>
              <w:right w:val="nil"/>
            </w:tcBorders>
            <w:vAlign w:val="center"/>
            <w:hideMark/>
          </w:tcPr>
          <w:p w:rsidR="00DB02EA" w:rsidRPr="00DB6CEF" w:rsidRDefault="00DB02EA" w:rsidP="00DB02EA">
            <w:pPr>
              <w:spacing w:after="0" w:line="240" w:lineRule="auto"/>
              <w:rPr>
                <w:rFonts w:ascii="Times New Roman" w:hAnsi="Times New Roman"/>
                <w:sz w:val="20"/>
                <w:szCs w:val="20"/>
              </w:rPr>
            </w:pPr>
            <w:r w:rsidRPr="00DB6CEF">
              <w:rPr>
                <w:rFonts w:ascii="Times New Roman" w:hAnsi="Times New Roman"/>
                <w:sz w:val="20"/>
                <w:szCs w:val="20"/>
              </w:rPr>
              <w:t>0.01540</w:t>
            </w:r>
          </w:p>
        </w:tc>
      </w:tr>
      <w:tr w:rsidR="00DB02EA" w:rsidRPr="00DB6CEF" w:rsidTr="00DB02EA">
        <w:trPr>
          <w:trHeight w:val="144"/>
        </w:trPr>
        <w:tc>
          <w:tcPr>
            <w:tcW w:w="2538" w:type="dxa"/>
            <w:tcBorders>
              <w:top w:val="nil"/>
              <w:left w:val="nil"/>
              <w:bottom w:val="nil"/>
              <w:right w:val="nil"/>
            </w:tcBorders>
            <w:vAlign w:val="center"/>
            <w:hideMark/>
          </w:tcPr>
          <w:p w:rsidR="00DB02EA" w:rsidRPr="00DB6CEF" w:rsidRDefault="00DB02EA" w:rsidP="00DB02EA">
            <w:pPr>
              <w:spacing w:after="0" w:line="240" w:lineRule="auto"/>
              <w:jc w:val="both"/>
              <w:rPr>
                <w:rFonts w:ascii="Times New Roman" w:hAnsi="Times New Roman"/>
                <w:sz w:val="20"/>
                <w:szCs w:val="20"/>
              </w:rPr>
            </w:pPr>
            <w:r w:rsidRPr="00DB6CEF">
              <w:rPr>
                <w:rFonts w:ascii="Times New Roman" w:hAnsi="Times New Roman"/>
                <w:sz w:val="20"/>
                <w:szCs w:val="20"/>
              </w:rPr>
              <w:t>*Indeno(1,2,3cd)pyrene</w:t>
            </w:r>
          </w:p>
        </w:tc>
        <w:tc>
          <w:tcPr>
            <w:tcW w:w="1170" w:type="dxa"/>
            <w:tcBorders>
              <w:top w:val="nil"/>
              <w:left w:val="nil"/>
              <w:bottom w:val="nil"/>
              <w:right w:val="nil"/>
            </w:tcBorders>
            <w:vAlign w:val="center"/>
            <w:hideMark/>
          </w:tcPr>
          <w:p w:rsidR="00DB02EA" w:rsidRPr="00DB6CEF" w:rsidRDefault="00DB02EA" w:rsidP="00DB02EA">
            <w:pPr>
              <w:spacing w:after="0" w:line="240" w:lineRule="auto"/>
              <w:rPr>
                <w:rFonts w:ascii="Times New Roman" w:hAnsi="Times New Roman"/>
                <w:sz w:val="20"/>
                <w:szCs w:val="20"/>
              </w:rPr>
            </w:pPr>
            <w:r w:rsidRPr="00DB6CEF">
              <w:rPr>
                <w:rFonts w:ascii="Times New Roman" w:hAnsi="Times New Roman"/>
                <w:sz w:val="20"/>
                <w:szCs w:val="20"/>
              </w:rPr>
              <w:t>0.07087</w:t>
            </w:r>
          </w:p>
        </w:tc>
        <w:tc>
          <w:tcPr>
            <w:tcW w:w="1260" w:type="dxa"/>
            <w:tcBorders>
              <w:top w:val="nil"/>
              <w:left w:val="nil"/>
              <w:bottom w:val="nil"/>
              <w:right w:val="nil"/>
            </w:tcBorders>
            <w:vAlign w:val="center"/>
            <w:hideMark/>
          </w:tcPr>
          <w:p w:rsidR="00DB02EA" w:rsidRPr="00DB6CEF" w:rsidRDefault="00DB02EA" w:rsidP="00DB02EA">
            <w:pPr>
              <w:spacing w:after="0" w:line="240" w:lineRule="auto"/>
              <w:rPr>
                <w:rFonts w:ascii="Times New Roman" w:hAnsi="Times New Roman"/>
                <w:sz w:val="20"/>
                <w:szCs w:val="20"/>
              </w:rPr>
            </w:pPr>
            <w:r w:rsidRPr="00DB6CEF">
              <w:rPr>
                <w:rFonts w:ascii="Times New Roman" w:hAnsi="Times New Roman"/>
                <w:sz w:val="20"/>
                <w:szCs w:val="20"/>
              </w:rPr>
              <w:t>0.20000</w:t>
            </w:r>
          </w:p>
        </w:tc>
        <w:tc>
          <w:tcPr>
            <w:tcW w:w="1170" w:type="dxa"/>
            <w:tcBorders>
              <w:top w:val="nil"/>
              <w:left w:val="nil"/>
              <w:bottom w:val="nil"/>
              <w:right w:val="nil"/>
            </w:tcBorders>
            <w:vAlign w:val="center"/>
            <w:hideMark/>
          </w:tcPr>
          <w:p w:rsidR="00DB02EA" w:rsidRPr="00DB6CEF" w:rsidRDefault="00DB02EA" w:rsidP="00DB02EA">
            <w:pPr>
              <w:spacing w:after="0" w:line="240" w:lineRule="auto"/>
              <w:rPr>
                <w:rFonts w:ascii="Times New Roman" w:hAnsi="Times New Roman"/>
                <w:sz w:val="20"/>
                <w:szCs w:val="20"/>
              </w:rPr>
            </w:pPr>
            <w:r w:rsidRPr="00DB6CEF">
              <w:rPr>
                <w:rFonts w:ascii="Times New Roman" w:hAnsi="Times New Roman"/>
                <w:sz w:val="20"/>
                <w:szCs w:val="20"/>
              </w:rPr>
              <w:t>0.01593</w:t>
            </w:r>
          </w:p>
        </w:tc>
        <w:tc>
          <w:tcPr>
            <w:tcW w:w="1260" w:type="dxa"/>
            <w:tcBorders>
              <w:top w:val="nil"/>
              <w:left w:val="nil"/>
              <w:bottom w:val="nil"/>
              <w:right w:val="nil"/>
            </w:tcBorders>
            <w:vAlign w:val="center"/>
            <w:hideMark/>
          </w:tcPr>
          <w:p w:rsidR="00DB02EA" w:rsidRPr="00DB6CEF" w:rsidRDefault="00DB02EA" w:rsidP="00DB02EA">
            <w:pPr>
              <w:spacing w:after="0" w:line="240" w:lineRule="auto"/>
              <w:rPr>
                <w:rFonts w:ascii="Times New Roman" w:hAnsi="Times New Roman"/>
                <w:sz w:val="20"/>
                <w:szCs w:val="20"/>
              </w:rPr>
            </w:pPr>
            <w:r w:rsidRPr="00DB6CEF">
              <w:rPr>
                <w:rFonts w:ascii="Times New Roman" w:hAnsi="Times New Roman"/>
                <w:sz w:val="20"/>
                <w:szCs w:val="20"/>
              </w:rPr>
              <w:t>0.02021</w:t>
            </w:r>
          </w:p>
        </w:tc>
        <w:tc>
          <w:tcPr>
            <w:tcW w:w="1080" w:type="dxa"/>
            <w:tcBorders>
              <w:top w:val="nil"/>
              <w:left w:val="nil"/>
              <w:bottom w:val="nil"/>
              <w:right w:val="nil"/>
            </w:tcBorders>
            <w:vAlign w:val="center"/>
            <w:hideMark/>
          </w:tcPr>
          <w:p w:rsidR="00DB02EA" w:rsidRPr="00DB6CEF" w:rsidRDefault="00DB02EA" w:rsidP="00DB02EA">
            <w:pPr>
              <w:spacing w:after="0" w:line="240" w:lineRule="auto"/>
              <w:rPr>
                <w:rFonts w:ascii="Times New Roman" w:hAnsi="Times New Roman"/>
                <w:sz w:val="20"/>
                <w:szCs w:val="20"/>
              </w:rPr>
            </w:pPr>
            <w:r w:rsidRPr="00DB6CEF">
              <w:rPr>
                <w:rFonts w:ascii="Times New Roman" w:hAnsi="Times New Roman"/>
                <w:sz w:val="20"/>
                <w:szCs w:val="20"/>
              </w:rPr>
              <w:t>0.01276</w:t>
            </w:r>
          </w:p>
        </w:tc>
      </w:tr>
      <w:tr w:rsidR="00DB02EA" w:rsidRPr="00DB6CEF" w:rsidTr="00DB02EA">
        <w:trPr>
          <w:trHeight w:val="144"/>
        </w:trPr>
        <w:tc>
          <w:tcPr>
            <w:tcW w:w="2538" w:type="dxa"/>
            <w:tcBorders>
              <w:top w:val="nil"/>
              <w:left w:val="nil"/>
              <w:bottom w:val="nil"/>
              <w:right w:val="nil"/>
            </w:tcBorders>
            <w:vAlign w:val="center"/>
            <w:hideMark/>
          </w:tcPr>
          <w:p w:rsidR="00DB02EA" w:rsidRPr="00DB6CEF" w:rsidRDefault="00DB02EA" w:rsidP="00DB02EA">
            <w:pPr>
              <w:spacing w:after="0" w:line="240" w:lineRule="auto"/>
              <w:jc w:val="both"/>
              <w:rPr>
                <w:rFonts w:ascii="Times New Roman" w:hAnsi="Times New Roman"/>
                <w:sz w:val="20"/>
                <w:szCs w:val="20"/>
              </w:rPr>
            </w:pPr>
            <w:r w:rsidRPr="00DB6CEF">
              <w:rPr>
                <w:rFonts w:ascii="Times New Roman" w:hAnsi="Times New Roman"/>
                <w:sz w:val="20"/>
                <w:szCs w:val="20"/>
              </w:rPr>
              <w:t>*Dibenzo(a,h)anthracene</w:t>
            </w:r>
          </w:p>
        </w:tc>
        <w:tc>
          <w:tcPr>
            <w:tcW w:w="1170" w:type="dxa"/>
            <w:tcBorders>
              <w:top w:val="nil"/>
              <w:left w:val="nil"/>
              <w:bottom w:val="nil"/>
              <w:right w:val="nil"/>
            </w:tcBorders>
            <w:vAlign w:val="center"/>
            <w:hideMark/>
          </w:tcPr>
          <w:p w:rsidR="00DB02EA" w:rsidRPr="00DB6CEF" w:rsidRDefault="00DB02EA" w:rsidP="00DB02EA">
            <w:pPr>
              <w:spacing w:after="0" w:line="240" w:lineRule="auto"/>
              <w:rPr>
                <w:rFonts w:ascii="Times New Roman" w:hAnsi="Times New Roman"/>
                <w:sz w:val="20"/>
                <w:szCs w:val="20"/>
              </w:rPr>
            </w:pPr>
            <w:r w:rsidRPr="00DB6CEF">
              <w:rPr>
                <w:rFonts w:ascii="Times New Roman" w:hAnsi="Times New Roman"/>
                <w:sz w:val="20"/>
                <w:szCs w:val="20"/>
              </w:rPr>
              <w:t>0.06466</w:t>
            </w:r>
          </w:p>
        </w:tc>
        <w:tc>
          <w:tcPr>
            <w:tcW w:w="1260" w:type="dxa"/>
            <w:tcBorders>
              <w:top w:val="nil"/>
              <w:left w:val="nil"/>
              <w:bottom w:val="nil"/>
              <w:right w:val="nil"/>
            </w:tcBorders>
            <w:vAlign w:val="center"/>
            <w:hideMark/>
          </w:tcPr>
          <w:p w:rsidR="00DB02EA" w:rsidRPr="00DB6CEF" w:rsidRDefault="00DB02EA" w:rsidP="00DB02EA">
            <w:pPr>
              <w:spacing w:after="0" w:line="240" w:lineRule="auto"/>
              <w:rPr>
                <w:rFonts w:ascii="Times New Roman" w:hAnsi="Times New Roman"/>
                <w:sz w:val="20"/>
                <w:szCs w:val="20"/>
              </w:rPr>
            </w:pPr>
            <w:r w:rsidRPr="00DB6CEF">
              <w:rPr>
                <w:rFonts w:ascii="Times New Roman" w:hAnsi="Times New Roman"/>
                <w:sz w:val="20"/>
                <w:szCs w:val="20"/>
              </w:rPr>
              <w:t>0.15996</w:t>
            </w:r>
          </w:p>
        </w:tc>
        <w:tc>
          <w:tcPr>
            <w:tcW w:w="1170" w:type="dxa"/>
            <w:tcBorders>
              <w:top w:val="nil"/>
              <w:left w:val="nil"/>
              <w:bottom w:val="nil"/>
              <w:right w:val="nil"/>
            </w:tcBorders>
            <w:vAlign w:val="center"/>
            <w:hideMark/>
          </w:tcPr>
          <w:p w:rsidR="00DB02EA" w:rsidRPr="00DB6CEF" w:rsidRDefault="00DB02EA" w:rsidP="00DB02EA">
            <w:pPr>
              <w:spacing w:after="0" w:line="240" w:lineRule="auto"/>
              <w:rPr>
                <w:rFonts w:ascii="Times New Roman" w:hAnsi="Times New Roman"/>
                <w:sz w:val="20"/>
                <w:szCs w:val="20"/>
              </w:rPr>
            </w:pPr>
            <w:r w:rsidRPr="00DB6CEF">
              <w:rPr>
                <w:rFonts w:ascii="Times New Roman" w:hAnsi="Times New Roman"/>
                <w:sz w:val="20"/>
                <w:szCs w:val="20"/>
              </w:rPr>
              <w:t>0.01521</w:t>
            </w:r>
          </w:p>
        </w:tc>
        <w:tc>
          <w:tcPr>
            <w:tcW w:w="1260" w:type="dxa"/>
            <w:tcBorders>
              <w:top w:val="nil"/>
              <w:left w:val="nil"/>
              <w:bottom w:val="nil"/>
              <w:right w:val="nil"/>
            </w:tcBorders>
            <w:vAlign w:val="center"/>
            <w:hideMark/>
          </w:tcPr>
          <w:p w:rsidR="00DB02EA" w:rsidRPr="00DB6CEF" w:rsidRDefault="00DB02EA" w:rsidP="00DB02EA">
            <w:pPr>
              <w:spacing w:after="0" w:line="240" w:lineRule="auto"/>
              <w:rPr>
                <w:rFonts w:ascii="Times New Roman" w:hAnsi="Times New Roman"/>
                <w:sz w:val="20"/>
                <w:szCs w:val="20"/>
              </w:rPr>
            </w:pPr>
            <w:r w:rsidRPr="00DB6CEF">
              <w:rPr>
                <w:rFonts w:ascii="Times New Roman" w:hAnsi="Times New Roman"/>
                <w:sz w:val="20"/>
                <w:szCs w:val="20"/>
              </w:rPr>
              <w:t>0.01795</w:t>
            </w:r>
          </w:p>
        </w:tc>
        <w:tc>
          <w:tcPr>
            <w:tcW w:w="1080" w:type="dxa"/>
            <w:tcBorders>
              <w:top w:val="nil"/>
              <w:left w:val="nil"/>
              <w:bottom w:val="nil"/>
              <w:right w:val="nil"/>
            </w:tcBorders>
            <w:vAlign w:val="center"/>
            <w:hideMark/>
          </w:tcPr>
          <w:p w:rsidR="00DB02EA" w:rsidRPr="00DB6CEF" w:rsidRDefault="00DB02EA" w:rsidP="00DB02EA">
            <w:pPr>
              <w:spacing w:after="0" w:line="240" w:lineRule="auto"/>
              <w:rPr>
                <w:rFonts w:ascii="Times New Roman" w:hAnsi="Times New Roman"/>
                <w:sz w:val="20"/>
                <w:szCs w:val="20"/>
              </w:rPr>
            </w:pPr>
            <w:r w:rsidRPr="00DB6CEF">
              <w:rPr>
                <w:rFonts w:ascii="Times New Roman" w:hAnsi="Times New Roman"/>
                <w:sz w:val="20"/>
                <w:szCs w:val="20"/>
              </w:rPr>
              <w:t>0.01507</w:t>
            </w:r>
          </w:p>
        </w:tc>
      </w:tr>
      <w:tr w:rsidR="00DB02EA" w:rsidRPr="00DB6CEF" w:rsidTr="00DB02EA">
        <w:trPr>
          <w:trHeight w:val="144"/>
        </w:trPr>
        <w:tc>
          <w:tcPr>
            <w:tcW w:w="2538" w:type="dxa"/>
            <w:tcBorders>
              <w:top w:val="nil"/>
              <w:left w:val="nil"/>
              <w:bottom w:val="single" w:sz="4" w:space="0" w:color="auto"/>
              <w:right w:val="nil"/>
            </w:tcBorders>
            <w:vAlign w:val="center"/>
            <w:hideMark/>
          </w:tcPr>
          <w:p w:rsidR="00DB02EA" w:rsidRPr="00DB6CEF" w:rsidRDefault="00DB02EA" w:rsidP="00DB02EA">
            <w:pPr>
              <w:spacing w:after="120" w:line="240" w:lineRule="auto"/>
              <w:jc w:val="both"/>
              <w:rPr>
                <w:rFonts w:ascii="Times New Roman" w:hAnsi="Times New Roman"/>
                <w:sz w:val="20"/>
                <w:szCs w:val="20"/>
              </w:rPr>
            </w:pPr>
            <w:r w:rsidRPr="00DB6CEF">
              <w:rPr>
                <w:rFonts w:ascii="Times New Roman" w:hAnsi="Times New Roman"/>
                <w:sz w:val="20"/>
                <w:szCs w:val="20"/>
              </w:rPr>
              <w:t>Benzo(g,h,i)perylene</w:t>
            </w:r>
          </w:p>
        </w:tc>
        <w:tc>
          <w:tcPr>
            <w:tcW w:w="1170" w:type="dxa"/>
            <w:tcBorders>
              <w:top w:val="nil"/>
              <w:left w:val="nil"/>
              <w:bottom w:val="single" w:sz="4" w:space="0" w:color="auto"/>
              <w:right w:val="nil"/>
            </w:tcBorders>
            <w:vAlign w:val="center"/>
            <w:hideMark/>
          </w:tcPr>
          <w:p w:rsidR="00DB02EA" w:rsidRPr="00DB6CEF" w:rsidRDefault="00DB02EA" w:rsidP="00DB02EA">
            <w:pPr>
              <w:spacing w:after="120" w:line="240" w:lineRule="auto"/>
              <w:rPr>
                <w:rFonts w:ascii="Times New Roman" w:hAnsi="Times New Roman"/>
                <w:sz w:val="20"/>
                <w:szCs w:val="20"/>
              </w:rPr>
            </w:pPr>
            <w:r w:rsidRPr="00DB6CEF">
              <w:rPr>
                <w:rFonts w:ascii="Times New Roman" w:hAnsi="Times New Roman"/>
                <w:sz w:val="20"/>
                <w:szCs w:val="20"/>
              </w:rPr>
              <w:t>0.08763</w:t>
            </w:r>
          </w:p>
        </w:tc>
        <w:tc>
          <w:tcPr>
            <w:tcW w:w="1260" w:type="dxa"/>
            <w:tcBorders>
              <w:top w:val="nil"/>
              <w:left w:val="nil"/>
              <w:bottom w:val="single" w:sz="4" w:space="0" w:color="auto"/>
              <w:right w:val="nil"/>
            </w:tcBorders>
            <w:vAlign w:val="center"/>
            <w:hideMark/>
          </w:tcPr>
          <w:p w:rsidR="00DB02EA" w:rsidRPr="00DB6CEF" w:rsidRDefault="00DB02EA" w:rsidP="00DB02EA">
            <w:pPr>
              <w:spacing w:after="120" w:line="240" w:lineRule="auto"/>
              <w:rPr>
                <w:rFonts w:ascii="Times New Roman" w:hAnsi="Times New Roman"/>
                <w:sz w:val="20"/>
                <w:szCs w:val="20"/>
              </w:rPr>
            </w:pPr>
            <w:r w:rsidRPr="00DB6CEF">
              <w:rPr>
                <w:rFonts w:ascii="Times New Roman" w:hAnsi="Times New Roman"/>
                <w:sz w:val="20"/>
                <w:szCs w:val="20"/>
              </w:rPr>
              <w:t>0.01306</w:t>
            </w:r>
          </w:p>
        </w:tc>
        <w:tc>
          <w:tcPr>
            <w:tcW w:w="1170" w:type="dxa"/>
            <w:tcBorders>
              <w:top w:val="nil"/>
              <w:left w:val="nil"/>
              <w:bottom w:val="single" w:sz="4" w:space="0" w:color="auto"/>
              <w:right w:val="nil"/>
            </w:tcBorders>
            <w:vAlign w:val="center"/>
            <w:hideMark/>
          </w:tcPr>
          <w:p w:rsidR="00DB02EA" w:rsidRPr="00DB6CEF" w:rsidRDefault="00DB02EA" w:rsidP="00DB02EA">
            <w:pPr>
              <w:spacing w:after="120" w:line="240" w:lineRule="auto"/>
              <w:rPr>
                <w:rFonts w:ascii="Times New Roman" w:hAnsi="Times New Roman"/>
                <w:sz w:val="20"/>
                <w:szCs w:val="20"/>
              </w:rPr>
            </w:pPr>
            <w:r w:rsidRPr="00DB6CEF">
              <w:rPr>
                <w:rFonts w:ascii="Times New Roman" w:hAnsi="Times New Roman"/>
                <w:sz w:val="20"/>
                <w:szCs w:val="20"/>
              </w:rPr>
              <w:t>0.00213</w:t>
            </w:r>
          </w:p>
        </w:tc>
        <w:tc>
          <w:tcPr>
            <w:tcW w:w="1260" w:type="dxa"/>
            <w:tcBorders>
              <w:top w:val="nil"/>
              <w:left w:val="nil"/>
              <w:bottom w:val="single" w:sz="4" w:space="0" w:color="auto"/>
              <w:right w:val="nil"/>
            </w:tcBorders>
            <w:vAlign w:val="center"/>
            <w:hideMark/>
          </w:tcPr>
          <w:p w:rsidR="00DB02EA" w:rsidRPr="00DB6CEF" w:rsidRDefault="00DB02EA" w:rsidP="00DB02EA">
            <w:pPr>
              <w:spacing w:after="120" w:line="240" w:lineRule="auto"/>
              <w:rPr>
                <w:rFonts w:ascii="Times New Roman" w:hAnsi="Times New Roman"/>
                <w:sz w:val="20"/>
                <w:szCs w:val="20"/>
              </w:rPr>
            </w:pPr>
            <w:r w:rsidRPr="00DB6CEF">
              <w:rPr>
                <w:rFonts w:ascii="Times New Roman" w:hAnsi="Times New Roman"/>
                <w:sz w:val="20"/>
                <w:szCs w:val="20"/>
              </w:rPr>
              <w:t>0.00222</w:t>
            </w:r>
          </w:p>
        </w:tc>
        <w:tc>
          <w:tcPr>
            <w:tcW w:w="1080" w:type="dxa"/>
            <w:tcBorders>
              <w:top w:val="nil"/>
              <w:left w:val="nil"/>
              <w:bottom w:val="single" w:sz="4" w:space="0" w:color="auto"/>
              <w:right w:val="nil"/>
            </w:tcBorders>
            <w:vAlign w:val="center"/>
            <w:hideMark/>
          </w:tcPr>
          <w:p w:rsidR="00DB02EA" w:rsidRPr="00DB6CEF" w:rsidRDefault="00DB02EA" w:rsidP="00DB02EA">
            <w:pPr>
              <w:spacing w:after="120" w:line="240" w:lineRule="auto"/>
              <w:rPr>
                <w:rFonts w:ascii="Times New Roman" w:hAnsi="Times New Roman"/>
                <w:sz w:val="20"/>
                <w:szCs w:val="20"/>
              </w:rPr>
            </w:pPr>
            <w:r w:rsidRPr="00DB6CEF">
              <w:rPr>
                <w:rFonts w:ascii="Times New Roman" w:hAnsi="Times New Roman"/>
                <w:sz w:val="20"/>
                <w:szCs w:val="20"/>
              </w:rPr>
              <w:t>0.00039</w:t>
            </w:r>
          </w:p>
        </w:tc>
      </w:tr>
      <w:tr w:rsidR="00DB02EA" w:rsidRPr="00DB6CEF" w:rsidTr="00DB02EA">
        <w:trPr>
          <w:trHeight w:val="144"/>
        </w:trPr>
        <w:tc>
          <w:tcPr>
            <w:tcW w:w="2538" w:type="dxa"/>
            <w:tcBorders>
              <w:top w:val="single" w:sz="4" w:space="0" w:color="auto"/>
              <w:left w:val="nil"/>
              <w:bottom w:val="nil"/>
              <w:right w:val="nil"/>
            </w:tcBorders>
            <w:vAlign w:val="center"/>
            <w:hideMark/>
          </w:tcPr>
          <w:p w:rsidR="00DB02EA" w:rsidRPr="00DB6CEF" w:rsidRDefault="00DB02EA" w:rsidP="00DB02EA">
            <w:pPr>
              <w:spacing w:before="120" w:after="0" w:line="240" w:lineRule="auto"/>
              <w:jc w:val="both"/>
              <w:rPr>
                <w:rFonts w:ascii="Times New Roman" w:hAnsi="Times New Roman"/>
                <w:b/>
                <w:sz w:val="20"/>
                <w:szCs w:val="20"/>
              </w:rPr>
            </w:pPr>
            <w:r w:rsidRPr="00DB6CEF">
              <w:rPr>
                <w:rFonts w:ascii="Times New Roman" w:hAnsi="Times New Roman"/>
                <w:b/>
                <w:sz w:val="20"/>
                <w:szCs w:val="20"/>
              </w:rPr>
              <w:t>∑</w:t>
            </w:r>
            <w:r w:rsidRPr="00DB6CEF">
              <w:rPr>
                <w:rFonts w:ascii="Times New Roman" w:hAnsi="Times New Roman"/>
                <w:sz w:val="20"/>
                <w:szCs w:val="20"/>
              </w:rPr>
              <w:t>LMW PAHs</w:t>
            </w:r>
          </w:p>
        </w:tc>
        <w:tc>
          <w:tcPr>
            <w:tcW w:w="1170" w:type="dxa"/>
            <w:tcBorders>
              <w:top w:val="single" w:sz="4" w:space="0" w:color="auto"/>
              <w:left w:val="nil"/>
              <w:bottom w:val="nil"/>
              <w:right w:val="nil"/>
            </w:tcBorders>
            <w:vAlign w:val="center"/>
            <w:hideMark/>
          </w:tcPr>
          <w:p w:rsidR="00DB02EA" w:rsidRPr="00DB6CEF" w:rsidRDefault="00DB02EA" w:rsidP="00DB02EA">
            <w:pPr>
              <w:spacing w:before="120" w:after="0" w:line="240" w:lineRule="auto"/>
              <w:rPr>
                <w:rFonts w:ascii="Times New Roman" w:hAnsi="Times New Roman"/>
                <w:sz w:val="20"/>
                <w:szCs w:val="20"/>
              </w:rPr>
            </w:pPr>
            <w:r w:rsidRPr="00DB6CEF">
              <w:rPr>
                <w:rFonts w:ascii="Times New Roman" w:hAnsi="Times New Roman"/>
                <w:sz w:val="20"/>
                <w:szCs w:val="20"/>
              </w:rPr>
              <w:t>0.58526</w:t>
            </w:r>
          </w:p>
        </w:tc>
        <w:tc>
          <w:tcPr>
            <w:tcW w:w="1260" w:type="dxa"/>
            <w:tcBorders>
              <w:top w:val="single" w:sz="4" w:space="0" w:color="auto"/>
              <w:left w:val="nil"/>
              <w:bottom w:val="nil"/>
              <w:right w:val="nil"/>
            </w:tcBorders>
            <w:vAlign w:val="center"/>
            <w:hideMark/>
          </w:tcPr>
          <w:p w:rsidR="00DB02EA" w:rsidRPr="00DB6CEF" w:rsidRDefault="00DB02EA" w:rsidP="00DB02EA">
            <w:pPr>
              <w:spacing w:before="120" w:after="0" w:line="240" w:lineRule="auto"/>
              <w:rPr>
                <w:rFonts w:ascii="Times New Roman" w:hAnsi="Times New Roman"/>
                <w:sz w:val="20"/>
                <w:szCs w:val="20"/>
              </w:rPr>
            </w:pPr>
            <w:r w:rsidRPr="00DB6CEF">
              <w:rPr>
                <w:rFonts w:ascii="Times New Roman" w:hAnsi="Times New Roman"/>
                <w:sz w:val="20"/>
                <w:szCs w:val="20"/>
              </w:rPr>
              <w:t>1.86726</w:t>
            </w:r>
          </w:p>
        </w:tc>
        <w:tc>
          <w:tcPr>
            <w:tcW w:w="1170" w:type="dxa"/>
            <w:tcBorders>
              <w:top w:val="single" w:sz="4" w:space="0" w:color="auto"/>
              <w:left w:val="nil"/>
              <w:bottom w:val="nil"/>
              <w:right w:val="nil"/>
            </w:tcBorders>
            <w:vAlign w:val="center"/>
            <w:hideMark/>
          </w:tcPr>
          <w:p w:rsidR="00DB02EA" w:rsidRPr="00DB6CEF" w:rsidRDefault="00DB02EA" w:rsidP="00DB02EA">
            <w:pPr>
              <w:spacing w:before="120" w:after="0" w:line="240" w:lineRule="auto"/>
              <w:rPr>
                <w:rFonts w:ascii="Times New Roman" w:hAnsi="Times New Roman"/>
                <w:sz w:val="20"/>
                <w:szCs w:val="20"/>
              </w:rPr>
            </w:pPr>
            <w:r w:rsidRPr="00DB6CEF">
              <w:rPr>
                <w:rFonts w:ascii="Times New Roman" w:hAnsi="Times New Roman"/>
                <w:sz w:val="20"/>
                <w:szCs w:val="20"/>
              </w:rPr>
              <w:t>1.29100</w:t>
            </w:r>
          </w:p>
        </w:tc>
        <w:tc>
          <w:tcPr>
            <w:tcW w:w="1260" w:type="dxa"/>
            <w:tcBorders>
              <w:top w:val="single" w:sz="4" w:space="0" w:color="auto"/>
              <w:left w:val="nil"/>
              <w:bottom w:val="nil"/>
              <w:right w:val="nil"/>
            </w:tcBorders>
            <w:vAlign w:val="center"/>
            <w:hideMark/>
          </w:tcPr>
          <w:p w:rsidR="00DB02EA" w:rsidRPr="00DB6CEF" w:rsidRDefault="00DB02EA" w:rsidP="00DB02EA">
            <w:pPr>
              <w:spacing w:before="120" w:after="0" w:line="240" w:lineRule="auto"/>
              <w:rPr>
                <w:rFonts w:ascii="Times New Roman" w:hAnsi="Times New Roman"/>
                <w:sz w:val="20"/>
                <w:szCs w:val="20"/>
              </w:rPr>
            </w:pPr>
            <w:r w:rsidRPr="00DB6CEF">
              <w:rPr>
                <w:rFonts w:ascii="Times New Roman" w:hAnsi="Times New Roman"/>
                <w:sz w:val="20"/>
                <w:szCs w:val="20"/>
              </w:rPr>
              <w:t>0.25696</w:t>
            </w:r>
          </w:p>
        </w:tc>
        <w:tc>
          <w:tcPr>
            <w:tcW w:w="1080" w:type="dxa"/>
            <w:tcBorders>
              <w:top w:val="single" w:sz="4" w:space="0" w:color="auto"/>
              <w:left w:val="nil"/>
              <w:bottom w:val="nil"/>
              <w:right w:val="nil"/>
            </w:tcBorders>
            <w:vAlign w:val="center"/>
            <w:hideMark/>
          </w:tcPr>
          <w:p w:rsidR="00DB02EA" w:rsidRPr="00DB6CEF" w:rsidRDefault="00DB02EA" w:rsidP="00DB02EA">
            <w:pPr>
              <w:spacing w:before="120" w:after="0" w:line="240" w:lineRule="auto"/>
              <w:rPr>
                <w:rFonts w:ascii="Times New Roman" w:hAnsi="Times New Roman"/>
                <w:sz w:val="20"/>
                <w:szCs w:val="20"/>
              </w:rPr>
            </w:pPr>
            <w:r w:rsidRPr="00DB6CEF">
              <w:rPr>
                <w:rFonts w:ascii="Times New Roman" w:hAnsi="Times New Roman"/>
                <w:sz w:val="20"/>
                <w:szCs w:val="20"/>
              </w:rPr>
              <w:t>0.03567</w:t>
            </w:r>
          </w:p>
        </w:tc>
      </w:tr>
      <w:tr w:rsidR="00DB02EA" w:rsidRPr="00DB6CEF" w:rsidTr="00DB02EA">
        <w:trPr>
          <w:trHeight w:val="144"/>
        </w:trPr>
        <w:tc>
          <w:tcPr>
            <w:tcW w:w="2538" w:type="dxa"/>
            <w:tcBorders>
              <w:top w:val="nil"/>
              <w:left w:val="nil"/>
              <w:bottom w:val="nil"/>
              <w:right w:val="nil"/>
            </w:tcBorders>
            <w:vAlign w:val="center"/>
            <w:hideMark/>
          </w:tcPr>
          <w:p w:rsidR="00DB02EA" w:rsidRPr="00DB6CEF" w:rsidRDefault="00DB02EA" w:rsidP="00DB02EA">
            <w:pPr>
              <w:spacing w:after="0" w:line="240" w:lineRule="auto"/>
              <w:jc w:val="both"/>
              <w:rPr>
                <w:rFonts w:ascii="Times New Roman" w:hAnsi="Times New Roman"/>
                <w:sz w:val="20"/>
                <w:szCs w:val="20"/>
              </w:rPr>
            </w:pPr>
            <w:r w:rsidRPr="00DB6CEF">
              <w:rPr>
                <w:rFonts w:ascii="Times New Roman" w:hAnsi="Times New Roman"/>
                <w:b/>
                <w:sz w:val="20"/>
                <w:szCs w:val="20"/>
              </w:rPr>
              <w:t>∑</w:t>
            </w:r>
            <w:r w:rsidRPr="00DB6CEF">
              <w:rPr>
                <w:rFonts w:ascii="Times New Roman" w:hAnsi="Times New Roman"/>
                <w:sz w:val="20"/>
                <w:szCs w:val="20"/>
              </w:rPr>
              <w:t>HMW PAHs</w:t>
            </w:r>
          </w:p>
        </w:tc>
        <w:tc>
          <w:tcPr>
            <w:tcW w:w="1170" w:type="dxa"/>
            <w:tcBorders>
              <w:top w:val="nil"/>
              <w:left w:val="nil"/>
              <w:bottom w:val="nil"/>
              <w:right w:val="nil"/>
            </w:tcBorders>
            <w:vAlign w:val="center"/>
            <w:hideMark/>
          </w:tcPr>
          <w:p w:rsidR="00DB02EA" w:rsidRPr="00DB6CEF" w:rsidRDefault="00DB02EA" w:rsidP="00DB02EA">
            <w:pPr>
              <w:spacing w:after="0" w:line="240" w:lineRule="auto"/>
              <w:rPr>
                <w:rFonts w:ascii="Times New Roman" w:hAnsi="Times New Roman"/>
                <w:sz w:val="20"/>
                <w:szCs w:val="20"/>
              </w:rPr>
            </w:pPr>
            <w:r w:rsidRPr="00DB6CEF">
              <w:rPr>
                <w:rFonts w:ascii="Times New Roman" w:hAnsi="Times New Roman"/>
                <w:sz w:val="20"/>
                <w:szCs w:val="20"/>
              </w:rPr>
              <w:t>2.51145</w:t>
            </w:r>
          </w:p>
        </w:tc>
        <w:tc>
          <w:tcPr>
            <w:tcW w:w="1260" w:type="dxa"/>
            <w:tcBorders>
              <w:top w:val="nil"/>
              <w:left w:val="nil"/>
              <w:bottom w:val="nil"/>
              <w:right w:val="nil"/>
            </w:tcBorders>
            <w:vAlign w:val="center"/>
            <w:hideMark/>
          </w:tcPr>
          <w:p w:rsidR="00DB02EA" w:rsidRPr="00DB6CEF" w:rsidRDefault="00DB02EA" w:rsidP="00DB02EA">
            <w:pPr>
              <w:spacing w:after="0" w:line="240" w:lineRule="auto"/>
              <w:rPr>
                <w:rFonts w:ascii="Times New Roman" w:hAnsi="Times New Roman"/>
                <w:sz w:val="20"/>
                <w:szCs w:val="20"/>
              </w:rPr>
            </w:pPr>
            <w:r w:rsidRPr="00DB6CEF">
              <w:rPr>
                <w:rFonts w:ascii="Times New Roman" w:hAnsi="Times New Roman"/>
                <w:sz w:val="20"/>
                <w:szCs w:val="20"/>
              </w:rPr>
              <w:t>1.78568</w:t>
            </w:r>
          </w:p>
        </w:tc>
        <w:tc>
          <w:tcPr>
            <w:tcW w:w="1170" w:type="dxa"/>
            <w:tcBorders>
              <w:top w:val="nil"/>
              <w:left w:val="nil"/>
              <w:bottom w:val="nil"/>
              <w:right w:val="nil"/>
            </w:tcBorders>
            <w:vAlign w:val="center"/>
            <w:hideMark/>
          </w:tcPr>
          <w:p w:rsidR="00DB02EA" w:rsidRPr="00DB6CEF" w:rsidRDefault="00DB02EA" w:rsidP="00DB02EA">
            <w:pPr>
              <w:spacing w:after="0" w:line="240" w:lineRule="auto"/>
              <w:rPr>
                <w:rFonts w:ascii="Times New Roman" w:hAnsi="Times New Roman"/>
                <w:sz w:val="20"/>
                <w:szCs w:val="20"/>
              </w:rPr>
            </w:pPr>
            <w:r w:rsidRPr="00DB6CEF">
              <w:rPr>
                <w:rFonts w:ascii="Times New Roman" w:hAnsi="Times New Roman"/>
                <w:sz w:val="20"/>
                <w:szCs w:val="20"/>
              </w:rPr>
              <w:t>0.18924</w:t>
            </w:r>
          </w:p>
        </w:tc>
        <w:tc>
          <w:tcPr>
            <w:tcW w:w="1260" w:type="dxa"/>
            <w:tcBorders>
              <w:top w:val="nil"/>
              <w:left w:val="nil"/>
              <w:bottom w:val="nil"/>
              <w:right w:val="nil"/>
            </w:tcBorders>
            <w:vAlign w:val="center"/>
            <w:hideMark/>
          </w:tcPr>
          <w:p w:rsidR="00DB02EA" w:rsidRPr="00DB6CEF" w:rsidRDefault="00DB02EA" w:rsidP="00DB02EA">
            <w:pPr>
              <w:spacing w:after="0" w:line="240" w:lineRule="auto"/>
              <w:rPr>
                <w:rFonts w:ascii="Times New Roman" w:hAnsi="Times New Roman"/>
                <w:sz w:val="20"/>
                <w:szCs w:val="20"/>
              </w:rPr>
            </w:pPr>
            <w:r w:rsidRPr="00DB6CEF">
              <w:rPr>
                <w:rFonts w:ascii="Times New Roman" w:hAnsi="Times New Roman"/>
                <w:sz w:val="20"/>
                <w:szCs w:val="20"/>
              </w:rPr>
              <w:t>0.26903</w:t>
            </w:r>
          </w:p>
        </w:tc>
        <w:tc>
          <w:tcPr>
            <w:tcW w:w="1080" w:type="dxa"/>
            <w:tcBorders>
              <w:top w:val="nil"/>
              <w:left w:val="nil"/>
              <w:bottom w:val="nil"/>
              <w:right w:val="nil"/>
            </w:tcBorders>
            <w:vAlign w:val="center"/>
            <w:hideMark/>
          </w:tcPr>
          <w:p w:rsidR="00DB02EA" w:rsidRPr="00DB6CEF" w:rsidRDefault="00DB02EA" w:rsidP="00DB02EA">
            <w:pPr>
              <w:spacing w:after="0" w:line="240" w:lineRule="auto"/>
              <w:rPr>
                <w:rFonts w:ascii="Times New Roman" w:hAnsi="Times New Roman"/>
                <w:sz w:val="20"/>
                <w:szCs w:val="20"/>
              </w:rPr>
            </w:pPr>
            <w:r w:rsidRPr="00DB6CEF">
              <w:rPr>
                <w:rFonts w:ascii="Times New Roman" w:hAnsi="Times New Roman"/>
                <w:sz w:val="20"/>
                <w:szCs w:val="20"/>
              </w:rPr>
              <w:t>0.07807</w:t>
            </w:r>
          </w:p>
        </w:tc>
      </w:tr>
      <w:tr w:rsidR="00DB02EA" w:rsidRPr="00DB6CEF" w:rsidTr="00DB02EA">
        <w:trPr>
          <w:trHeight w:val="144"/>
        </w:trPr>
        <w:tc>
          <w:tcPr>
            <w:tcW w:w="2538" w:type="dxa"/>
            <w:tcBorders>
              <w:top w:val="nil"/>
              <w:left w:val="nil"/>
              <w:bottom w:val="nil"/>
              <w:right w:val="nil"/>
            </w:tcBorders>
            <w:vAlign w:val="center"/>
            <w:hideMark/>
          </w:tcPr>
          <w:p w:rsidR="00DB02EA" w:rsidRPr="00DB6CEF" w:rsidRDefault="00DB02EA" w:rsidP="00DB02EA">
            <w:pPr>
              <w:spacing w:after="0" w:line="240" w:lineRule="auto"/>
              <w:jc w:val="both"/>
              <w:rPr>
                <w:rFonts w:ascii="Times New Roman" w:hAnsi="Times New Roman"/>
                <w:sz w:val="20"/>
                <w:szCs w:val="20"/>
              </w:rPr>
            </w:pPr>
            <w:r w:rsidRPr="00DB6CEF">
              <w:rPr>
                <w:rFonts w:ascii="Times New Roman" w:hAnsi="Times New Roman"/>
                <w:b/>
                <w:sz w:val="20"/>
                <w:szCs w:val="20"/>
              </w:rPr>
              <w:t>∑</w:t>
            </w:r>
            <w:r w:rsidRPr="00DB6CEF">
              <w:rPr>
                <w:rFonts w:ascii="Times New Roman" w:hAnsi="Times New Roman"/>
                <w:sz w:val="20"/>
                <w:szCs w:val="20"/>
              </w:rPr>
              <w:t>16 EPA PAHs</w:t>
            </w:r>
          </w:p>
        </w:tc>
        <w:tc>
          <w:tcPr>
            <w:tcW w:w="1170" w:type="dxa"/>
            <w:tcBorders>
              <w:top w:val="nil"/>
              <w:left w:val="nil"/>
              <w:bottom w:val="nil"/>
              <w:right w:val="nil"/>
            </w:tcBorders>
            <w:vAlign w:val="center"/>
            <w:hideMark/>
          </w:tcPr>
          <w:p w:rsidR="00DB02EA" w:rsidRPr="00DB6CEF" w:rsidRDefault="00DB02EA" w:rsidP="00DB02EA">
            <w:pPr>
              <w:spacing w:after="0" w:line="240" w:lineRule="auto"/>
              <w:rPr>
                <w:rFonts w:ascii="Times New Roman" w:hAnsi="Times New Roman"/>
                <w:sz w:val="20"/>
                <w:szCs w:val="20"/>
              </w:rPr>
            </w:pPr>
            <w:r w:rsidRPr="00DB6CEF">
              <w:rPr>
                <w:rFonts w:ascii="Times New Roman" w:hAnsi="Times New Roman"/>
                <w:sz w:val="20"/>
                <w:szCs w:val="20"/>
              </w:rPr>
              <w:t>3.09674</w:t>
            </w:r>
          </w:p>
        </w:tc>
        <w:tc>
          <w:tcPr>
            <w:tcW w:w="1260" w:type="dxa"/>
            <w:tcBorders>
              <w:top w:val="nil"/>
              <w:left w:val="nil"/>
              <w:bottom w:val="nil"/>
              <w:right w:val="nil"/>
            </w:tcBorders>
            <w:vAlign w:val="center"/>
            <w:hideMark/>
          </w:tcPr>
          <w:p w:rsidR="00DB02EA" w:rsidRPr="00DB6CEF" w:rsidRDefault="00DB02EA" w:rsidP="00DB02EA">
            <w:pPr>
              <w:spacing w:after="0" w:line="240" w:lineRule="auto"/>
              <w:rPr>
                <w:rFonts w:ascii="Times New Roman" w:hAnsi="Times New Roman"/>
                <w:sz w:val="20"/>
                <w:szCs w:val="20"/>
              </w:rPr>
            </w:pPr>
            <w:r w:rsidRPr="00DB6CEF">
              <w:rPr>
                <w:rFonts w:ascii="Times New Roman" w:hAnsi="Times New Roman"/>
                <w:sz w:val="20"/>
                <w:szCs w:val="20"/>
              </w:rPr>
              <w:t>3.65294</w:t>
            </w:r>
          </w:p>
        </w:tc>
        <w:tc>
          <w:tcPr>
            <w:tcW w:w="1170" w:type="dxa"/>
            <w:tcBorders>
              <w:top w:val="nil"/>
              <w:left w:val="nil"/>
              <w:bottom w:val="nil"/>
              <w:right w:val="nil"/>
            </w:tcBorders>
            <w:vAlign w:val="center"/>
            <w:hideMark/>
          </w:tcPr>
          <w:p w:rsidR="00DB02EA" w:rsidRPr="00DB6CEF" w:rsidRDefault="00DB02EA" w:rsidP="00DB02EA">
            <w:pPr>
              <w:spacing w:after="0" w:line="240" w:lineRule="auto"/>
              <w:rPr>
                <w:rFonts w:ascii="Times New Roman" w:hAnsi="Times New Roman"/>
                <w:sz w:val="20"/>
                <w:szCs w:val="20"/>
              </w:rPr>
            </w:pPr>
            <w:r w:rsidRPr="00DB6CEF">
              <w:rPr>
                <w:rFonts w:ascii="Times New Roman" w:hAnsi="Times New Roman"/>
                <w:sz w:val="20"/>
                <w:szCs w:val="20"/>
              </w:rPr>
              <w:t>1.42164</w:t>
            </w:r>
          </w:p>
        </w:tc>
        <w:tc>
          <w:tcPr>
            <w:tcW w:w="1260" w:type="dxa"/>
            <w:tcBorders>
              <w:top w:val="nil"/>
              <w:left w:val="nil"/>
              <w:bottom w:val="nil"/>
              <w:right w:val="nil"/>
            </w:tcBorders>
            <w:vAlign w:val="center"/>
            <w:hideMark/>
          </w:tcPr>
          <w:p w:rsidR="00DB02EA" w:rsidRPr="00DB6CEF" w:rsidRDefault="00DB02EA" w:rsidP="00DB02EA">
            <w:pPr>
              <w:spacing w:after="0" w:line="240" w:lineRule="auto"/>
              <w:rPr>
                <w:rFonts w:ascii="Times New Roman" w:hAnsi="Times New Roman"/>
                <w:sz w:val="20"/>
                <w:szCs w:val="20"/>
              </w:rPr>
            </w:pPr>
            <w:r w:rsidRPr="00DB6CEF">
              <w:rPr>
                <w:rFonts w:ascii="Times New Roman" w:hAnsi="Times New Roman"/>
                <w:sz w:val="20"/>
                <w:szCs w:val="20"/>
              </w:rPr>
              <w:t>0.52599</w:t>
            </w:r>
          </w:p>
        </w:tc>
        <w:tc>
          <w:tcPr>
            <w:tcW w:w="1080" w:type="dxa"/>
            <w:tcBorders>
              <w:top w:val="nil"/>
              <w:left w:val="nil"/>
              <w:bottom w:val="nil"/>
              <w:right w:val="nil"/>
            </w:tcBorders>
            <w:vAlign w:val="center"/>
            <w:hideMark/>
          </w:tcPr>
          <w:p w:rsidR="00DB02EA" w:rsidRPr="00DB6CEF" w:rsidRDefault="00DB02EA" w:rsidP="00DB02EA">
            <w:pPr>
              <w:spacing w:after="0" w:line="240" w:lineRule="auto"/>
              <w:rPr>
                <w:rFonts w:ascii="Times New Roman" w:hAnsi="Times New Roman"/>
                <w:sz w:val="20"/>
                <w:szCs w:val="20"/>
              </w:rPr>
            </w:pPr>
            <w:r w:rsidRPr="00DB6CEF">
              <w:rPr>
                <w:rFonts w:ascii="Times New Roman" w:hAnsi="Times New Roman"/>
                <w:sz w:val="20"/>
                <w:szCs w:val="20"/>
              </w:rPr>
              <w:t>0.11374</w:t>
            </w:r>
          </w:p>
        </w:tc>
      </w:tr>
      <w:tr w:rsidR="00DB02EA" w:rsidRPr="00DB6CEF" w:rsidTr="00DB02EA">
        <w:trPr>
          <w:trHeight w:val="144"/>
        </w:trPr>
        <w:tc>
          <w:tcPr>
            <w:tcW w:w="2538" w:type="dxa"/>
            <w:tcBorders>
              <w:top w:val="nil"/>
              <w:left w:val="nil"/>
              <w:bottom w:val="nil"/>
              <w:right w:val="nil"/>
            </w:tcBorders>
            <w:vAlign w:val="center"/>
            <w:hideMark/>
          </w:tcPr>
          <w:p w:rsidR="00DB02EA" w:rsidRPr="00DB6CEF" w:rsidRDefault="00DB02EA" w:rsidP="00DB02EA">
            <w:pPr>
              <w:spacing w:after="0" w:line="240" w:lineRule="auto"/>
              <w:jc w:val="both"/>
              <w:rPr>
                <w:rFonts w:ascii="Times New Roman" w:hAnsi="Times New Roman"/>
                <w:sz w:val="20"/>
                <w:szCs w:val="20"/>
              </w:rPr>
            </w:pPr>
            <w:r w:rsidRPr="00DB6CEF">
              <w:rPr>
                <w:rFonts w:ascii="Times New Roman" w:hAnsi="Times New Roman"/>
                <w:sz w:val="20"/>
                <w:szCs w:val="20"/>
              </w:rPr>
              <w:t>MEAN</w:t>
            </w:r>
          </w:p>
        </w:tc>
        <w:tc>
          <w:tcPr>
            <w:tcW w:w="1170" w:type="dxa"/>
            <w:tcBorders>
              <w:top w:val="nil"/>
              <w:left w:val="nil"/>
              <w:bottom w:val="nil"/>
              <w:right w:val="nil"/>
            </w:tcBorders>
            <w:vAlign w:val="center"/>
            <w:hideMark/>
          </w:tcPr>
          <w:p w:rsidR="00DB02EA" w:rsidRPr="00DB6CEF" w:rsidRDefault="00DB02EA" w:rsidP="00DB02EA">
            <w:pPr>
              <w:spacing w:after="0" w:line="240" w:lineRule="auto"/>
              <w:rPr>
                <w:rFonts w:ascii="Times New Roman" w:hAnsi="Times New Roman"/>
                <w:sz w:val="20"/>
                <w:szCs w:val="20"/>
              </w:rPr>
            </w:pPr>
            <w:r w:rsidRPr="00DB6CEF">
              <w:rPr>
                <w:rFonts w:ascii="Times New Roman" w:hAnsi="Times New Roman"/>
                <w:sz w:val="20"/>
                <w:szCs w:val="20"/>
              </w:rPr>
              <w:t>0.19354</w:t>
            </w:r>
          </w:p>
        </w:tc>
        <w:tc>
          <w:tcPr>
            <w:tcW w:w="1260" w:type="dxa"/>
            <w:tcBorders>
              <w:top w:val="nil"/>
              <w:left w:val="nil"/>
              <w:bottom w:val="nil"/>
              <w:right w:val="nil"/>
            </w:tcBorders>
            <w:vAlign w:val="center"/>
            <w:hideMark/>
          </w:tcPr>
          <w:p w:rsidR="00DB02EA" w:rsidRPr="00DB6CEF" w:rsidRDefault="00DB02EA" w:rsidP="00DB02EA">
            <w:pPr>
              <w:spacing w:after="0" w:line="240" w:lineRule="auto"/>
              <w:rPr>
                <w:rFonts w:ascii="Times New Roman" w:hAnsi="Times New Roman"/>
                <w:sz w:val="20"/>
                <w:szCs w:val="20"/>
              </w:rPr>
            </w:pPr>
            <w:r w:rsidRPr="00DB6CEF">
              <w:rPr>
                <w:rFonts w:ascii="Times New Roman" w:hAnsi="Times New Roman"/>
                <w:sz w:val="20"/>
                <w:szCs w:val="20"/>
              </w:rPr>
              <w:t>0.22829</w:t>
            </w:r>
          </w:p>
        </w:tc>
        <w:tc>
          <w:tcPr>
            <w:tcW w:w="1170" w:type="dxa"/>
            <w:tcBorders>
              <w:top w:val="nil"/>
              <w:left w:val="nil"/>
              <w:bottom w:val="nil"/>
              <w:right w:val="nil"/>
            </w:tcBorders>
            <w:vAlign w:val="center"/>
            <w:hideMark/>
          </w:tcPr>
          <w:p w:rsidR="00DB02EA" w:rsidRPr="00DB6CEF" w:rsidRDefault="00DB02EA" w:rsidP="00DB02EA">
            <w:pPr>
              <w:spacing w:after="0" w:line="240" w:lineRule="auto"/>
              <w:rPr>
                <w:rFonts w:ascii="Times New Roman" w:hAnsi="Times New Roman"/>
                <w:sz w:val="20"/>
                <w:szCs w:val="20"/>
              </w:rPr>
            </w:pPr>
            <w:r w:rsidRPr="00DB6CEF">
              <w:rPr>
                <w:rFonts w:ascii="Times New Roman" w:hAnsi="Times New Roman"/>
                <w:sz w:val="20"/>
                <w:szCs w:val="20"/>
              </w:rPr>
              <w:t>0.09251</w:t>
            </w:r>
          </w:p>
        </w:tc>
        <w:tc>
          <w:tcPr>
            <w:tcW w:w="1260" w:type="dxa"/>
            <w:tcBorders>
              <w:top w:val="nil"/>
              <w:left w:val="nil"/>
              <w:bottom w:val="nil"/>
              <w:right w:val="nil"/>
            </w:tcBorders>
            <w:vAlign w:val="center"/>
            <w:hideMark/>
          </w:tcPr>
          <w:p w:rsidR="00DB02EA" w:rsidRPr="00DB6CEF" w:rsidRDefault="00DB02EA" w:rsidP="00DB02EA">
            <w:pPr>
              <w:spacing w:after="0" w:line="240" w:lineRule="auto"/>
              <w:rPr>
                <w:rFonts w:ascii="Times New Roman" w:hAnsi="Times New Roman"/>
                <w:sz w:val="20"/>
                <w:szCs w:val="20"/>
              </w:rPr>
            </w:pPr>
            <w:r w:rsidRPr="00DB6CEF">
              <w:rPr>
                <w:rFonts w:ascii="Times New Roman" w:hAnsi="Times New Roman"/>
                <w:sz w:val="20"/>
                <w:szCs w:val="20"/>
              </w:rPr>
              <w:t>0.32873</w:t>
            </w:r>
          </w:p>
        </w:tc>
        <w:tc>
          <w:tcPr>
            <w:tcW w:w="1080" w:type="dxa"/>
            <w:tcBorders>
              <w:top w:val="nil"/>
              <w:left w:val="nil"/>
              <w:bottom w:val="nil"/>
              <w:right w:val="nil"/>
            </w:tcBorders>
            <w:vAlign w:val="center"/>
            <w:hideMark/>
          </w:tcPr>
          <w:p w:rsidR="00DB02EA" w:rsidRPr="00DB6CEF" w:rsidRDefault="00DB02EA" w:rsidP="00DB02EA">
            <w:pPr>
              <w:spacing w:after="0" w:line="240" w:lineRule="auto"/>
              <w:rPr>
                <w:rFonts w:ascii="Times New Roman" w:hAnsi="Times New Roman"/>
                <w:sz w:val="20"/>
                <w:szCs w:val="20"/>
              </w:rPr>
            </w:pPr>
            <w:r w:rsidRPr="00DB6CEF">
              <w:rPr>
                <w:rFonts w:ascii="Times New Roman" w:hAnsi="Times New Roman"/>
                <w:sz w:val="20"/>
                <w:szCs w:val="20"/>
              </w:rPr>
              <w:t>0.00718</w:t>
            </w:r>
          </w:p>
        </w:tc>
      </w:tr>
      <w:tr w:rsidR="00DB02EA" w:rsidRPr="00DB6CEF" w:rsidTr="00DB02EA">
        <w:trPr>
          <w:trHeight w:val="144"/>
        </w:trPr>
        <w:tc>
          <w:tcPr>
            <w:tcW w:w="2538" w:type="dxa"/>
            <w:tcBorders>
              <w:top w:val="nil"/>
              <w:left w:val="nil"/>
              <w:bottom w:val="nil"/>
              <w:right w:val="nil"/>
            </w:tcBorders>
            <w:vAlign w:val="center"/>
            <w:hideMark/>
          </w:tcPr>
          <w:p w:rsidR="00DB02EA" w:rsidRPr="00DB6CEF" w:rsidRDefault="00DB02EA" w:rsidP="00DB02EA">
            <w:pPr>
              <w:spacing w:after="0" w:line="240" w:lineRule="auto"/>
              <w:jc w:val="both"/>
              <w:rPr>
                <w:rFonts w:ascii="Times New Roman" w:hAnsi="Times New Roman"/>
                <w:sz w:val="20"/>
                <w:szCs w:val="20"/>
              </w:rPr>
            </w:pPr>
            <w:r w:rsidRPr="00DB6CEF">
              <w:rPr>
                <w:rFonts w:ascii="Times New Roman" w:hAnsi="Times New Roman"/>
                <w:sz w:val="20"/>
                <w:szCs w:val="20"/>
              </w:rPr>
              <w:t>SD</w:t>
            </w:r>
          </w:p>
        </w:tc>
        <w:tc>
          <w:tcPr>
            <w:tcW w:w="1170" w:type="dxa"/>
            <w:tcBorders>
              <w:top w:val="nil"/>
              <w:left w:val="nil"/>
              <w:bottom w:val="nil"/>
              <w:right w:val="nil"/>
            </w:tcBorders>
            <w:vAlign w:val="center"/>
            <w:hideMark/>
          </w:tcPr>
          <w:p w:rsidR="00DB02EA" w:rsidRPr="00DB6CEF" w:rsidRDefault="00DB02EA" w:rsidP="00DB02EA">
            <w:pPr>
              <w:spacing w:after="0" w:line="240" w:lineRule="auto"/>
              <w:rPr>
                <w:rFonts w:ascii="Times New Roman" w:hAnsi="Times New Roman"/>
                <w:sz w:val="20"/>
                <w:szCs w:val="20"/>
              </w:rPr>
            </w:pPr>
            <w:r w:rsidRPr="00DB6CEF">
              <w:rPr>
                <w:rFonts w:ascii="Times New Roman" w:hAnsi="Times New Roman"/>
                <w:sz w:val="20"/>
                <w:szCs w:val="20"/>
              </w:rPr>
              <w:t>0.23</w:t>
            </w:r>
          </w:p>
        </w:tc>
        <w:tc>
          <w:tcPr>
            <w:tcW w:w="1260" w:type="dxa"/>
            <w:tcBorders>
              <w:top w:val="nil"/>
              <w:left w:val="nil"/>
              <w:bottom w:val="nil"/>
              <w:right w:val="nil"/>
            </w:tcBorders>
            <w:vAlign w:val="center"/>
            <w:hideMark/>
          </w:tcPr>
          <w:p w:rsidR="00DB02EA" w:rsidRPr="00DB6CEF" w:rsidRDefault="00DB02EA" w:rsidP="00DB02EA">
            <w:pPr>
              <w:spacing w:after="0" w:line="240" w:lineRule="auto"/>
              <w:rPr>
                <w:rFonts w:ascii="Times New Roman" w:hAnsi="Times New Roman"/>
                <w:sz w:val="20"/>
                <w:szCs w:val="20"/>
              </w:rPr>
            </w:pPr>
            <w:r w:rsidRPr="00DB6CEF">
              <w:rPr>
                <w:rFonts w:ascii="Times New Roman" w:hAnsi="Times New Roman"/>
                <w:sz w:val="20"/>
                <w:szCs w:val="20"/>
              </w:rPr>
              <w:t>0.14</w:t>
            </w:r>
          </w:p>
        </w:tc>
        <w:tc>
          <w:tcPr>
            <w:tcW w:w="1170" w:type="dxa"/>
            <w:tcBorders>
              <w:top w:val="nil"/>
              <w:left w:val="nil"/>
              <w:bottom w:val="nil"/>
              <w:right w:val="nil"/>
            </w:tcBorders>
            <w:vAlign w:val="center"/>
            <w:hideMark/>
          </w:tcPr>
          <w:p w:rsidR="00DB02EA" w:rsidRPr="00DB6CEF" w:rsidRDefault="00DB02EA" w:rsidP="00DB02EA">
            <w:pPr>
              <w:spacing w:after="0" w:line="240" w:lineRule="auto"/>
              <w:rPr>
                <w:rFonts w:ascii="Times New Roman" w:hAnsi="Times New Roman"/>
                <w:sz w:val="20"/>
                <w:szCs w:val="20"/>
              </w:rPr>
            </w:pPr>
            <w:r w:rsidRPr="00DB6CEF">
              <w:rPr>
                <w:rFonts w:ascii="Times New Roman" w:hAnsi="Times New Roman"/>
                <w:sz w:val="20"/>
                <w:szCs w:val="20"/>
              </w:rPr>
              <w:t>0.17</w:t>
            </w:r>
          </w:p>
        </w:tc>
        <w:tc>
          <w:tcPr>
            <w:tcW w:w="1260" w:type="dxa"/>
            <w:tcBorders>
              <w:top w:val="nil"/>
              <w:left w:val="nil"/>
              <w:bottom w:val="nil"/>
              <w:right w:val="nil"/>
            </w:tcBorders>
            <w:vAlign w:val="center"/>
            <w:hideMark/>
          </w:tcPr>
          <w:p w:rsidR="00DB02EA" w:rsidRPr="00DB6CEF" w:rsidRDefault="00DB02EA" w:rsidP="00DB02EA">
            <w:pPr>
              <w:spacing w:after="0" w:line="240" w:lineRule="auto"/>
              <w:rPr>
                <w:rFonts w:ascii="Times New Roman" w:hAnsi="Times New Roman"/>
                <w:sz w:val="20"/>
                <w:szCs w:val="20"/>
              </w:rPr>
            </w:pPr>
            <w:r w:rsidRPr="00DB6CEF">
              <w:rPr>
                <w:rFonts w:ascii="Times New Roman" w:hAnsi="Times New Roman"/>
                <w:sz w:val="20"/>
                <w:szCs w:val="20"/>
              </w:rPr>
              <w:t>0.23</w:t>
            </w:r>
          </w:p>
        </w:tc>
        <w:tc>
          <w:tcPr>
            <w:tcW w:w="1080" w:type="dxa"/>
            <w:tcBorders>
              <w:top w:val="nil"/>
              <w:left w:val="nil"/>
              <w:bottom w:val="nil"/>
              <w:right w:val="nil"/>
            </w:tcBorders>
            <w:vAlign w:val="center"/>
            <w:hideMark/>
          </w:tcPr>
          <w:p w:rsidR="00DB02EA" w:rsidRPr="00DB6CEF" w:rsidRDefault="00DB02EA" w:rsidP="00DB02EA">
            <w:pPr>
              <w:spacing w:after="0" w:line="240" w:lineRule="auto"/>
              <w:rPr>
                <w:rFonts w:ascii="Times New Roman" w:hAnsi="Times New Roman"/>
                <w:sz w:val="20"/>
                <w:szCs w:val="20"/>
              </w:rPr>
            </w:pPr>
            <w:r w:rsidRPr="00DB6CEF">
              <w:rPr>
                <w:rFonts w:ascii="Times New Roman" w:hAnsi="Times New Roman"/>
                <w:sz w:val="20"/>
                <w:szCs w:val="20"/>
              </w:rPr>
              <w:t>0.01</w:t>
            </w:r>
          </w:p>
        </w:tc>
      </w:tr>
      <w:tr w:rsidR="00DB02EA" w:rsidRPr="00DB6CEF" w:rsidTr="00DB02EA">
        <w:trPr>
          <w:trHeight w:val="144"/>
        </w:trPr>
        <w:tc>
          <w:tcPr>
            <w:tcW w:w="2538" w:type="dxa"/>
            <w:tcBorders>
              <w:top w:val="nil"/>
              <w:left w:val="nil"/>
              <w:bottom w:val="nil"/>
              <w:right w:val="nil"/>
            </w:tcBorders>
            <w:vAlign w:val="center"/>
            <w:hideMark/>
          </w:tcPr>
          <w:p w:rsidR="00DB02EA" w:rsidRPr="00DB6CEF" w:rsidRDefault="00DB02EA" w:rsidP="00DB02EA">
            <w:pPr>
              <w:spacing w:after="0" w:line="240" w:lineRule="auto"/>
              <w:jc w:val="both"/>
              <w:rPr>
                <w:rFonts w:ascii="Times New Roman" w:hAnsi="Times New Roman"/>
                <w:sz w:val="20"/>
                <w:szCs w:val="20"/>
              </w:rPr>
            </w:pPr>
            <w:r w:rsidRPr="00DB6CEF">
              <w:rPr>
                <w:rFonts w:ascii="Times New Roman" w:hAnsi="Times New Roman"/>
                <w:b/>
                <w:sz w:val="20"/>
                <w:szCs w:val="20"/>
              </w:rPr>
              <w:t>∑</w:t>
            </w:r>
            <w:r w:rsidRPr="00DB6CEF">
              <w:rPr>
                <w:rFonts w:ascii="Times New Roman" w:hAnsi="Times New Roman"/>
                <w:sz w:val="20"/>
                <w:szCs w:val="20"/>
              </w:rPr>
              <w:t>CPAHs</w:t>
            </w:r>
          </w:p>
        </w:tc>
        <w:tc>
          <w:tcPr>
            <w:tcW w:w="1170" w:type="dxa"/>
            <w:tcBorders>
              <w:top w:val="nil"/>
              <w:left w:val="nil"/>
              <w:bottom w:val="nil"/>
              <w:right w:val="nil"/>
            </w:tcBorders>
            <w:vAlign w:val="center"/>
            <w:hideMark/>
          </w:tcPr>
          <w:p w:rsidR="00DB02EA" w:rsidRPr="00DB6CEF" w:rsidRDefault="00DB02EA" w:rsidP="00DB02EA">
            <w:pPr>
              <w:spacing w:after="0" w:line="240" w:lineRule="auto"/>
              <w:rPr>
                <w:rFonts w:ascii="Times New Roman" w:hAnsi="Times New Roman"/>
                <w:sz w:val="20"/>
                <w:szCs w:val="20"/>
              </w:rPr>
            </w:pPr>
            <w:r w:rsidRPr="00DB6CEF">
              <w:rPr>
                <w:rFonts w:ascii="Times New Roman" w:hAnsi="Times New Roman"/>
                <w:sz w:val="20"/>
                <w:szCs w:val="20"/>
              </w:rPr>
              <w:t>1.56121</w:t>
            </w:r>
          </w:p>
        </w:tc>
        <w:tc>
          <w:tcPr>
            <w:tcW w:w="1260" w:type="dxa"/>
            <w:tcBorders>
              <w:top w:val="nil"/>
              <w:left w:val="nil"/>
              <w:bottom w:val="nil"/>
              <w:right w:val="nil"/>
            </w:tcBorders>
            <w:vAlign w:val="center"/>
            <w:hideMark/>
          </w:tcPr>
          <w:p w:rsidR="00DB02EA" w:rsidRPr="00DB6CEF" w:rsidRDefault="00DB02EA" w:rsidP="00DB02EA">
            <w:pPr>
              <w:spacing w:after="0" w:line="240" w:lineRule="auto"/>
              <w:rPr>
                <w:rFonts w:ascii="Times New Roman" w:hAnsi="Times New Roman"/>
                <w:sz w:val="20"/>
                <w:szCs w:val="20"/>
              </w:rPr>
            </w:pPr>
            <w:r w:rsidRPr="00DB6CEF">
              <w:rPr>
                <w:rFonts w:ascii="Times New Roman" w:hAnsi="Times New Roman"/>
                <w:sz w:val="20"/>
                <w:szCs w:val="20"/>
              </w:rPr>
              <w:t>1.39251</w:t>
            </w:r>
          </w:p>
        </w:tc>
        <w:tc>
          <w:tcPr>
            <w:tcW w:w="1170" w:type="dxa"/>
            <w:tcBorders>
              <w:top w:val="nil"/>
              <w:left w:val="nil"/>
              <w:bottom w:val="nil"/>
              <w:right w:val="nil"/>
            </w:tcBorders>
            <w:vAlign w:val="center"/>
            <w:hideMark/>
          </w:tcPr>
          <w:p w:rsidR="00DB02EA" w:rsidRPr="00DB6CEF" w:rsidRDefault="00DB02EA" w:rsidP="00DB02EA">
            <w:pPr>
              <w:spacing w:after="0" w:line="240" w:lineRule="auto"/>
              <w:rPr>
                <w:rFonts w:ascii="Times New Roman" w:hAnsi="Times New Roman"/>
                <w:sz w:val="20"/>
                <w:szCs w:val="20"/>
              </w:rPr>
            </w:pPr>
            <w:r w:rsidRPr="00DB6CEF">
              <w:rPr>
                <w:rFonts w:ascii="Times New Roman" w:hAnsi="Times New Roman"/>
                <w:sz w:val="20"/>
                <w:szCs w:val="20"/>
              </w:rPr>
              <w:t>0.12851</w:t>
            </w:r>
          </w:p>
        </w:tc>
        <w:tc>
          <w:tcPr>
            <w:tcW w:w="1260" w:type="dxa"/>
            <w:tcBorders>
              <w:top w:val="nil"/>
              <w:left w:val="nil"/>
              <w:bottom w:val="nil"/>
              <w:right w:val="nil"/>
            </w:tcBorders>
            <w:vAlign w:val="center"/>
            <w:hideMark/>
          </w:tcPr>
          <w:p w:rsidR="00DB02EA" w:rsidRPr="00DB6CEF" w:rsidRDefault="00DB02EA" w:rsidP="00DB02EA">
            <w:pPr>
              <w:spacing w:after="0" w:line="240" w:lineRule="auto"/>
              <w:rPr>
                <w:rFonts w:ascii="Times New Roman" w:hAnsi="Times New Roman"/>
                <w:sz w:val="20"/>
                <w:szCs w:val="20"/>
              </w:rPr>
            </w:pPr>
            <w:r w:rsidRPr="00DB6CEF">
              <w:rPr>
                <w:rFonts w:ascii="Times New Roman" w:hAnsi="Times New Roman"/>
                <w:sz w:val="20"/>
                <w:szCs w:val="20"/>
              </w:rPr>
              <w:t>0.16291</w:t>
            </w:r>
          </w:p>
        </w:tc>
        <w:tc>
          <w:tcPr>
            <w:tcW w:w="1080" w:type="dxa"/>
            <w:tcBorders>
              <w:top w:val="nil"/>
              <w:left w:val="nil"/>
              <w:bottom w:val="nil"/>
              <w:right w:val="nil"/>
            </w:tcBorders>
            <w:vAlign w:val="center"/>
            <w:hideMark/>
          </w:tcPr>
          <w:p w:rsidR="00DB02EA" w:rsidRPr="00DB6CEF" w:rsidRDefault="00DB02EA" w:rsidP="00DB02EA">
            <w:pPr>
              <w:spacing w:after="0" w:line="240" w:lineRule="auto"/>
              <w:rPr>
                <w:rFonts w:ascii="Times New Roman" w:hAnsi="Times New Roman"/>
                <w:sz w:val="20"/>
                <w:szCs w:val="20"/>
              </w:rPr>
            </w:pPr>
            <w:r w:rsidRPr="00DB6CEF">
              <w:rPr>
                <w:rFonts w:ascii="Times New Roman" w:hAnsi="Times New Roman"/>
                <w:sz w:val="20"/>
                <w:szCs w:val="20"/>
              </w:rPr>
              <w:t>0.06425</w:t>
            </w:r>
          </w:p>
        </w:tc>
      </w:tr>
      <w:tr w:rsidR="00DB02EA" w:rsidRPr="00DB6CEF" w:rsidTr="00DB02EA">
        <w:trPr>
          <w:trHeight w:val="144"/>
        </w:trPr>
        <w:tc>
          <w:tcPr>
            <w:tcW w:w="2538" w:type="dxa"/>
            <w:tcBorders>
              <w:top w:val="nil"/>
              <w:left w:val="nil"/>
              <w:bottom w:val="single" w:sz="4" w:space="0" w:color="auto"/>
              <w:right w:val="nil"/>
            </w:tcBorders>
            <w:vAlign w:val="center"/>
            <w:hideMark/>
          </w:tcPr>
          <w:p w:rsidR="00DB02EA" w:rsidRPr="00DB6CEF" w:rsidRDefault="00DB02EA" w:rsidP="00DB02EA">
            <w:pPr>
              <w:spacing w:after="120" w:line="240" w:lineRule="auto"/>
              <w:jc w:val="both"/>
              <w:rPr>
                <w:rFonts w:ascii="Times New Roman" w:hAnsi="Times New Roman"/>
                <w:sz w:val="20"/>
                <w:szCs w:val="20"/>
              </w:rPr>
            </w:pPr>
            <w:r w:rsidRPr="00DB6CEF">
              <w:rPr>
                <w:rFonts w:ascii="Times New Roman" w:hAnsi="Times New Roman"/>
                <w:sz w:val="20"/>
                <w:szCs w:val="20"/>
              </w:rPr>
              <w:t>% TOC</w:t>
            </w:r>
          </w:p>
        </w:tc>
        <w:tc>
          <w:tcPr>
            <w:tcW w:w="1170" w:type="dxa"/>
            <w:tcBorders>
              <w:top w:val="nil"/>
              <w:left w:val="nil"/>
              <w:bottom w:val="single" w:sz="4" w:space="0" w:color="auto"/>
              <w:right w:val="nil"/>
            </w:tcBorders>
            <w:vAlign w:val="center"/>
            <w:hideMark/>
          </w:tcPr>
          <w:p w:rsidR="00DB02EA" w:rsidRPr="00DB6CEF" w:rsidRDefault="00DB02EA" w:rsidP="00DB02EA">
            <w:pPr>
              <w:spacing w:after="120" w:line="240" w:lineRule="auto"/>
              <w:rPr>
                <w:rFonts w:ascii="Times New Roman" w:hAnsi="Times New Roman"/>
                <w:sz w:val="20"/>
                <w:szCs w:val="20"/>
              </w:rPr>
            </w:pPr>
            <w:r w:rsidRPr="00DB6CEF">
              <w:rPr>
                <w:rFonts w:ascii="Times New Roman" w:hAnsi="Times New Roman"/>
                <w:sz w:val="20"/>
                <w:szCs w:val="20"/>
              </w:rPr>
              <w:t>6.30</w:t>
            </w:r>
          </w:p>
        </w:tc>
        <w:tc>
          <w:tcPr>
            <w:tcW w:w="1260" w:type="dxa"/>
            <w:tcBorders>
              <w:top w:val="nil"/>
              <w:left w:val="nil"/>
              <w:bottom w:val="single" w:sz="4" w:space="0" w:color="auto"/>
              <w:right w:val="nil"/>
            </w:tcBorders>
            <w:vAlign w:val="center"/>
            <w:hideMark/>
          </w:tcPr>
          <w:p w:rsidR="00DB02EA" w:rsidRPr="00DB6CEF" w:rsidRDefault="00DB02EA" w:rsidP="00DB02EA">
            <w:pPr>
              <w:spacing w:after="120" w:line="240" w:lineRule="auto"/>
              <w:rPr>
                <w:rFonts w:ascii="Times New Roman" w:hAnsi="Times New Roman"/>
                <w:sz w:val="20"/>
                <w:szCs w:val="20"/>
              </w:rPr>
            </w:pPr>
            <w:r w:rsidRPr="00DB6CEF">
              <w:rPr>
                <w:rFonts w:ascii="Times New Roman" w:hAnsi="Times New Roman"/>
                <w:sz w:val="20"/>
                <w:szCs w:val="20"/>
              </w:rPr>
              <w:t>6.66</w:t>
            </w:r>
          </w:p>
        </w:tc>
        <w:tc>
          <w:tcPr>
            <w:tcW w:w="1170" w:type="dxa"/>
            <w:tcBorders>
              <w:top w:val="nil"/>
              <w:left w:val="nil"/>
              <w:bottom w:val="single" w:sz="4" w:space="0" w:color="auto"/>
              <w:right w:val="nil"/>
            </w:tcBorders>
            <w:vAlign w:val="center"/>
            <w:hideMark/>
          </w:tcPr>
          <w:p w:rsidR="00DB02EA" w:rsidRPr="00DB6CEF" w:rsidRDefault="00DB02EA" w:rsidP="00DB02EA">
            <w:pPr>
              <w:spacing w:after="120" w:line="240" w:lineRule="auto"/>
              <w:rPr>
                <w:rFonts w:ascii="Times New Roman" w:hAnsi="Times New Roman"/>
                <w:sz w:val="20"/>
                <w:szCs w:val="20"/>
              </w:rPr>
            </w:pPr>
            <w:r w:rsidRPr="00DB6CEF">
              <w:rPr>
                <w:rFonts w:ascii="Times New Roman" w:hAnsi="Times New Roman"/>
                <w:sz w:val="20"/>
                <w:szCs w:val="20"/>
              </w:rPr>
              <w:t>6.34</w:t>
            </w:r>
          </w:p>
        </w:tc>
        <w:tc>
          <w:tcPr>
            <w:tcW w:w="1260" w:type="dxa"/>
            <w:tcBorders>
              <w:top w:val="nil"/>
              <w:left w:val="nil"/>
              <w:bottom w:val="single" w:sz="4" w:space="0" w:color="auto"/>
              <w:right w:val="nil"/>
            </w:tcBorders>
            <w:vAlign w:val="center"/>
            <w:hideMark/>
          </w:tcPr>
          <w:p w:rsidR="00DB02EA" w:rsidRPr="00DB6CEF" w:rsidRDefault="00DB02EA" w:rsidP="00DB02EA">
            <w:pPr>
              <w:spacing w:after="120" w:line="240" w:lineRule="auto"/>
              <w:rPr>
                <w:rFonts w:ascii="Times New Roman" w:hAnsi="Times New Roman"/>
                <w:sz w:val="20"/>
                <w:szCs w:val="20"/>
              </w:rPr>
            </w:pPr>
            <w:r w:rsidRPr="00DB6CEF">
              <w:rPr>
                <w:rFonts w:ascii="Times New Roman" w:hAnsi="Times New Roman"/>
                <w:sz w:val="20"/>
                <w:szCs w:val="20"/>
              </w:rPr>
              <w:t>6.38</w:t>
            </w:r>
          </w:p>
        </w:tc>
        <w:tc>
          <w:tcPr>
            <w:tcW w:w="1080" w:type="dxa"/>
            <w:tcBorders>
              <w:top w:val="nil"/>
              <w:left w:val="nil"/>
              <w:bottom w:val="single" w:sz="4" w:space="0" w:color="auto"/>
              <w:right w:val="nil"/>
            </w:tcBorders>
            <w:vAlign w:val="center"/>
            <w:hideMark/>
          </w:tcPr>
          <w:p w:rsidR="00DB02EA" w:rsidRPr="00DB6CEF" w:rsidRDefault="00DB02EA" w:rsidP="00DB02EA">
            <w:pPr>
              <w:spacing w:after="120" w:line="240" w:lineRule="auto"/>
              <w:rPr>
                <w:rFonts w:ascii="Times New Roman" w:hAnsi="Times New Roman"/>
                <w:sz w:val="20"/>
                <w:szCs w:val="20"/>
              </w:rPr>
            </w:pPr>
            <w:r w:rsidRPr="00DB6CEF">
              <w:rPr>
                <w:rFonts w:ascii="Times New Roman" w:hAnsi="Times New Roman"/>
                <w:sz w:val="20"/>
                <w:szCs w:val="20"/>
              </w:rPr>
              <w:t>6.70</w:t>
            </w:r>
          </w:p>
        </w:tc>
      </w:tr>
    </w:tbl>
    <w:p w:rsidR="007923F3" w:rsidRDefault="007923F3" w:rsidP="00DB02EA">
      <w:pPr>
        <w:autoSpaceDE w:val="0"/>
        <w:autoSpaceDN w:val="0"/>
        <w:adjustRightInd w:val="0"/>
        <w:spacing w:before="120" w:after="0" w:line="240" w:lineRule="auto"/>
        <w:ind w:right="331"/>
        <w:jc w:val="both"/>
        <w:rPr>
          <w:rFonts w:ascii="Times New Roman" w:hAnsi="Times New Roman"/>
          <w:sz w:val="18"/>
          <w:szCs w:val="18"/>
        </w:rPr>
      </w:pPr>
    </w:p>
    <w:p w:rsidR="00BD3D50" w:rsidRDefault="00BD3D50" w:rsidP="00DB02EA">
      <w:pPr>
        <w:autoSpaceDE w:val="0"/>
        <w:autoSpaceDN w:val="0"/>
        <w:adjustRightInd w:val="0"/>
        <w:spacing w:before="120" w:after="0" w:line="240" w:lineRule="auto"/>
        <w:ind w:right="331"/>
        <w:jc w:val="both"/>
        <w:rPr>
          <w:rFonts w:ascii="Times New Roman" w:hAnsi="Times New Roman"/>
          <w:sz w:val="18"/>
          <w:szCs w:val="18"/>
        </w:rPr>
      </w:pPr>
    </w:p>
    <w:p w:rsidR="00BD3D50" w:rsidRDefault="00BD3D50" w:rsidP="00DB02EA">
      <w:pPr>
        <w:autoSpaceDE w:val="0"/>
        <w:autoSpaceDN w:val="0"/>
        <w:adjustRightInd w:val="0"/>
        <w:spacing w:before="120" w:after="0" w:line="240" w:lineRule="auto"/>
        <w:ind w:right="331"/>
        <w:jc w:val="both"/>
        <w:rPr>
          <w:rFonts w:ascii="Times New Roman" w:hAnsi="Times New Roman"/>
          <w:sz w:val="18"/>
          <w:szCs w:val="18"/>
        </w:rPr>
      </w:pPr>
    </w:p>
    <w:p w:rsidR="00BD3D50" w:rsidRDefault="00BD3D50" w:rsidP="00DB02EA">
      <w:pPr>
        <w:autoSpaceDE w:val="0"/>
        <w:autoSpaceDN w:val="0"/>
        <w:adjustRightInd w:val="0"/>
        <w:spacing w:before="120" w:after="0" w:line="240" w:lineRule="auto"/>
        <w:ind w:right="331"/>
        <w:jc w:val="both"/>
        <w:rPr>
          <w:rFonts w:ascii="Times New Roman" w:hAnsi="Times New Roman"/>
          <w:sz w:val="18"/>
          <w:szCs w:val="18"/>
        </w:rPr>
      </w:pPr>
    </w:p>
    <w:p w:rsidR="007923F3" w:rsidRDefault="007923F3" w:rsidP="007923F3">
      <w:pPr>
        <w:pStyle w:val="Caption"/>
        <w:keepNext/>
        <w:spacing w:after="0" w:line="240" w:lineRule="auto"/>
        <w:ind w:left="709" w:hanging="709"/>
        <w:jc w:val="center"/>
        <w:rPr>
          <w:rFonts w:ascii="Times New Roman" w:hAnsi="Times New Roman"/>
          <w:b w:val="0"/>
        </w:rPr>
      </w:pPr>
      <w:r>
        <w:rPr>
          <w:rFonts w:ascii="Times New Roman" w:hAnsi="Times New Roman"/>
          <w:b w:val="0"/>
        </w:rPr>
        <w:t>Table 2</w:t>
      </w:r>
      <w:r>
        <w:rPr>
          <w:rFonts w:ascii="Times New Roman" w:hAnsi="Times New Roman"/>
          <w:b w:val="0"/>
        </w:rPr>
        <w:t xml:space="preserve"> (Cont’d)</w:t>
      </w:r>
      <w:r>
        <w:rPr>
          <w:rFonts w:ascii="Times New Roman" w:hAnsi="Times New Roman"/>
          <w:b w:val="0"/>
        </w:rPr>
        <w:t xml:space="preserve">. </w:t>
      </w:r>
      <w:r>
        <w:rPr>
          <w:rFonts w:ascii="Times New Roman" w:hAnsi="Times New Roman"/>
          <w:b w:val="0"/>
        </w:rPr>
        <w:t xml:space="preserve"> </w:t>
      </w:r>
      <w:r>
        <w:rPr>
          <w:rFonts w:ascii="Times New Roman" w:hAnsi="Times New Roman"/>
          <w:b w:val="0"/>
        </w:rPr>
        <w:t>Concentrations of Polycyclic Aromatic Hydrocarbon in soil samp</w:t>
      </w:r>
      <w:r>
        <w:rPr>
          <w:rFonts w:ascii="Times New Roman" w:hAnsi="Times New Roman"/>
          <w:b w:val="0"/>
        </w:rPr>
        <w:t xml:space="preserve">les from </w:t>
      </w:r>
    </w:p>
    <w:p w:rsidR="007923F3" w:rsidRDefault="007923F3" w:rsidP="007923F3">
      <w:pPr>
        <w:pStyle w:val="Caption"/>
        <w:keepNext/>
        <w:spacing w:after="120" w:line="240" w:lineRule="auto"/>
        <w:ind w:left="706" w:hanging="706"/>
        <w:jc w:val="center"/>
        <w:rPr>
          <w:rFonts w:ascii="Times New Roman" w:hAnsi="Times New Roman"/>
          <w:b w:val="0"/>
        </w:rPr>
      </w:pPr>
      <w:r>
        <w:rPr>
          <w:rFonts w:ascii="Times New Roman" w:hAnsi="Times New Roman"/>
          <w:b w:val="0"/>
        </w:rPr>
        <w:t>Balogun-Biiro Dumpsite</w:t>
      </w:r>
      <w:r>
        <w:rPr>
          <w:rFonts w:ascii="Times New Roman" w:hAnsi="Times New Roman"/>
          <w:b w:val="0"/>
        </w:rPr>
        <w:t xml:space="preserve"> in Oshogbo (mg/kg)</w:t>
      </w:r>
    </w:p>
    <w:tbl>
      <w:tblPr>
        <w:tblpPr w:leftFromText="180" w:rightFromText="180" w:vertAnchor="text" w:horzAnchor="margin" w:tblpXSpec="center" w:tblpY="61"/>
        <w:tblW w:w="0" w:type="auto"/>
        <w:tblBorders>
          <w:top w:val="single" w:sz="4" w:space="0" w:color="auto"/>
          <w:bottom w:val="single" w:sz="4" w:space="0" w:color="auto"/>
        </w:tblBorders>
        <w:tblLayout w:type="fixed"/>
        <w:tblLook w:val="04A0" w:firstRow="1" w:lastRow="0" w:firstColumn="1" w:lastColumn="0" w:noHBand="0" w:noVBand="1"/>
      </w:tblPr>
      <w:tblGrid>
        <w:gridCol w:w="2538"/>
        <w:gridCol w:w="1170"/>
        <w:gridCol w:w="1260"/>
        <w:gridCol w:w="1170"/>
        <w:gridCol w:w="1260"/>
        <w:gridCol w:w="1080"/>
      </w:tblGrid>
      <w:tr w:rsidR="007923F3" w:rsidRPr="00DB6CEF" w:rsidTr="00F245E3">
        <w:trPr>
          <w:trHeight w:val="295"/>
        </w:trPr>
        <w:tc>
          <w:tcPr>
            <w:tcW w:w="2538" w:type="dxa"/>
            <w:vMerge w:val="restart"/>
            <w:tcBorders>
              <w:top w:val="single" w:sz="4" w:space="0" w:color="auto"/>
              <w:left w:val="nil"/>
              <w:bottom w:val="single" w:sz="4" w:space="0" w:color="auto"/>
              <w:right w:val="nil"/>
            </w:tcBorders>
            <w:vAlign w:val="center"/>
            <w:hideMark/>
          </w:tcPr>
          <w:p w:rsidR="007923F3" w:rsidRPr="00DB6CEF" w:rsidRDefault="007923F3" w:rsidP="00F245E3">
            <w:pPr>
              <w:spacing w:after="0" w:line="240" w:lineRule="auto"/>
              <w:contextualSpacing/>
              <w:jc w:val="both"/>
              <w:rPr>
                <w:rFonts w:ascii="Times New Roman" w:hAnsi="Times New Roman"/>
                <w:b/>
                <w:sz w:val="20"/>
                <w:szCs w:val="20"/>
              </w:rPr>
            </w:pPr>
            <w:r w:rsidRPr="00DB6CEF">
              <w:rPr>
                <w:rFonts w:ascii="Times New Roman" w:hAnsi="Times New Roman"/>
                <w:b/>
                <w:sz w:val="20"/>
                <w:szCs w:val="20"/>
              </w:rPr>
              <w:t>PAHs</w:t>
            </w:r>
          </w:p>
        </w:tc>
        <w:tc>
          <w:tcPr>
            <w:tcW w:w="5940" w:type="dxa"/>
            <w:gridSpan w:val="5"/>
            <w:tcBorders>
              <w:top w:val="single" w:sz="4" w:space="0" w:color="auto"/>
              <w:left w:val="nil"/>
              <w:bottom w:val="single" w:sz="4" w:space="0" w:color="auto"/>
              <w:right w:val="nil"/>
            </w:tcBorders>
            <w:vAlign w:val="center"/>
            <w:hideMark/>
          </w:tcPr>
          <w:p w:rsidR="007923F3" w:rsidRPr="00DB6CEF" w:rsidRDefault="007923F3" w:rsidP="00F245E3">
            <w:pPr>
              <w:spacing w:after="0" w:line="240" w:lineRule="auto"/>
              <w:contextualSpacing/>
              <w:jc w:val="center"/>
              <w:rPr>
                <w:rFonts w:ascii="Times New Roman" w:hAnsi="Times New Roman"/>
                <w:b/>
                <w:sz w:val="20"/>
                <w:szCs w:val="20"/>
              </w:rPr>
            </w:pPr>
            <w:r w:rsidRPr="00DB6CEF">
              <w:rPr>
                <w:rFonts w:ascii="Times New Roman" w:hAnsi="Times New Roman"/>
                <w:b/>
                <w:sz w:val="20"/>
                <w:szCs w:val="20"/>
              </w:rPr>
              <w:t>Sampling Points</w:t>
            </w:r>
          </w:p>
        </w:tc>
      </w:tr>
      <w:tr w:rsidR="007923F3" w:rsidRPr="00DB6CEF" w:rsidTr="00F245E3">
        <w:trPr>
          <w:trHeight w:val="70"/>
        </w:trPr>
        <w:tc>
          <w:tcPr>
            <w:tcW w:w="2538" w:type="dxa"/>
            <w:vMerge/>
            <w:tcBorders>
              <w:top w:val="single" w:sz="4" w:space="0" w:color="auto"/>
              <w:left w:val="nil"/>
              <w:bottom w:val="single" w:sz="4" w:space="0" w:color="auto"/>
              <w:right w:val="nil"/>
            </w:tcBorders>
            <w:vAlign w:val="center"/>
            <w:hideMark/>
          </w:tcPr>
          <w:p w:rsidR="007923F3" w:rsidRPr="00DB6CEF" w:rsidRDefault="007923F3" w:rsidP="00F245E3">
            <w:pPr>
              <w:spacing w:before="60" w:after="60" w:line="240" w:lineRule="auto"/>
              <w:rPr>
                <w:rFonts w:ascii="Times New Roman" w:hAnsi="Times New Roman"/>
                <w:b/>
                <w:sz w:val="20"/>
                <w:szCs w:val="20"/>
              </w:rPr>
            </w:pPr>
          </w:p>
        </w:tc>
        <w:tc>
          <w:tcPr>
            <w:tcW w:w="1170" w:type="dxa"/>
            <w:tcBorders>
              <w:top w:val="single" w:sz="4" w:space="0" w:color="auto"/>
              <w:left w:val="nil"/>
              <w:bottom w:val="single" w:sz="4" w:space="0" w:color="auto"/>
              <w:right w:val="nil"/>
            </w:tcBorders>
            <w:vAlign w:val="center"/>
            <w:hideMark/>
          </w:tcPr>
          <w:p w:rsidR="007923F3" w:rsidRPr="00DB6CEF" w:rsidRDefault="00766A30" w:rsidP="00F245E3">
            <w:pPr>
              <w:spacing w:before="60" w:after="60" w:line="240" w:lineRule="auto"/>
              <w:rPr>
                <w:rFonts w:ascii="Times New Roman" w:hAnsi="Times New Roman"/>
                <w:b/>
                <w:sz w:val="20"/>
                <w:szCs w:val="20"/>
              </w:rPr>
            </w:pPr>
            <w:r>
              <w:rPr>
                <w:rFonts w:ascii="Times New Roman" w:hAnsi="Times New Roman"/>
                <w:b/>
                <w:sz w:val="20"/>
                <w:szCs w:val="20"/>
              </w:rPr>
              <w:t>S6</w:t>
            </w:r>
          </w:p>
        </w:tc>
        <w:tc>
          <w:tcPr>
            <w:tcW w:w="1260" w:type="dxa"/>
            <w:tcBorders>
              <w:top w:val="single" w:sz="4" w:space="0" w:color="auto"/>
              <w:left w:val="nil"/>
              <w:bottom w:val="single" w:sz="4" w:space="0" w:color="auto"/>
              <w:right w:val="nil"/>
            </w:tcBorders>
            <w:vAlign w:val="center"/>
            <w:hideMark/>
          </w:tcPr>
          <w:p w:rsidR="007923F3" w:rsidRPr="00DB6CEF" w:rsidRDefault="00766A30" w:rsidP="00F245E3">
            <w:pPr>
              <w:spacing w:before="60" w:after="60" w:line="240" w:lineRule="auto"/>
              <w:rPr>
                <w:rFonts w:ascii="Times New Roman" w:hAnsi="Times New Roman"/>
                <w:b/>
                <w:sz w:val="20"/>
                <w:szCs w:val="20"/>
              </w:rPr>
            </w:pPr>
            <w:r>
              <w:rPr>
                <w:rFonts w:ascii="Times New Roman" w:hAnsi="Times New Roman"/>
                <w:b/>
                <w:sz w:val="20"/>
                <w:szCs w:val="20"/>
              </w:rPr>
              <w:t>S7</w:t>
            </w:r>
          </w:p>
        </w:tc>
        <w:tc>
          <w:tcPr>
            <w:tcW w:w="1170" w:type="dxa"/>
            <w:tcBorders>
              <w:top w:val="single" w:sz="4" w:space="0" w:color="auto"/>
              <w:left w:val="nil"/>
              <w:bottom w:val="single" w:sz="4" w:space="0" w:color="auto"/>
              <w:right w:val="nil"/>
            </w:tcBorders>
            <w:vAlign w:val="center"/>
            <w:hideMark/>
          </w:tcPr>
          <w:p w:rsidR="007923F3" w:rsidRPr="00DB6CEF" w:rsidRDefault="00766A30" w:rsidP="00F245E3">
            <w:pPr>
              <w:spacing w:before="60" w:after="60" w:line="240" w:lineRule="auto"/>
              <w:rPr>
                <w:rFonts w:ascii="Times New Roman" w:hAnsi="Times New Roman"/>
                <w:b/>
                <w:sz w:val="20"/>
                <w:szCs w:val="20"/>
              </w:rPr>
            </w:pPr>
            <w:r>
              <w:rPr>
                <w:rFonts w:ascii="Times New Roman" w:hAnsi="Times New Roman"/>
                <w:b/>
                <w:sz w:val="20"/>
                <w:szCs w:val="20"/>
              </w:rPr>
              <w:t>S8</w:t>
            </w:r>
          </w:p>
        </w:tc>
        <w:tc>
          <w:tcPr>
            <w:tcW w:w="1260" w:type="dxa"/>
            <w:tcBorders>
              <w:top w:val="single" w:sz="4" w:space="0" w:color="auto"/>
              <w:left w:val="nil"/>
              <w:bottom w:val="single" w:sz="4" w:space="0" w:color="auto"/>
              <w:right w:val="nil"/>
            </w:tcBorders>
            <w:vAlign w:val="center"/>
            <w:hideMark/>
          </w:tcPr>
          <w:p w:rsidR="007923F3" w:rsidRPr="00DB6CEF" w:rsidRDefault="00766A30" w:rsidP="00F245E3">
            <w:pPr>
              <w:spacing w:before="60" w:after="60" w:line="240" w:lineRule="auto"/>
              <w:rPr>
                <w:rFonts w:ascii="Times New Roman" w:hAnsi="Times New Roman"/>
                <w:b/>
                <w:sz w:val="20"/>
                <w:szCs w:val="20"/>
              </w:rPr>
            </w:pPr>
            <w:r>
              <w:rPr>
                <w:rFonts w:ascii="Times New Roman" w:hAnsi="Times New Roman"/>
                <w:b/>
                <w:sz w:val="20"/>
                <w:szCs w:val="20"/>
              </w:rPr>
              <w:t>S9</w:t>
            </w:r>
          </w:p>
        </w:tc>
        <w:tc>
          <w:tcPr>
            <w:tcW w:w="1080" w:type="dxa"/>
            <w:tcBorders>
              <w:top w:val="single" w:sz="4" w:space="0" w:color="auto"/>
              <w:left w:val="nil"/>
              <w:bottom w:val="single" w:sz="4" w:space="0" w:color="auto"/>
              <w:right w:val="nil"/>
            </w:tcBorders>
            <w:vAlign w:val="center"/>
            <w:hideMark/>
          </w:tcPr>
          <w:p w:rsidR="007923F3" w:rsidRPr="00DB6CEF" w:rsidRDefault="00766A30" w:rsidP="00F245E3">
            <w:pPr>
              <w:spacing w:before="60" w:after="60" w:line="240" w:lineRule="auto"/>
              <w:rPr>
                <w:rFonts w:ascii="Times New Roman" w:hAnsi="Times New Roman"/>
                <w:b/>
                <w:sz w:val="20"/>
                <w:szCs w:val="20"/>
              </w:rPr>
            </w:pPr>
            <w:r>
              <w:rPr>
                <w:rFonts w:ascii="Times New Roman" w:hAnsi="Times New Roman"/>
                <w:b/>
                <w:sz w:val="20"/>
                <w:szCs w:val="20"/>
              </w:rPr>
              <w:t>S10</w:t>
            </w:r>
          </w:p>
        </w:tc>
      </w:tr>
      <w:tr w:rsidR="00766A30" w:rsidRPr="00DB6CEF" w:rsidTr="00F245E3">
        <w:trPr>
          <w:trHeight w:val="144"/>
        </w:trPr>
        <w:tc>
          <w:tcPr>
            <w:tcW w:w="2538" w:type="dxa"/>
            <w:tcBorders>
              <w:top w:val="single" w:sz="4" w:space="0" w:color="auto"/>
              <w:left w:val="nil"/>
              <w:bottom w:val="nil"/>
              <w:right w:val="nil"/>
            </w:tcBorders>
            <w:vAlign w:val="center"/>
            <w:hideMark/>
          </w:tcPr>
          <w:p w:rsidR="00766A30" w:rsidRPr="00DB6CEF" w:rsidRDefault="00766A30" w:rsidP="00766A30">
            <w:pPr>
              <w:spacing w:before="120" w:after="0" w:line="240" w:lineRule="auto"/>
              <w:jc w:val="both"/>
              <w:rPr>
                <w:rFonts w:ascii="Times New Roman" w:hAnsi="Times New Roman"/>
                <w:sz w:val="20"/>
                <w:szCs w:val="20"/>
              </w:rPr>
            </w:pPr>
            <w:r w:rsidRPr="00DB6CEF">
              <w:rPr>
                <w:rFonts w:ascii="Times New Roman" w:hAnsi="Times New Roman"/>
                <w:sz w:val="20"/>
                <w:szCs w:val="20"/>
              </w:rPr>
              <w:t>Naphthalene</w:t>
            </w:r>
          </w:p>
        </w:tc>
        <w:tc>
          <w:tcPr>
            <w:tcW w:w="1170" w:type="dxa"/>
            <w:tcBorders>
              <w:top w:val="single" w:sz="4" w:space="0" w:color="auto"/>
              <w:left w:val="nil"/>
              <w:bottom w:val="nil"/>
              <w:right w:val="nil"/>
            </w:tcBorders>
            <w:vAlign w:val="center"/>
            <w:hideMark/>
          </w:tcPr>
          <w:p w:rsidR="00766A30" w:rsidRPr="00766A30" w:rsidRDefault="00766A30" w:rsidP="00766A30">
            <w:pPr>
              <w:spacing w:before="120" w:after="0" w:line="240" w:lineRule="auto"/>
              <w:jc w:val="both"/>
              <w:rPr>
                <w:rFonts w:ascii="Times New Roman" w:hAnsi="Times New Roman"/>
                <w:sz w:val="20"/>
                <w:szCs w:val="20"/>
              </w:rPr>
            </w:pPr>
            <w:r w:rsidRPr="00766A30">
              <w:rPr>
                <w:rFonts w:ascii="Times New Roman" w:hAnsi="Times New Roman"/>
                <w:sz w:val="20"/>
                <w:szCs w:val="20"/>
              </w:rPr>
              <w:t>0.00084</w:t>
            </w:r>
          </w:p>
        </w:tc>
        <w:tc>
          <w:tcPr>
            <w:tcW w:w="1260" w:type="dxa"/>
            <w:tcBorders>
              <w:top w:val="single" w:sz="4" w:space="0" w:color="auto"/>
              <w:left w:val="nil"/>
              <w:bottom w:val="nil"/>
              <w:right w:val="nil"/>
            </w:tcBorders>
            <w:vAlign w:val="center"/>
            <w:hideMark/>
          </w:tcPr>
          <w:p w:rsidR="00766A30" w:rsidRPr="00766A30" w:rsidRDefault="00766A30" w:rsidP="00766A30">
            <w:pPr>
              <w:spacing w:before="120" w:after="0" w:line="240" w:lineRule="auto"/>
              <w:jc w:val="both"/>
              <w:rPr>
                <w:rFonts w:ascii="Times New Roman" w:hAnsi="Times New Roman"/>
                <w:sz w:val="20"/>
                <w:szCs w:val="20"/>
              </w:rPr>
            </w:pPr>
            <w:r w:rsidRPr="00766A30">
              <w:rPr>
                <w:rFonts w:ascii="Times New Roman" w:hAnsi="Times New Roman"/>
                <w:sz w:val="20"/>
                <w:szCs w:val="20"/>
              </w:rPr>
              <w:t>0.02498</w:t>
            </w:r>
          </w:p>
        </w:tc>
        <w:tc>
          <w:tcPr>
            <w:tcW w:w="1170" w:type="dxa"/>
            <w:tcBorders>
              <w:top w:val="single" w:sz="4" w:space="0" w:color="auto"/>
              <w:left w:val="nil"/>
              <w:bottom w:val="nil"/>
              <w:right w:val="nil"/>
            </w:tcBorders>
            <w:vAlign w:val="center"/>
            <w:hideMark/>
          </w:tcPr>
          <w:p w:rsidR="00766A30" w:rsidRPr="00766A30" w:rsidRDefault="00766A30" w:rsidP="00766A30">
            <w:pPr>
              <w:spacing w:before="120" w:after="0" w:line="240" w:lineRule="auto"/>
              <w:jc w:val="both"/>
              <w:rPr>
                <w:rFonts w:ascii="Times New Roman" w:hAnsi="Times New Roman"/>
                <w:sz w:val="20"/>
                <w:szCs w:val="20"/>
              </w:rPr>
            </w:pPr>
            <w:r w:rsidRPr="00766A30">
              <w:rPr>
                <w:rFonts w:ascii="Times New Roman" w:hAnsi="Times New Roman"/>
                <w:sz w:val="20"/>
                <w:szCs w:val="20"/>
              </w:rPr>
              <w:t>0.00674</w:t>
            </w:r>
          </w:p>
        </w:tc>
        <w:tc>
          <w:tcPr>
            <w:tcW w:w="1260" w:type="dxa"/>
            <w:tcBorders>
              <w:top w:val="single" w:sz="4" w:space="0" w:color="auto"/>
              <w:left w:val="nil"/>
              <w:bottom w:val="nil"/>
              <w:right w:val="nil"/>
            </w:tcBorders>
            <w:vAlign w:val="center"/>
            <w:hideMark/>
          </w:tcPr>
          <w:p w:rsidR="00766A30" w:rsidRPr="00766A30" w:rsidRDefault="00766A30" w:rsidP="00766A30">
            <w:pPr>
              <w:spacing w:before="120" w:after="0" w:line="240" w:lineRule="auto"/>
              <w:jc w:val="both"/>
              <w:rPr>
                <w:rFonts w:ascii="Times New Roman" w:hAnsi="Times New Roman"/>
                <w:sz w:val="20"/>
                <w:szCs w:val="20"/>
              </w:rPr>
            </w:pPr>
            <w:r w:rsidRPr="00766A30">
              <w:rPr>
                <w:rFonts w:ascii="Times New Roman" w:hAnsi="Times New Roman"/>
                <w:sz w:val="20"/>
                <w:szCs w:val="20"/>
              </w:rPr>
              <w:t>0.00341</w:t>
            </w:r>
          </w:p>
        </w:tc>
        <w:tc>
          <w:tcPr>
            <w:tcW w:w="1080" w:type="dxa"/>
            <w:tcBorders>
              <w:top w:val="single" w:sz="4" w:space="0" w:color="auto"/>
              <w:left w:val="nil"/>
              <w:bottom w:val="nil"/>
              <w:right w:val="nil"/>
            </w:tcBorders>
            <w:vAlign w:val="center"/>
            <w:hideMark/>
          </w:tcPr>
          <w:p w:rsidR="00766A30" w:rsidRPr="00766A30" w:rsidRDefault="00766A30" w:rsidP="00766A30">
            <w:pPr>
              <w:spacing w:before="120" w:after="0" w:line="240" w:lineRule="auto"/>
              <w:jc w:val="both"/>
              <w:rPr>
                <w:rFonts w:ascii="Times New Roman" w:hAnsi="Times New Roman"/>
                <w:sz w:val="20"/>
                <w:szCs w:val="20"/>
              </w:rPr>
            </w:pPr>
            <w:r w:rsidRPr="00766A30">
              <w:rPr>
                <w:rFonts w:ascii="Times New Roman" w:hAnsi="Times New Roman"/>
                <w:sz w:val="20"/>
                <w:szCs w:val="20"/>
              </w:rPr>
              <w:t>0.00067</w:t>
            </w:r>
          </w:p>
        </w:tc>
      </w:tr>
      <w:tr w:rsidR="00766A30" w:rsidRPr="00DB6CEF" w:rsidTr="00441501">
        <w:trPr>
          <w:trHeight w:val="327"/>
        </w:trPr>
        <w:tc>
          <w:tcPr>
            <w:tcW w:w="2538" w:type="dxa"/>
            <w:tcBorders>
              <w:top w:val="nil"/>
              <w:left w:val="nil"/>
              <w:bottom w:val="nil"/>
              <w:right w:val="nil"/>
            </w:tcBorders>
            <w:vAlign w:val="center"/>
            <w:hideMark/>
          </w:tcPr>
          <w:p w:rsidR="00766A30" w:rsidRPr="00DB6CEF" w:rsidRDefault="00766A30" w:rsidP="00766A30">
            <w:pPr>
              <w:spacing w:after="0" w:line="240" w:lineRule="auto"/>
              <w:jc w:val="both"/>
              <w:rPr>
                <w:rFonts w:ascii="Times New Roman" w:hAnsi="Times New Roman"/>
                <w:sz w:val="20"/>
                <w:szCs w:val="20"/>
              </w:rPr>
            </w:pPr>
            <w:r w:rsidRPr="00DB6CEF">
              <w:rPr>
                <w:rFonts w:ascii="Times New Roman" w:hAnsi="Times New Roman"/>
                <w:sz w:val="20"/>
                <w:szCs w:val="20"/>
              </w:rPr>
              <w:t>Acenaphthylene</w:t>
            </w:r>
          </w:p>
        </w:tc>
        <w:tc>
          <w:tcPr>
            <w:tcW w:w="1170" w:type="dxa"/>
            <w:tcBorders>
              <w:top w:val="nil"/>
              <w:left w:val="nil"/>
              <w:bottom w:val="nil"/>
              <w:right w:val="nil"/>
            </w:tcBorders>
            <w:vAlign w:val="center"/>
            <w:hideMark/>
          </w:tcPr>
          <w:p w:rsidR="00766A30" w:rsidRPr="00766A30" w:rsidRDefault="00766A30" w:rsidP="00766A30">
            <w:pPr>
              <w:spacing w:after="0" w:line="240" w:lineRule="auto"/>
              <w:jc w:val="both"/>
              <w:rPr>
                <w:rFonts w:ascii="Times New Roman" w:hAnsi="Times New Roman"/>
                <w:sz w:val="20"/>
                <w:szCs w:val="20"/>
              </w:rPr>
            </w:pPr>
            <w:r w:rsidRPr="00766A30">
              <w:rPr>
                <w:rFonts w:ascii="Times New Roman" w:hAnsi="Times New Roman"/>
                <w:sz w:val="20"/>
                <w:szCs w:val="20"/>
              </w:rPr>
              <w:t>0.07838</w:t>
            </w:r>
          </w:p>
        </w:tc>
        <w:tc>
          <w:tcPr>
            <w:tcW w:w="1260" w:type="dxa"/>
            <w:tcBorders>
              <w:top w:val="nil"/>
              <w:left w:val="nil"/>
              <w:bottom w:val="nil"/>
              <w:right w:val="nil"/>
            </w:tcBorders>
            <w:vAlign w:val="center"/>
            <w:hideMark/>
          </w:tcPr>
          <w:p w:rsidR="00766A30" w:rsidRPr="00766A30" w:rsidRDefault="00766A30" w:rsidP="00766A30">
            <w:pPr>
              <w:spacing w:after="0" w:line="240" w:lineRule="auto"/>
              <w:jc w:val="both"/>
              <w:rPr>
                <w:rFonts w:ascii="Times New Roman" w:hAnsi="Times New Roman"/>
                <w:sz w:val="20"/>
                <w:szCs w:val="20"/>
              </w:rPr>
            </w:pPr>
            <w:r w:rsidRPr="00766A30">
              <w:rPr>
                <w:rFonts w:ascii="Times New Roman" w:hAnsi="Times New Roman"/>
                <w:sz w:val="20"/>
                <w:szCs w:val="20"/>
              </w:rPr>
              <w:t>0.59791</w:t>
            </w:r>
          </w:p>
        </w:tc>
        <w:tc>
          <w:tcPr>
            <w:tcW w:w="1170" w:type="dxa"/>
            <w:tcBorders>
              <w:top w:val="nil"/>
              <w:left w:val="nil"/>
              <w:bottom w:val="nil"/>
              <w:right w:val="nil"/>
            </w:tcBorders>
            <w:vAlign w:val="center"/>
            <w:hideMark/>
          </w:tcPr>
          <w:p w:rsidR="00766A30" w:rsidRPr="00766A30" w:rsidRDefault="00766A30" w:rsidP="00766A30">
            <w:pPr>
              <w:spacing w:after="0" w:line="240" w:lineRule="auto"/>
              <w:jc w:val="both"/>
              <w:rPr>
                <w:rFonts w:ascii="Times New Roman" w:hAnsi="Times New Roman"/>
                <w:sz w:val="20"/>
                <w:szCs w:val="20"/>
              </w:rPr>
            </w:pPr>
            <w:r w:rsidRPr="00766A30">
              <w:rPr>
                <w:rFonts w:ascii="Times New Roman" w:hAnsi="Times New Roman"/>
                <w:sz w:val="20"/>
                <w:szCs w:val="20"/>
              </w:rPr>
              <w:t>0.00083</w:t>
            </w:r>
          </w:p>
        </w:tc>
        <w:tc>
          <w:tcPr>
            <w:tcW w:w="1260" w:type="dxa"/>
            <w:tcBorders>
              <w:top w:val="nil"/>
              <w:left w:val="nil"/>
              <w:bottom w:val="nil"/>
              <w:right w:val="nil"/>
            </w:tcBorders>
            <w:vAlign w:val="center"/>
            <w:hideMark/>
          </w:tcPr>
          <w:p w:rsidR="00766A30" w:rsidRPr="00766A30" w:rsidRDefault="00766A30" w:rsidP="00766A30">
            <w:pPr>
              <w:spacing w:after="0" w:line="240" w:lineRule="auto"/>
              <w:jc w:val="both"/>
              <w:rPr>
                <w:rFonts w:ascii="Times New Roman" w:hAnsi="Times New Roman"/>
                <w:sz w:val="20"/>
                <w:szCs w:val="20"/>
              </w:rPr>
            </w:pPr>
            <w:r w:rsidRPr="00766A30">
              <w:rPr>
                <w:rFonts w:ascii="Times New Roman" w:hAnsi="Times New Roman"/>
                <w:sz w:val="20"/>
                <w:szCs w:val="20"/>
              </w:rPr>
              <w:t>0.06155</w:t>
            </w:r>
          </w:p>
        </w:tc>
        <w:tc>
          <w:tcPr>
            <w:tcW w:w="1080" w:type="dxa"/>
            <w:tcBorders>
              <w:top w:val="nil"/>
              <w:left w:val="nil"/>
              <w:bottom w:val="nil"/>
              <w:right w:val="nil"/>
            </w:tcBorders>
            <w:vAlign w:val="center"/>
            <w:hideMark/>
          </w:tcPr>
          <w:p w:rsidR="00766A30" w:rsidRPr="00766A30" w:rsidRDefault="00766A30" w:rsidP="00766A30">
            <w:pPr>
              <w:spacing w:after="0" w:line="240" w:lineRule="auto"/>
              <w:jc w:val="both"/>
              <w:rPr>
                <w:rFonts w:ascii="Times New Roman" w:hAnsi="Times New Roman"/>
                <w:sz w:val="20"/>
                <w:szCs w:val="20"/>
              </w:rPr>
            </w:pPr>
            <w:r w:rsidRPr="00766A30">
              <w:rPr>
                <w:rFonts w:ascii="Times New Roman" w:hAnsi="Times New Roman"/>
                <w:sz w:val="20"/>
                <w:szCs w:val="20"/>
              </w:rPr>
              <w:t>0.00033</w:t>
            </w:r>
          </w:p>
        </w:tc>
      </w:tr>
      <w:tr w:rsidR="00766A30" w:rsidRPr="00DB6CEF" w:rsidTr="00441501">
        <w:trPr>
          <w:trHeight w:val="192"/>
        </w:trPr>
        <w:tc>
          <w:tcPr>
            <w:tcW w:w="2538" w:type="dxa"/>
            <w:tcBorders>
              <w:top w:val="nil"/>
              <w:left w:val="nil"/>
              <w:bottom w:val="nil"/>
              <w:right w:val="nil"/>
            </w:tcBorders>
            <w:vAlign w:val="center"/>
            <w:hideMark/>
          </w:tcPr>
          <w:p w:rsidR="00766A30" w:rsidRPr="00DB6CEF" w:rsidRDefault="00766A30" w:rsidP="00766A30">
            <w:pPr>
              <w:spacing w:after="0" w:line="240" w:lineRule="auto"/>
              <w:jc w:val="both"/>
              <w:rPr>
                <w:rFonts w:ascii="Times New Roman" w:hAnsi="Times New Roman"/>
                <w:sz w:val="20"/>
                <w:szCs w:val="20"/>
              </w:rPr>
            </w:pPr>
            <w:r w:rsidRPr="00DB6CEF">
              <w:rPr>
                <w:rFonts w:ascii="Times New Roman" w:hAnsi="Times New Roman"/>
                <w:sz w:val="20"/>
                <w:szCs w:val="20"/>
              </w:rPr>
              <w:t>Acenaphthene</w:t>
            </w:r>
          </w:p>
        </w:tc>
        <w:tc>
          <w:tcPr>
            <w:tcW w:w="1170" w:type="dxa"/>
            <w:tcBorders>
              <w:top w:val="nil"/>
              <w:left w:val="nil"/>
              <w:bottom w:val="nil"/>
              <w:right w:val="nil"/>
            </w:tcBorders>
            <w:vAlign w:val="center"/>
            <w:hideMark/>
          </w:tcPr>
          <w:p w:rsidR="00766A30" w:rsidRPr="00766A30" w:rsidRDefault="00766A30" w:rsidP="00766A30">
            <w:pPr>
              <w:spacing w:after="0" w:line="240" w:lineRule="auto"/>
              <w:jc w:val="both"/>
              <w:rPr>
                <w:rFonts w:ascii="Times New Roman" w:hAnsi="Times New Roman"/>
                <w:sz w:val="20"/>
                <w:szCs w:val="20"/>
              </w:rPr>
            </w:pPr>
            <w:r w:rsidRPr="00766A30">
              <w:rPr>
                <w:rFonts w:ascii="Times New Roman" w:hAnsi="Times New Roman"/>
                <w:sz w:val="20"/>
                <w:szCs w:val="20"/>
              </w:rPr>
              <w:t>0.21382</w:t>
            </w:r>
          </w:p>
        </w:tc>
        <w:tc>
          <w:tcPr>
            <w:tcW w:w="1260" w:type="dxa"/>
            <w:tcBorders>
              <w:top w:val="nil"/>
              <w:left w:val="nil"/>
              <w:bottom w:val="nil"/>
              <w:right w:val="nil"/>
            </w:tcBorders>
            <w:vAlign w:val="center"/>
            <w:hideMark/>
          </w:tcPr>
          <w:p w:rsidR="00766A30" w:rsidRPr="00766A30" w:rsidRDefault="00766A30" w:rsidP="00766A30">
            <w:pPr>
              <w:spacing w:after="0" w:line="240" w:lineRule="auto"/>
              <w:jc w:val="both"/>
              <w:rPr>
                <w:rFonts w:ascii="Times New Roman" w:hAnsi="Times New Roman"/>
                <w:sz w:val="20"/>
                <w:szCs w:val="20"/>
              </w:rPr>
            </w:pPr>
            <w:r w:rsidRPr="00766A30">
              <w:rPr>
                <w:rFonts w:ascii="Times New Roman" w:hAnsi="Times New Roman"/>
                <w:sz w:val="20"/>
                <w:szCs w:val="20"/>
              </w:rPr>
              <w:t>0.38857</w:t>
            </w:r>
          </w:p>
        </w:tc>
        <w:tc>
          <w:tcPr>
            <w:tcW w:w="1170" w:type="dxa"/>
            <w:tcBorders>
              <w:top w:val="nil"/>
              <w:left w:val="nil"/>
              <w:bottom w:val="nil"/>
              <w:right w:val="nil"/>
            </w:tcBorders>
            <w:vAlign w:val="center"/>
            <w:hideMark/>
          </w:tcPr>
          <w:p w:rsidR="00766A30" w:rsidRPr="00766A30" w:rsidRDefault="00766A30" w:rsidP="00766A30">
            <w:pPr>
              <w:spacing w:after="0" w:line="240" w:lineRule="auto"/>
              <w:jc w:val="both"/>
              <w:rPr>
                <w:rFonts w:ascii="Times New Roman" w:hAnsi="Times New Roman"/>
                <w:sz w:val="20"/>
                <w:szCs w:val="20"/>
              </w:rPr>
            </w:pPr>
            <w:r w:rsidRPr="00766A30">
              <w:rPr>
                <w:rFonts w:ascii="Times New Roman" w:hAnsi="Times New Roman"/>
                <w:sz w:val="20"/>
                <w:szCs w:val="20"/>
              </w:rPr>
              <w:t>0.00132</w:t>
            </w:r>
          </w:p>
        </w:tc>
        <w:tc>
          <w:tcPr>
            <w:tcW w:w="1260" w:type="dxa"/>
            <w:tcBorders>
              <w:top w:val="nil"/>
              <w:left w:val="nil"/>
              <w:bottom w:val="nil"/>
              <w:right w:val="nil"/>
            </w:tcBorders>
            <w:vAlign w:val="center"/>
            <w:hideMark/>
          </w:tcPr>
          <w:p w:rsidR="00766A30" w:rsidRPr="00766A30" w:rsidRDefault="00766A30" w:rsidP="00766A30">
            <w:pPr>
              <w:spacing w:after="0" w:line="240" w:lineRule="auto"/>
              <w:jc w:val="both"/>
              <w:rPr>
                <w:rFonts w:ascii="Times New Roman" w:hAnsi="Times New Roman"/>
                <w:sz w:val="20"/>
                <w:szCs w:val="20"/>
              </w:rPr>
            </w:pPr>
            <w:r w:rsidRPr="00766A30">
              <w:rPr>
                <w:rFonts w:ascii="Times New Roman" w:hAnsi="Times New Roman"/>
                <w:sz w:val="20"/>
                <w:szCs w:val="20"/>
              </w:rPr>
              <w:t>0.04183</w:t>
            </w:r>
          </w:p>
        </w:tc>
        <w:tc>
          <w:tcPr>
            <w:tcW w:w="1080" w:type="dxa"/>
            <w:tcBorders>
              <w:top w:val="nil"/>
              <w:left w:val="nil"/>
              <w:bottom w:val="nil"/>
              <w:right w:val="nil"/>
            </w:tcBorders>
            <w:vAlign w:val="center"/>
            <w:hideMark/>
          </w:tcPr>
          <w:p w:rsidR="00766A30" w:rsidRPr="00766A30" w:rsidRDefault="00766A30" w:rsidP="00766A30">
            <w:pPr>
              <w:spacing w:after="0" w:line="240" w:lineRule="auto"/>
              <w:jc w:val="both"/>
              <w:rPr>
                <w:rFonts w:ascii="Times New Roman" w:hAnsi="Times New Roman"/>
                <w:sz w:val="20"/>
                <w:szCs w:val="20"/>
              </w:rPr>
            </w:pPr>
            <w:r w:rsidRPr="00766A30">
              <w:rPr>
                <w:rFonts w:ascii="Times New Roman" w:hAnsi="Times New Roman"/>
                <w:sz w:val="20"/>
                <w:szCs w:val="20"/>
              </w:rPr>
              <w:t>0.00019</w:t>
            </w:r>
          </w:p>
        </w:tc>
      </w:tr>
      <w:tr w:rsidR="00766A30" w:rsidRPr="00DB6CEF" w:rsidTr="00441501">
        <w:trPr>
          <w:trHeight w:val="318"/>
        </w:trPr>
        <w:tc>
          <w:tcPr>
            <w:tcW w:w="2538" w:type="dxa"/>
            <w:tcBorders>
              <w:top w:val="nil"/>
              <w:left w:val="nil"/>
              <w:bottom w:val="nil"/>
              <w:right w:val="nil"/>
            </w:tcBorders>
            <w:vAlign w:val="center"/>
            <w:hideMark/>
          </w:tcPr>
          <w:p w:rsidR="00766A30" w:rsidRPr="00DB6CEF" w:rsidRDefault="00766A30" w:rsidP="00766A30">
            <w:pPr>
              <w:spacing w:after="0" w:line="240" w:lineRule="auto"/>
              <w:jc w:val="both"/>
              <w:rPr>
                <w:rFonts w:ascii="Times New Roman" w:hAnsi="Times New Roman"/>
                <w:sz w:val="20"/>
                <w:szCs w:val="20"/>
              </w:rPr>
            </w:pPr>
            <w:r w:rsidRPr="00DB6CEF">
              <w:rPr>
                <w:rFonts w:ascii="Times New Roman" w:hAnsi="Times New Roman"/>
                <w:sz w:val="20"/>
                <w:szCs w:val="20"/>
              </w:rPr>
              <w:t>Fluorene</w:t>
            </w:r>
          </w:p>
        </w:tc>
        <w:tc>
          <w:tcPr>
            <w:tcW w:w="1170" w:type="dxa"/>
            <w:tcBorders>
              <w:top w:val="nil"/>
              <w:left w:val="nil"/>
              <w:bottom w:val="nil"/>
              <w:right w:val="nil"/>
            </w:tcBorders>
            <w:vAlign w:val="center"/>
            <w:hideMark/>
          </w:tcPr>
          <w:p w:rsidR="00766A30" w:rsidRPr="00766A30" w:rsidRDefault="00766A30" w:rsidP="00766A30">
            <w:pPr>
              <w:spacing w:after="0" w:line="240" w:lineRule="auto"/>
              <w:jc w:val="both"/>
              <w:rPr>
                <w:rFonts w:ascii="Times New Roman" w:hAnsi="Times New Roman"/>
                <w:sz w:val="20"/>
                <w:szCs w:val="20"/>
              </w:rPr>
            </w:pPr>
            <w:r w:rsidRPr="00766A30">
              <w:rPr>
                <w:rFonts w:ascii="Times New Roman" w:hAnsi="Times New Roman"/>
                <w:sz w:val="20"/>
                <w:szCs w:val="20"/>
              </w:rPr>
              <w:t>0.08012</w:t>
            </w:r>
          </w:p>
        </w:tc>
        <w:tc>
          <w:tcPr>
            <w:tcW w:w="1260" w:type="dxa"/>
            <w:tcBorders>
              <w:top w:val="nil"/>
              <w:left w:val="nil"/>
              <w:bottom w:val="nil"/>
              <w:right w:val="nil"/>
            </w:tcBorders>
            <w:vAlign w:val="center"/>
            <w:hideMark/>
          </w:tcPr>
          <w:p w:rsidR="00766A30" w:rsidRPr="00766A30" w:rsidRDefault="00766A30" w:rsidP="00766A30">
            <w:pPr>
              <w:spacing w:after="0" w:line="240" w:lineRule="auto"/>
              <w:jc w:val="both"/>
              <w:rPr>
                <w:rFonts w:ascii="Times New Roman" w:hAnsi="Times New Roman"/>
                <w:sz w:val="20"/>
                <w:szCs w:val="20"/>
              </w:rPr>
            </w:pPr>
            <w:r w:rsidRPr="00766A30">
              <w:rPr>
                <w:rFonts w:ascii="Times New Roman" w:hAnsi="Times New Roman"/>
                <w:sz w:val="20"/>
                <w:szCs w:val="20"/>
              </w:rPr>
              <w:t>0.67488</w:t>
            </w:r>
          </w:p>
        </w:tc>
        <w:tc>
          <w:tcPr>
            <w:tcW w:w="1170" w:type="dxa"/>
            <w:tcBorders>
              <w:top w:val="nil"/>
              <w:left w:val="nil"/>
              <w:bottom w:val="nil"/>
              <w:right w:val="nil"/>
            </w:tcBorders>
            <w:vAlign w:val="center"/>
            <w:hideMark/>
          </w:tcPr>
          <w:p w:rsidR="00766A30" w:rsidRPr="00766A30" w:rsidRDefault="00766A30" w:rsidP="00766A30">
            <w:pPr>
              <w:spacing w:after="0" w:line="240" w:lineRule="auto"/>
              <w:jc w:val="both"/>
              <w:rPr>
                <w:rFonts w:ascii="Times New Roman" w:hAnsi="Times New Roman"/>
                <w:sz w:val="20"/>
                <w:szCs w:val="20"/>
              </w:rPr>
            </w:pPr>
            <w:r w:rsidRPr="00766A30">
              <w:rPr>
                <w:rFonts w:ascii="Times New Roman" w:hAnsi="Times New Roman"/>
                <w:sz w:val="20"/>
                <w:szCs w:val="20"/>
              </w:rPr>
              <w:t>0.00217</w:t>
            </w:r>
          </w:p>
        </w:tc>
        <w:tc>
          <w:tcPr>
            <w:tcW w:w="1260" w:type="dxa"/>
            <w:tcBorders>
              <w:top w:val="nil"/>
              <w:left w:val="nil"/>
              <w:bottom w:val="nil"/>
              <w:right w:val="nil"/>
            </w:tcBorders>
            <w:vAlign w:val="center"/>
            <w:hideMark/>
          </w:tcPr>
          <w:p w:rsidR="00766A30" w:rsidRPr="00766A30" w:rsidRDefault="00766A30" w:rsidP="00766A30">
            <w:pPr>
              <w:spacing w:after="0" w:line="240" w:lineRule="auto"/>
              <w:jc w:val="both"/>
              <w:rPr>
                <w:rFonts w:ascii="Times New Roman" w:hAnsi="Times New Roman"/>
                <w:sz w:val="20"/>
                <w:szCs w:val="20"/>
              </w:rPr>
            </w:pPr>
            <w:r w:rsidRPr="00766A30">
              <w:rPr>
                <w:rFonts w:ascii="Times New Roman" w:hAnsi="Times New Roman"/>
                <w:sz w:val="20"/>
                <w:szCs w:val="20"/>
              </w:rPr>
              <w:t>0.07562</w:t>
            </w:r>
          </w:p>
        </w:tc>
        <w:tc>
          <w:tcPr>
            <w:tcW w:w="1080" w:type="dxa"/>
            <w:tcBorders>
              <w:top w:val="nil"/>
              <w:left w:val="nil"/>
              <w:bottom w:val="nil"/>
              <w:right w:val="nil"/>
            </w:tcBorders>
            <w:vAlign w:val="center"/>
            <w:hideMark/>
          </w:tcPr>
          <w:p w:rsidR="00766A30" w:rsidRPr="00766A30" w:rsidRDefault="00441501" w:rsidP="00766A30">
            <w:pPr>
              <w:spacing w:after="0" w:line="240" w:lineRule="auto"/>
              <w:jc w:val="both"/>
              <w:rPr>
                <w:rFonts w:ascii="Times New Roman" w:hAnsi="Times New Roman"/>
                <w:sz w:val="20"/>
                <w:szCs w:val="20"/>
              </w:rPr>
            </w:pPr>
            <w:r>
              <w:rPr>
                <w:rFonts w:ascii="Times New Roman" w:hAnsi="Times New Roman"/>
                <w:sz w:val="20"/>
                <w:szCs w:val="20"/>
              </w:rPr>
              <w:t>0.00045</w:t>
            </w:r>
          </w:p>
        </w:tc>
      </w:tr>
      <w:tr w:rsidR="00E204F8" w:rsidRPr="00E204F8" w:rsidTr="00F245E3">
        <w:trPr>
          <w:trHeight w:val="144"/>
        </w:trPr>
        <w:tc>
          <w:tcPr>
            <w:tcW w:w="2538" w:type="dxa"/>
            <w:tcBorders>
              <w:top w:val="nil"/>
              <w:left w:val="nil"/>
              <w:bottom w:val="nil"/>
              <w:right w:val="nil"/>
            </w:tcBorders>
            <w:vAlign w:val="center"/>
          </w:tcPr>
          <w:p w:rsidR="00E204F8" w:rsidRPr="00E204F8" w:rsidRDefault="00E204F8" w:rsidP="00E204F8">
            <w:pPr>
              <w:spacing w:after="0" w:line="240" w:lineRule="auto"/>
              <w:jc w:val="both"/>
              <w:rPr>
                <w:rFonts w:ascii="Times New Roman" w:hAnsi="Times New Roman"/>
                <w:sz w:val="20"/>
                <w:szCs w:val="20"/>
              </w:rPr>
            </w:pPr>
            <w:r w:rsidRPr="00E204F8">
              <w:rPr>
                <w:rFonts w:ascii="Times New Roman" w:hAnsi="Times New Roman"/>
                <w:sz w:val="20"/>
                <w:szCs w:val="20"/>
              </w:rPr>
              <w:t>Phenanthrene</w:t>
            </w:r>
          </w:p>
        </w:tc>
        <w:tc>
          <w:tcPr>
            <w:tcW w:w="1170" w:type="dxa"/>
            <w:tcBorders>
              <w:top w:val="nil"/>
              <w:left w:val="nil"/>
              <w:bottom w:val="nil"/>
              <w:right w:val="nil"/>
            </w:tcBorders>
            <w:vAlign w:val="center"/>
          </w:tcPr>
          <w:p w:rsidR="00E204F8" w:rsidRPr="00E204F8" w:rsidRDefault="00E204F8" w:rsidP="00E204F8">
            <w:pPr>
              <w:spacing w:after="0" w:line="240" w:lineRule="auto"/>
              <w:jc w:val="both"/>
              <w:rPr>
                <w:rFonts w:ascii="Times New Roman" w:hAnsi="Times New Roman"/>
                <w:sz w:val="20"/>
                <w:szCs w:val="20"/>
              </w:rPr>
            </w:pPr>
            <w:r w:rsidRPr="00E204F8">
              <w:rPr>
                <w:rFonts w:ascii="Times New Roman" w:hAnsi="Times New Roman"/>
                <w:sz w:val="20"/>
                <w:szCs w:val="20"/>
              </w:rPr>
              <w:t>0.00950</w:t>
            </w:r>
          </w:p>
        </w:tc>
        <w:tc>
          <w:tcPr>
            <w:tcW w:w="1260" w:type="dxa"/>
            <w:tcBorders>
              <w:top w:val="nil"/>
              <w:left w:val="nil"/>
              <w:bottom w:val="nil"/>
              <w:right w:val="nil"/>
            </w:tcBorders>
            <w:vAlign w:val="center"/>
          </w:tcPr>
          <w:p w:rsidR="00E204F8" w:rsidRPr="00E204F8" w:rsidRDefault="00E204F8" w:rsidP="00E204F8">
            <w:pPr>
              <w:spacing w:after="0" w:line="240" w:lineRule="auto"/>
              <w:jc w:val="both"/>
              <w:rPr>
                <w:rFonts w:ascii="Times New Roman" w:hAnsi="Times New Roman"/>
                <w:sz w:val="20"/>
                <w:szCs w:val="20"/>
              </w:rPr>
            </w:pPr>
            <w:r w:rsidRPr="00E204F8">
              <w:rPr>
                <w:rFonts w:ascii="Times New Roman" w:hAnsi="Times New Roman"/>
                <w:sz w:val="20"/>
                <w:szCs w:val="20"/>
              </w:rPr>
              <w:t>0.49665</w:t>
            </w:r>
          </w:p>
        </w:tc>
        <w:tc>
          <w:tcPr>
            <w:tcW w:w="1170" w:type="dxa"/>
            <w:tcBorders>
              <w:top w:val="nil"/>
              <w:left w:val="nil"/>
              <w:bottom w:val="nil"/>
              <w:right w:val="nil"/>
            </w:tcBorders>
            <w:vAlign w:val="center"/>
          </w:tcPr>
          <w:p w:rsidR="00E204F8" w:rsidRPr="00E204F8" w:rsidRDefault="00E204F8" w:rsidP="00E204F8">
            <w:pPr>
              <w:spacing w:after="0" w:line="240" w:lineRule="auto"/>
              <w:jc w:val="both"/>
              <w:rPr>
                <w:rFonts w:ascii="Times New Roman" w:hAnsi="Times New Roman"/>
                <w:sz w:val="20"/>
                <w:szCs w:val="20"/>
              </w:rPr>
            </w:pPr>
            <w:r w:rsidRPr="00E204F8">
              <w:rPr>
                <w:rFonts w:ascii="Times New Roman" w:hAnsi="Times New Roman"/>
                <w:sz w:val="20"/>
                <w:szCs w:val="20"/>
              </w:rPr>
              <w:t>0.00152</w:t>
            </w:r>
          </w:p>
        </w:tc>
        <w:tc>
          <w:tcPr>
            <w:tcW w:w="1260" w:type="dxa"/>
            <w:tcBorders>
              <w:top w:val="nil"/>
              <w:left w:val="nil"/>
              <w:bottom w:val="nil"/>
              <w:right w:val="nil"/>
            </w:tcBorders>
            <w:vAlign w:val="center"/>
          </w:tcPr>
          <w:p w:rsidR="00E204F8" w:rsidRPr="00E204F8" w:rsidRDefault="00E204F8" w:rsidP="00E204F8">
            <w:pPr>
              <w:spacing w:after="0" w:line="240" w:lineRule="auto"/>
              <w:jc w:val="both"/>
              <w:rPr>
                <w:rFonts w:ascii="Times New Roman" w:hAnsi="Times New Roman"/>
                <w:sz w:val="20"/>
                <w:szCs w:val="20"/>
              </w:rPr>
            </w:pPr>
            <w:r w:rsidRPr="00E204F8">
              <w:rPr>
                <w:rFonts w:ascii="Times New Roman" w:hAnsi="Times New Roman"/>
                <w:sz w:val="20"/>
                <w:szCs w:val="20"/>
              </w:rPr>
              <w:t>0.05703</w:t>
            </w:r>
          </w:p>
        </w:tc>
        <w:tc>
          <w:tcPr>
            <w:tcW w:w="1080" w:type="dxa"/>
            <w:tcBorders>
              <w:top w:val="nil"/>
              <w:left w:val="nil"/>
              <w:bottom w:val="nil"/>
              <w:right w:val="nil"/>
            </w:tcBorders>
            <w:vAlign w:val="center"/>
          </w:tcPr>
          <w:p w:rsidR="00E204F8" w:rsidRPr="00E204F8" w:rsidRDefault="00E204F8" w:rsidP="00E204F8">
            <w:pPr>
              <w:spacing w:after="0" w:line="240" w:lineRule="auto"/>
              <w:jc w:val="both"/>
              <w:rPr>
                <w:rFonts w:ascii="Times New Roman" w:hAnsi="Times New Roman"/>
                <w:sz w:val="20"/>
                <w:szCs w:val="20"/>
              </w:rPr>
            </w:pPr>
            <w:r>
              <w:rPr>
                <w:rFonts w:ascii="Times New Roman" w:hAnsi="Times New Roman"/>
                <w:sz w:val="20"/>
                <w:szCs w:val="20"/>
              </w:rPr>
              <w:t>0.00047</w:t>
            </w:r>
          </w:p>
        </w:tc>
      </w:tr>
      <w:tr w:rsidR="00E204F8" w:rsidRPr="00DB6CEF" w:rsidTr="00F245E3">
        <w:trPr>
          <w:trHeight w:val="144"/>
        </w:trPr>
        <w:tc>
          <w:tcPr>
            <w:tcW w:w="2538" w:type="dxa"/>
            <w:tcBorders>
              <w:top w:val="nil"/>
              <w:left w:val="nil"/>
              <w:bottom w:val="nil"/>
              <w:right w:val="nil"/>
            </w:tcBorders>
            <w:vAlign w:val="center"/>
            <w:hideMark/>
          </w:tcPr>
          <w:p w:rsidR="00E204F8" w:rsidRPr="00DB6CEF" w:rsidRDefault="00E204F8" w:rsidP="00E204F8">
            <w:pPr>
              <w:spacing w:after="0" w:line="240" w:lineRule="auto"/>
              <w:jc w:val="both"/>
              <w:rPr>
                <w:rFonts w:ascii="Times New Roman" w:hAnsi="Times New Roman"/>
                <w:sz w:val="20"/>
                <w:szCs w:val="20"/>
              </w:rPr>
            </w:pPr>
            <w:r w:rsidRPr="00DB6CEF">
              <w:rPr>
                <w:rFonts w:ascii="Times New Roman" w:hAnsi="Times New Roman"/>
                <w:sz w:val="20"/>
                <w:szCs w:val="20"/>
              </w:rPr>
              <w:t>Anthracene</w:t>
            </w:r>
          </w:p>
        </w:tc>
        <w:tc>
          <w:tcPr>
            <w:tcW w:w="1170" w:type="dxa"/>
            <w:tcBorders>
              <w:top w:val="nil"/>
              <w:left w:val="nil"/>
              <w:bottom w:val="nil"/>
              <w:right w:val="nil"/>
            </w:tcBorders>
            <w:vAlign w:val="center"/>
            <w:hideMark/>
          </w:tcPr>
          <w:p w:rsidR="00E204F8" w:rsidRPr="00766A30" w:rsidRDefault="00E204F8" w:rsidP="00E204F8">
            <w:pPr>
              <w:spacing w:after="0" w:line="240" w:lineRule="auto"/>
              <w:jc w:val="both"/>
              <w:rPr>
                <w:rFonts w:ascii="Times New Roman" w:hAnsi="Times New Roman"/>
                <w:sz w:val="20"/>
                <w:szCs w:val="20"/>
              </w:rPr>
            </w:pPr>
            <w:r w:rsidRPr="00766A30">
              <w:rPr>
                <w:rFonts w:ascii="Times New Roman" w:hAnsi="Times New Roman"/>
                <w:sz w:val="20"/>
                <w:szCs w:val="20"/>
              </w:rPr>
              <w:t>0.12297</w:t>
            </w:r>
          </w:p>
        </w:tc>
        <w:tc>
          <w:tcPr>
            <w:tcW w:w="1260" w:type="dxa"/>
            <w:tcBorders>
              <w:top w:val="nil"/>
              <w:left w:val="nil"/>
              <w:bottom w:val="nil"/>
              <w:right w:val="nil"/>
            </w:tcBorders>
            <w:vAlign w:val="center"/>
            <w:hideMark/>
          </w:tcPr>
          <w:p w:rsidR="00E204F8" w:rsidRPr="00766A30" w:rsidRDefault="00E204F8" w:rsidP="00E204F8">
            <w:pPr>
              <w:spacing w:after="0" w:line="240" w:lineRule="auto"/>
              <w:jc w:val="both"/>
              <w:rPr>
                <w:rFonts w:ascii="Times New Roman" w:hAnsi="Times New Roman"/>
                <w:sz w:val="20"/>
                <w:szCs w:val="20"/>
              </w:rPr>
            </w:pPr>
            <w:r w:rsidRPr="00766A30">
              <w:rPr>
                <w:rFonts w:ascii="Times New Roman" w:hAnsi="Times New Roman"/>
                <w:sz w:val="20"/>
                <w:szCs w:val="20"/>
              </w:rPr>
              <w:t>0.52958</w:t>
            </w:r>
          </w:p>
        </w:tc>
        <w:tc>
          <w:tcPr>
            <w:tcW w:w="1170" w:type="dxa"/>
            <w:tcBorders>
              <w:top w:val="nil"/>
              <w:left w:val="nil"/>
              <w:bottom w:val="nil"/>
              <w:right w:val="nil"/>
            </w:tcBorders>
            <w:vAlign w:val="center"/>
            <w:hideMark/>
          </w:tcPr>
          <w:p w:rsidR="00E204F8" w:rsidRPr="00766A30" w:rsidRDefault="00E204F8" w:rsidP="00E204F8">
            <w:pPr>
              <w:spacing w:after="0" w:line="240" w:lineRule="auto"/>
              <w:jc w:val="both"/>
              <w:rPr>
                <w:rFonts w:ascii="Times New Roman" w:hAnsi="Times New Roman"/>
                <w:sz w:val="20"/>
                <w:szCs w:val="20"/>
              </w:rPr>
            </w:pPr>
            <w:r w:rsidRPr="00766A30">
              <w:rPr>
                <w:rFonts w:ascii="Times New Roman" w:hAnsi="Times New Roman"/>
                <w:sz w:val="20"/>
                <w:szCs w:val="20"/>
              </w:rPr>
              <w:t>0.08271</w:t>
            </w:r>
          </w:p>
        </w:tc>
        <w:tc>
          <w:tcPr>
            <w:tcW w:w="1260" w:type="dxa"/>
            <w:tcBorders>
              <w:top w:val="nil"/>
              <w:left w:val="nil"/>
              <w:bottom w:val="nil"/>
              <w:right w:val="nil"/>
            </w:tcBorders>
            <w:vAlign w:val="center"/>
            <w:hideMark/>
          </w:tcPr>
          <w:p w:rsidR="00E204F8" w:rsidRPr="00766A30" w:rsidRDefault="00E204F8" w:rsidP="00E204F8">
            <w:pPr>
              <w:spacing w:after="0" w:line="240" w:lineRule="auto"/>
              <w:jc w:val="both"/>
              <w:rPr>
                <w:rFonts w:ascii="Times New Roman" w:hAnsi="Times New Roman"/>
                <w:sz w:val="20"/>
                <w:szCs w:val="20"/>
              </w:rPr>
            </w:pPr>
            <w:r w:rsidRPr="00766A30">
              <w:rPr>
                <w:rFonts w:ascii="Times New Roman" w:hAnsi="Times New Roman"/>
                <w:sz w:val="20"/>
                <w:szCs w:val="20"/>
              </w:rPr>
              <w:t>0.03179</w:t>
            </w:r>
          </w:p>
        </w:tc>
        <w:tc>
          <w:tcPr>
            <w:tcW w:w="1080" w:type="dxa"/>
            <w:tcBorders>
              <w:top w:val="nil"/>
              <w:left w:val="nil"/>
              <w:bottom w:val="nil"/>
              <w:right w:val="nil"/>
            </w:tcBorders>
            <w:vAlign w:val="center"/>
            <w:hideMark/>
          </w:tcPr>
          <w:p w:rsidR="00E204F8" w:rsidRPr="00766A30" w:rsidRDefault="00E204F8" w:rsidP="00E204F8">
            <w:pPr>
              <w:spacing w:after="0" w:line="240" w:lineRule="auto"/>
              <w:jc w:val="both"/>
              <w:rPr>
                <w:rFonts w:ascii="Times New Roman" w:hAnsi="Times New Roman"/>
                <w:sz w:val="20"/>
                <w:szCs w:val="20"/>
              </w:rPr>
            </w:pPr>
            <w:r w:rsidRPr="00766A30">
              <w:rPr>
                <w:rFonts w:ascii="Times New Roman" w:hAnsi="Times New Roman"/>
                <w:sz w:val="20"/>
                <w:szCs w:val="20"/>
              </w:rPr>
              <w:t>0.30732</w:t>
            </w:r>
          </w:p>
        </w:tc>
      </w:tr>
      <w:tr w:rsidR="00E204F8" w:rsidRPr="00DB6CEF" w:rsidTr="00F245E3">
        <w:trPr>
          <w:trHeight w:val="144"/>
        </w:trPr>
        <w:tc>
          <w:tcPr>
            <w:tcW w:w="2538" w:type="dxa"/>
            <w:tcBorders>
              <w:top w:val="nil"/>
              <w:left w:val="nil"/>
              <w:bottom w:val="nil"/>
              <w:right w:val="nil"/>
            </w:tcBorders>
            <w:vAlign w:val="center"/>
            <w:hideMark/>
          </w:tcPr>
          <w:p w:rsidR="00E204F8" w:rsidRPr="00DB6CEF" w:rsidRDefault="00E204F8" w:rsidP="00E204F8">
            <w:pPr>
              <w:spacing w:after="0" w:line="240" w:lineRule="auto"/>
              <w:jc w:val="both"/>
              <w:rPr>
                <w:rFonts w:ascii="Times New Roman" w:hAnsi="Times New Roman"/>
                <w:sz w:val="20"/>
                <w:szCs w:val="20"/>
              </w:rPr>
            </w:pPr>
            <w:r w:rsidRPr="00DB6CEF">
              <w:rPr>
                <w:rFonts w:ascii="Times New Roman" w:hAnsi="Times New Roman"/>
                <w:sz w:val="20"/>
                <w:szCs w:val="20"/>
              </w:rPr>
              <w:t>Fluoranthene</w:t>
            </w:r>
          </w:p>
        </w:tc>
        <w:tc>
          <w:tcPr>
            <w:tcW w:w="1170" w:type="dxa"/>
            <w:tcBorders>
              <w:top w:val="nil"/>
              <w:left w:val="nil"/>
              <w:bottom w:val="nil"/>
              <w:right w:val="nil"/>
            </w:tcBorders>
            <w:vAlign w:val="center"/>
            <w:hideMark/>
          </w:tcPr>
          <w:p w:rsidR="00E204F8" w:rsidRPr="00766A30" w:rsidRDefault="00E204F8" w:rsidP="00E204F8">
            <w:pPr>
              <w:spacing w:after="0" w:line="240" w:lineRule="auto"/>
              <w:jc w:val="both"/>
              <w:rPr>
                <w:rFonts w:ascii="Times New Roman" w:hAnsi="Times New Roman"/>
                <w:sz w:val="20"/>
                <w:szCs w:val="20"/>
              </w:rPr>
            </w:pPr>
            <w:r w:rsidRPr="00766A30">
              <w:rPr>
                <w:rFonts w:ascii="Times New Roman" w:hAnsi="Times New Roman"/>
                <w:sz w:val="20"/>
                <w:szCs w:val="20"/>
              </w:rPr>
              <w:t>0.00547</w:t>
            </w:r>
          </w:p>
        </w:tc>
        <w:tc>
          <w:tcPr>
            <w:tcW w:w="1260" w:type="dxa"/>
            <w:tcBorders>
              <w:top w:val="nil"/>
              <w:left w:val="nil"/>
              <w:bottom w:val="nil"/>
              <w:right w:val="nil"/>
            </w:tcBorders>
            <w:vAlign w:val="center"/>
            <w:hideMark/>
          </w:tcPr>
          <w:p w:rsidR="00E204F8" w:rsidRPr="00766A30" w:rsidRDefault="00E204F8" w:rsidP="00E204F8">
            <w:pPr>
              <w:spacing w:after="0" w:line="240" w:lineRule="auto"/>
              <w:jc w:val="both"/>
              <w:rPr>
                <w:rFonts w:ascii="Times New Roman" w:hAnsi="Times New Roman"/>
                <w:sz w:val="20"/>
                <w:szCs w:val="20"/>
              </w:rPr>
            </w:pPr>
            <w:r w:rsidRPr="00766A30">
              <w:rPr>
                <w:rFonts w:ascii="Times New Roman" w:hAnsi="Times New Roman"/>
                <w:sz w:val="20"/>
                <w:szCs w:val="20"/>
              </w:rPr>
              <w:t>0.75197</w:t>
            </w:r>
          </w:p>
        </w:tc>
        <w:tc>
          <w:tcPr>
            <w:tcW w:w="1170" w:type="dxa"/>
            <w:tcBorders>
              <w:top w:val="nil"/>
              <w:left w:val="nil"/>
              <w:bottom w:val="nil"/>
              <w:right w:val="nil"/>
            </w:tcBorders>
            <w:vAlign w:val="center"/>
            <w:hideMark/>
          </w:tcPr>
          <w:p w:rsidR="00E204F8" w:rsidRPr="00766A30" w:rsidRDefault="00E204F8" w:rsidP="00E204F8">
            <w:pPr>
              <w:spacing w:after="0" w:line="240" w:lineRule="auto"/>
              <w:jc w:val="both"/>
              <w:rPr>
                <w:rFonts w:ascii="Times New Roman" w:hAnsi="Times New Roman"/>
                <w:sz w:val="20"/>
                <w:szCs w:val="20"/>
              </w:rPr>
            </w:pPr>
            <w:r w:rsidRPr="00766A30">
              <w:rPr>
                <w:rFonts w:ascii="Times New Roman" w:hAnsi="Times New Roman"/>
                <w:sz w:val="20"/>
                <w:szCs w:val="20"/>
              </w:rPr>
              <w:t>0.02180</w:t>
            </w:r>
          </w:p>
        </w:tc>
        <w:tc>
          <w:tcPr>
            <w:tcW w:w="1260" w:type="dxa"/>
            <w:tcBorders>
              <w:top w:val="nil"/>
              <w:left w:val="nil"/>
              <w:bottom w:val="nil"/>
              <w:right w:val="nil"/>
            </w:tcBorders>
            <w:vAlign w:val="center"/>
            <w:hideMark/>
          </w:tcPr>
          <w:p w:rsidR="00E204F8" w:rsidRPr="00766A30" w:rsidRDefault="00E204F8" w:rsidP="00E204F8">
            <w:pPr>
              <w:spacing w:after="0" w:line="240" w:lineRule="auto"/>
              <w:jc w:val="both"/>
              <w:rPr>
                <w:rFonts w:ascii="Times New Roman" w:hAnsi="Times New Roman"/>
                <w:sz w:val="20"/>
                <w:szCs w:val="20"/>
              </w:rPr>
            </w:pPr>
            <w:r w:rsidRPr="00766A30">
              <w:rPr>
                <w:rFonts w:ascii="Times New Roman" w:hAnsi="Times New Roman"/>
                <w:sz w:val="20"/>
                <w:szCs w:val="20"/>
              </w:rPr>
              <w:t>0.08989</w:t>
            </w:r>
          </w:p>
        </w:tc>
        <w:tc>
          <w:tcPr>
            <w:tcW w:w="1080" w:type="dxa"/>
            <w:tcBorders>
              <w:top w:val="nil"/>
              <w:left w:val="nil"/>
              <w:bottom w:val="nil"/>
              <w:right w:val="nil"/>
            </w:tcBorders>
            <w:vAlign w:val="center"/>
            <w:hideMark/>
          </w:tcPr>
          <w:p w:rsidR="00E204F8" w:rsidRPr="00766A30" w:rsidRDefault="00E204F8" w:rsidP="00E204F8">
            <w:pPr>
              <w:spacing w:after="0" w:line="240" w:lineRule="auto"/>
              <w:jc w:val="both"/>
              <w:rPr>
                <w:rFonts w:ascii="Times New Roman" w:hAnsi="Times New Roman"/>
                <w:sz w:val="20"/>
                <w:szCs w:val="20"/>
              </w:rPr>
            </w:pPr>
            <w:r w:rsidRPr="00766A30">
              <w:rPr>
                <w:rFonts w:ascii="Times New Roman" w:hAnsi="Times New Roman"/>
                <w:sz w:val="20"/>
                <w:szCs w:val="20"/>
              </w:rPr>
              <w:t>0.01073</w:t>
            </w:r>
          </w:p>
        </w:tc>
      </w:tr>
      <w:tr w:rsidR="00E204F8" w:rsidRPr="00DB6CEF" w:rsidTr="004013FA">
        <w:trPr>
          <w:trHeight w:val="300"/>
        </w:trPr>
        <w:tc>
          <w:tcPr>
            <w:tcW w:w="2538" w:type="dxa"/>
            <w:tcBorders>
              <w:top w:val="nil"/>
              <w:left w:val="nil"/>
              <w:bottom w:val="nil"/>
              <w:right w:val="nil"/>
            </w:tcBorders>
            <w:vAlign w:val="center"/>
            <w:hideMark/>
          </w:tcPr>
          <w:p w:rsidR="00E204F8" w:rsidRPr="00DB6CEF" w:rsidRDefault="00E204F8" w:rsidP="00E204F8">
            <w:pPr>
              <w:spacing w:after="0" w:line="240" w:lineRule="auto"/>
              <w:jc w:val="both"/>
              <w:rPr>
                <w:rFonts w:ascii="Times New Roman" w:hAnsi="Times New Roman"/>
                <w:sz w:val="20"/>
                <w:szCs w:val="20"/>
              </w:rPr>
            </w:pPr>
            <w:r w:rsidRPr="00DB6CEF">
              <w:rPr>
                <w:rFonts w:ascii="Times New Roman" w:hAnsi="Times New Roman"/>
                <w:sz w:val="20"/>
                <w:szCs w:val="20"/>
              </w:rPr>
              <w:t>Pyrene</w:t>
            </w:r>
          </w:p>
        </w:tc>
        <w:tc>
          <w:tcPr>
            <w:tcW w:w="1170" w:type="dxa"/>
            <w:tcBorders>
              <w:top w:val="nil"/>
              <w:left w:val="nil"/>
              <w:bottom w:val="nil"/>
              <w:right w:val="nil"/>
            </w:tcBorders>
            <w:vAlign w:val="center"/>
            <w:hideMark/>
          </w:tcPr>
          <w:p w:rsidR="00E204F8" w:rsidRPr="00766A30" w:rsidRDefault="00E204F8" w:rsidP="00E204F8">
            <w:pPr>
              <w:spacing w:after="0" w:line="240" w:lineRule="auto"/>
              <w:jc w:val="both"/>
              <w:rPr>
                <w:rFonts w:ascii="Times New Roman" w:hAnsi="Times New Roman"/>
                <w:sz w:val="20"/>
                <w:szCs w:val="20"/>
              </w:rPr>
            </w:pPr>
            <w:r w:rsidRPr="00766A30">
              <w:rPr>
                <w:rFonts w:ascii="Times New Roman" w:hAnsi="Times New Roman"/>
                <w:sz w:val="20"/>
                <w:szCs w:val="20"/>
              </w:rPr>
              <w:t>0.00246</w:t>
            </w:r>
          </w:p>
        </w:tc>
        <w:tc>
          <w:tcPr>
            <w:tcW w:w="1260" w:type="dxa"/>
            <w:tcBorders>
              <w:top w:val="nil"/>
              <w:left w:val="nil"/>
              <w:bottom w:val="nil"/>
              <w:right w:val="nil"/>
            </w:tcBorders>
            <w:vAlign w:val="center"/>
            <w:hideMark/>
          </w:tcPr>
          <w:p w:rsidR="00E204F8" w:rsidRPr="00766A30" w:rsidRDefault="00E204F8" w:rsidP="00E204F8">
            <w:pPr>
              <w:spacing w:after="0" w:line="240" w:lineRule="auto"/>
              <w:jc w:val="both"/>
              <w:rPr>
                <w:rFonts w:ascii="Times New Roman" w:hAnsi="Times New Roman"/>
                <w:sz w:val="20"/>
                <w:szCs w:val="20"/>
              </w:rPr>
            </w:pPr>
            <w:r w:rsidRPr="00766A30">
              <w:rPr>
                <w:rFonts w:ascii="Times New Roman" w:hAnsi="Times New Roman"/>
                <w:sz w:val="20"/>
                <w:szCs w:val="20"/>
              </w:rPr>
              <w:t>0.50460</w:t>
            </w:r>
          </w:p>
        </w:tc>
        <w:tc>
          <w:tcPr>
            <w:tcW w:w="1170" w:type="dxa"/>
            <w:tcBorders>
              <w:top w:val="nil"/>
              <w:left w:val="nil"/>
              <w:bottom w:val="nil"/>
              <w:right w:val="nil"/>
            </w:tcBorders>
            <w:vAlign w:val="center"/>
            <w:hideMark/>
          </w:tcPr>
          <w:p w:rsidR="00E204F8" w:rsidRPr="00766A30" w:rsidRDefault="00E204F8" w:rsidP="00E204F8">
            <w:pPr>
              <w:spacing w:after="0" w:line="240" w:lineRule="auto"/>
              <w:jc w:val="both"/>
              <w:rPr>
                <w:rFonts w:ascii="Times New Roman" w:hAnsi="Times New Roman"/>
                <w:sz w:val="20"/>
                <w:szCs w:val="20"/>
              </w:rPr>
            </w:pPr>
            <w:r w:rsidRPr="00766A30">
              <w:rPr>
                <w:rFonts w:ascii="Times New Roman" w:hAnsi="Times New Roman"/>
                <w:sz w:val="20"/>
                <w:szCs w:val="20"/>
              </w:rPr>
              <w:t>0.08497</w:t>
            </w:r>
          </w:p>
        </w:tc>
        <w:tc>
          <w:tcPr>
            <w:tcW w:w="1260" w:type="dxa"/>
            <w:tcBorders>
              <w:top w:val="nil"/>
              <w:left w:val="nil"/>
              <w:bottom w:val="nil"/>
              <w:right w:val="nil"/>
            </w:tcBorders>
            <w:vAlign w:val="center"/>
            <w:hideMark/>
          </w:tcPr>
          <w:p w:rsidR="00E204F8" w:rsidRPr="00766A30" w:rsidRDefault="00E204F8" w:rsidP="00E204F8">
            <w:pPr>
              <w:spacing w:after="0" w:line="240" w:lineRule="auto"/>
              <w:jc w:val="both"/>
              <w:rPr>
                <w:rFonts w:ascii="Times New Roman" w:hAnsi="Times New Roman"/>
                <w:sz w:val="20"/>
                <w:szCs w:val="20"/>
              </w:rPr>
            </w:pPr>
            <w:r w:rsidRPr="00766A30">
              <w:rPr>
                <w:rFonts w:ascii="Times New Roman" w:hAnsi="Times New Roman"/>
                <w:sz w:val="20"/>
                <w:szCs w:val="20"/>
              </w:rPr>
              <w:t>0.03316</w:t>
            </w:r>
          </w:p>
        </w:tc>
        <w:tc>
          <w:tcPr>
            <w:tcW w:w="1080" w:type="dxa"/>
            <w:tcBorders>
              <w:top w:val="nil"/>
              <w:left w:val="nil"/>
              <w:bottom w:val="nil"/>
              <w:right w:val="nil"/>
            </w:tcBorders>
            <w:vAlign w:val="center"/>
            <w:hideMark/>
          </w:tcPr>
          <w:p w:rsidR="00E204F8" w:rsidRPr="00766A30" w:rsidRDefault="00E204F8" w:rsidP="00E204F8">
            <w:pPr>
              <w:spacing w:after="0" w:line="240" w:lineRule="auto"/>
              <w:jc w:val="both"/>
              <w:rPr>
                <w:rFonts w:ascii="Times New Roman" w:hAnsi="Times New Roman"/>
                <w:sz w:val="20"/>
                <w:szCs w:val="20"/>
              </w:rPr>
            </w:pPr>
            <w:r>
              <w:rPr>
                <w:rFonts w:ascii="Times New Roman" w:hAnsi="Times New Roman"/>
                <w:sz w:val="20"/>
                <w:szCs w:val="20"/>
              </w:rPr>
              <w:t>0.04375</w:t>
            </w:r>
          </w:p>
        </w:tc>
      </w:tr>
      <w:tr w:rsidR="00E204F8" w:rsidRPr="00E204F8" w:rsidTr="004013FA">
        <w:trPr>
          <w:trHeight w:val="273"/>
        </w:trPr>
        <w:tc>
          <w:tcPr>
            <w:tcW w:w="2538" w:type="dxa"/>
            <w:tcBorders>
              <w:top w:val="nil"/>
              <w:left w:val="nil"/>
              <w:bottom w:val="nil"/>
              <w:right w:val="nil"/>
            </w:tcBorders>
            <w:vAlign w:val="center"/>
          </w:tcPr>
          <w:p w:rsidR="00E204F8" w:rsidRPr="00E204F8" w:rsidRDefault="00E204F8" w:rsidP="00E204F8">
            <w:pPr>
              <w:spacing w:after="0" w:line="240" w:lineRule="auto"/>
              <w:jc w:val="both"/>
              <w:rPr>
                <w:rFonts w:ascii="Times New Roman" w:hAnsi="Times New Roman"/>
                <w:sz w:val="20"/>
                <w:szCs w:val="20"/>
              </w:rPr>
            </w:pPr>
            <w:r w:rsidRPr="00E204F8">
              <w:rPr>
                <w:rFonts w:ascii="Times New Roman" w:hAnsi="Times New Roman"/>
                <w:sz w:val="20"/>
                <w:szCs w:val="20"/>
              </w:rPr>
              <w:t>*Benzo(a)anthracene</w:t>
            </w:r>
          </w:p>
        </w:tc>
        <w:tc>
          <w:tcPr>
            <w:tcW w:w="1170" w:type="dxa"/>
            <w:tcBorders>
              <w:top w:val="nil"/>
              <w:left w:val="nil"/>
              <w:bottom w:val="nil"/>
              <w:right w:val="nil"/>
            </w:tcBorders>
            <w:vAlign w:val="center"/>
          </w:tcPr>
          <w:p w:rsidR="00E204F8" w:rsidRPr="00E204F8" w:rsidRDefault="00E204F8" w:rsidP="00E204F8">
            <w:pPr>
              <w:spacing w:after="0" w:line="240" w:lineRule="auto"/>
              <w:jc w:val="both"/>
              <w:rPr>
                <w:rFonts w:ascii="Times New Roman" w:hAnsi="Times New Roman"/>
                <w:sz w:val="20"/>
                <w:szCs w:val="20"/>
              </w:rPr>
            </w:pPr>
            <w:r w:rsidRPr="00E204F8">
              <w:rPr>
                <w:rFonts w:ascii="Times New Roman" w:hAnsi="Times New Roman"/>
                <w:sz w:val="20"/>
                <w:szCs w:val="20"/>
              </w:rPr>
              <w:t>0.00912</w:t>
            </w:r>
          </w:p>
        </w:tc>
        <w:tc>
          <w:tcPr>
            <w:tcW w:w="1260" w:type="dxa"/>
            <w:tcBorders>
              <w:top w:val="nil"/>
              <w:left w:val="nil"/>
              <w:bottom w:val="nil"/>
              <w:right w:val="nil"/>
            </w:tcBorders>
            <w:vAlign w:val="center"/>
          </w:tcPr>
          <w:p w:rsidR="00E204F8" w:rsidRPr="00E204F8" w:rsidRDefault="00E204F8" w:rsidP="00E204F8">
            <w:pPr>
              <w:spacing w:after="0" w:line="240" w:lineRule="auto"/>
              <w:jc w:val="both"/>
              <w:rPr>
                <w:rFonts w:ascii="Times New Roman" w:hAnsi="Times New Roman"/>
                <w:sz w:val="20"/>
                <w:szCs w:val="20"/>
              </w:rPr>
            </w:pPr>
            <w:r w:rsidRPr="00E204F8">
              <w:rPr>
                <w:rFonts w:ascii="Times New Roman" w:hAnsi="Times New Roman"/>
                <w:sz w:val="20"/>
                <w:szCs w:val="20"/>
              </w:rPr>
              <w:t>0.50826</w:t>
            </w:r>
          </w:p>
        </w:tc>
        <w:tc>
          <w:tcPr>
            <w:tcW w:w="1170" w:type="dxa"/>
            <w:tcBorders>
              <w:top w:val="nil"/>
              <w:left w:val="nil"/>
              <w:bottom w:val="nil"/>
              <w:right w:val="nil"/>
            </w:tcBorders>
            <w:vAlign w:val="center"/>
          </w:tcPr>
          <w:p w:rsidR="00E204F8" w:rsidRPr="00E204F8" w:rsidRDefault="00E204F8" w:rsidP="00E204F8">
            <w:pPr>
              <w:spacing w:after="0" w:line="240" w:lineRule="auto"/>
              <w:jc w:val="both"/>
              <w:rPr>
                <w:rFonts w:ascii="Times New Roman" w:hAnsi="Times New Roman"/>
                <w:sz w:val="20"/>
                <w:szCs w:val="20"/>
              </w:rPr>
            </w:pPr>
            <w:r w:rsidRPr="00E204F8">
              <w:rPr>
                <w:rFonts w:ascii="Times New Roman" w:hAnsi="Times New Roman"/>
                <w:sz w:val="20"/>
                <w:szCs w:val="20"/>
              </w:rPr>
              <w:t>0.06995</w:t>
            </w:r>
          </w:p>
        </w:tc>
        <w:tc>
          <w:tcPr>
            <w:tcW w:w="1260" w:type="dxa"/>
            <w:tcBorders>
              <w:top w:val="nil"/>
              <w:left w:val="nil"/>
              <w:bottom w:val="nil"/>
              <w:right w:val="nil"/>
            </w:tcBorders>
            <w:vAlign w:val="center"/>
          </w:tcPr>
          <w:p w:rsidR="00E204F8" w:rsidRPr="00E204F8" w:rsidRDefault="004013FA" w:rsidP="00E204F8">
            <w:pPr>
              <w:spacing w:after="0" w:line="240" w:lineRule="auto"/>
              <w:jc w:val="both"/>
              <w:rPr>
                <w:rFonts w:ascii="Times New Roman" w:hAnsi="Times New Roman"/>
                <w:sz w:val="20"/>
                <w:szCs w:val="20"/>
              </w:rPr>
            </w:pPr>
            <w:r>
              <w:rPr>
                <w:rFonts w:ascii="Times New Roman" w:hAnsi="Times New Roman"/>
                <w:sz w:val="20"/>
                <w:szCs w:val="20"/>
              </w:rPr>
              <w:t>0.02989</w:t>
            </w:r>
          </w:p>
        </w:tc>
        <w:tc>
          <w:tcPr>
            <w:tcW w:w="1080" w:type="dxa"/>
            <w:tcBorders>
              <w:top w:val="nil"/>
              <w:left w:val="nil"/>
              <w:bottom w:val="nil"/>
              <w:right w:val="nil"/>
            </w:tcBorders>
            <w:vAlign w:val="center"/>
          </w:tcPr>
          <w:p w:rsidR="00E204F8" w:rsidRPr="00E204F8" w:rsidRDefault="00E204F8" w:rsidP="00E204F8">
            <w:pPr>
              <w:spacing w:after="0" w:line="240" w:lineRule="auto"/>
              <w:jc w:val="both"/>
              <w:rPr>
                <w:rFonts w:ascii="Times New Roman" w:hAnsi="Times New Roman"/>
                <w:sz w:val="20"/>
                <w:szCs w:val="20"/>
              </w:rPr>
            </w:pPr>
            <w:r>
              <w:rPr>
                <w:rFonts w:ascii="Times New Roman" w:hAnsi="Times New Roman"/>
                <w:sz w:val="20"/>
                <w:szCs w:val="20"/>
              </w:rPr>
              <w:t>0.03968</w:t>
            </w:r>
          </w:p>
        </w:tc>
      </w:tr>
      <w:tr w:rsidR="00E204F8" w:rsidRPr="00DB6CEF" w:rsidTr="00BD3D50">
        <w:trPr>
          <w:trHeight w:val="255"/>
        </w:trPr>
        <w:tc>
          <w:tcPr>
            <w:tcW w:w="2538" w:type="dxa"/>
            <w:tcBorders>
              <w:top w:val="nil"/>
              <w:left w:val="nil"/>
              <w:bottom w:val="nil"/>
              <w:right w:val="nil"/>
            </w:tcBorders>
            <w:vAlign w:val="center"/>
            <w:hideMark/>
          </w:tcPr>
          <w:p w:rsidR="00E204F8" w:rsidRPr="00DB6CEF" w:rsidRDefault="00E204F8" w:rsidP="00E204F8">
            <w:pPr>
              <w:spacing w:after="0" w:line="240" w:lineRule="auto"/>
              <w:jc w:val="both"/>
              <w:rPr>
                <w:rFonts w:ascii="Times New Roman" w:hAnsi="Times New Roman"/>
                <w:sz w:val="20"/>
                <w:szCs w:val="20"/>
              </w:rPr>
            </w:pPr>
            <w:r w:rsidRPr="00DB6CEF">
              <w:rPr>
                <w:rFonts w:ascii="Times New Roman" w:hAnsi="Times New Roman"/>
                <w:sz w:val="20"/>
                <w:szCs w:val="20"/>
              </w:rPr>
              <w:t>*Chrysene</w:t>
            </w:r>
          </w:p>
        </w:tc>
        <w:tc>
          <w:tcPr>
            <w:tcW w:w="1170" w:type="dxa"/>
            <w:tcBorders>
              <w:top w:val="nil"/>
              <w:left w:val="nil"/>
              <w:bottom w:val="nil"/>
              <w:right w:val="nil"/>
            </w:tcBorders>
            <w:vAlign w:val="center"/>
            <w:hideMark/>
          </w:tcPr>
          <w:p w:rsidR="00E204F8" w:rsidRPr="00766A30" w:rsidRDefault="00E204F8" w:rsidP="00E204F8">
            <w:pPr>
              <w:spacing w:after="0" w:line="240" w:lineRule="auto"/>
              <w:jc w:val="both"/>
              <w:rPr>
                <w:rFonts w:ascii="Times New Roman" w:hAnsi="Times New Roman"/>
                <w:sz w:val="20"/>
                <w:szCs w:val="20"/>
              </w:rPr>
            </w:pPr>
            <w:r w:rsidRPr="00766A30">
              <w:rPr>
                <w:rFonts w:ascii="Times New Roman" w:hAnsi="Times New Roman"/>
                <w:sz w:val="20"/>
                <w:szCs w:val="20"/>
              </w:rPr>
              <w:t>0.02218</w:t>
            </w:r>
          </w:p>
        </w:tc>
        <w:tc>
          <w:tcPr>
            <w:tcW w:w="1260" w:type="dxa"/>
            <w:tcBorders>
              <w:top w:val="nil"/>
              <w:left w:val="nil"/>
              <w:bottom w:val="nil"/>
              <w:right w:val="nil"/>
            </w:tcBorders>
            <w:vAlign w:val="center"/>
            <w:hideMark/>
          </w:tcPr>
          <w:p w:rsidR="00E204F8" w:rsidRPr="00766A30" w:rsidRDefault="00E204F8" w:rsidP="00E204F8">
            <w:pPr>
              <w:spacing w:after="0" w:line="240" w:lineRule="auto"/>
              <w:jc w:val="both"/>
              <w:rPr>
                <w:rFonts w:ascii="Times New Roman" w:hAnsi="Times New Roman"/>
                <w:sz w:val="20"/>
                <w:szCs w:val="20"/>
              </w:rPr>
            </w:pPr>
            <w:r w:rsidRPr="00766A30">
              <w:rPr>
                <w:rFonts w:ascii="Times New Roman" w:hAnsi="Times New Roman"/>
                <w:sz w:val="20"/>
                <w:szCs w:val="20"/>
              </w:rPr>
              <w:t>0.32248</w:t>
            </w:r>
          </w:p>
        </w:tc>
        <w:tc>
          <w:tcPr>
            <w:tcW w:w="1170" w:type="dxa"/>
            <w:tcBorders>
              <w:top w:val="nil"/>
              <w:left w:val="nil"/>
              <w:bottom w:val="nil"/>
              <w:right w:val="nil"/>
            </w:tcBorders>
            <w:vAlign w:val="center"/>
            <w:hideMark/>
          </w:tcPr>
          <w:p w:rsidR="00E204F8" w:rsidRPr="00766A30" w:rsidRDefault="00E204F8" w:rsidP="00E204F8">
            <w:pPr>
              <w:spacing w:after="0" w:line="240" w:lineRule="auto"/>
              <w:jc w:val="both"/>
              <w:rPr>
                <w:rFonts w:ascii="Times New Roman" w:hAnsi="Times New Roman"/>
                <w:sz w:val="20"/>
                <w:szCs w:val="20"/>
              </w:rPr>
            </w:pPr>
            <w:r w:rsidRPr="00766A30">
              <w:rPr>
                <w:rFonts w:ascii="Times New Roman" w:hAnsi="Times New Roman"/>
                <w:sz w:val="20"/>
                <w:szCs w:val="20"/>
              </w:rPr>
              <w:t>0.01463</w:t>
            </w:r>
          </w:p>
        </w:tc>
        <w:tc>
          <w:tcPr>
            <w:tcW w:w="1260" w:type="dxa"/>
            <w:tcBorders>
              <w:top w:val="nil"/>
              <w:left w:val="nil"/>
              <w:bottom w:val="nil"/>
              <w:right w:val="nil"/>
            </w:tcBorders>
            <w:vAlign w:val="center"/>
            <w:hideMark/>
          </w:tcPr>
          <w:p w:rsidR="00E204F8" w:rsidRPr="00766A30" w:rsidRDefault="00E204F8" w:rsidP="00E204F8">
            <w:pPr>
              <w:spacing w:after="0" w:line="240" w:lineRule="auto"/>
              <w:jc w:val="both"/>
              <w:rPr>
                <w:rFonts w:ascii="Times New Roman" w:hAnsi="Times New Roman"/>
                <w:sz w:val="20"/>
                <w:szCs w:val="20"/>
              </w:rPr>
            </w:pPr>
            <w:r w:rsidRPr="00766A30">
              <w:rPr>
                <w:rFonts w:ascii="Times New Roman" w:hAnsi="Times New Roman"/>
                <w:sz w:val="20"/>
                <w:szCs w:val="20"/>
              </w:rPr>
              <w:t>0.03913</w:t>
            </w:r>
          </w:p>
        </w:tc>
        <w:tc>
          <w:tcPr>
            <w:tcW w:w="1080" w:type="dxa"/>
            <w:tcBorders>
              <w:top w:val="nil"/>
              <w:left w:val="nil"/>
              <w:bottom w:val="nil"/>
              <w:right w:val="nil"/>
            </w:tcBorders>
            <w:vAlign w:val="center"/>
            <w:hideMark/>
          </w:tcPr>
          <w:p w:rsidR="00E204F8" w:rsidRPr="00766A30" w:rsidRDefault="00E204F8" w:rsidP="00E204F8">
            <w:pPr>
              <w:spacing w:after="0" w:line="240" w:lineRule="auto"/>
              <w:jc w:val="both"/>
              <w:rPr>
                <w:rFonts w:ascii="Times New Roman" w:hAnsi="Times New Roman"/>
                <w:sz w:val="20"/>
                <w:szCs w:val="20"/>
              </w:rPr>
            </w:pPr>
            <w:r w:rsidRPr="00766A30">
              <w:rPr>
                <w:rFonts w:ascii="Times New Roman" w:hAnsi="Times New Roman"/>
                <w:sz w:val="20"/>
                <w:szCs w:val="20"/>
              </w:rPr>
              <w:t>0.01569</w:t>
            </w:r>
          </w:p>
        </w:tc>
      </w:tr>
      <w:tr w:rsidR="004013FA" w:rsidRPr="004013FA" w:rsidTr="00BD3D50">
        <w:trPr>
          <w:trHeight w:val="363"/>
        </w:trPr>
        <w:tc>
          <w:tcPr>
            <w:tcW w:w="2538" w:type="dxa"/>
            <w:tcBorders>
              <w:top w:val="nil"/>
              <w:left w:val="nil"/>
              <w:bottom w:val="nil"/>
              <w:right w:val="nil"/>
            </w:tcBorders>
            <w:vAlign w:val="center"/>
          </w:tcPr>
          <w:p w:rsidR="004013FA" w:rsidRPr="004013FA" w:rsidRDefault="004013FA" w:rsidP="004013FA">
            <w:pPr>
              <w:spacing w:after="0" w:line="240" w:lineRule="auto"/>
              <w:jc w:val="both"/>
              <w:rPr>
                <w:rFonts w:ascii="Times New Roman" w:hAnsi="Times New Roman"/>
                <w:sz w:val="20"/>
                <w:szCs w:val="20"/>
              </w:rPr>
            </w:pPr>
            <w:r w:rsidRPr="004013FA">
              <w:rPr>
                <w:rFonts w:ascii="Times New Roman" w:hAnsi="Times New Roman"/>
                <w:sz w:val="20"/>
                <w:szCs w:val="20"/>
              </w:rPr>
              <w:t>*Benzo(k)fluoranthene</w:t>
            </w:r>
          </w:p>
        </w:tc>
        <w:tc>
          <w:tcPr>
            <w:tcW w:w="1170" w:type="dxa"/>
            <w:tcBorders>
              <w:top w:val="nil"/>
              <w:left w:val="nil"/>
              <w:bottom w:val="nil"/>
              <w:right w:val="nil"/>
            </w:tcBorders>
            <w:vAlign w:val="center"/>
          </w:tcPr>
          <w:p w:rsidR="004013FA" w:rsidRPr="004013FA" w:rsidRDefault="004013FA" w:rsidP="004013FA">
            <w:pPr>
              <w:spacing w:after="0" w:line="240" w:lineRule="auto"/>
              <w:jc w:val="both"/>
              <w:rPr>
                <w:rFonts w:ascii="Times New Roman" w:hAnsi="Times New Roman"/>
                <w:sz w:val="20"/>
                <w:szCs w:val="20"/>
              </w:rPr>
            </w:pPr>
            <w:r w:rsidRPr="004013FA">
              <w:rPr>
                <w:rFonts w:ascii="Times New Roman" w:hAnsi="Times New Roman"/>
                <w:sz w:val="20"/>
                <w:szCs w:val="20"/>
              </w:rPr>
              <w:t>0.01693</w:t>
            </w:r>
          </w:p>
        </w:tc>
        <w:tc>
          <w:tcPr>
            <w:tcW w:w="1260" w:type="dxa"/>
            <w:tcBorders>
              <w:top w:val="nil"/>
              <w:left w:val="nil"/>
              <w:bottom w:val="nil"/>
              <w:right w:val="nil"/>
            </w:tcBorders>
            <w:vAlign w:val="center"/>
          </w:tcPr>
          <w:p w:rsidR="004013FA" w:rsidRPr="004013FA" w:rsidRDefault="004013FA" w:rsidP="004013FA">
            <w:pPr>
              <w:spacing w:after="0" w:line="240" w:lineRule="auto"/>
              <w:jc w:val="both"/>
              <w:rPr>
                <w:rFonts w:ascii="Times New Roman" w:hAnsi="Times New Roman"/>
                <w:sz w:val="20"/>
                <w:szCs w:val="20"/>
              </w:rPr>
            </w:pPr>
            <w:r w:rsidRPr="004013FA">
              <w:rPr>
                <w:rFonts w:ascii="Times New Roman" w:hAnsi="Times New Roman"/>
                <w:sz w:val="20"/>
                <w:szCs w:val="20"/>
              </w:rPr>
              <w:t>0.34572</w:t>
            </w:r>
          </w:p>
        </w:tc>
        <w:tc>
          <w:tcPr>
            <w:tcW w:w="1170" w:type="dxa"/>
            <w:tcBorders>
              <w:top w:val="nil"/>
              <w:left w:val="nil"/>
              <w:bottom w:val="nil"/>
              <w:right w:val="nil"/>
            </w:tcBorders>
            <w:vAlign w:val="center"/>
          </w:tcPr>
          <w:p w:rsidR="004013FA" w:rsidRPr="004013FA" w:rsidRDefault="004013FA" w:rsidP="004013FA">
            <w:pPr>
              <w:spacing w:after="0" w:line="240" w:lineRule="auto"/>
              <w:jc w:val="both"/>
              <w:rPr>
                <w:rFonts w:ascii="Times New Roman" w:hAnsi="Times New Roman"/>
                <w:sz w:val="20"/>
                <w:szCs w:val="20"/>
              </w:rPr>
            </w:pPr>
            <w:r w:rsidRPr="004013FA">
              <w:rPr>
                <w:rFonts w:ascii="Times New Roman" w:hAnsi="Times New Roman"/>
                <w:sz w:val="20"/>
                <w:szCs w:val="20"/>
              </w:rPr>
              <w:t>0.04902</w:t>
            </w:r>
          </w:p>
        </w:tc>
        <w:tc>
          <w:tcPr>
            <w:tcW w:w="1260" w:type="dxa"/>
            <w:tcBorders>
              <w:top w:val="nil"/>
              <w:left w:val="nil"/>
              <w:bottom w:val="nil"/>
              <w:right w:val="nil"/>
            </w:tcBorders>
            <w:vAlign w:val="center"/>
          </w:tcPr>
          <w:p w:rsidR="004013FA" w:rsidRPr="004013FA" w:rsidRDefault="00BD3D50" w:rsidP="004013FA">
            <w:pPr>
              <w:spacing w:after="0" w:line="240" w:lineRule="auto"/>
              <w:jc w:val="both"/>
              <w:rPr>
                <w:rFonts w:ascii="Times New Roman" w:hAnsi="Times New Roman"/>
                <w:sz w:val="20"/>
                <w:szCs w:val="20"/>
              </w:rPr>
            </w:pPr>
            <w:r>
              <w:rPr>
                <w:rFonts w:ascii="Times New Roman" w:hAnsi="Times New Roman"/>
                <w:sz w:val="20"/>
                <w:szCs w:val="20"/>
              </w:rPr>
              <w:t>0.01018</w:t>
            </w:r>
          </w:p>
        </w:tc>
        <w:tc>
          <w:tcPr>
            <w:tcW w:w="1080" w:type="dxa"/>
            <w:tcBorders>
              <w:top w:val="nil"/>
              <w:left w:val="nil"/>
              <w:bottom w:val="nil"/>
              <w:right w:val="nil"/>
            </w:tcBorders>
            <w:vAlign w:val="center"/>
          </w:tcPr>
          <w:p w:rsidR="004013FA" w:rsidRPr="004013FA" w:rsidRDefault="00BD3D50" w:rsidP="004013FA">
            <w:pPr>
              <w:spacing w:after="0" w:line="240" w:lineRule="auto"/>
              <w:jc w:val="both"/>
              <w:rPr>
                <w:rFonts w:ascii="Times New Roman" w:hAnsi="Times New Roman"/>
                <w:sz w:val="20"/>
                <w:szCs w:val="20"/>
              </w:rPr>
            </w:pPr>
            <w:r>
              <w:rPr>
                <w:rFonts w:ascii="Times New Roman" w:hAnsi="Times New Roman"/>
                <w:sz w:val="20"/>
                <w:szCs w:val="20"/>
              </w:rPr>
              <w:t>0.01948</w:t>
            </w:r>
          </w:p>
        </w:tc>
      </w:tr>
      <w:tr w:rsidR="004013FA" w:rsidRPr="004013FA" w:rsidTr="00F245E3">
        <w:trPr>
          <w:trHeight w:val="144"/>
        </w:trPr>
        <w:tc>
          <w:tcPr>
            <w:tcW w:w="2538" w:type="dxa"/>
            <w:tcBorders>
              <w:top w:val="nil"/>
              <w:left w:val="nil"/>
              <w:bottom w:val="nil"/>
              <w:right w:val="nil"/>
            </w:tcBorders>
            <w:vAlign w:val="center"/>
          </w:tcPr>
          <w:p w:rsidR="004013FA" w:rsidRPr="004013FA" w:rsidRDefault="004013FA" w:rsidP="004013FA">
            <w:pPr>
              <w:spacing w:after="0" w:line="240" w:lineRule="auto"/>
              <w:jc w:val="both"/>
              <w:rPr>
                <w:rFonts w:ascii="Times New Roman" w:hAnsi="Times New Roman"/>
                <w:sz w:val="20"/>
                <w:szCs w:val="20"/>
              </w:rPr>
            </w:pPr>
            <w:r w:rsidRPr="004013FA">
              <w:rPr>
                <w:rFonts w:ascii="Times New Roman" w:hAnsi="Times New Roman"/>
                <w:sz w:val="20"/>
                <w:szCs w:val="20"/>
              </w:rPr>
              <w:t>*Benzo(b)fluoranthene</w:t>
            </w:r>
          </w:p>
        </w:tc>
        <w:tc>
          <w:tcPr>
            <w:tcW w:w="1170" w:type="dxa"/>
            <w:tcBorders>
              <w:top w:val="nil"/>
              <w:left w:val="nil"/>
              <w:bottom w:val="nil"/>
              <w:right w:val="nil"/>
            </w:tcBorders>
            <w:vAlign w:val="center"/>
          </w:tcPr>
          <w:p w:rsidR="004013FA" w:rsidRPr="004013FA" w:rsidRDefault="004013FA" w:rsidP="004013FA">
            <w:pPr>
              <w:spacing w:after="0" w:line="240" w:lineRule="auto"/>
              <w:jc w:val="both"/>
              <w:rPr>
                <w:rFonts w:ascii="Times New Roman" w:hAnsi="Times New Roman"/>
                <w:sz w:val="20"/>
                <w:szCs w:val="20"/>
              </w:rPr>
            </w:pPr>
            <w:r w:rsidRPr="004013FA">
              <w:rPr>
                <w:rFonts w:ascii="Times New Roman" w:hAnsi="Times New Roman"/>
                <w:sz w:val="20"/>
                <w:szCs w:val="20"/>
              </w:rPr>
              <w:t>0.00042</w:t>
            </w:r>
          </w:p>
        </w:tc>
        <w:tc>
          <w:tcPr>
            <w:tcW w:w="1260" w:type="dxa"/>
            <w:tcBorders>
              <w:top w:val="nil"/>
              <w:left w:val="nil"/>
              <w:bottom w:val="nil"/>
              <w:right w:val="nil"/>
            </w:tcBorders>
            <w:vAlign w:val="center"/>
          </w:tcPr>
          <w:p w:rsidR="004013FA" w:rsidRPr="004013FA" w:rsidRDefault="004013FA" w:rsidP="004013FA">
            <w:pPr>
              <w:spacing w:after="0" w:line="240" w:lineRule="auto"/>
              <w:jc w:val="both"/>
              <w:rPr>
                <w:rFonts w:ascii="Times New Roman" w:hAnsi="Times New Roman"/>
                <w:sz w:val="20"/>
                <w:szCs w:val="20"/>
              </w:rPr>
            </w:pPr>
            <w:r w:rsidRPr="004013FA">
              <w:rPr>
                <w:rFonts w:ascii="Times New Roman" w:hAnsi="Times New Roman"/>
                <w:sz w:val="20"/>
                <w:szCs w:val="20"/>
              </w:rPr>
              <w:t>0.00987</w:t>
            </w:r>
          </w:p>
        </w:tc>
        <w:tc>
          <w:tcPr>
            <w:tcW w:w="1170" w:type="dxa"/>
            <w:tcBorders>
              <w:top w:val="nil"/>
              <w:left w:val="nil"/>
              <w:bottom w:val="nil"/>
              <w:right w:val="nil"/>
            </w:tcBorders>
            <w:vAlign w:val="center"/>
          </w:tcPr>
          <w:p w:rsidR="004013FA" w:rsidRPr="004013FA" w:rsidRDefault="004013FA" w:rsidP="004013FA">
            <w:pPr>
              <w:spacing w:after="0" w:line="240" w:lineRule="auto"/>
              <w:jc w:val="both"/>
              <w:rPr>
                <w:rFonts w:ascii="Times New Roman" w:hAnsi="Times New Roman"/>
                <w:sz w:val="20"/>
                <w:szCs w:val="20"/>
              </w:rPr>
            </w:pPr>
            <w:r w:rsidRPr="004013FA">
              <w:rPr>
                <w:rFonts w:ascii="Times New Roman" w:hAnsi="Times New Roman"/>
                <w:sz w:val="20"/>
                <w:szCs w:val="20"/>
              </w:rPr>
              <w:t>0.03493</w:t>
            </w:r>
          </w:p>
        </w:tc>
        <w:tc>
          <w:tcPr>
            <w:tcW w:w="1260" w:type="dxa"/>
            <w:tcBorders>
              <w:top w:val="nil"/>
              <w:left w:val="nil"/>
              <w:bottom w:val="nil"/>
              <w:right w:val="nil"/>
            </w:tcBorders>
            <w:vAlign w:val="center"/>
          </w:tcPr>
          <w:p w:rsidR="004013FA" w:rsidRPr="004013FA" w:rsidRDefault="004013FA" w:rsidP="004013FA">
            <w:pPr>
              <w:spacing w:after="0" w:line="240" w:lineRule="auto"/>
              <w:jc w:val="both"/>
              <w:rPr>
                <w:rFonts w:ascii="Times New Roman" w:hAnsi="Times New Roman"/>
                <w:sz w:val="20"/>
                <w:szCs w:val="20"/>
              </w:rPr>
            </w:pPr>
            <w:r>
              <w:rPr>
                <w:rFonts w:ascii="Times New Roman" w:hAnsi="Times New Roman"/>
                <w:sz w:val="20"/>
                <w:szCs w:val="20"/>
              </w:rPr>
              <w:t>0.00116</w:t>
            </w:r>
          </w:p>
        </w:tc>
        <w:tc>
          <w:tcPr>
            <w:tcW w:w="1080" w:type="dxa"/>
            <w:tcBorders>
              <w:top w:val="nil"/>
              <w:left w:val="nil"/>
              <w:bottom w:val="nil"/>
              <w:right w:val="nil"/>
            </w:tcBorders>
            <w:vAlign w:val="center"/>
          </w:tcPr>
          <w:p w:rsidR="004013FA" w:rsidRPr="004013FA" w:rsidRDefault="004013FA" w:rsidP="004013FA">
            <w:pPr>
              <w:spacing w:after="0" w:line="240" w:lineRule="auto"/>
              <w:jc w:val="both"/>
              <w:rPr>
                <w:rFonts w:ascii="Times New Roman" w:hAnsi="Times New Roman"/>
                <w:sz w:val="20"/>
                <w:szCs w:val="20"/>
              </w:rPr>
            </w:pPr>
            <w:r w:rsidRPr="004013FA">
              <w:rPr>
                <w:rFonts w:ascii="Times New Roman" w:hAnsi="Times New Roman"/>
                <w:sz w:val="20"/>
                <w:szCs w:val="20"/>
              </w:rPr>
              <w:t>0.02500</w:t>
            </w:r>
          </w:p>
        </w:tc>
      </w:tr>
      <w:tr w:rsidR="004013FA" w:rsidRPr="00DB6CEF" w:rsidTr="00F245E3">
        <w:trPr>
          <w:trHeight w:val="144"/>
        </w:trPr>
        <w:tc>
          <w:tcPr>
            <w:tcW w:w="2538" w:type="dxa"/>
            <w:tcBorders>
              <w:top w:val="nil"/>
              <w:left w:val="nil"/>
              <w:bottom w:val="nil"/>
              <w:right w:val="nil"/>
            </w:tcBorders>
            <w:vAlign w:val="center"/>
            <w:hideMark/>
          </w:tcPr>
          <w:p w:rsidR="004013FA" w:rsidRPr="00DB6CEF" w:rsidRDefault="004013FA" w:rsidP="004013FA">
            <w:pPr>
              <w:spacing w:after="0" w:line="240" w:lineRule="auto"/>
              <w:jc w:val="both"/>
              <w:rPr>
                <w:rFonts w:ascii="Times New Roman" w:hAnsi="Times New Roman"/>
                <w:sz w:val="20"/>
                <w:szCs w:val="20"/>
              </w:rPr>
            </w:pPr>
            <w:r w:rsidRPr="00DB6CEF">
              <w:rPr>
                <w:rFonts w:ascii="Times New Roman" w:hAnsi="Times New Roman"/>
                <w:sz w:val="20"/>
                <w:szCs w:val="20"/>
              </w:rPr>
              <w:t>*Benzo(a)pyrene</w:t>
            </w:r>
          </w:p>
        </w:tc>
        <w:tc>
          <w:tcPr>
            <w:tcW w:w="1170" w:type="dxa"/>
            <w:tcBorders>
              <w:top w:val="nil"/>
              <w:left w:val="nil"/>
              <w:bottom w:val="nil"/>
              <w:right w:val="nil"/>
            </w:tcBorders>
            <w:vAlign w:val="center"/>
            <w:hideMark/>
          </w:tcPr>
          <w:p w:rsidR="004013FA" w:rsidRPr="00766A30" w:rsidRDefault="004013FA" w:rsidP="004013FA">
            <w:pPr>
              <w:spacing w:after="0" w:line="240" w:lineRule="auto"/>
              <w:jc w:val="both"/>
              <w:rPr>
                <w:rFonts w:ascii="Times New Roman" w:hAnsi="Times New Roman"/>
                <w:sz w:val="20"/>
                <w:szCs w:val="20"/>
              </w:rPr>
            </w:pPr>
            <w:r w:rsidRPr="00766A30">
              <w:rPr>
                <w:rFonts w:ascii="Times New Roman" w:hAnsi="Times New Roman"/>
                <w:sz w:val="20"/>
                <w:szCs w:val="20"/>
              </w:rPr>
              <w:t>0.01489</w:t>
            </w:r>
          </w:p>
        </w:tc>
        <w:tc>
          <w:tcPr>
            <w:tcW w:w="1260" w:type="dxa"/>
            <w:tcBorders>
              <w:top w:val="nil"/>
              <w:left w:val="nil"/>
              <w:bottom w:val="nil"/>
              <w:right w:val="nil"/>
            </w:tcBorders>
            <w:vAlign w:val="center"/>
            <w:hideMark/>
          </w:tcPr>
          <w:p w:rsidR="004013FA" w:rsidRPr="00766A30" w:rsidRDefault="004013FA" w:rsidP="004013FA">
            <w:pPr>
              <w:spacing w:after="0" w:line="240" w:lineRule="auto"/>
              <w:jc w:val="both"/>
              <w:rPr>
                <w:rFonts w:ascii="Times New Roman" w:hAnsi="Times New Roman"/>
                <w:sz w:val="20"/>
                <w:szCs w:val="20"/>
              </w:rPr>
            </w:pPr>
            <w:r w:rsidRPr="00766A30">
              <w:rPr>
                <w:rFonts w:ascii="Times New Roman" w:hAnsi="Times New Roman"/>
                <w:sz w:val="20"/>
                <w:szCs w:val="20"/>
              </w:rPr>
              <w:t>0.28967</w:t>
            </w:r>
          </w:p>
        </w:tc>
        <w:tc>
          <w:tcPr>
            <w:tcW w:w="1170" w:type="dxa"/>
            <w:tcBorders>
              <w:top w:val="nil"/>
              <w:left w:val="nil"/>
              <w:bottom w:val="nil"/>
              <w:right w:val="nil"/>
            </w:tcBorders>
            <w:vAlign w:val="center"/>
            <w:hideMark/>
          </w:tcPr>
          <w:p w:rsidR="004013FA" w:rsidRPr="00766A30" w:rsidRDefault="004013FA" w:rsidP="004013FA">
            <w:pPr>
              <w:spacing w:after="0" w:line="240" w:lineRule="auto"/>
              <w:jc w:val="both"/>
              <w:rPr>
                <w:rFonts w:ascii="Times New Roman" w:hAnsi="Times New Roman"/>
                <w:sz w:val="20"/>
                <w:szCs w:val="20"/>
              </w:rPr>
            </w:pPr>
            <w:r w:rsidRPr="00766A30">
              <w:rPr>
                <w:rFonts w:ascii="Times New Roman" w:hAnsi="Times New Roman"/>
                <w:sz w:val="20"/>
                <w:szCs w:val="20"/>
              </w:rPr>
              <w:t>0.09973</w:t>
            </w:r>
          </w:p>
        </w:tc>
        <w:tc>
          <w:tcPr>
            <w:tcW w:w="1260" w:type="dxa"/>
            <w:tcBorders>
              <w:top w:val="nil"/>
              <w:left w:val="nil"/>
              <w:bottom w:val="nil"/>
              <w:right w:val="nil"/>
            </w:tcBorders>
            <w:vAlign w:val="center"/>
            <w:hideMark/>
          </w:tcPr>
          <w:p w:rsidR="004013FA" w:rsidRPr="00766A30" w:rsidRDefault="004013FA" w:rsidP="004013FA">
            <w:pPr>
              <w:spacing w:after="0" w:line="240" w:lineRule="auto"/>
              <w:jc w:val="both"/>
              <w:rPr>
                <w:rFonts w:ascii="Times New Roman" w:hAnsi="Times New Roman"/>
                <w:sz w:val="20"/>
                <w:szCs w:val="20"/>
              </w:rPr>
            </w:pPr>
            <w:r w:rsidRPr="00766A30">
              <w:rPr>
                <w:rFonts w:ascii="Times New Roman" w:hAnsi="Times New Roman"/>
                <w:sz w:val="20"/>
                <w:szCs w:val="20"/>
              </w:rPr>
              <w:t>0.03157</w:t>
            </w:r>
          </w:p>
        </w:tc>
        <w:tc>
          <w:tcPr>
            <w:tcW w:w="1080" w:type="dxa"/>
            <w:tcBorders>
              <w:top w:val="nil"/>
              <w:left w:val="nil"/>
              <w:bottom w:val="nil"/>
              <w:right w:val="nil"/>
            </w:tcBorders>
            <w:vAlign w:val="center"/>
            <w:hideMark/>
          </w:tcPr>
          <w:p w:rsidR="004013FA" w:rsidRPr="00766A30" w:rsidRDefault="004013FA" w:rsidP="004013FA">
            <w:pPr>
              <w:spacing w:after="0" w:line="240" w:lineRule="auto"/>
              <w:jc w:val="both"/>
              <w:rPr>
                <w:rFonts w:ascii="Times New Roman" w:hAnsi="Times New Roman"/>
                <w:sz w:val="20"/>
                <w:szCs w:val="20"/>
              </w:rPr>
            </w:pPr>
            <w:r w:rsidRPr="00766A30">
              <w:rPr>
                <w:rFonts w:ascii="Times New Roman" w:hAnsi="Times New Roman"/>
                <w:sz w:val="20"/>
                <w:szCs w:val="20"/>
              </w:rPr>
              <w:t>0.06946</w:t>
            </w:r>
          </w:p>
        </w:tc>
      </w:tr>
      <w:tr w:rsidR="004013FA" w:rsidRPr="00DB6CEF" w:rsidTr="004013FA">
        <w:trPr>
          <w:trHeight w:val="327"/>
        </w:trPr>
        <w:tc>
          <w:tcPr>
            <w:tcW w:w="2538" w:type="dxa"/>
            <w:tcBorders>
              <w:top w:val="nil"/>
              <w:left w:val="nil"/>
              <w:bottom w:val="nil"/>
              <w:right w:val="nil"/>
            </w:tcBorders>
            <w:vAlign w:val="center"/>
            <w:hideMark/>
          </w:tcPr>
          <w:p w:rsidR="004013FA" w:rsidRPr="00DB6CEF" w:rsidRDefault="004013FA" w:rsidP="004013FA">
            <w:pPr>
              <w:spacing w:after="0" w:line="240" w:lineRule="auto"/>
              <w:jc w:val="both"/>
              <w:rPr>
                <w:rFonts w:ascii="Times New Roman" w:hAnsi="Times New Roman"/>
                <w:sz w:val="20"/>
                <w:szCs w:val="20"/>
              </w:rPr>
            </w:pPr>
            <w:r w:rsidRPr="00DB6CEF">
              <w:rPr>
                <w:rFonts w:ascii="Times New Roman" w:hAnsi="Times New Roman"/>
                <w:sz w:val="20"/>
                <w:szCs w:val="20"/>
              </w:rPr>
              <w:t>*Indeno(1,2,3cd)pyrene</w:t>
            </w:r>
          </w:p>
        </w:tc>
        <w:tc>
          <w:tcPr>
            <w:tcW w:w="1170" w:type="dxa"/>
            <w:tcBorders>
              <w:top w:val="nil"/>
              <w:left w:val="nil"/>
              <w:bottom w:val="nil"/>
              <w:right w:val="nil"/>
            </w:tcBorders>
            <w:vAlign w:val="center"/>
            <w:hideMark/>
          </w:tcPr>
          <w:p w:rsidR="004013FA" w:rsidRPr="00766A30" w:rsidRDefault="004013FA" w:rsidP="004013FA">
            <w:pPr>
              <w:spacing w:after="0" w:line="240" w:lineRule="auto"/>
              <w:jc w:val="both"/>
              <w:rPr>
                <w:rFonts w:ascii="Times New Roman" w:hAnsi="Times New Roman"/>
                <w:sz w:val="20"/>
                <w:szCs w:val="20"/>
              </w:rPr>
            </w:pPr>
            <w:r w:rsidRPr="00766A30">
              <w:rPr>
                <w:rFonts w:ascii="Times New Roman" w:hAnsi="Times New Roman"/>
                <w:sz w:val="20"/>
                <w:szCs w:val="20"/>
              </w:rPr>
              <w:t>0.00225</w:t>
            </w:r>
          </w:p>
        </w:tc>
        <w:tc>
          <w:tcPr>
            <w:tcW w:w="1260" w:type="dxa"/>
            <w:tcBorders>
              <w:top w:val="nil"/>
              <w:left w:val="nil"/>
              <w:bottom w:val="nil"/>
              <w:right w:val="nil"/>
            </w:tcBorders>
            <w:vAlign w:val="center"/>
            <w:hideMark/>
          </w:tcPr>
          <w:p w:rsidR="004013FA" w:rsidRPr="00766A30" w:rsidRDefault="004013FA" w:rsidP="004013FA">
            <w:pPr>
              <w:spacing w:after="0" w:line="240" w:lineRule="auto"/>
              <w:jc w:val="both"/>
              <w:rPr>
                <w:rFonts w:ascii="Times New Roman" w:hAnsi="Times New Roman"/>
                <w:sz w:val="20"/>
                <w:szCs w:val="20"/>
              </w:rPr>
            </w:pPr>
            <w:r w:rsidRPr="00766A30">
              <w:rPr>
                <w:rFonts w:ascii="Times New Roman" w:hAnsi="Times New Roman"/>
                <w:sz w:val="20"/>
                <w:szCs w:val="20"/>
              </w:rPr>
              <w:t>0.19967</w:t>
            </w:r>
          </w:p>
        </w:tc>
        <w:tc>
          <w:tcPr>
            <w:tcW w:w="1170" w:type="dxa"/>
            <w:tcBorders>
              <w:top w:val="nil"/>
              <w:left w:val="nil"/>
              <w:bottom w:val="nil"/>
              <w:right w:val="nil"/>
            </w:tcBorders>
            <w:vAlign w:val="center"/>
            <w:hideMark/>
          </w:tcPr>
          <w:p w:rsidR="004013FA" w:rsidRPr="00766A30" w:rsidRDefault="004013FA" w:rsidP="004013FA">
            <w:pPr>
              <w:spacing w:after="0" w:line="240" w:lineRule="auto"/>
              <w:jc w:val="both"/>
              <w:rPr>
                <w:rFonts w:ascii="Times New Roman" w:hAnsi="Times New Roman"/>
                <w:sz w:val="20"/>
                <w:szCs w:val="20"/>
              </w:rPr>
            </w:pPr>
            <w:r w:rsidRPr="00766A30">
              <w:rPr>
                <w:rFonts w:ascii="Times New Roman" w:hAnsi="Times New Roman"/>
                <w:sz w:val="20"/>
                <w:szCs w:val="20"/>
              </w:rPr>
              <w:t>0.07969</w:t>
            </w:r>
          </w:p>
        </w:tc>
        <w:tc>
          <w:tcPr>
            <w:tcW w:w="1260" w:type="dxa"/>
            <w:tcBorders>
              <w:top w:val="nil"/>
              <w:left w:val="nil"/>
              <w:bottom w:val="nil"/>
              <w:right w:val="nil"/>
            </w:tcBorders>
            <w:vAlign w:val="center"/>
            <w:hideMark/>
          </w:tcPr>
          <w:p w:rsidR="004013FA" w:rsidRPr="00766A30" w:rsidRDefault="004013FA" w:rsidP="004013FA">
            <w:pPr>
              <w:spacing w:after="0" w:line="240" w:lineRule="auto"/>
              <w:jc w:val="both"/>
              <w:rPr>
                <w:rFonts w:ascii="Times New Roman" w:hAnsi="Times New Roman"/>
                <w:sz w:val="20"/>
                <w:szCs w:val="20"/>
              </w:rPr>
            </w:pPr>
            <w:r w:rsidRPr="00766A30">
              <w:rPr>
                <w:rFonts w:ascii="Times New Roman" w:hAnsi="Times New Roman"/>
                <w:sz w:val="20"/>
                <w:szCs w:val="20"/>
              </w:rPr>
              <w:t>0.02285</w:t>
            </w:r>
          </w:p>
        </w:tc>
        <w:tc>
          <w:tcPr>
            <w:tcW w:w="1080" w:type="dxa"/>
            <w:tcBorders>
              <w:top w:val="nil"/>
              <w:left w:val="nil"/>
              <w:bottom w:val="nil"/>
              <w:right w:val="nil"/>
            </w:tcBorders>
            <w:vAlign w:val="center"/>
            <w:hideMark/>
          </w:tcPr>
          <w:p w:rsidR="004013FA" w:rsidRPr="00766A30" w:rsidRDefault="004013FA" w:rsidP="004013FA">
            <w:pPr>
              <w:spacing w:after="0" w:line="240" w:lineRule="auto"/>
              <w:jc w:val="both"/>
              <w:rPr>
                <w:rFonts w:ascii="Times New Roman" w:hAnsi="Times New Roman"/>
                <w:sz w:val="20"/>
                <w:szCs w:val="20"/>
              </w:rPr>
            </w:pPr>
            <w:r w:rsidRPr="00766A30">
              <w:rPr>
                <w:rFonts w:ascii="Times New Roman" w:hAnsi="Times New Roman"/>
                <w:sz w:val="20"/>
                <w:szCs w:val="20"/>
              </w:rPr>
              <w:t>0.05274</w:t>
            </w:r>
          </w:p>
        </w:tc>
      </w:tr>
      <w:tr w:rsidR="004013FA" w:rsidRPr="00DB6CEF" w:rsidTr="00F245E3">
        <w:trPr>
          <w:trHeight w:val="144"/>
        </w:trPr>
        <w:tc>
          <w:tcPr>
            <w:tcW w:w="2538" w:type="dxa"/>
            <w:tcBorders>
              <w:top w:val="nil"/>
              <w:left w:val="nil"/>
              <w:bottom w:val="nil"/>
              <w:right w:val="nil"/>
            </w:tcBorders>
            <w:vAlign w:val="center"/>
            <w:hideMark/>
          </w:tcPr>
          <w:p w:rsidR="004013FA" w:rsidRPr="00DB6CEF" w:rsidRDefault="004013FA" w:rsidP="004013FA">
            <w:pPr>
              <w:spacing w:after="0" w:line="240" w:lineRule="auto"/>
              <w:jc w:val="both"/>
              <w:rPr>
                <w:rFonts w:ascii="Times New Roman" w:hAnsi="Times New Roman"/>
                <w:sz w:val="20"/>
                <w:szCs w:val="20"/>
              </w:rPr>
            </w:pPr>
            <w:r w:rsidRPr="00DB6CEF">
              <w:rPr>
                <w:rFonts w:ascii="Times New Roman" w:hAnsi="Times New Roman"/>
                <w:sz w:val="20"/>
                <w:szCs w:val="20"/>
              </w:rPr>
              <w:t>*Dibenzo(a,h)anthracene</w:t>
            </w:r>
          </w:p>
        </w:tc>
        <w:tc>
          <w:tcPr>
            <w:tcW w:w="1170" w:type="dxa"/>
            <w:tcBorders>
              <w:top w:val="nil"/>
              <w:left w:val="nil"/>
              <w:bottom w:val="nil"/>
              <w:right w:val="nil"/>
            </w:tcBorders>
            <w:vAlign w:val="center"/>
            <w:hideMark/>
          </w:tcPr>
          <w:p w:rsidR="004013FA" w:rsidRPr="00766A30" w:rsidRDefault="004013FA" w:rsidP="004013FA">
            <w:pPr>
              <w:spacing w:after="0" w:line="240" w:lineRule="auto"/>
              <w:jc w:val="both"/>
              <w:rPr>
                <w:rFonts w:ascii="Times New Roman" w:hAnsi="Times New Roman"/>
                <w:sz w:val="20"/>
                <w:szCs w:val="20"/>
              </w:rPr>
            </w:pPr>
            <w:r w:rsidRPr="00766A30">
              <w:rPr>
                <w:rFonts w:ascii="Times New Roman" w:hAnsi="Times New Roman"/>
                <w:sz w:val="20"/>
                <w:szCs w:val="20"/>
              </w:rPr>
              <w:t>0.00187</w:t>
            </w:r>
          </w:p>
        </w:tc>
        <w:tc>
          <w:tcPr>
            <w:tcW w:w="1260" w:type="dxa"/>
            <w:tcBorders>
              <w:top w:val="nil"/>
              <w:left w:val="nil"/>
              <w:bottom w:val="nil"/>
              <w:right w:val="nil"/>
            </w:tcBorders>
            <w:vAlign w:val="center"/>
            <w:hideMark/>
          </w:tcPr>
          <w:p w:rsidR="004013FA" w:rsidRPr="00766A30" w:rsidRDefault="004013FA" w:rsidP="004013FA">
            <w:pPr>
              <w:spacing w:after="0" w:line="240" w:lineRule="auto"/>
              <w:jc w:val="both"/>
              <w:rPr>
                <w:rFonts w:ascii="Times New Roman" w:hAnsi="Times New Roman"/>
                <w:sz w:val="20"/>
                <w:szCs w:val="20"/>
              </w:rPr>
            </w:pPr>
            <w:r w:rsidRPr="00766A30">
              <w:rPr>
                <w:rFonts w:ascii="Times New Roman" w:hAnsi="Times New Roman"/>
                <w:sz w:val="20"/>
                <w:szCs w:val="20"/>
              </w:rPr>
              <w:t>0.00188</w:t>
            </w:r>
          </w:p>
        </w:tc>
        <w:tc>
          <w:tcPr>
            <w:tcW w:w="1170" w:type="dxa"/>
            <w:tcBorders>
              <w:top w:val="nil"/>
              <w:left w:val="nil"/>
              <w:bottom w:val="nil"/>
              <w:right w:val="nil"/>
            </w:tcBorders>
            <w:vAlign w:val="center"/>
            <w:hideMark/>
          </w:tcPr>
          <w:p w:rsidR="004013FA" w:rsidRPr="00766A30" w:rsidRDefault="004013FA" w:rsidP="004013FA">
            <w:pPr>
              <w:spacing w:after="0" w:line="240" w:lineRule="auto"/>
              <w:jc w:val="both"/>
              <w:rPr>
                <w:rFonts w:ascii="Times New Roman" w:hAnsi="Times New Roman"/>
                <w:sz w:val="20"/>
                <w:szCs w:val="20"/>
              </w:rPr>
            </w:pPr>
            <w:r w:rsidRPr="00766A30">
              <w:rPr>
                <w:rFonts w:ascii="Times New Roman" w:hAnsi="Times New Roman"/>
                <w:sz w:val="20"/>
                <w:szCs w:val="20"/>
              </w:rPr>
              <w:t>0.06760</w:t>
            </w:r>
          </w:p>
        </w:tc>
        <w:tc>
          <w:tcPr>
            <w:tcW w:w="1260" w:type="dxa"/>
            <w:tcBorders>
              <w:top w:val="nil"/>
              <w:left w:val="nil"/>
              <w:bottom w:val="nil"/>
              <w:right w:val="nil"/>
            </w:tcBorders>
            <w:vAlign w:val="center"/>
            <w:hideMark/>
          </w:tcPr>
          <w:p w:rsidR="004013FA" w:rsidRPr="00766A30" w:rsidRDefault="004013FA" w:rsidP="004013FA">
            <w:pPr>
              <w:spacing w:after="0" w:line="240" w:lineRule="auto"/>
              <w:jc w:val="both"/>
              <w:rPr>
                <w:rFonts w:ascii="Times New Roman" w:hAnsi="Times New Roman"/>
                <w:sz w:val="20"/>
                <w:szCs w:val="20"/>
              </w:rPr>
            </w:pPr>
            <w:r w:rsidRPr="00766A30">
              <w:rPr>
                <w:rFonts w:ascii="Times New Roman" w:hAnsi="Times New Roman"/>
                <w:sz w:val="20"/>
                <w:szCs w:val="20"/>
              </w:rPr>
              <w:t>0.02187</w:t>
            </w:r>
          </w:p>
        </w:tc>
        <w:tc>
          <w:tcPr>
            <w:tcW w:w="1080" w:type="dxa"/>
            <w:tcBorders>
              <w:top w:val="nil"/>
              <w:left w:val="nil"/>
              <w:bottom w:val="nil"/>
              <w:right w:val="nil"/>
            </w:tcBorders>
            <w:vAlign w:val="center"/>
            <w:hideMark/>
          </w:tcPr>
          <w:p w:rsidR="004013FA" w:rsidRPr="00766A30" w:rsidRDefault="004013FA" w:rsidP="004013FA">
            <w:pPr>
              <w:spacing w:after="0" w:line="240" w:lineRule="auto"/>
              <w:jc w:val="both"/>
              <w:rPr>
                <w:rFonts w:ascii="Times New Roman" w:hAnsi="Times New Roman"/>
                <w:sz w:val="20"/>
                <w:szCs w:val="20"/>
              </w:rPr>
            </w:pPr>
            <w:r w:rsidRPr="00766A30">
              <w:rPr>
                <w:rFonts w:ascii="Times New Roman" w:hAnsi="Times New Roman"/>
                <w:sz w:val="20"/>
                <w:szCs w:val="20"/>
              </w:rPr>
              <w:t>0.10229</w:t>
            </w:r>
          </w:p>
        </w:tc>
      </w:tr>
      <w:tr w:rsidR="004013FA" w:rsidRPr="00DB6CEF" w:rsidTr="00F245E3">
        <w:trPr>
          <w:trHeight w:val="144"/>
        </w:trPr>
        <w:tc>
          <w:tcPr>
            <w:tcW w:w="2538" w:type="dxa"/>
            <w:tcBorders>
              <w:top w:val="nil"/>
              <w:left w:val="nil"/>
              <w:bottom w:val="single" w:sz="4" w:space="0" w:color="auto"/>
              <w:right w:val="nil"/>
            </w:tcBorders>
            <w:vAlign w:val="center"/>
            <w:hideMark/>
          </w:tcPr>
          <w:p w:rsidR="004013FA" w:rsidRPr="00DB6CEF" w:rsidRDefault="004013FA" w:rsidP="004013FA">
            <w:pPr>
              <w:spacing w:after="120" w:line="240" w:lineRule="auto"/>
              <w:jc w:val="both"/>
              <w:rPr>
                <w:rFonts w:ascii="Times New Roman" w:hAnsi="Times New Roman"/>
                <w:sz w:val="20"/>
                <w:szCs w:val="20"/>
              </w:rPr>
            </w:pPr>
            <w:r w:rsidRPr="00DB6CEF">
              <w:rPr>
                <w:rFonts w:ascii="Times New Roman" w:hAnsi="Times New Roman"/>
                <w:sz w:val="20"/>
                <w:szCs w:val="20"/>
              </w:rPr>
              <w:t>Benzo(g,h,i)perylene</w:t>
            </w:r>
          </w:p>
        </w:tc>
        <w:tc>
          <w:tcPr>
            <w:tcW w:w="1170" w:type="dxa"/>
            <w:tcBorders>
              <w:top w:val="nil"/>
              <w:left w:val="nil"/>
              <w:bottom w:val="single" w:sz="4" w:space="0" w:color="auto"/>
              <w:right w:val="nil"/>
            </w:tcBorders>
            <w:vAlign w:val="center"/>
            <w:hideMark/>
          </w:tcPr>
          <w:p w:rsidR="004013FA" w:rsidRPr="00766A30" w:rsidRDefault="004013FA" w:rsidP="004013FA">
            <w:pPr>
              <w:spacing w:after="0" w:line="240" w:lineRule="auto"/>
              <w:jc w:val="both"/>
              <w:rPr>
                <w:rFonts w:ascii="Times New Roman" w:hAnsi="Times New Roman"/>
                <w:sz w:val="20"/>
                <w:szCs w:val="20"/>
              </w:rPr>
            </w:pPr>
            <w:r w:rsidRPr="00766A30">
              <w:rPr>
                <w:rFonts w:ascii="Times New Roman" w:hAnsi="Times New Roman"/>
                <w:sz w:val="20"/>
                <w:szCs w:val="20"/>
              </w:rPr>
              <w:t>0.00099</w:t>
            </w:r>
          </w:p>
        </w:tc>
        <w:tc>
          <w:tcPr>
            <w:tcW w:w="1260" w:type="dxa"/>
            <w:tcBorders>
              <w:top w:val="nil"/>
              <w:left w:val="nil"/>
              <w:bottom w:val="single" w:sz="4" w:space="0" w:color="auto"/>
              <w:right w:val="nil"/>
            </w:tcBorders>
            <w:vAlign w:val="center"/>
            <w:hideMark/>
          </w:tcPr>
          <w:p w:rsidR="004013FA" w:rsidRPr="00766A30" w:rsidRDefault="004013FA" w:rsidP="004013FA">
            <w:pPr>
              <w:spacing w:after="0" w:line="240" w:lineRule="auto"/>
              <w:jc w:val="both"/>
              <w:rPr>
                <w:rFonts w:ascii="Times New Roman" w:hAnsi="Times New Roman"/>
                <w:sz w:val="20"/>
                <w:szCs w:val="20"/>
              </w:rPr>
            </w:pPr>
            <w:r w:rsidRPr="00766A30">
              <w:rPr>
                <w:rFonts w:ascii="Times New Roman" w:hAnsi="Times New Roman"/>
                <w:sz w:val="20"/>
                <w:szCs w:val="20"/>
              </w:rPr>
              <w:t>0.00244</w:t>
            </w:r>
          </w:p>
        </w:tc>
        <w:tc>
          <w:tcPr>
            <w:tcW w:w="1170" w:type="dxa"/>
            <w:tcBorders>
              <w:top w:val="nil"/>
              <w:left w:val="nil"/>
              <w:bottom w:val="single" w:sz="4" w:space="0" w:color="auto"/>
              <w:right w:val="nil"/>
            </w:tcBorders>
            <w:vAlign w:val="center"/>
            <w:hideMark/>
          </w:tcPr>
          <w:p w:rsidR="004013FA" w:rsidRPr="00766A30" w:rsidRDefault="004013FA" w:rsidP="004013FA">
            <w:pPr>
              <w:spacing w:after="0" w:line="240" w:lineRule="auto"/>
              <w:jc w:val="both"/>
              <w:rPr>
                <w:rFonts w:ascii="Times New Roman" w:hAnsi="Times New Roman"/>
                <w:sz w:val="20"/>
                <w:szCs w:val="20"/>
              </w:rPr>
            </w:pPr>
            <w:r w:rsidRPr="00766A30">
              <w:rPr>
                <w:rFonts w:ascii="Times New Roman" w:hAnsi="Times New Roman"/>
                <w:sz w:val="20"/>
                <w:szCs w:val="20"/>
              </w:rPr>
              <w:t>0.11447</w:t>
            </w:r>
          </w:p>
        </w:tc>
        <w:tc>
          <w:tcPr>
            <w:tcW w:w="1260" w:type="dxa"/>
            <w:tcBorders>
              <w:top w:val="nil"/>
              <w:left w:val="nil"/>
              <w:bottom w:val="single" w:sz="4" w:space="0" w:color="auto"/>
              <w:right w:val="nil"/>
            </w:tcBorders>
            <w:vAlign w:val="center"/>
            <w:hideMark/>
          </w:tcPr>
          <w:p w:rsidR="004013FA" w:rsidRPr="00766A30" w:rsidRDefault="004013FA" w:rsidP="004013FA">
            <w:pPr>
              <w:spacing w:after="0" w:line="240" w:lineRule="auto"/>
              <w:jc w:val="both"/>
              <w:rPr>
                <w:rFonts w:ascii="Times New Roman" w:hAnsi="Times New Roman"/>
                <w:sz w:val="20"/>
                <w:szCs w:val="20"/>
              </w:rPr>
            </w:pPr>
            <w:r w:rsidRPr="00766A30">
              <w:rPr>
                <w:rFonts w:ascii="Times New Roman" w:hAnsi="Times New Roman"/>
                <w:sz w:val="20"/>
                <w:szCs w:val="20"/>
              </w:rPr>
              <w:t>0.00251</w:t>
            </w:r>
          </w:p>
        </w:tc>
        <w:tc>
          <w:tcPr>
            <w:tcW w:w="1080" w:type="dxa"/>
            <w:tcBorders>
              <w:top w:val="nil"/>
              <w:left w:val="nil"/>
              <w:bottom w:val="single" w:sz="4" w:space="0" w:color="auto"/>
              <w:right w:val="nil"/>
            </w:tcBorders>
            <w:vAlign w:val="center"/>
            <w:hideMark/>
          </w:tcPr>
          <w:p w:rsidR="004013FA" w:rsidRPr="00766A30" w:rsidRDefault="004013FA" w:rsidP="004013FA">
            <w:pPr>
              <w:spacing w:after="0" w:line="240" w:lineRule="auto"/>
              <w:jc w:val="both"/>
              <w:rPr>
                <w:rFonts w:ascii="Times New Roman" w:hAnsi="Times New Roman"/>
                <w:sz w:val="20"/>
                <w:szCs w:val="20"/>
              </w:rPr>
            </w:pPr>
            <w:r w:rsidRPr="00766A30">
              <w:rPr>
                <w:rFonts w:ascii="Times New Roman" w:hAnsi="Times New Roman"/>
                <w:sz w:val="20"/>
                <w:szCs w:val="20"/>
              </w:rPr>
              <w:t>0.05387</w:t>
            </w:r>
          </w:p>
        </w:tc>
      </w:tr>
      <w:tr w:rsidR="00BD3D50" w:rsidRPr="00DB6CEF" w:rsidTr="00F245E3">
        <w:trPr>
          <w:trHeight w:val="144"/>
        </w:trPr>
        <w:tc>
          <w:tcPr>
            <w:tcW w:w="2538" w:type="dxa"/>
            <w:tcBorders>
              <w:top w:val="single" w:sz="4" w:space="0" w:color="auto"/>
              <w:left w:val="nil"/>
              <w:bottom w:val="nil"/>
              <w:right w:val="nil"/>
            </w:tcBorders>
            <w:vAlign w:val="center"/>
            <w:hideMark/>
          </w:tcPr>
          <w:p w:rsidR="00BD3D50" w:rsidRPr="00DB6CEF" w:rsidRDefault="00BD3D50" w:rsidP="00BD3D50">
            <w:pPr>
              <w:spacing w:before="120" w:after="0" w:line="240" w:lineRule="auto"/>
              <w:jc w:val="both"/>
              <w:rPr>
                <w:rFonts w:ascii="Times New Roman" w:hAnsi="Times New Roman"/>
                <w:b/>
                <w:sz w:val="20"/>
                <w:szCs w:val="20"/>
              </w:rPr>
            </w:pPr>
            <w:r w:rsidRPr="00DB6CEF">
              <w:rPr>
                <w:rFonts w:ascii="Times New Roman" w:hAnsi="Times New Roman"/>
                <w:b/>
                <w:sz w:val="20"/>
                <w:szCs w:val="20"/>
              </w:rPr>
              <w:t>∑</w:t>
            </w:r>
            <w:r w:rsidRPr="00DB6CEF">
              <w:rPr>
                <w:rFonts w:ascii="Times New Roman" w:hAnsi="Times New Roman"/>
                <w:sz w:val="20"/>
                <w:szCs w:val="20"/>
              </w:rPr>
              <w:t>LMW PAHs</w:t>
            </w:r>
          </w:p>
        </w:tc>
        <w:tc>
          <w:tcPr>
            <w:tcW w:w="1170" w:type="dxa"/>
            <w:tcBorders>
              <w:top w:val="single" w:sz="4" w:space="0" w:color="auto"/>
              <w:left w:val="nil"/>
              <w:bottom w:val="nil"/>
              <w:right w:val="nil"/>
            </w:tcBorders>
            <w:vAlign w:val="center"/>
            <w:hideMark/>
          </w:tcPr>
          <w:p w:rsidR="00BD3D50" w:rsidRPr="00BD3D50" w:rsidRDefault="00BD3D50" w:rsidP="00BD3D50">
            <w:pPr>
              <w:spacing w:before="120" w:after="0" w:line="240" w:lineRule="auto"/>
              <w:jc w:val="both"/>
              <w:rPr>
                <w:rFonts w:ascii="Times New Roman" w:hAnsi="Times New Roman"/>
                <w:sz w:val="20"/>
                <w:szCs w:val="20"/>
              </w:rPr>
            </w:pPr>
            <w:r w:rsidRPr="00BD3D50">
              <w:rPr>
                <w:rFonts w:ascii="Times New Roman" w:hAnsi="Times New Roman"/>
                <w:sz w:val="20"/>
                <w:szCs w:val="20"/>
              </w:rPr>
              <w:t>0.50563</w:t>
            </w:r>
          </w:p>
        </w:tc>
        <w:tc>
          <w:tcPr>
            <w:tcW w:w="1260" w:type="dxa"/>
            <w:tcBorders>
              <w:top w:val="single" w:sz="4" w:space="0" w:color="auto"/>
              <w:left w:val="nil"/>
              <w:bottom w:val="nil"/>
              <w:right w:val="nil"/>
            </w:tcBorders>
            <w:vAlign w:val="center"/>
            <w:hideMark/>
          </w:tcPr>
          <w:p w:rsidR="00BD3D50" w:rsidRPr="00BD3D50" w:rsidRDefault="00BD3D50" w:rsidP="00BD3D50">
            <w:pPr>
              <w:spacing w:before="120" w:after="0" w:line="240" w:lineRule="auto"/>
              <w:jc w:val="both"/>
              <w:rPr>
                <w:rFonts w:ascii="Times New Roman" w:hAnsi="Times New Roman"/>
                <w:sz w:val="20"/>
                <w:szCs w:val="20"/>
              </w:rPr>
            </w:pPr>
            <w:r w:rsidRPr="00BD3D50">
              <w:rPr>
                <w:rFonts w:ascii="Times New Roman" w:hAnsi="Times New Roman"/>
                <w:sz w:val="20"/>
                <w:szCs w:val="20"/>
              </w:rPr>
              <w:t>2.71257</w:t>
            </w:r>
          </w:p>
        </w:tc>
        <w:tc>
          <w:tcPr>
            <w:tcW w:w="1170" w:type="dxa"/>
            <w:tcBorders>
              <w:top w:val="single" w:sz="4" w:space="0" w:color="auto"/>
              <w:left w:val="nil"/>
              <w:bottom w:val="nil"/>
              <w:right w:val="nil"/>
            </w:tcBorders>
            <w:vAlign w:val="center"/>
            <w:hideMark/>
          </w:tcPr>
          <w:p w:rsidR="00BD3D50" w:rsidRPr="00BD3D50" w:rsidRDefault="00BD3D50" w:rsidP="00BD3D50">
            <w:pPr>
              <w:spacing w:before="120" w:after="0" w:line="240" w:lineRule="auto"/>
              <w:jc w:val="both"/>
              <w:rPr>
                <w:rFonts w:ascii="Times New Roman" w:hAnsi="Times New Roman"/>
                <w:sz w:val="20"/>
                <w:szCs w:val="20"/>
              </w:rPr>
            </w:pPr>
            <w:r w:rsidRPr="00BD3D50">
              <w:rPr>
                <w:rFonts w:ascii="Times New Roman" w:hAnsi="Times New Roman"/>
                <w:sz w:val="20"/>
                <w:szCs w:val="20"/>
              </w:rPr>
              <w:t>0.09529</w:t>
            </w:r>
          </w:p>
        </w:tc>
        <w:tc>
          <w:tcPr>
            <w:tcW w:w="1260" w:type="dxa"/>
            <w:tcBorders>
              <w:top w:val="single" w:sz="4" w:space="0" w:color="auto"/>
              <w:left w:val="nil"/>
              <w:bottom w:val="nil"/>
              <w:right w:val="nil"/>
            </w:tcBorders>
            <w:vAlign w:val="center"/>
            <w:hideMark/>
          </w:tcPr>
          <w:p w:rsidR="00BD3D50" w:rsidRPr="00BD3D50" w:rsidRDefault="00BD3D50" w:rsidP="00BD3D50">
            <w:pPr>
              <w:spacing w:before="120" w:after="0" w:line="240" w:lineRule="auto"/>
              <w:jc w:val="both"/>
              <w:rPr>
                <w:rFonts w:ascii="Times New Roman" w:hAnsi="Times New Roman"/>
                <w:sz w:val="20"/>
                <w:szCs w:val="20"/>
              </w:rPr>
            </w:pPr>
            <w:r w:rsidRPr="00BD3D50">
              <w:rPr>
                <w:rFonts w:ascii="Times New Roman" w:hAnsi="Times New Roman"/>
                <w:sz w:val="20"/>
                <w:szCs w:val="20"/>
              </w:rPr>
              <w:t>0.27123</w:t>
            </w:r>
          </w:p>
        </w:tc>
        <w:tc>
          <w:tcPr>
            <w:tcW w:w="1080" w:type="dxa"/>
            <w:tcBorders>
              <w:top w:val="single" w:sz="4" w:space="0" w:color="auto"/>
              <w:left w:val="nil"/>
              <w:bottom w:val="nil"/>
              <w:right w:val="nil"/>
            </w:tcBorders>
            <w:vAlign w:val="center"/>
            <w:hideMark/>
          </w:tcPr>
          <w:p w:rsidR="00BD3D50" w:rsidRPr="00BD3D50" w:rsidRDefault="00BD3D50" w:rsidP="00BD3D50">
            <w:pPr>
              <w:spacing w:before="120" w:after="0" w:line="240" w:lineRule="auto"/>
              <w:jc w:val="both"/>
              <w:rPr>
                <w:rFonts w:ascii="Times New Roman" w:hAnsi="Times New Roman"/>
                <w:sz w:val="20"/>
                <w:szCs w:val="20"/>
              </w:rPr>
            </w:pPr>
            <w:r w:rsidRPr="00BD3D50">
              <w:rPr>
                <w:rFonts w:ascii="Times New Roman" w:hAnsi="Times New Roman"/>
                <w:sz w:val="20"/>
                <w:szCs w:val="20"/>
              </w:rPr>
              <w:t>0.30943</w:t>
            </w:r>
          </w:p>
        </w:tc>
      </w:tr>
      <w:tr w:rsidR="00BD3D50" w:rsidRPr="00DB6CEF" w:rsidTr="00F245E3">
        <w:trPr>
          <w:trHeight w:val="144"/>
        </w:trPr>
        <w:tc>
          <w:tcPr>
            <w:tcW w:w="2538" w:type="dxa"/>
            <w:tcBorders>
              <w:top w:val="nil"/>
              <w:left w:val="nil"/>
              <w:bottom w:val="nil"/>
              <w:right w:val="nil"/>
            </w:tcBorders>
            <w:vAlign w:val="center"/>
            <w:hideMark/>
          </w:tcPr>
          <w:p w:rsidR="00BD3D50" w:rsidRPr="00DB6CEF" w:rsidRDefault="00BD3D50" w:rsidP="00BD3D50">
            <w:pPr>
              <w:spacing w:after="0" w:line="240" w:lineRule="auto"/>
              <w:jc w:val="both"/>
              <w:rPr>
                <w:rFonts w:ascii="Times New Roman" w:hAnsi="Times New Roman"/>
                <w:sz w:val="20"/>
                <w:szCs w:val="20"/>
              </w:rPr>
            </w:pPr>
            <w:r w:rsidRPr="00DB6CEF">
              <w:rPr>
                <w:rFonts w:ascii="Times New Roman" w:hAnsi="Times New Roman"/>
                <w:b/>
                <w:sz w:val="20"/>
                <w:szCs w:val="20"/>
              </w:rPr>
              <w:t>∑</w:t>
            </w:r>
            <w:r w:rsidRPr="00DB6CEF">
              <w:rPr>
                <w:rFonts w:ascii="Times New Roman" w:hAnsi="Times New Roman"/>
                <w:sz w:val="20"/>
                <w:szCs w:val="20"/>
              </w:rPr>
              <w:t>HMW PAHs</w:t>
            </w:r>
          </w:p>
        </w:tc>
        <w:tc>
          <w:tcPr>
            <w:tcW w:w="1170" w:type="dxa"/>
            <w:tcBorders>
              <w:top w:val="nil"/>
              <w:left w:val="nil"/>
              <w:bottom w:val="nil"/>
              <w:right w:val="nil"/>
            </w:tcBorders>
            <w:vAlign w:val="center"/>
            <w:hideMark/>
          </w:tcPr>
          <w:p w:rsidR="00BD3D50" w:rsidRPr="00BD3D50" w:rsidRDefault="00BD3D50" w:rsidP="00BD3D50">
            <w:pPr>
              <w:spacing w:after="0" w:line="240" w:lineRule="auto"/>
              <w:jc w:val="both"/>
              <w:rPr>
                <w:rFonts w:ascii="Times New Roman" w:hAnsi="Times New Roman"/>
                <w:sz w:val="20"/>
                <w:szCs w:val="20"/>
              </w:rPr>
            </w:pPr>
            <w:r w:rsidRPr="00BD3D50">
              <w:rPr>
                <w:rFonts w:ascii="Times New Roman" w:hAnsi="Times New Roman"/>
                <w:sz w:val="20"/>
                <w:szCs w:val="20"/>
              </w:rPr>
              <w:t>0.07658</w:t>
            </w:r>
          </w:p>
        </w:tc>
        <w:tc>
          <w:tcPr>
            <w:tcW w:w="1260" w:type="dxa"/>
            <w:tcBorders>
              <w:top w:val="nil"/>
              <w:left w:val="nil"/>
              <w:bottom w:val="nil"/>
              <w:right w:val="nil"/>
            </w:tcBorders>
            <w:vAlign w:val="center"/>
            <w:hideMark/>
          </w:tcPr>
          <w:p w:rsidR="00BD3D50" w:rsidRPr="00BD3D50" w:rsidRDefault="00BD3D50" w:rsidP="00BD3D50">
            <w:pPr>
              <w:spacing w:after="0" w:line="240" w:lineRule="auto"/>
              <w:jc w:val="both"/>
              <w:rPr>
                <w:rFonts w:ascii="Times New Roman" w:hAnsi="Times New Roman"/>
                <w:sz w:val="20"/>
                <w:szCs w:val="20"/>
              </w:rPr>
            </w:pPr>
            <w:r w:rsidRPr="00BD3D50">
              <w:rPr>
                <w:rFonts w:ascii="Times New Roman" w:hAnsi="Times New Roman"/>
                <w:sz w:val="20"/>
                <w:szCs w:val="20"/>
              </w:rPr>
              <w:t>2.93656</w:t>
            </w:r>
          </w:p>
        </w:tc>
        <w:tc>
          <w:tcPr>
            <w:tcW w:w="1170" w:type="dxa"/>
            <w:tcBorders>
              <w:top w:val="nil"/>
              <w:left w:val="nil"/>
              <w:bottom w:val="nil"/>
              <w:right w:val="nil"/>
            </w:tcBorders>
            <w:vAlign w:val="center"/>
            <w:hideMark/>
          </w:tcPr>
          <w:p w:rsidR="00BD3D50" w:rsidRPr="00BD3D50" w:rsidRDefault="00BD3D50" w:rsidP="00BD3D50">
            <w:pPr>
              <w:spacing w:after="0" w:line="240" w:lineRule="auto"/>
              <w:jc w:val="both"/>
              <w:rPr>
                <w:rFonts w:ascii="Times New Roman" w:hAnsi="Times New Roman"/>
                <w:sz w:val="20"/>
                <w:szCs w:val="20"/>
              </w:rPr>
            </w:pPr>
            <w:r w:rsidRPr="00BD3D50">
              <w:rPr>
                <w:rFonts w:ascii="Times New Roman" w:hAnsi="Times New Roman"/>
                <w:sz w:val="20"/>
                <w:szCs w:val="20"/>
              </w:rPr>
              <w:t>0.63679</w:t>
            </w:r>
          </w:p>
        </w:tc>
        <w:tc>
          <w:tcPr>
            <w:tcW w:w="1260" w:type="dxa"/>
            <w:tcBorders>
              <w:top w:val="nil"/>
              <w:left w:val="nil"/>
              <w:bottom w:val="nil"/>
              <w:right w:val="nil"/>
            </w:tcBorders>
            <w:vAlign w:val="center"/>
            <w:hideMark/>
          </w:tcPr>
          <w:p w:rsidR="00BD3D50" w:rsidRPr="00BD3D50" w:rsidRDefault="00BD3D50" w:rsidP="00BD3D50">
            <w:pPr>
              <w:spacing w:after="0" w:line="240" w:lineRule="auto"/>
              <w:jc w:val="both"/>
              <w:rPr>
                <w:rFonts w:ascii="Times New Roman" w:hAnsi="Times New Roman"/>
                <w:sz w:val="20"/>
                <w:szCs w:val="20"/>
              </w:rPr>
            </w:pPr>
            <w:r w:rsidRPr="00BD3D50">
              <w:rPr>
                <w:rFonts w:ascii="Times New Roman" w:hAnsi="Times New Roman"/>
                <w:sz w:val="20"/>
                <w:szCs w:val="20"/>
              </w:rPr>
              <w:t>0.28221</w:t>
            </w:r>
          </w:p>
        </w:tc>
        <w:tc>
          <w:tcPr>
            <w:tcW w:w="1080" w:type="dxa"/>
            <w:tcBorders>
              <w:top w:val="nil"/>
              <w:left w:val="nil"/>
              <w:bottom w:val="nil"/>
              <w:right w:val="nil"/>
            </w:tcBorders>
            <w:vAlign w:val="center"/>
            <w:hideMark/>
          </w:tcPr>
          <w:p w:rsidR="00BD3D50" w:rsidRPr="00BD3D50" w:rsidRDefault="00BD3D50" w:rsidP="00BD3D50">
            <w:pPr>
              <w:spacing w:after="0" w:line="240" w:lineRule="auto"/>
              <w:jc w:val="both"/>
              <w:rPr>
                <w:rFonts w:ascii="Times New Roman" w:hAnsi="Times New Roman"/>
                <w:sz w:val="20"/>
                <w:szCs w:val="20"/>
              </w:rPr>
            </w:pPr>
            <w:r w:rsidRPr="00BD3D50">
              <w:rPr>
                <w:rFonts w:ascii="Times New Roman" w:hAnsi="Times New Roman"/>
                <w:sz w:val="20"/>
                <w:szCs w:val="20"/>
              </w:rPr>
              <w:t>0.43269</w:t>
            </w:r>
          </w:p>
        </w:tc>
      </w:tr>
      <w:tr w:rsidR="00BD3D50" w:rsidRPr="00DB6CEF" w:rsidTr="00F245E3">
        <w:trPr>
          <w:trHeight w:val="144"/>
        </w:trPr>
        <w:tc>
          <w:tcPr>
            <w:tcW w:w="2538" w:type="dxa"/>
            <w:tcBorders>
              <w:top w:val="nil"/>
              <w:left w:val="nil"/>
              <w:bottom w:val="nil"/>
              <w:right w:val="nil"/>
            </w:tcBorders>
            <w:vAlign w:val="center"/>
            <w:hideMark/>
          </w:tcPr>
          <w:p w:rsidR="00BD3D50" w:rsidRPr="00DB6CEF" w:rsidRDefault="00BD3D50" w:rsidP="00BD3D50">
            <w:pPr>
              <w:spacing w:after="0" w:line="240" w:lineRule="auto"/>
              <w:jc w:val="both"/>
              <w:rPr>
                <w:rFonts w:ascii="Times New Roman" w:hAnsi="Times New Roman"/>
                <w:sz w:val="20"/>
                <w:szCs w:val="20"/>
              </w:rPr>
            </w:pPr>
            <w:r w:rsidRPr="00DB6CEF">
              <w:rPr>
                <w:rFonts w:ascii="Times New Roman" w:hAnsi="Times New Roman"/>
                <w:b/>
                <w:sz w:val="20"/>
                <w:szCs w:val="20"/>
              </w:rPr>
              <w:t>∑</w:t>
            </w:r>
            <w:r w:rsidRPr="00DB6CEF">
              <w:rPr>
                <w:rFonts w:ascii="Times New Roman" w:hAnsi="Times New Roman"/>
                <w:sz w:val="20"/>
                <w:szCs w:val="20"/>
              </w:rPr>
              <w:t>16 EPA PAHs</w:t>
            </w:r>
          </w:p>
        </w:tc>
        <w:tc>
          <w:tcPr>
            <w:tcW w:w="1170" w:type="dxa"/>
            <w:tcBorders>
              <w:top w:val="nil"/>
              <w:left w:val="nil"/>
              <w:bottom w:val="nil"/>
              <w:right w:val="nil"/>
            </w:tcBorders>
            <w:vAlign w:val="center"/>
            <w:hideMark/>
          </w:tcPr>
          <w:p w:rsidR="00BD3D50" w:rsidRPr="00BD3D50" w:rsidRDefault="00BD3D50" w:rsidP="00BD3D50">
            <w:pPr>
              <w:spacing w:after="0" w:line="240" w:lineRule="auto"/>
              <w:jc w:val="both"/>
              <w:rPr>
                <w:rFonts w:ascii="Times New Roman" w:hAnsi="Times New Roman"/>
                <w:sz w:val="20"/>
                <w:szCs w:val="20"/>
              </w:rPr>
            </w:pPr>
            <w:r w:rsidRPr="00BD3D50">
              <w:rPr>
                <w:rFonts w:ascii="Times New Roman" w:hAnsi="Times New Roman"/>
                <w:sz w:val="20"/>
                <w:szCs w:val="20"/>
              </w:rPr>
              <w:t>0.58221</w:t>
            </w:r>
          </w:p>
        </w:tc>
        <w:tc>
          <w:tcPr>
            <w:tcW w:w="1260" w:type="dxa"/>
            <w:tcBorders>
              <w:top w:val="nil"/>
              <w:left w:val="nil"/>
              <w:bottom w:val="nil"/>
              <w:right w:val="nil"/>
            </w:tcBorders>
            <w:vAlign w:val="center"/>
            <w:hideMark/>
          </w:tcPr>
          <w:p w:rsidR="00BD3D50" w:rsidRPr="00BD3D50" w:rsidRDefault="00BD3D50" w:rsidP="00BD3D50">
            <w:pPr>
              <w:spacing w:after="0" w:line="240" w:lineRule="auto"/>
              <w:jc w:val="both"/>
              <w:rPr>
                <w:rFonts w:ascii="Times New Roman" w:hAnsi="Times New Roman"/>
                <w:sz w:val="20"/>
                <w:szCs w:val="20"/>
              </w:rPr>
            </w:pPr>
            <w:r w:rsidRPr="00BD3D50">
              <w:rPr>
                <w:rFonts w:ascii="Times New Roman" w:hAnsi="Times New Roman"/>
                <w:sz w:val="20"/>
                <w:szCs w:val="20"/>
              </w:rPr>
              <w:t>5.64913</w:t>
            </w:r>
          </w:p>
        </w:tc>
        <w:tc>
          <w:tcPr>
            <w:tcW w:w="1170" w:type="dxa"/>
            <w:tcBorders>
              <w:top w:val="nil"/>
              <w:left w:val="nil"/>
              <w:bottom w:val="nil"/>
              <w:right w:val="nil"/>
            </w:tcBorders>
            <w:vAlign w:val="center"/>
            <w:hideMark/>
          </w:tcPr>
          <w:p w:rsidR="00BD3D50" w:rsidRPr="00BD3D50" w:rsidRDefault="00BD3D50" w:rsidP="00BD3D50">
            <w:pPr>
              <w:spacing w:after="0" w:line="240" w:lineRule="auto"/>
              <w:jc w:val="both"/>
              <w:rPr>
                <w:rFonts w:ascii="Times New Roman" w:hAnsi="Times New Roman"/>
                <w:sz w:val="20"/>
                <w:szCs w:val="20"/>
              </w:rPr>
            </w:pPr>
            <w:r w:rsidRPr="00BD3D50">
              <w:rPr>
                <w:rFonts w:ascii="Times New Roman" w:hAnsi="Times New Roman"/>
                <w:sz w:val="20"/>
                <w:szCs w:val="20"/>
              </w:rPr>
              <w:t>0.73208</w:t>
            </w:r>
          </w:p>
        </w:tc>
        <w:tc>
          <w:tcPr>
            <w:tcW w:w="1260" w:type="dxa"/>
            <w:tcBorders>
              <w:top w:val="nil"/>
              <w:left w:val="nil"/>
              <w:bottom w:val="nil"/>
              <w:right w:val="nil"/>
            </w:tcBorders>
            <w:vAlign w:val="center"/>
            <w:hideMark/>
          </w:tcPr>
          <w:p w:rsidR="00BD3D50" w:rsidRPr="00BD3D50" w:rsidRDefault="00BD3D50" w:rsidP="00BD3D50">
            <w:pPr>
              <w:spacing w:after="0" w:line="240" w:lineRule="auto"/>
              <w:jc w:val="both"/>
              <w:rPr>
                <w:rFonts w:ascii="Times New Roman" w:hAnsi="Times New Roman"/>
                <w:sz w:val="20"/>
                <w:szCs w:val="20"/>
              </w:rPr>
            </w:pPr>
            <w:r w:rsidRPr="00BD3D50">
              <w:rPr>
                <w:rFonts w:ascii="Times New Roman" w:hAnsi="Times New Roman"/>
                <w:sz w:val="20"/>
                <w:szCs w:val="20"/>
              </w:rPr>
              <w:t>0.55344</w:t>
            </w:r>
          </w:p>
        </w:tc>
        <w:tc>
          <w:tcPr>
            <w:tcW w:w="1080" w:type="dxa"/>
            <w:tcBorders>
              <w:top w:val="nil"/>
              <w:left w:val="nil"/>
              <w:bottom w:val="nil"/>
              <w:right w:val="nil"/>
            </w:tcBorders>
            <w:vAlign w:val="center"/>
            <w:hideMark/>
          </w:tcPr>
          <w:p w:rsidR="00BD3D50" w:rsidRPr="00BD3D50" w:rsidRDefault="00BD3D50" w:rsidP="00BD3D50">
            <w:pPr>
              <w:spacing w:after="0" w:line="240" w:lineRule="auto"/>
              <w:jc w:val="both"/>
              <w:rPr>
                <w:rFonts w:ascii="Times New Roman" w:hAnsi="Times New Roman"/>
                <w:sz w:val="20"/>
                <w:szCs w:val="20"/>
              </w:rPr>
            </w:pPr>
            <w:r w:rsidRPr="00BD3D50">
              <w:rPr>
                <w:rFonts w:ascii="Times New Roman" w:hAnsi="Times New Roman"/>
                <w:sz w:val="20"/>
                <w:szCs w:val="20"/>
              </w:rPr>
              <w:t>0.74212</w:t>
            </w:r>
          </w:p>
        </w:tc>
      </w:tr>
      <w:tr w:rsidR="00BD3D50" w:rsidRPr="00DB6CEF" w:rsidTr="00F245E3">
        <w:trPr>
          <w:trHeight w:val="144"/>
        </w:trPr>
        <w:tc>
          <w:tcPr>
            <w:tcW w:w="2538" w:type="dxa"/>
            <w:tcBorders>
              <w:top w:val="nil"/>
              <w:left w:val="nil"/>
              <w:bottom w:val="nil"/>
              <w:right w:val="nil"/>
            </w:tcBorders>
            <w:vAlign w:val="center"/>
            <w:hideMark/>
          </w:tcPr>
          <w:p w:rsidR="00BD3D50" w:rsidRPr="00DB6CEF" w:rsidRDefault="00BD3D50" w:rsidP="00BD3D50">
            <w:pPr>
              <w:spacing w:after="0" w:line="240" w:lineRule="auto"/>
              <w:jc w:val="both"/>
              <w:rPr>
                <w:rFonts w:ascii="Times New Roman" w:hAnsi="Times New Roman"/>
                <w:sz w:val="20"/>
                <w:szCs w:val="20"/>
              </w:rPr>
            </w:pPr>
            <w:r w:rsidRPr="00DB6CEF">
              <w:rPr>
                <w:rFonts w:ascii="Times New Roman" w:hAnsi="Times New Roman"/>
                <w:sz w:val="20"/>
                <w:szCs w:val="20"/>
              </w:rPr>
              <w:t>MEAN</w:t>
            </w:r>
          </w:p>
        </w:tc>
        <w:tc>
          <w:tcPr>
            <w:tcW w:w="1170" w:type="dxa"/>
            <w:tcBorders>
              <w:top w:val="nil"/>
              <w:left w:val="nil"/>
              <w:bottom w:val="nil"/>
              <w:right w:val="nil"/>
            </w:tcBorders>
            <w:vAlign w:val="center"/>
            <w:hideMark/>
          </w:tcPr>
          <w:p w:rsidR="00BD3D50" w:rsidRPr="00BD3D50" w:rsidRDefault="00BD3D50" w:rsidP="00BD3D50">
            <w:pPr>
              <w:spacing w:after="0" w:line="240" w:lineRule="auto"/>
              <w:jc w:val="both"/>
              <w:rPr>
                <w:rFonts w:ascii="Times New Roman" w:hAnsi="Times New Roman"/>
                <w:sz w:val="20"/>
                <w:szCs w:val="20"/>
              </w:rPr>
            </w:pPr>
            <w:r w:rsidRPr="00BD3D50">
              <w:rPr>
                <w:rFonts w:ascii="Times New Roman" w:hAnsi="Times New Roman"/>
                <w:sz w:val="20"/>
                <w:szCs w:val="20"/>
              </w:rPr>
              <w:t>0.03639</w:t>
            </w:r>
          </w:p>
        </w:tc>
        <w:tc>
          <w:tcPr>
            <w:tcW w:w="1260" w:type="dxa"/>
            <w:tcBorders>
              <w:top w:val="nil"/>
              <w:left w:val="nil"/>
              <w:bottom w:val="nil"/>
              <w:right w:val="nil"/>
            </w:tcBorders>
            <w:vAlign w:val="center"/>
            <w:hideMark/>
          </w:tcPr>
          <w:p w:rsidR="00BD3D50" w:rsidRPr="00BD3D50" w:rsidRDefault="00BD3D50" w:rsidP="00BD3D50">
            <w:pPr>
              <w:spacing w:after="0" w:line="240" w:lineRule="auto"/>
              <w:jc w:val="both"/>
              <w:rPr>
                <w:rFonts w:ascii="Times New Roman" w:hAnsi="Times New Roman"/>
                <w:sz w:val="20"/>
                <w:szCs w:val="20"/>
              </w:rPr>
            </w:pPr>
            <w:r w:rsidRPr="00BD3D50">
              <w:rPr>
                <w:rFonts w:ascii="Times New Roman" w:hAnsi="Times New Roman"/>
                <w:sz w:val="20"/>
                <w:szCs w:val="20"/>
              </w:rPr>
              <w:t>0.35307</w:t>
            </w:r>
          </w:p>
        </w:tc>
        <w:tc>
          <w:tcPr>
            <w:tcW w:w="1170" w:type="dxa"/>
            <w:tcBorders>
              <w:top w:val="nil"/>
              <w:left w:val="nil"/>
              <w:bottom w:val="nil"/>
              <w:right w:val="nil"/>
            </w:tcBorders>
            <w:vAlign w:val="center"/>
            <w:hideMark/>
          </w:tcPr>
          <w:p w:rsidR="00BD3D50" w:rsidRPr="00BD3D50" w:rsidRDefault="00BD3D50" w:rsidP="00BD3D50">
            <w:pPr>
              <w:spacing w:after="0" w:line="240" w:lineRule="auto"/>
              <w:jc w:val="both"/>
              <w:rPr>
                <w:rFonts w:ascii="Times New Roman" w:hAnsi="Times New Roman"/>
                <w:sz w:val="20"/>
                <w:szCs w:val="20"/>
              </w:rPr>
            </w:pPr>
            <w:r w:rsidRPr="00BD3D50">
              <w:rPr>
                <w:rFonts w:ascii="Times New Roman" w:hAnsi="Times New Roman"/>
                <w:sz w:val="20"/>
                <w:szCs w:val="20"/>
              </w:rPr>
              <w:t>0.04575</w:t>
            </w:r>
          </w:p>
        </w:tc>
        <w:tc>
          <w:tcPr>
            <w:tcW w:w="1260" w:type="dxa"/>
            <w:tcBorders>
              <w:top w:val="nil"/>
              <w:left w:val="nil"/>
              <w:bottom w:val="nil"/>
              <w:right w:val="nil"/>
            </w:tcBorders>
            <w:vAlign w:val="center"/>
            <w:hideMark/>
          </w:tcPr>
          <w:p w:rsidR="00BD3D50" w:rsidRPr="00BD3D50" w:rsidRDefault="00BD3D50" w:rsidP="00BD3D50">
            <w:pPr>
              <w:spacing w:after="0" w:line="240" w:lineRule="auto"/>
              <w:jc w:val="both"/>
              <w:rPr>
                <w:rFonts w:ascii="Times New Roman" w:hAnsi="Times New Roman"/>
                <w:sz w:val="20"/>
                <w:szCs w:val="20"/>
              </w:rPr>
            </w:pPr>
            <w:r w:rsidRPr="00BD3D50">
              <w:rPr>
                <w:rFonts w:ascii="Times New Roman" w:hAnsi="Times New Roman"/>
                <w:sz w:val="20"/>
                <w:szCs w:val="20"/>
              </w:rPr>
              <w:t>0.03459</w:t>
            </w:r>
          </w:p>
        </w:tc>
        <w:tc>
          <w:tcPr>
            <w:tcW w:w="1080" w:type="dxa"/>
            <w:tcBorders>
              <w:top w:val="nil"/>
              <w:left w:val="nil"/>
              <w:bottom w:val="nil"/>
              <w:right w:val="nil"/>
            </w:tcBorders>
            <w:vAlign w:val="center"/>
            <w:hideMark/>
          </w:tcPr>
          <w:p w:rsidR="00BD3D50" w:rsidRPr="00BD3D50" w:rsidRDefault="00BD3D50" w:rsidP="00BD3D50">
            <w:pPr>
              <w:spacing w:after="0" w:line="240" w:lineRule="auto"/>
              <w:jc w:val="both"/>
              <w:rPr>
                <w:rFonts w:ascii="Times New Roman" w:hAnsi="Times New Roman"/>
                <w:sz w:val="20"/>
                <w:szCs w:val="20"/>
              </w:rPr>
            </w:pPr>
            <w:r w:rsidRPr="00BD3D50">
              <w:rPr>
                <w:rFonts w:ascii="Times New Roman" w:hAnsi="Times New Roman"/>
                <w:sz w:val="20"/>
                <w:szCs w:val="20"/>
              </w:rPr>
              <w:t>0.04638</w:t>
            </w:r>
          </w:p>
        </w:tc>
      </w:tr>
      <w:tr w:rsidR="00BD3D50" w:rsidRPr="00DB6CEF" w:rsidTr="00F245E3">
        <w:trPr>
          <w:trHeight w:val="144"/>
        </w:trPr>
        <w:tc>
          <w:tcPr>
            <w:tcW w:w="2538" w:type="dxa"/>
            <w:tcBorders>
              <w:top w:val="nil"/>
              <w:left w:val="nil"/>
              <w:bottom w:val="nil"/>
              <w:right w:val="nil"/>
            </w:tcBorders>
            <w:vAlign w:val="center"/>
            <w:hideMark/>
          </w:tcPr>
          <w:p w:rsidR="00BD3D50" w:rsidRPr="00DB6CEF" w:rsidRDefault="00BD3D50" w:rsidP="00BD3D50">
            <w:pPr>
              <w:spacing w:after="0" w:line="240" w:lineRule="auto"/>
              <w:jc w:val="both"/>
              <w:rPr>
                <w:rFonts w:ascii="Times New Roman" w:hAnsi="Times New Roman"/>
                <w:sz w:val="20"/>
                <w:szCs w:val="20"/>
              </w:rPr>
            </w:pPr>
            <w:r w:rsidRPr="00DB6CEF">
              <w:rPr>
                <w:rFonts w:ascii="Times New Roman" w:hAnsi="Times New Roman"/>
                <w:sz w:val="20"/>
                <w:szCs w:val="20"/>
              </w:rPr>
              <w:t>SD</w:t>
            </w:r>
          </w:p>
        </w:tc>
        <w:tc>
          <w:tcPr>
            <w:tcW w:w="1170" w:type="dxa"/>
            <w:tcBorders>
              <w:top w:val="nil"/>
              <w:left w:val="nil"/>
              <w:bottom w:val="nil"/>
              <w:right w:val="nil"/>
            </w:tcBorders>
            <w:vAlign w:val="center"/>
            <w:hideMark/>
          </w:tcPr>
          <w:p w:rsidR="00BD3D50" w:rsidRPr="00BD3D50" w:rsidRDefault="00BD3D50" w:rsidP="00BD3D50">
            <w:pPr>
              <w:spacing w:after="0" w:line="240" w:lineRule="auto"/>
              <w:jc w:val="both"/>
              <w:rPr>
                <w:rFonts w:ascii="Times New Roman" w:hAnsi="Times New Roman"/>
                <w:sz w:val="20"/>
                <w:szCs w:val="20"/>
              </w:rPr>
            </w:pPr>
            <w:r w:rsidRPr="00BD3D50">
              <w:rPr>
                <w:rFonts w:ascii="Times New Roman" w:hAnsi="Times New Roman"/>
                <w:sz w:val="20"/>
                <w:szCs w:val="20"/>
              </w:rPr>
              <w:t>0.06</w:t>
            </w:r>
          </w:p>
        </w:tc>
        <w:tc>
          <w:tcPr>
            <w:tcW w:w="1260" w:type="dxa"/>
            <w:tcBorders>
              <w:top w:val="nil"/>
              <w:left w:val="nil"/>
              <w:bottom w:val="nil"/>
              <w:right w:val="nil"/>
            </w:tcBorders>
            <w:vAlign w:val="center"/>
            <w:hideMark/>
          </w:tcPr>
          <w:p w:rsidR="00BD3D50" w:rsidRPr="00BD3D50" w:rsidRDefault="00BD3D50" w:rsidP="00BD3D50">
            <w:pPr>
              <w:spacing w:after="0" w:line="240" w:lineRule="auto"/>
              <w:jc w:val="both"/>
              <w:rPr>
                <w:rFonts w:ascii="Times New Roman" w:hAnsi="Times New Roman"/>
                <w:sz w:val="20"/>
                <w:szCs w:val="20"/>
              </w:rPr>
            </w:pPr>
            <w:r w:rsidRPr="00BD3D50">
              <w:rPr>
                <w:rFonts w:ascii="Times New Roman" w:hAnsi="Times New Roman"/>
                <w:sz w:val="20"/>
                <w:szCs w:val="20"/>
              </w:rPr>
              <w:t>0.25</w:t>
            </w:r>
          </w:p>
        </w:tc>
        <w:tc>
          <w:tcPr>
            <w:tcW w:w="1170" w:type="dxa"/>
            <w:tcBorders>
              <w:top w:val="nil"/>
              <w:left w:val="nil"/>
              <w:bottom w:val="nil"/>
              <w:right w:val="nil"/>
            </w:tcBorders>
            <w:vAlign w:val="center"/>
            <w:hideMark/>
          </w:tcPr>
          <w:p w:rsidR="00BD3D50" w:rsidRPr="00BD3D50" w:rsidRDefault="00BD3D50" w:rsidP="00BD3D50">
            <w:pPr>
              <w:spacing w:after="0" w:line="240" w:lineRule="auto"/>
              <w:jc w:val="both"/>
              <w:rPr>
                <w:rFonts w:ascii="Times New Roman" w:hAnsi="Times New Roman"/>
                <w:sz w:val="20"/>
                <w:szCs w:val="20"/>
              </w:rPr>
            </w:pPr>
            <w:r w:rsidRPr="00BD3D50">
              <w:rPr>
                <w:rFonts w:ascii="Times New Roman" w:hAnsi="Times New Roman"/>
                <w:sz w:val="20"/>
                <w:szCs w:val="20"/>
              </w:rPr>
              <w:t>0.23</w:t>
            </w:r>
          </w:p>
        </w:tc>
        <w:tc>
          <w:tcPr>
            <w:tcW w:w="1260" w:type="dxa"/>
            <w:tcBorders>
              <w:top w:val="nil"/>
              <w:left w:val="nil"/>
              <w:bottom w:val="nil"/>
              <w:right w:val="nil"/>
            </w:tcBorders>
            <w:vAlign w:val="center"/>
            <w:hideMark/>
          </w:tcPr>
          <w:p w:rsidR="00BD3D50" w:rsidRPr="00BD3D50" w:rsidRDefault="00BD3D50" w:rsidP="00BD3D50">
            <w:pPr>
              <w:spacing w:after="0" w:line="240" w:lineRule="auto"/>
              <w:jc w:val="both"/>
              <w:rPr>
                <w:rFonts w:ascii="Times New Roman" w:hAnsi="Times New Roman"/>
                <w:sz w:val="20"/>
                <w:szCs w:val="20"/>
              </w:rPr>
            </w:pPr>
            <w:r w:rsidRPr="00BD3D50">
              <w:rPr>
                <w:rFonts w:ascii="Times New Roman" w:hAnsi="Times New Roman"/>
                <w:sz w:val="20"/>
                <w:szCs w:val="20"/>
              </w:rPr>
              <w:t>0.03</w:t>
            </w:r>
          </w:p>
        </w:tc>
        <w:tc>
          <w:tcPr>
            <w:tcW w:w="1080" w:type="dxa"/>
            <w:tcBorders>
              <w:top w:val="nil"/>
              <w:left w:val="nil"/>
              <w:bottom w:val="nil"/>
              <w:right w:val="nil"/>
            </w:tcBorders>
            <w:vAlign w:val="center"/>
            <w:hideMark/>
          </w:tcPr>
          <w:p w:rsidR="00BD3D50" w:rsidRPr="00BD3D50" w:rsidRDefault="00BD3D50" w:rsidP="00BD3D50">
            <w:pPr>
              <w:spacing w:after="0" w:line="240" w:lineRule="auto"/>
              <w:jc w:val="both"/>
              <w:rPr>
                <w:rFonts w:ascii="Times New Roman" w:hAnsi="Times New Roman"/>
                <w:sz w:val="20"/>
                <w:szCs w:val="20"/>
              </w:rPr>
            </w:pPr>
            <w:r w:rsidRPr="00BD3D50">
              <w:rPr>
                <w:rFonts w:ascii="Times New Roman" w:hAnsi="Times New Roman"/>
                <w:sz w:val="20"/>
                <w:szCs w:val="20"/>
              </w:rPr>
              <w:t>0.08</w:t>
            </w:r>
          </w:p>
        </w:tc>
      </w:tr>
      <w:tr w:rsidR="00BD3D50" w:rsidRPr="00DB6CEF" w:rsidTr="00F245E3">
        <w:trPr>
          <w:trHeight w:val="144"/>
        </w:trPr>
        <w:tc>
          <w:tcPr>
            <w:tcW w:w="2538" w:type="dxa"/>
            <w:tcBorders>
              <w:top w:val="nil"/>
              <w:left w:val="nil"/>
              <w:bottom w:val="nil"/>
              <w:right w:val="nil"/>
            </w:tcBorders>
            <w:vAlign w:val="center"/>
            <w:hideMark/>
          </w:tcPr>
          <w:p w:rsidR="00BD3D50" w:rsidRPr="00DB6CEF" w:rsidRDefault="00BD3D50" w:rsidP="00BD3D50">
            <w:pPr>
              <w:spacing w:after="0" w:line="240" w:lineRule="auto"/>
              <w:jc w:val="both"/>
              <w:rPr>
                <w:rFonts w:ascii="Times New Roman" w:hAnsi="Times New Roman"/>
                <w:sz w:val="20"/>
                <w:szCs w:val="20"/>
              </w:rPr>
            </w:pPr>
            <w:r w:rsidRPr="00DB6CEF">
              <w:rPr>
                <w:rFonts w:ascii="Times New Roman" w:hAnsi="Times New Roman"/>
                <w:b/>
                <w:sz w:val="20"/>
                <w:szCs w:val="20"/>
              </w:rPr>
              <w:t>∑</w:t>
            </w:r>
            <w:r w:rsidRPr="00DB6CEF">
              <w:rPr>
                <w:rFonts w:ascii="Times New Roman" w:hAnsi="Times New Roman"/>
                <w:sz w:val="20"/>
                <w:szCs w:val="20"/>
              </w:rPr>
              <w:t>CPAHs</w:t>
            </w:r>
          </w:p>
        </w:tc>
        <w:tc>
          <w:tcPr>
            <w:tcW w:w="1170" w:type="dxa"/>
            <w:tcBorders>
              <w:top w:val="nil"/>
              <w:left w:val="nil"/>
              <w:bottom w:val="nil"/>
              <w:right w:val="nil"/>
            </w:tcBorders>
            <w:vAlign w:val="center"/>
            <w:hideMark/>
          </w:tcPr>
          <w:p w:rsidR="00BD3D50" w:rsidRPr="00BD3D50" w:rsidRDefault="00BD3D50" w:rsidP="00BD3D50">
            <w:pPr>
              <w:spacing w:after="0" w:line="240" w:lineRule="auto"/>
              <w:jc w:val="both"/>
              <w:rPr>
                <w:rFonts w:ascii="Times New Roman" w:hAnsi="Times New Roman"/>
                <w:sz w:val="20"/>
                <w:szCs w:val="20"/>
              </w:rPr>
            </w:pPr>
            <w:r w:rsidRPr="00BD3D50">
              <w:rPr>
                <w:rFonts w:ascii="Times New Roman" w:hAnsi="Times New Roman"/>
                <w:sz w:val="20"/>
                <w:szCs w:val="20"/>
              </w:rPr>
              <w:t>0.06766</w:t>
            </w:r>
          </w:p>
        </w:tc>
        <w:tc>
          <w:tcPr>
            <w:tcW w:w="1260" w:type="dxa"/>
            <w:tcBorders>
              <w:top w:val="nil"/>
              <w:left w:val="nil"/>
              <w:bottom w:val="nil"/>
              <w:right w:val="nil"/>
            </w:tcBorders>
            <w:vAlign w:val="center"/>
            <w:hideMark/>
          </w:tcPr>
          <w:p w:rsidR="00BD3D50" w:rsidRPr="00BD3D50" w:rsidRDefault="00BD3D50" w:rsidP="00BD3D50">
            <w:pPr>
              <w:spacing w:after="0" w:line="240" w:lineRule="auto"/>
              <w:jc w:val="both"/>
              <w:rPr>
                <w:rFonts w:ascii="Times New Roman" w:hAnsi="Times New Roman"/>
                <w:sz w:val="20"/>
                <w:szCs w:val="20"/>
              </w:rPr>
            </w:pPr>
            <w:r w:rsidRPr="00BD3D50">
              <w:rPr>
                <w:rFonts w:ascii="Times New Roman" w:hAnsi="Times New Roman"/>
                <w:sz w:val="20"/>
                <w:szCs w:val="20"/>
              </w:rPr>
              <w:t>1.6775</w:t>
            </w:r>
          </w:p>
        </w:tc>
        <w:tc>
          <w:tcPr>
            <w:tcW w:w="1170" w:type="dxa"/>
            <w:tcBorders>
              <w:top w:val="nil"/>
              <w:left w:val="nil"/>
              <w:bottom w:val="nil"/>
              <w:right w:val="nil"/>
            </w:tcBorders>
            <w:vAlign w:val="center"/>
            <w:hideMark/>
          </w:tcPr>
          <w:p w:rsidR="00BD3D50" w:rsidRPr="00BD3D50" w:rsidRDefault="00BD3D50" w:rsidP="00BD3D50">
            <w:pPr>
              <w:spacing w:after="0" w:line="240" w:lineRule="auto"/>
              <w:jc w:val="both"/>
              <w:rPr>
                <w:rFonts w:ascii="Times New Roman" w:hAnsi="Times New Roman"/>
                <w:sz w:val="20"/>
                <w:szCs w:val="20"/>
              </w:rPr>
            </w:pPr>
            <w:r w:rsidRPr="00BD3D50">
              <w:rPr>
                <w:rFonts w:ascii="Times New Roman" w:hAnsi="Times New Roman"/>
                <w:sz w:val="20"/>
                <w:szCs w:val="20"/>
              </w:rPr>
              <w:t>0.41555</w:t>
            </w:r>
          </w:p>
        </w:tc>
        <w:tc>
          <w:tcPr>
            <w:tcW w:w="1260" w:type="dxa"/>
            <w:tcBorders>
              <w:top w:val="nil"/>
              <w:left w:val="nil"/>
              <w:bottom w:val="nil"/>
              <w:right w:val="nil"/>
            </w:tcBorders>
            <w:vAlign w:val="center"/>
            <w:hideMark/>
          </w:tcPr>
          <w:p w:rsidR="00BD3D50" w:rsidRPr="00BD3D50" w:rsidRDefault="00BD3D50" w:rsidP="00BD3D50">
            <w:pPr>
              <w:spacing w:after="0" w:line="240" w:lineRule="auto"/>
              <w:jc w:val="both"/>
              <w:rPr>
                <w:rFonts w:ascii="Times New Roman" w:hAnsi="Times New Roman"/>
                <w:sz w:val="20"/>
                <w:szCs w:val="20"/>
              </w:rPr>
            </w:pPr>
            <w:r w:rsidRPr="00BD3D50">
              <w:rPr>
                <w:rFonts w:ascii="Times New Roman" w:hAnsi="Times New Roman"/>
                <w:sz w:val="20"/>
                <w:szCs w:val="20"/>
              </w:rPr>
              <w:t>0.15665</w:t>
            </w:r>
          </w:p>
        </w:tc>
        <w:tc>
          <w:tcPr>
            <w:tcW w:w="1080" w:type="dxa"/>
            <w:tcBorders>
              <w:top w:val="nil"/>
              <w:left w:val="nil"/>
              <w:bottom w:val="nil"/>
              <w:right w:val="nil"/>
            </w:tcBorders>
            <w:vAlign w:val="center"/>
            <w:hideMark/>
          </w:tcPr>
          <w:p w:rsidR="00BD3D50" w:rsidRPr="00BD3D50" w:rsidRDefault="00BD3D50" w:rsidP="00BD3D50">
            <w:pPr>
              <w:spacing w:after="0" w:line="240" w:lineRule="auto"/>
              <w:jc w:val="both"/>
              <w:rPr>
                <w:rFonts w:ascii="Times New Roman" w:hAnsi="Times New Roman"/>
                <w:sz w:val="20"/>
                <w:szCs w:val="20"/>
              </w:rPr>
            </w:pPr>
            <w:r w:rsidRPr="00BD3D50">
              <w:rPr>
                <w:rFonts w:ascii="Times New Roman" w:hAnsi="Times New Roman"/>
                <w:sz w:val="20"/>
                <w:szCs w:val="20"/>
              </w:rPr>
              <w:t>0.32434</w:t>
            </w:r>
          </w:p>
        </w:tc>
      </w:tr>
      <w:tr w:rsidR="00BD3D50" w:rsidRPr="00DB6CEF" w:rsidTr="00F245E3">
        <w:trPr>
          <w:trHeight w:val="144"/>
        </w:trPr>
        <w:tc>
          <w:tcPr>
            <w:tcW w:w="2538" w:type="dxa"/>
            <w:tcBorders>
              <w:top w:val="nil"/>
              <w:left w:val="nil"/>
              <w:bottom w:val="single" w:sz="4" w:space="0" w:color="auto"/>
              <w:right w:val="nil"/>
            </w:tcBorders>
            <w:vAlign w:val="center"/>
            <w:hideMark/>
          </w:tcPr>
          <w:p w:rsidR="00BD3D50" w:rsidRPr="00DB6CEF" w:rsidRDefault="00BD3D50" w:rsidP="00BD3D50">
            <w:pPr>
              <w:spacing w:after="120" w:line="240" w:lineRule="auto"/>
              <w:jc w:val="both"/>
              <w:rPr>
                <w:rFonts w:ascii="Times New Roman" w:hAnsi="Times New Roman"/>
                <w:sz w:val="20"/>
                <w:szCs w:val="20"/>
              </w:rPr>
            </w:pPr>
            <w:r w:rsidRPr="00DB6CEF">
              <w:rPr>
                <w:rFonts w:ascii="Times New Roman" w:hAnsi="Times New Roman"/>
                <w:sz w:val="20"/>
                <w:szCs w:val="20"/>
              </w:rPr>
              <w:t>% TOC</w:t>
            </w:r>
          </w:p>
        </w:tc>
        <w:tc>
          <w:tcPr>
            <w:tcW w:w="1170" w:type="dxa"/>
            <w:tcBorders>
              <w:top w:val="nil"/>
              <w:left w:val="nil"/>
              <w:bottom w:val="single" w:sz="4" w:space="0" w:color="auto"/>
              <w:right w:val="nil"/>
            </w:tcBorders>
            <w:vAlign w:val="center"/>
            <w:hideMark/>
          </w:tcPr>
          <w:p w:rsidR="00BD3D50" w:rsidRPr="00BD3D50" w:rsidRDefault="00BD3D50" w:rsidP="00BD3D50">
            <w:pPr>
              <w:spacing w:after="120" w:line="240" w:lineRule="auto"/>
              <w:jc w:val="both"/>
              <w:rPr>
                <w:rFonts w:ascii="Times New Roman" w:hAnsi="Times New Roman"/>
                <w:sz w:val="20"/>
                <w:szCs w:val="20"/>
              </w:rPr>
            </w:pPr>
            <w:r w:rsidRPr="00BD3D50">
              <w:rPr>
                <w:rFonts w:ascii="Times New Roman" w:hAnsi="Times New Roman"/>
                <w:sz w:val="20"/>
                <w:szCs w:val="20"/>
              </w:rPr>
              <w:t>7.66</w:t>
            </w:r>
          </w:p>
        </w:tc>
        <w:tc>
          <w:tcPr>
            <w:tcW w:w="1260" w:type="dxa"/>
            <w:tcBorders>
              <w:top w:val="nil"/>
              <w:left w:val="nil"/>
              <w:bottom w:val="single" w:sz="4" w:space="0" w:color="auto"/>
              <w:right w:val="nil"/>
            </w:tcBorders>
            <w:vAlign w:val="center"/>
            <w:hideMark/>
          </w:tcPr>
          <w:p w:rsidR="00BD3D50" w:rsidRPr="00BD3D50" w:rsidRDefault="00BD3D50" w:rsidP="00BD3D50">
            <w:pPr>
              <w:spacing w:after="120" w:line="240" w:lineRule="auto"/>
              <w:jc w:val="both"/>
              <w:rPr>
                <w:rFonts w:ascii="Times New Roman" w:hAnsi="Times New Roman"/>
                <w:sz w:val="20"/>
                <w:szCs w:val="20"/>
              </w:rPr>
            </w:pPr>
            <w:r w:rsidRPr="00BD3D50">
              <w:rPr>
                <w:rFonts w:ascii="Times New Roman" w:hAnsi="Times New Roman"/>
                <w:sz w:val="20"/>
                <w:szCs w:val="20"/>
              </w:rPr>
              <w:t>7.18</w:t>
            </w:r>
          </w:p>
        </w:tc>
        <w:tc>
          <w:tcPr>
            <w:tcW w:w="1170" w:type="dxa"/>
            <w:tcBorders>
              <w:top w:val="nil"/>
              <w:left w:val="nil"/>
              <w:bottom w:val="single" w:sz="4" w:space="0" w:color="auto"/>
              <w:right w:val="nil"/>
            </w:tcBorders>
            <w:vAlign w:val="center"/>
            <w:hideMark/>
          </w:tcPr>
          <w:p w:rsidR="00BD3D50" w:rsidRPr="00BD3D50" w:rsidRDefault="00BD3D50" w:rsidP="00BD3D50">
            <w:pPr>
              <w:spacing w:after="120" w:line="240" w:lineRule="auto"/>
              <w:jc w:val="both"/>
              <w:rPr>
                <w:rFonts w:ascii="Times New Roman" w:hAnsi="Times New Roman"/>
                <w:sz w:val="20"/>
                <w:szCs w:val="20"/>
              </w:rPr>
            </w:pPr>
            <w:r w:rsidRPr="00BD3D50">
              <w:rPr>
                <w:rFonts w:ascii="Times New Roman" w:hAnsi="Times New Roman"/>
                <w:sz w:val="20"/>
                <w:szCs w:val="20"/>
              </w:rPr>
              <w:t>6.74</w:t>
            </w:r>
          </w:p>
        </w:tc>
        <w:tc>
          <w:tcPr>
            <w:tcW w:w="1260" w:type="dxa"/>
            <w:tcBorders>
              <w:top w:val="nil"/>
              <w:left w:val="nil"/>
              <w:bottom w:val="single" w:sz="4" w:space="0" w:color="auto"/>
              <w:right w:val="nil"/>
            </w:tcBorders>
            <w:vAlign w:val="center"/>
            <w:hideMark/>
          </w:tcPr>
          <w:p w:rsidR="00BD3D50" w:rsidRPr="00BD3D50" w:rsidRDefault="00BD3D50" w:rsidP="00BD3D50">
            <w:pPr>
              <w:spacing w:after="120" w:line="240" w:lineRule="auto"/>
              <w:jc w:val="both"/>
              <w:rPr>
                <w:rFonts w:ascii="Times New Roman" w:hAnsi="Times New Roman"/>
                <w:sz w:val="20"/>
                <w:szCs w:val="20"/>
              </w:rPr>
            </w:pPr>
            <w:r w:rsidRPr="00BD3D50">
              <w:rPr>
                <w:rFonts w:ascii="Times New Roman" w:hAnsi="Times New Roman"/>
                <w:sz w:val="20"/>
                <w:szCs w:val="20"/>
              </w:rPr>
              <w:t>7.50</w:t>
            </w:r>
          </w:p>
        </w:tc>
        <w:tc>
          <w:tcPr>
            <w:tcW w:w="1080" w:type="dxa"/>
            <w:tcBorders>
              <w:top w:val="nil"/>
              <w:left w:val="nil"/>
              <w:bottom w:val="single" w:sz="4" w:space="0" w:color="auto"/>
              <w:right w:val="nil"/>
            </w:tcBorders>
            <w:vAlign w:val="center"/>
            <w:hideMark/>
          </w:tcPr>
          <w:p w:rsidR="00BD3D50" w:rsidRPr="00BD3D50" w:rsidRDefault="00BD3D50" w:rsidP="00BD3D50">
            <w:pPr>
              <w:spacing w:after="120" w:line="240" w:lineRule="auto"/>
              <w:jc w:val="both"/>
              <w:rPr>
                <w:rFonts w:ascii="Times New Roman" w:hAnsi="Times New Roman"/>
                <w:sz w:val="20"/>
                <w:szCs w:val="20"/>
              </w:rPr>
            </w:pPr>
            <w:r w:rsidRPr="00BD3D50">
              <w:rPr>
                <w:rFonts w:ascii="Times New Roman" w:hAnsi="Times New Roman"/>
                <w:sz w:val="20"/>
                <w:szCs w:val="20"/>
              </w:rPr>
              <w:t>6.30</w:t>
            </w:r>
          </w:p>
        </w:tc>
      </w:tr>
    </w:tbl>
    <w:p w:rsidR="0079209E" w:rsidRPr="00DB02EA" w:rsidRDefault="0079209E" w:rsidP="00BD3D50">
      <w:pPr>
        <w:autoSpaceDE w:val="0"/>
        <w:autoSpaceDN w:val="0"/>
        <w:adjustRightInd w:val="0"/>
        <w:spacing w:before="120" w:after="0" w:line="240" w:lineRule="auto"/>
        <w:ind w:left="450" w:right="331"/>
        <w:jc w:val="both"/>
        <w:rPr>
          <w:rFonts w:ascii="Times New Roman" w:hAnsi="Times New Roman"/>
          <w:sz w:val="18"/>
          <w:szCs w:val="18"/>
        </w:rPr>
      </w:pPr>
      <w:r w:rsidRPr="00DB02EA">
        <w:rPr>
          <w:rFonts w:ascii="Times New Roman" w:hAnsi="Times New Roman"/>
          <w:sz w:val="18"/>
          <w:szCs w:val="18"/>
        </w:rPr>
        <w:t>Percentage Total Organic carbon (% TOC); sum of carcinogenic PAHs (∑CPAHs); standard deviation (SD); sum of 16 EPA priority PAHs (</w:t>
      </w:r>
      <w:r w:rsidRPr="00DB02EA">
        <w:rPr>
          <w:rFonts w:ascii="Times New Roman" w:hAnsi="Times New Roman"/>
          <w:b/>
          <w:sz w:val="18"/>
          <w:szCs w:val="18"/>
        </w:rPr>
        <w:t>∑</w:t>
      </w:r>
      <w:r w:rsidRPr="00DB02EA">
        <w:rPr>
          <w:rFonts w:ascii="Times New Roman" w:hAnsi="Times New Roman"/>
          <w:sz w:val="18"/>
          <w:szCs w:val="18"/>
        </w:rPr>
        <w:t>16 EPA PAHs); Sum of  High molecular weight PAHs (</w:t>
      </w:r>
      <w:r w:rsidRPr="00DB02EA">
        <w:rPr>
          <w:rFonts w:ascii="Times New Roman" w:hAnsi="Times New Roman"/>
          <w:b/>
          <w:sz w:val="18"/>
          <w:szCs w:val="18"/>
        </w:rPr>
        <w:t>∑</w:t>
      </w:r>
      <w:r w:rsidRPr="00DB02EA">
        <w:rPr>
          <w:rFonts w:ascii="Times New Roman" w:hAnsi="Times New Roman"/>
          <w:sz w:val="18"/>
          <w:szCs w:val="18"/>
        </w:rPr>
        <w:t>HMW PAHs); Sum of Low molecular weight PAHs (</w:t>
      </w:r>
      <w:r w:rsidRPr="00DB02EA">
        <w:rPr>
          <w:rFonts w:ascii="Times New Roman" w:hAnsi="Times New Roman"/>
          <w:b/>
          <w:sz w:val="18"/>
          <w:szCs w:val="18"/>
        </w:rPr>
        <w:t>∑</w:t>
      </w:r>
      <w:r w:rsidRPr="00DB02EA">
        <w:rPr>
          <w:rFonts w:ascii="Times New Roman" w:hAnsi="Times New Roman"/>
          <w:sz w:val="18"/>
          <w:szCs w:val="18"/>
        </w:rPr>
        <w:t>LMW PAHs).</w:t>
      </w:r>
    </w:p>
    <w:p w:rsidR="00DB6CEF" w:rsidRDefault="00DB6CEF" w:rsidP="0079209E">
      <w:pPr>
        <w:pStyle w:val="ListParagraph"/>
        <w:autoSpaceDE w:val="0"/>
        <w:autoSpaceDN w:val="0"/>
        <w:adjustRightInd w:val="0"/>
        <w:spacing w:before="60" w:after="0" w:line="240" w:lineRule="auto"/>
        <w:ind w:left="0"/>
        <w:contextualSpacing w:val="0"/>
        <w:jc w:val="both"/>
        <w:rPr>
          <w:rFonts w:ascii="Times New Roman" w:hAnsi="Times New Roman"/>
          <w:sz w:val="18"/>
          <w:szCs w:val="18"/>
        </w:rPr>
      </w:pPr>
    </w:p>
    <w:p w:rsidR="00DB6CEF" w:rsidRDefault="00DB6CEF" w:rsidP="0079209E">
      <w:pPr>
        <w:pStyle w:val="ListParagraph"/>
        <w:autoSpaceDE w:val="0"/>
        <w:autoSpaceDN w:val="0"/>
        <w:adjustRightInd w:val="0"/>
        <w:spacing w:before="60" w:after="0" w:line="240" w:lineRule="auto"/>
        <w:ind w:left="0"/>
        <w:contextualSpacing w:val="0"/>
        <w:jc w:val="both"/>
        <w:rPr>
          <w:rFonts w:ascii="Times New Roman" w:hAnsi="Times New Roman"/>
          <w:sz w:val="18"/>
          <w:szCs w:val="18"/>
        </w:rPr>
      </w:pPr>
    </w:p>
    <w:p w:rsidR="00DB6CEF" w:rsidRPr="0079209E" w:rsidRDefault="00DB6CEF" w:rsidP="0079209E">
      <w:pPr>
        <w:pStyle w:val="ListParagraph"/>
        <w:autoSpaceDE w:val="0"/>
        <w:autoSpaceDN w:val="0"/>
        <w:adjustRightInd w:val="0"/>
        <w:spacing w:before="60" w:after="0" w:line="240" w:lineRule="auto"/>
        <w:ind w:left="0"/>
        <w:contextualSpacing w:val="0"/>
        <w:jc w:val="both"/>
        <w:rPr>
          <w:rFonts w:ascii="Times New Roman" w:hAnsi="Times New Roman"/>
          <w:sz w:val="18"/>
          <w:szCs w:val="18"/>
        </w:rPr>
      </w:pPr>
    </w:p>
    <w:p w:rsidR="0079209E" w:rsidRDefault="0079209E" w:rsidP="0079209E">
      <w:pPr>
        <w:pStyle w:val="ListParagraph"/>
        <w:autoSpaceDE w:val="0"/>
        <w:autoSpaceDN w:val="0"/>
        <w:adjustRightInd w:val="0"/>
        <w:spacing w:after="0" w:line="240" w:lineRule="auto"/>
        <w:ind w:left="0"/>
        <w:jc w:val="both"/>
        <w:rPr>
          <w:rFonts w:ascii="Times New Roman" w:hAnsi="Times New Roman"/>
          <w:b/>
          <w:sz w:val="20"/>
          <w:szCs w:val="20"/>
        </w:rPr>
      </w:pPr>
    </w:p>
    <w:p w:rsidR="0079209E" w:rsidRDefault="0079209E" w:rsidP="0079209E">
      <w:pPr>
        <w:pStyle w:val="ListParagraph"/>
        <w:autoSpaceDE w:val="0"/>
        <w:autoSpaceDN w:val="0"/>
        <w:adjustRightInd w:val="0"/>
        <w:spacing w:after="0" w:line="240" w:lineRule="auto"/>
        <w:ind w:left="0"/>
        <w:jc w:val="both"/>
        <w:rPr>
          <w:rFonts w:ascii="Times New Roman" w:hAnsi="Times New Roman"/>
          <w:b/>
          <w:sz w:val="20"/>
          <w:szCs w:val="20"/>
        </w:rPr>
      </w:pPr>
    </w:p>
    <w:p w:rsidR="0079209E" w:rsidRDefault="0079209E" w:rsidP="0079209E">
      <w:pPr>
        <w:pStyle w:val="ListParagraph"/>
        <w:autoSpaceDE w:val="0"/>
        <w:autoSpaceDN w:val="0"/>
        <w:adjustRightInd w:val="0"/>
        <w:spacing w:after="0" w:line="240" w:lineRule="auto"/>
        <w:ind w:left="0"/>
        <w:jc w:val="both"/>
        <w:rPr>
          <w:rFonts w:ascii="Times New Roman" w:hAnsi="Times New Roman"/>
          <w:b/>
          <w:sz w:val="20"/>
          <w:szCs w:val="20"/>
        </w:rPr>
      </w:pPr>
    </w:p>
    <w:p w:rsidR="0079209E" w:rsidRDefault="0079209E" w:rsidP="0079209E">
      <w:pPr>
        <w:pStyle w:val="ListParagraph"/>
        <w:autoSpaceDE w:val="0"/>
        <w:autoSpaceDN w:val="0"/>
        <w:adjustRightInd w:val="0"/>
        <w:spacing w:after="0" w:line="240" w:lineRule="auto"/>
        <w:ind w:left="0"/>
        <w:jc w:val="both"/>
        <w:rPr>
          <w:rFonts w:ascii="Times New Roman" w:hAnsi="Times New Roman"/>
          <w:b/>
          <w:sz w:val="20"/>
          <w:szCs w:val="20"/>
        </w:rPr>
      </w:pPr>
    </w:p>
    <w:p w:rsidR="0079209E" w:rsidRDefault="0079209E" w:rsidP="0079209E">
      <w:pPr>
        <w:pStyle w:val="ListParagraph"/>
        <w:autoSpaceDE w:val="0"/>
        <w:autoSpaceDN w:val="0"/>
        <w:adjustRightInd w:val="0"/>
        <w:spacing w:after="0" w:line="240" w:lineRule="auto"/>
        <w:ind w:left="0"/>
        <w:jc w:val="both"/>
        <w:rPr>
          <w:rFonts w:ascii="Times New Roman" w:hAnsi="Times New Roman"/>
          <w:b/>
          <w:sz w:val="20"/>
          <w:szCs w:val="20"/>
        </w:rPr>
      </w:pPr>
    </w:p>
    <w:p w:rsidR="0079209E" w:rsidRDefault="0079209E" w:rsidP="0079209E">
      <w:pPr>
        <w:pStyle w:val="ListParagraph"/>
        <w:autoSpaceDE w:val="0"/>
        <w:autoSpaceDN w:val="0"/>
        <w:adjustRightInd w:val="0"/>
        <w:spacing w:after="0" w:line="240" w:lineRule="auto"/>
        <w:ind w:left="0"/>
        <w:jc w:val="both"/>
        <w:rPr>
          <w:rFonts w:ascii="Times New Roman" w:hAnsi="Times New Roman"/>
          <w:b/>
          <w:sz w:val="20"/>
          <w:szCs w:val="20"/>
        </w:rPr>
      </w:pPr>
    </w:p>
    <w:p w:rsidR="0079209E" w:rsidRDefault="0079209E" w:rsidP="00BD3D50">
      <w:pPr>
        <w:keepNext/>
        <w:autoSpaceDE w:val="0"/>
        <w:autoSpaceDN w:val="0"/>
        <w:adjustRightInd w:val="0"/>
        <w:spacing w:after="0" w:line="240" w:lineRule="auto"/>
        <w:jc w:val="center"/>
        <w:rPr>
          <w:rFonts w:ascii="Times New Roman" w:hAnsi="Times New Roman"/>
          <w:sz w:val="20"/>
          <w:szCs w:val="20"/>
        </w:rPr>
      </w:pPr>
      <w:r>
        <w:rPr>
          <w:rFonts w:ascii="Times New Roman" w:hAnsi="Times New Roman"/>
          <w:noProof/>
          <w:sz w:val="20"/>
          <w:szCs w:val="20"/>
          <w:lang w:bidi="ar-SA"/>
        </w:rPr>
        <w:lastRenderedPageBreak/>
        <w:drawing>
          <wp:inline distT="0" distB="0" distL="0" distR="0">
            <wp:extent cx="4648200" cy="26003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48200" cy="2600325"/>
                    </a:xfrm>
                    <a:prstGeom prst="rect">
                      <a:avLst/>
                    </a:prstGeom>
                    <a:noFill/>
                    <a:ln>
                      <a:noFill/>
                    </a:ln>
                  </pic:spPr>
                </pic:pic>
              </a:graphicData>
            </a:graphic>
          </wp:inline>
        </w:drawing>
      </w:r>
    </w:p>
    <w:p w:rsidR="00BD3D50" w:rsidRDefault="00BD3D50" w:rsidP="0079209E">
      <w:pPr>
        <w:pStyle w:val="Caption"/>
        <w:spacing w:after="0" w:line="240" w:lineRule="auto"/>
        <w:jc w:val="both"/>
        <w:rPr>
          <w:rFonts w:ascii="Times New Roman" w:hAnsi="Times New Roman"/>
          <w:b w:val="0"/>
        </w:rPr>
      </w:pPr>
    </w:p>
    <w:p w:rsidR="0079209E" w:rsidRDefault="0079209E" w:rsidP="00BD3D50">
      <w:pPr>
        <w:pStyle w:val="Caption"/>
        <w:spacing w:after="0" w:line="240" w:lineRule="auto"/>
        <w:jc w:val="center"/>
        <w:rPr>
          <w:rFonts w:ascii="Times New Roman" w:hAnsi="Times New Roman"/>
          <w:b w:val="0"/>
        </w:rPr>
      </w:pPr>
      <w:r>
        <w:rPr>
          <w:rFonts w:ascii="Times New Roman" w:hAnsi="Times New Roman"/>
          <w:b w:val="0"/>
        </w:rPr>
        <w:t xml:space="preserve">Figure </w:t>
      </w:r>
      <w:r>
        <w:rPr>
          <w:rFonts w:ascii="Times New Roman" w:hAnsi="Times New Roman"/>
          <w:b w:val="0"/>
        </w:rPr>
        <w:fldChar w:fldCharType="begin"/>
      </w:r>
      <w:r>
        <w:rPr>
          <w:rFonts w:ascii="Times New Roman" w:hAnsi="Times New Roman"/>
          <w:b w:val="0"/>
        </w:rPr>
        <w:instrText xml:space="preserve"> SEQ Figure \* ARABIC </w:instrText>
      </w:r>
      <w:r>
        <w:rPr>
          <w:rFonts w:ascii="Times New Roman" w:hAnsi="Times New Roman"/>
          <w:b w:val="0"/>
        </w:rPr>
        <w:fldChar w:fldCharType="separate"/>
      </w:r>
      <w:r w:rsidR="00B71DD6">
        <w:rPr>
          <w:rFonts w:ascii="Times New Roman" w:hAnsi="Times New Roman"/>
          <w:b w:val="0"/>
          <w:noProof/>
        </w:rPr>
        <w:t>2</w:t>
      </w:r>
      <w:r>
        <w:rPr>
          <w:rFonts w:ascii="Times New Roman" w:hAnsi="Times New Roman"/>
          <w:b w:val="0"/>
        </w:rPr>
        <w:fldChar w:fldCharType="end"/>
      </w:r>
      <w:r>
        <w:rPr>
          <w:rFonts w:ascii="Times New Roman" w:hAnsi="Times New Roman"/>
          <w:b w:val="0"/>
        </w:rPr>
        <w:t xml:space="preserve">. </w:t>
      </w:r>
      <w:r w:rsidR="00BD3D50">
        <w:rPr>
          <w:rFonts w:ascii="Times New Roman" w:hAnsi="Times New Roman"/>
          <w:b w:val="0"/>
        </w:rPr>
        <w:t xml:space="preserve"> </w:t>
      </w:r>
      <w:r>
        <w:rPr>
          <w:rFonts w:ascii="Times New Roman" w:hAnsi="Times New Roman"/>
          <w:b w:val="0"/>
        </w:rPr>
        <w:t>Percentage distribution of PAHs based on ring size in the soil sample</w:t>
      </w:r>
    </w:p>
    <w:p w:rsidR="006768E9" w:rsidRDefault="006768E9" w:rsidP="00494D7C">
      <w:pPr>
        <w:spacing w:after="0" w:line="240" w:lineRule="auto"/>
        <w:jc w:val="both"/>
        <w:rPr>
          <w:rFonts w:ascii="Times New Roman" w:hAnsi="Times New Roman"/>
          <w:noProof/>
          <w:sz w:val="20"/>
          <w:szCs w:val="20"/>
          <w:lang w:bidi="ar-SA"/>
        </w:rPr>
      </w:pPr>
    </w:p>
    <w:p w:rsidR="00494D7C" w:rsidRDefault="00494D7C" w:rsidP="00494D7C">
      <w:pPr>
        <w:spacing w:after="0" w:line="240" w:lineRule="auto"/>
        <w:jc w:val="both"/>
        <w:rPr>
          <w:rFonts w:ascii="Times New Roman" w:hAnsi="Times New Roman"/>
          <w:noProof/>
          <w:sz w:val="20"/>
          <w:szCs w:val="20"/>
          <w:lang w:bidi="ar-SA"/>
        </w:rPr>
      </w:pPr>
    </w:p>
    <w:p w:rsidR="00494D7C" w:rsidRDefault="00494D7C" w:rsidP="00494D7C">
      <w:pPr>
        <w:pStyle w:val="ListParagraph"/>
        <w:autoSpaceDE w:val="0"/>
        <w:autoSpaceDN w:val="0"/>
        <w:adjustRightInd w:val="0"/>
        <w:spacing w:after="0" w:line="240" w:lineRule="auto"/>
        <w:ind w:left="0"/>
        <w:jc w:val="both"/>
        <w:rPr>
          <w:rFonts w:ascii="Times New Roman" w:hAnsi="Times New Roman"/>
          <w:b/>
          <w:sz w:val="20"/>
          <w:szCs w:val="20"/>
        </w:rPr>
      </w:pPr>
      <w:r w:rsidRPr="00FD7102">
        <w:rPr>
          <w:rFonts w:ascii="Times New Roman" w:hAnsi="Times New Roman"/>
          <w:b/>
          <w:sz w:val="20"/>
          <w:szCs w:val="20"/>
        </w:rPr>
        <w:t>Carcinogenic Potency and Toxicity potential</w:t>
      </w:r>
    </w:p>
    <w:p w:rsidR="00494D7C" w:rsidRPr="004F1544" w:rsidRDefault="00494D7C" w:rsidP="00494D7C">
      <w:pPr>
        <w:pStyle w:val="ListParagraph"/>
        <w:autoSpaceDE w:val="0"/>
        <w:autoSpaceDN w:val="0"/>
        <w:adjustRightInd w:val="0"/>
        <w:spacing w:after="0" w:line="240" w:lineRule="auto"/>
        <w:ind w:left="0"/>
        <w:jc w:val="both"/>
        <w:rPr>
          <w:rFonts w:ascii="Times New Roman" w:hAnsi="Times New Roman"/>
          <w:sz w:val="20"/>
          <w:szCs w:val="20"/>
        </w:rPr>
      </w:pPr>
      <w:r w:rsidRPr="00FD7102">
        <w:rPr>
          <w:rFonts w:ascii="Times New Roman" w:hAnsi="Times New Roman"/>
          <w:sz w:val="20"/>
          <w:szCs w:val="20"/>
        </w:rPr>
        <w:t xml:space="preserve">The International Agency for Research on Cancer (IARC)  and the United State Environment Programme, (USEPA) reported that chyresene, benzo(a)anthracene, </w:t>
      </w:r>
      <w:r>
        <w:rPr>
          <w:rFonts w:ascii="Times New Roman" w:hAnsi="Times New Roman"/>
          <w:sz w:val="20"/>
          <w:szCs w:val="20"/>
        </w:rPr>
        <w:t>d</w:t>
      </w:r>
      <w:r w:rsidRPr="00FD7102">
        <w:rPr>
          <w:rFonts w:ascii="Times New Roman" w:hAnsi="Times New Roman"/>
          <w:sz w:val="20"/>
          <w:szCs w:val="20"/>
        </w:rPr>
        <w:t>ibenzo(a,h)anthrancene, benzo(a)pyrene, benzo(b)fluoroanthrene, benzo(k)flouoranthrane and indeo(1,2,3-cd)pyrene are potential human carcinogens [3</w:t>
      </w:r>
      <w:r>
        <w:rPr>
          <w:rFonts w:ascii="Times New Roman" w:hAnsi="Times New Roman"/>
          <w:sz w:val="20"/>
          <w:szCs w:val="20"/>
        </w:rPr>
        <w:t>3</w:t>
      </w:r>
      <w:r w:rsidRPr="00FD7102">
        <w:rPr>
          <w:rFonts w:ascii="Times New Roman" w:hAnsi="Times New Roman"/>
          <w:sz w:val="20"/>
          <w:szCs w:val="20"/>
        </w:rPr>
        <w:t>]. All the listed carcinogenic PAHs are detected in the soil (Table 3).  The total concentration of carcinogenic PAHs in th</w:t>
      </w:r>
      <w:r>
        <w:rPr>
          <w:rFonts w:ascii="Times New Roman" w:hAnsi="Times New Roman"/>
          <w:sz w:val="20"/>
          <w:szCs w:val="20"/>
        </w:rPr>
        <w:t>e dumpsite soil was 5.95042 mg/k</w:t>
      </w:r>
      <w:r w:rsidRPr="00FD7102">
        <w:rPr>
          <w:rFonts w:ascii="Times New Roman" w:hAnsi="Times New Roman"/>
          <w:sz w:val="20"/>
          <w:szCs w:val="20"/>
        </w:rPr>
        <w:t>g. This represented 34.74% of the total PAHs concentrations detected in the dumpsites soil.  The total concentrations of the carcinogenic PAHs at each of the sampling point were presented in Figure 3. The highest concentrati</w:t>
      </w:r>
      <w:r>
        <w:rPr>
          <w:rFonts w:ascii="Times New Roman" w:hAnsi="Times New Roman"/>
          <w:sz w:val="20"/>
          <w:szCs w:val="20"/>
        </w:rPr>
        <w:t>on of carcinogenic PAHs (1.6755</w:t>
      </w:r>
      <w:r w:rsidRPr="00FD7102">
        <w:rPr>
          <w:rFonts w:ascii="Times New Roman" w:hAnsi="Times New Roman"/>
          <w:sz w:val="20"/>
          <w:szCs w:val="20"/>
        </w:rPr>
        <w:t>mg/</w:t>
      </w:r>
      <w:r>
        <w:rPr>
          <w:rFonts w:ascii="Times New Roman" w:hAnsi="Times New Roman"/>
          <w:sz w:val="20"/>
          <w:szCs w:val="20"/>
        </w:rPr>
        <w:t>k</w:t>
      </w:r>
      <w:r w:rsidRPr="00FD7102">
        <w:rPr>
          <w:rFonts w:ascii="Times New Roman" w:hAnsi="Times New Roman"/>
          <w:sz w:val="20"/>
          <w:szCs w:val="20"/>
        </w:rPr>
        <w:t xml:space="preserve">g) was recorded in soil from the mechanic workshop (point S7), the concentration of carcinogenic PAHs at point the main </w:t>
      </w:r>
      <w:r>
        <w:rPr>
          <w:rFonts w:ascii="Times New Roman" w:hAnsi="Times New Roman"/>
          <w:sz w:val="20"/>
          <w:szCs w:val="20"/>
        </w:rPr>
        <w:t>dump area S2 and S3 are 1.39251mg/kg and 0.1285 mg/k</w:t>
      </w:r>
      <w:r w:rsidRPr="00FD7102">
        <w:rPr>
          <w:rFonts w:ascii="Times New Roman" w:hAnsi="Times New Roman"/>
          <w:sz w:val="20"/>
          <w:szCs w:val="20"/>
        </w:rPr>
        <w:t xml:space="preserve">g respectively and the lowest concentrations of the carcinogenic PAHs were recorded </w:t>
      </w:r>
      <w:r>
        <w:rPr>
          <w:rFonts w:ascii="Times New Roman" w:hAnsi="Times New Roman"/>
          <w:sz w:val="20"/>
          <w:szCs w:val="20"/>
        </w:rPr>
        <w:t>at point S5 (0.0642mg/kg) and S6 (0.06766</w:t>
      </w:r>
      <w:r w:rsidRPr="00FD7102">
        <w:rPr>
          <w:rFonts w:ascii="Times New Roman" w:hAnsi="Times New Roman"/>
          <w:sz w:val="20"/>
          <w:szCs w:val="20"/>
        </w:rPr>
        <w:t xml:space="preserve">mg/kg) respectively. The carcinogenic potency of </w:t>
      </w:r>
      <w:r>
        <w:rPr>
          <w:rFonts w:ascii="Times New Roman" w:hAnsi="Times New Roman"/>
          <w:sz w:val="20"/>
          <w:szCs w:val="20"/>
        </w:rPr>
        <w:t>b</w:t>
      </w:r>
      <w:r w:rsidRPr="00FD7102">
        <w:rPr>
          <w:rFonts w:ascii="Times New Roman" w:hAnsi="Times New Roman"/>
          <w:sz w:val="20"/>
          <w:szCs w:val="20"/>
        </w:rPr>
        <w:t>enzo[a]pyrene, B(a)P has been identified, it has been listed as a group 1 carcinogen and its metabolites are said to destroy normal copying</w:t>
      </w:r>
      <w:r>
        <w:rPr>
          <w:rFonts w:ascii="Times New Roman" w:hAnsi="Times New Roman"/>
          <w:sz w:val="20"/>
          <w:szCs w:val="20"/>
        </w:rPr>
        <w:t xml:space="preserve"> of DNA and induces mutation [34, 35</w:t>
      </w:r>
      <w:r w:rsidRPr="00FD7102">
        <w:rPr>
          <w:rFonts w:ascii="Times New Roman" w:hAnsi="Times New Roman"/>
          <w:sz w:val="20"/>
          <w:szCs w:val="20"/>
        </w:rPr>
        <w:t>].  B(a)P was detected in all the soil samples, the highest concentrations were de</w:t>
      </w:r>
      <w:r>
        <w:rPr>
          <w:rFonts w:ascii="Times New Roman" w:hAnsi="Times New Roman"/>
          <w:sz w:val="20"/>
          <w:szCs w:val="20"/>
        </w:rPr>
        <w:t>tected at point S2 (0.28967 mg/kg) and S7(0.28967mg/k</w:t>
      </w:r>
      <w:r w:rsidRPr="00FD7102">
        <w:rPr>
          <w:rFonts w:ascii="Times New Roman" w:hAnsi="Times New Roman"/>
          <w:sz w:val="20"/>
          <w:szCs w:val="20"/>
        </w:rPr>
        <w:t>g). To assess the human health risk of carcinogenic PAHs containing mixtures, total potency equivalence (TPEs) are used to relate the carcinogenic potential of other</w:t>
      </w:r>
      <w:r>
        <w:rPr>
          <w:rFonts w:ascii="Times New Roman" w:hAnsi="Times New Roman"/>
          <w:sz w:val="20"/>
          <w:szCs w:val="20"/>
        </w:rPr>
        <w:t xml:space="preserve"> PAHs to that of benzo[a]pyrene [36</w:t>
      </w:r>
      <w:r w:rsidRPr="00FD7102">
        <w:rPr>
          <w:rFonts w:ascii="Times New Roman" w:hAnsi="Times New Roman"/>
          <w:sz w:val="20"/>
          <w:szCs w:val="20"/>
        </w:rPr>
        <w:t>]</w:t>
      </w:r>
      <w:r>
        <w:rPr>
          <w:rFonts w:ascii="Times New Roman" w:hAnsi="Times New Roman"/>
          <w:sz w:val="20"/>
          <w:szCs w:val="20"/>
        </w:rPr>
        <w:t>. T</w:t>
      </w:r>
      <w:r w:rsidRPr="00FD7102">
        <w:rPr>
          <w:rFonts w:ascii="Times New Roman" w:hAnsi="Times New Roman"/>
          <w:sz w:val="20"/>
          <w:szCs w:val="20"/>
        </w:rPr>
        <w:t xml:space="preserve">he soil total equivalent potency for the PAHs in the dumpsite was presented </w:t>
      </w:r>
      <w:r>
        <w:rPr>
          <w:rFonts w:ascii="Times New Roman" w:hAnsi="Times New Roman"/>
          <w:sz w:val="20"/>
          <w:szCs w:val="20"/>
          <w:shd w:val="clear" w:color="auto" w:fill="FFFFFF"/>
        </w:rPr>
        <w:t>in Table 3</w:t>
      </w:r>
      <w:r w:rsidRPr="00FD7102">
        <w:rPr>
          <w:rFonts w:ascii="Times New Roman" w:hAnsi="Times New Roman"/>
          <w:sz w:val="20"/>
          <w:szCs w:val="20"/>
          <w:shd w:val="clear" w:color="auto" w:fill="FFFFFF"/>
        </w:rPr>
        <w:t>. The TPEs values are calculated as the summation of the total concentration of each of the carcinogenic with the toxicity equivalent factor (Table 3) for each PAHs as</w:t>
      </w:r>
      <w:r>
        <w:rPr>
          <w:rFonts w:ascii="Times New Roman" w:hAnsi="Times New Roman"/>
          <w:sz w:val="20"/>
          <w:szCs w:val="20"/>
          <w:shd w:val="clear" w:color="auto" w:fill="FFFFFF"/>
        </w:rPr>
        <w:t xml:space="preserve"> equation 2 below</w:t>
      </w:r>
      <w:r w:rsidRPr="00FD7102">
        <w:rPr>
          <w:rFonts w:ascii="Times New Roman" w:hAnsi="Times New Roman"/>
          <w:sz w:val="20"/>
          <w:szCs w:val="20"/>
          <w:shd w:val="clear" w:color="auto" w:fill="FFFFFF"/>
        </w:rPr>
        <w:t xml:space="preserve">:  </w:t>
      </w:r>
    </w:p>
    <w:p w:rsidR="00494D7C" w:rsidRDefault="00494D7C" w:rsidP="00494D7C">
      <w:pPr>
        <w:autoSpaceDE w:val="0"/>
        <w:autoSpaceDN w:val="0"/>
        <w:adjustRightInd w:val="0"/>
        <w:spacing w:after="0" w:line="240" w:lineRule="auto"/>
        <w:jc w:val="both"/>
        <w:rPr>
          <w:rFonts w:ascii="Times New Roman" w:hAnsi="Times New Roman"/>
          <w:sz w:val="20"/>
          <w:szCs w:val="20"/>
          <w:shd w:val="clear" w:color="auto" w:fill="FFFFFF"/>
        </w:rPr>
      </w:pPr>
      <w:r>
        <w:rPr>
          <w:rFonts w:ascii="Times New Roman" w:hAnsi="Times New Roman"/>
          <w:sz w:val="20"/>
          <w:szCs w:val="20"/>
          <w:shd w:val="clear" w:color="auto" w:fill="FFFFFF"/>
        </w:rPr>
        <w:t xml:space="preserve">                                                                                          </w:t>
      </w:r>
    </w:p>
    <w:p w:rsidR="00494D7C" w:rsidRDefault="00494D7C" w:rsidP="00494D7C">
      <w:pPr>
        <w:autoSpaceDE w:val="0"/>
        <w:autoSpaceDN w:val="0"/>
        <w:adjustRightInd w:val="0"/>
        <w:spacing w:after="0" w:line="240" w:lineRule="auto"/>
        <w:ind w:firstLine="720"/>
        <w:rPr>
          <w:rFonts w:ascii="Times New Roman" w:hAnsi="Times New Roman"/>
          <w:sz w:val="20"/>
          <w:szCs w:val="20"/>
          <w:shd w:val="clear" w:color="auto" w:fill="FFFFFF"/>
        </w:rPr>
      </w:pPr>
      <w:r>
        <w:rPr>
          <w:rFonts w:ascii="Times New Roman" w:hAnsi="Times New Roman"/>
          <w:sz w:val="20"/>
          <w:szCs w:val="20"/>
          <w:shd w:val="clear" w:color="auto" w:fill="FFFFFF"/>
        </w:rPr>
        <w:t>TPE = ∑ (Ci * TEFi)</w:t>
      </w:r>
      <w:r>
        <w:rPr>
          <w:rFonts w:ascii="Times New Roman" w:hAnsi="Times New Roman"/>
          <w:sz w:val="20"/>
          <w:szCs w:val="20"/>
          <w:shd w:val="clear" w:color="auto" w:fill="FFFFFF"/>
        </w:rPr>
        <w:tab/>
      </w:r>
      <w:r>
        <w:rPr>
          <w:rFonts w:ascii="Times New Roman" w:hAnsi="Times New Roman"/>
          <w:sz w:val="20"/>
          <w:szCs w:val="20"/>
          <w:shd w:val="clear" w:color="auto" w:fill="FFFFFF"/>
        </w:rPr>
        <w:tab/>
      </w:r>
      <w:r>
        <w:rPr>
          <w:rFonts w:ascii="Times New Roman" w:hAnsi="Times New Roman"/>
          <w:sz w:val="20"/>
          <w:szCs w:val="20"/>
          <w:shd w:val="clear" w:color="auto" w:fill="FFFFFF"/>
        </w:rPr>
        <w:tab/>
      </w:r>
      <w:r>
        <w:rPr>
          <w:rFonts w:ascii="Times New Roman" w:hAnsi="Times New Roman"/>
          <w:sz w:val="20"/>
          <w:szCs w:val="20"/>
          <w:shd w:val="clear" w:color="auto" w:fill="FFFFFF"/>
        </w:rPr>
        <w:tab/>
      </w:r>
      <w:r>
        <w:rPr>
          <w:rFonts w:ascii="Times New Roman" w:hAnsi="Times New Roman"/>
          <w:sz w:val="20"/>
          <w:szCs w:val="20"/>
          <w:shd w:val="clear" w:color="auto" w:fill="FFFFFF"/>
        </w:rPr>
        <w:t xml:space="preserve">   </w:t>
      </w:r>
      <w:r>
        <w:rPr>
          <w:rFonts w:ascii="Times New Roman" w:hAnsi="Times New Roman"/>
          <w:sz w:val="20"/>
          <w:szCs w:val="20"/>
          <w:shd w:val="clear" w:color="auto" w:fill="FFFFFF"/>
        </w:rPr>
        <w:tab/>
      </w:r>
      <w:r>
        <w:rPr>
          <w:rFonts w:ascii="Times New Roman" w:hAnsi="Times New Roman"/>
          <w:sz w:val="20"/>
          <w:szCs w:val="20"/>
          <w:shd w:val="clear" w:color="auto" w:fill="FFFFFF"/>
        </w:rPr>
        <w:tab/>
      </w:r>
      <w:r>
        <w:rPr>
          <w:rFonts w:ascii="Times New Roman" w:hAnsi="Times New Roman"/>
          <w:sz w:val="20"/>
          <w:szCs w:val="20"/>
          <w:shd w:val="clear" w:color="auto" w:fill="FFFFFF"/>
        </w:rPr>
        <w:tab/>
      </w:r>
      <w:r>
        <w:rPr>
          <w:rFonts w:ascii="Times New Roman" w:hAnsi="Times New Roman"/>
          <w:sz w:val="20"/>
          <w:szCs w:val="20"/>
          <w:shd w:val="clear" w:color="auto" w:fill="FFFFFF"/>
        </w:rPr>
        <w:tab/>
      </w:r>
      <w:r>
        <w:rPr>
          <w:rFonts w:ascii="Times New Roman" w:hAnsi="Times New Roman"/>
          <w:sz w:val="20"/>
          <w:szCs w:val="20"/>
          <w:shd w:val="clear" w:color="auto" w:fill="FFFFFF"/>
        </w:rPr>
        <w:tab/>
        <w:t xml:space="preserve">   </w:t>
      </w:r>
      <w:r>
        <w:rPr>
          <w:rFonts w:ascii="Times New Roman" w:hAnsi="Times New Roman"/>
          <w:sz w:val="20"/>
          <w:szCs w:val="20"/>
          <w:shd w:val="clear" w:color="auto" w:fill="FFFFFF"/>
        </w:rPr>
        <w:t xml:space="preserve">      </w:t>
      </w:r>
      <w:r>
        <w:rPr>
          <w:rFonts w:ascii="Times New Roman" w:hAnsi="Times New Roman"/>
          <w:sz w:val="20"/>
          <w:szCs w:val="20"/>
          <w:shd w:val="clear" w:color="auto" w:fill="FFFFFF"/>
        </w:rPr>
        <w:t>(2)</w:t>
      </w:r>
    </w:p>
    <w:p w:rsidR="00494D7C" w:rsidRDefault="00494D7C" w:rsidP="00494D7C">
      <w:pPr>
        <w:autoSpaceDE w:val="0"/>
        <w:autoSpaceDN w:val="0"/>
        <w:adjustRightInd w:val="0"/>
        <w:spacing w:after="0" w:line="240" w:lineRule="auto"/>
        <w:ind w:firstLine="720"/>
        <w:rPr>
          <w:rFonts w:ascii="Times New Roman" w:hAnsi="Times New Roman"/>
          <w:sz w:val="20"/>
          <w:szCs w:val="20"/>
          <w:shd w:val="clear" w:color="auto" w:fill="FFFFFF"/>
        </w:rPr>
      </w:pPr>
    </w:p>
    <w:p w:rsidR="00494D7C" w:rsidRDefault="00494D7C" w:rsidP="00494D7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0"/>
          <w:szCs w:val="20"/>
          <w:shd w:val="clear" w:color="auto" w:fill="FFFFFF"/>
        </w:rPr>
        <w:t>w</w:t>
      </w:r>
      <w:r>
        <w:rPr>
          <w:rFonts w:ascii="Times New Roman" w:hAnsi="Times New Roman"/>
          <w:sz w:val="20"/>
          <w:szCs w:val="20"/>
          <w:shd w:val="clear" w:color="auto" w:fill="FFFFFF"/>
        </w:rPr>
        <w:t>here as</w:t>
      </w:r>
      <w:r w:rsidRPr="00FD7102">
        <w:rPr>
          <w:rFonts w:ascii="Times New Roman" w:hAnsi="Times New Roman"/>
          <w:sz w:val="20"/>
          <w:szCs w:val="20"/>
          <w:shd w:val="clear" w:color="auto" w:fill="FFFFFF"/>
        </w:rPr>
        <w:t xml:space="preserve"> TPE is the total potency equivalent,</w:t>
      </w:r>
      <w:r>
        <w:rPr>
          <w:rFonts w:ascii="Times New Roman" w:hAnsi="Times New Roman"/>
          <w:sz w:val="20"/>
          <w:szCs w:val="20"/>
          <w:shd w:val="clear" w:color="auto" w:fill="FFFFFF"/>
        </w:rPr>
        <w:t xml:space="preserve"> </w:t>
      </w:r>
      <w:r w:rsidRPr="00FD7102">
        <w:rPr>
          <w:rFonts w:ascii="Times New Roman" w:hAnsi="Times New Roman"/>
          <w:sz w:val="20"/>
          <w:szCs w:val="20"/>
          <w:shd w:val="clear" w:color="auto" w:fill="FFFFFF"/>
        </w:rPr>
        <w:t xml:space="preserve">Ci is the </w:t>
      </w:r>
      <w:r>
        <w:rPr>
          <w:rFonts w:ascii="Times New Roman" w:hAnsi="Times New Roman"/>
          <w:sz w:val="20"/>
          <w:szCs w:val="20"/>
          <w:shd w:val="clear" w:color="auto" w:fill="FFFFFF"/>
        </w:rPr>
        <w:t xml:space="preserve">concentration of ith PAH. </w:t>
      </w:r>
      <w:r w:rsidRPr="00FD7102">
        <w:rPr>
          <w:rFonts w:ascii="Times New Roman" w:hAnsi="Times New Roman"/>
          <w:sz w:val="20"/>
          <w:szCs w:val="20"/>
        </w:rPr>
        <w:t>The toxic potency equivalent factor</w:t>
      </w:r>
      <w:r>
        <w:rPr>
          <w:rFonts w:ascii="Times New Roman" w:hAnsi="Times New Roman"/>
          <w:sz w:val="20"/>
          <w:szCs w:val="20"/>
        </w:rPr>
        <w:t xml:space="preserve"> (Table 3</w:t>
      </w:r>
      <w:r w:rsidRPr="00FD7102">
        <w:rPr>
          <w:rFonts w:ascii="Times New Roman" w:hAnsi="Times New Roman"/>
          <w:sz w:val="20"/>
          <w:szCs w:val="20"/>
        </w:rPr>
        <w:t>) for benzo(a)anthracene (0.161822), dibenzo(ah)anthracene (0.46836) and benzo(a)pyrene  (0.95229) are the highest of all the seven carcinogenic PAHs detected in the soil and are the most toxic and carcinogenic PAHs</w:t>
      </w:r>
      <w:r>
        <w:rPr>
          <w:rFonts w:ascii="Times New Roman" w:hAnsi="Times New Roman"/>
          <w:sz w:val="20"/>
          <w:szCs w:val="20"/>
        </w:rPr>
        <w:t xml:space="preserve"> </w:t>
      </w:r>
      <w:r w:rsidRPr="0061161D">
        <w:rPr>
          <w:rFonts w:ascii="Times New Roman" w:hAnsi="Times New Roman"/>
          <w:sz w:val="20"/>
          <w:szCs w:val="20"/>
        </w:rPr>
        <w:t>[3</w:t>
      </w:r>
      <w:r>
        <w:rPr>
          <w:rFonts w:ascii="Times New Roman" w:hAnsi="Times New Roman"/>
          <w:sz w:val="20"/>
          <w:szCs w:val="20"/>
        </w:rPr>
        <w:t>6</w:t>
      </w:r>
      <w:r w:rsidRPr="0061161D">
        <w:rPr>
          <w:rFonts w:ascii="Times New Roman" w:hAnsi="Times New Roman"/>
          <w:sz w:val="20"/>
          <w:szCs w:val="20"/>
        </w:rPr>
        <w:t>]</w:t>
      </w:r>
      <w:r w:rsidRPr="00FD7102">
        <w:rPr>
          <w:rFonts w:ascii="Times New Roman" w:hAnsi="Times New Roman"/>
          <w:sz w:val="24"/>
          <w:szCs w:val="24"/>
        </w:rPr>
        <w:t>.</w:t>
      </w:r>
      <w:r>
        <w:rPr>
          <w:rFonts w:ascii="Times New Roman" w:hAnsi="Times New Roman"/>
          <w:sz w:val="24"/>
          <w:szCs w:val="24"/>
        </w:rPr>
        <w:t xml:space="preserve"> </w:t>
      </w:r>
    </w:p>
    <w:p w:rsidR="00494D7C" w:rsidRDefault="00494D7C" w:rsidP="00494D7C">
      <w:pPr>
        <w:autoSpaceDE w:val="0"/>
        <w:autoSpaceDN w:val="0"/>
        <w:adjustRightInd w:val="0"/>
        <w:spacing w:after="0" w:line="240" w:lineRule="auto"/>
        <w:jc w:val="both"/>
        <w:rPr>
          <w:rFonts w:ascii="Times New Roman" w:hAnsi="Times New Roman"/>
          <w:sz w:val="24"/>
          <w:szCs w:val="24"/>
        </w:rPr>
      </w:pPr>
    </w:p>
    <w:p w:rsidR="00494D7C" w:rsidRDefault="00494D7C" w:rsidP="00494D7C">
      <w:pPr>
        <w:autoSpaceDE w:val="0"/>
        <w:autoSpaceDN w:val="0"/>
        <w:adjustRightInd w:val="0"/>
        <w:spacing w:after="0" w:line="240" w:lineRule="auto"/>
        <w:jc w:val="both"/>
        <w:rPr>
          <w:rFonts w:ascii="Times New Roman" w:hAnsi="Times New Roman"/>
          <w:sz w:val="24"/>
          <w:szCs w:val="24"/>
        </w:rPr>
      </w:pPr>
    </w:p>
    <w:p w:rsidR="00494D7C" w:rsidRDefault="00494D7C" w:rsidP="00494D7C">
      <w:pPr>
        <w:autoSpaceDE w:val="0"/>
        <w:autoSpaceDN w:val="0"/>
        <w:adjustRightInd w:val="0"/>
        <w:spacing w:after="0" w:line="240" w:lineRule="auto"/>
        <w:jc w:val="both"/>
        <w:rPr>
          <w:rFonts w:ascii="Times New Roman" w:hAnsi="Times New Roman"/>
          <w:sz w:val="24"/>
          <w:szCs w:val="24"/>
        </w:rPr>
      </w:pPr>
    </w:p>
    <w:p w:rsidR="00494D7C" w:rsidRDefault="00494D7C" w:rsidP="00494D7C">
      <w:pPr>
        <w:autoSpaceDE w:val="0"/>
        <w:autoSpaceDN w:val="0"/>
        <w:adjustRightInd w:val="0"/>
        <w:spacing w:after="0" w:line="240" w:lineRule="auto"/>
        <w:jc w:val="both"/>
        <w:rPr>
          <w:rFonts w:ascii="Times New Roman" w:hAnsi="Times New Roman"/>
          <w:sz w:val="24"/>
          <w:szCs w:val="24"/>
        </w:rPr>
      </w:pPr>
    </w:p>
    <w:p w:rsidR="00494D7C" w:rsidRDefault="00494D7C" w:rsidP="00494D7C">
      <w:pPr>
        <w:autoSpaceDE w:val="0"/>
        <w:autoSpaceDN w:val="0"/>
        <w:adjustRightInd w:val="0"/>
        <w:spacing w:after="0" w:line="240" w:lineRule="auto"/>
        <w:jc w:val="both"/>
        <w:rPr>
          <w:rFonts w:ascii="Times New Roman" w:hAnsi="Times New Roman"/>
          <w:sz w:val="24"/>
          <w:szCs w:val="24"/>
        </w:rPr>
      </w:pPr>
    </w:p>
    <w:p w:rsidR="00494D7C" w:rsidRPr="009544BD" w:rsidRDefault="00494D7C" w:rsidP="00494D7C">
      <w:pPr>
        <w:autoSpaceDE w:val="0"/>
        <w:autoSpaceDN w:val="0"/>
        <w:adjustRightInd w:val="0"/>
        <w:spacing w:after="0" w:line="240" w:lineRule="auto"/>
        <w:jc w:val="center"/>
        <w:rPr>
          <w:rFonts w:ascii="Times New Roman" w:hAnsi="Times New Roman"/>
          <w:szCs w:val="24"/>
        </w:rPr>
      </w:pPr>
      <w:r w:rsidRPr="009544BD">
        <w:rPr>
          <w:rFonts w:ascii="Times New Roman" w:hAnsi="Times New Roman"/>
          <w:sz w:val="20"/>
        </w:rPr>
        <w:lastRenderedPageBreak/>
        <w:t>Table 3</w:t>
      </w:r>
      <w:r>
        <w:rPr>
          <w:rFonts w:ascii="Times New Roman" w:hAnsi="Times New Roman"/>
          <w:sz w:val="20"/>
        </w:rPr>
        <w:t xml:space="preserve">. </w:t>
      </w:r>
      <w:r>
        <w:rPr>
          <w:rFonts w:ascii="Times New Roman" w:hAnsi="Times New Roman"/>
          <w:sz w:val="20"/>
        </w:rPr>
        <w:t xml:space="preserve"> </w:t>
      </w:r>
      <w:r w:rsidRPr="009544BD">
        <w:rPr>
          <w:rFonts w:ascii="Times New Roman" w:hAnsi="Times New Roman"/>
          <w:sz w:val="20"/>
        </w:rPr>
        <w:t>Carcinogenic Potency of PAHs in soil within the vicinity of Balogun- Biiro Dumpsite, Oshogbo</w:t>
      </w:r>
    </w:p>
    <w:tbl>
      <w:tblPr>
        <w:tblpPr w:leftFromText="180" w:rightFromText="180" w:vertAnchor="text" w:horzAnchor="margin" w:tblpXSpec="center" w:tblpY="106"/>
        <w:tblW w:w="0" w:type="auto"/>
        <w:tblBorders>
          <w:top w:val="single" w:sz="4" w:space="0" w:color="auto"/>
          <w:bottom w:val="single" w:sz="4" w:space="0" w:color="auto"/>
        </w:tblBorders>
        <w:tblLook w:val="04A0" w:firstRow="1" w:lastRow="0" w:firstColumn="1" w:lastColumn="0" w:noHBand="0" w:noVBand="1"/>
      </w:tblPr>
      <w:tblGrid>
        <w:gridCol w:w="2358"/>
        <w:gridCol w:w="3348"/>
        <w:gridCol w:w="882"/>
        <w:gridCol w:w="1260"/>
      </w:tblGrid>
      <w:tr w:rsidR="00494D7C" w:rsidRPr="00F665A1" w:rsidTr="00494D7C">
        <w:trPr>
          <w:trHeight w:val="215"/>
        </w:trPr>
        <w:tc>
          <w:tcPr>
            <w:tcW w:w="2358" w:type="dxa"/>
            <w:tcBorders>
              <w:bottom w:val="single" w:sz="4" w:space="0" w:color="auto"/>
            </w:tcBorders>
            <w:vAlign w:val="center"/>
          </w:tcPr>
          <w:p w:rsidR="00494D7C" w:rsidRPr="00F665A1" w:rsidRDefault="00494D7C" w:rsidP="00494D7C">
            <w:pPr>
              <w:spacing w:before="60" w:after="60" w:line="240" w:lineRule="auto"/>
              <w:jc w:val="center"/>
              <w:rPr>
                <w:rFonts w:ascii="Times New Roman" w:hAnsi="Times New Roman"/>
                <w:sz w:val="20"/>
                <w:szCs w:val="20"/>
              </w:rPr>
            </w:pPr>
            <w:r w:rsidRPr="00F665A1">
              <w:rPr>
                <w:rFonts w:ascii="Times New Roman" w:hAnsi="Times New Roman"/>
                <w:sz w:val="20"/>
                <w:szCs w:val="20"/>
              </w:rPr>
              <w:t>PAHs</w:t>
            </w:r>
          </w:p>
        </w:tc>
        <w:tc>
          <w:tcPr>
            <w:tcW w:w="3348" w:type="dxa"/>
            <w:tcBorders>
              <w:bottom w:val="single" w:sz="4" w:space="0" w:color="auto"/>
            </w:tcBorders>
            <w:vAlign w:val="center"/>
          </w:tcPr>
          <w:p w:rsidR="00494D7C" w:rsidRPr="00F665A1" w:rsidRDefault="00494D7C" w:rsidP="00494D7C">
            <w:pPr>
              <w:spacing w:before="60" w:after="60" w:line="240" w:lineRule="auto"/>
              <w:jc w:val="center"/>
              <w:rPr>
                <w:rFonts w:ascii="Times New Roman" w:hAnsi="Times New Roman"/>
                <w:sz w:val="20"/>
                <w:szCs w:val="20"/>
              </w:rPr>
            </w:pPr>
            <w:r w:rsidRPr="00F665A1">
              <w:rPr>
                <w:rFonts w:ascii="Times New Roman" w:hAnsi="Times New Roman"/>
                <w:sz w:val="20"/>
                <w:szCs w:val="20"/>
              </w:rPr>
              <w:t>Level of carcinogenic PAHs (mg/kg)</w:t>
            </w:r>
          </w:p>
        </w:tc>
        <w:tc>
          <w:tcPr>
            <w:tcW w:w="882" w:type="dxa"/>
            <w:tcBorders>
              <w:bottom w:val="single" w:sz="4" w:space="0" w:color="auto"/>
            </w:tcBorders>
            <w:vAlign w:val="center"/>
          </w:tcPr>
          <w:p w:rsidR="00494D7C" w:rsidRPr="00F665A1" w:rsidRDefault="00494D7C" w:rsidP="00494D7C">
            <w:pPr>
              <w:spacing w:before="60" w:after="60" w:line="240" w:lineRule="auto"/>
              <w:rPr>
                <w:rFonts w:ascii="Times New Roman" w:hAnsi="Times New Roman"/>
                <w:sz w:val="20"/>
                <w:szCs w:val="20"/>
              </w:rPr>
            </w:pPr>
            <w:r w:rsidRPr="00F665A1">
              <w:rPr>
                <w:rFonts w:ascii="Times New Roman" w:hAnsi="Times New Roman"/>
                <w:sz w:val="20"/>
                <w:szCs w:val="20"/>
              </w:rPr>
              <w:t>TEF</w:t>
            </w:r>
          </w:p>
        </w:tc>
        <w:tc>
          <w:tcPr>
            <w:tcW w:w="1260" w:type="dxa"/>
            <w:tcBorders>
              <w:bottom w:val="single" w:sz="4" w:space="0" w:color="auto"/>
            </w:tcBorders>
            <w:vAlign w:val="center"/>
          </w:tcPr>
          <w:p w:rsidR="00494D7C" w:rsidRPr="00F665A1" w:rsidRDefault="00494D7C" w:rsidP="00494D7C">
            <w:pPr>
              <w:spacing w:before="60" w:after="60" w:line="240" w:lineRule="auto"/>
              <w:rPr>
                <w:rFonts w:ascii="Times New Roman" w:hAnsi="Times New Roman"/>
                <w:sz w:val="20"/>
                <w:szCs w:val="20"/>
              </w:rPr>
            </w:pPr>
            <w:r w:rsidRPr="00F665A1">
              <w:rPr>
                <w:rFonts w:ascii="Times New Roman" w:hAnsi="Times New Roman"/>
                <w:sz w:val="20"/>
                <w:szCs w:val="20"/>
              </w:rPr>
              <w:t>B[a]P-TPE</w:t>
            </w:r>
          </w:p>
        </w:tc>
      </w:tr>
      <w:tr w:rsidR="00494D7C" w:rsidRPr="00F665A1" w:rsidTr="00494D7C">
        <w:trPr>
          <w:trHeight w:val="48"/>
        </w:trPr>
        <w:tc>
          <w:tcPr>
            <w:tcW w:w="2358" w:type="dxa"/>
            <w:tcBorders>
              <w:top w:val="single" w:sz="4" w:space="0" w:color="auto"/>
            </w:tcBorders>
            <w:vAlign w:val="center"/>
          </w:tcPr>
          <w:p w:rsidR="00494D7C" w:rsidRPr="00F665A1" w:rsidRDefault="00494D7C" w:rsidP="00F245E3">
            <w:pPr>
              <w:spacing w:after="0" w:line="240" w:lineRule="auto"/>
              <w:jc w:val="center"/>
              <w:rPr>
                <w:rFonts w:ascii="Times New Roman" w:hAnsi="Times New Roman"/>
                <w:sz w:val="20"/>
                <w:szCs w:val="20"/>
              </w:rPr>
            </w:pPr>
          </w:p>
        </w:tc>
        <w:tc>
          <w:tcPr>
            <w:tcW w:w="3348" w:type="dxa"/>
            <w:tcBorders>
              <w:top w:val="single" w:sz="4" w:space="0" w:color="auto"/>
            </w:tcBorders>
            <w:vAlign w:val="center"/>
          </w:tcPr>
          <w:p w:rsidR="00494D7C" w:rsidRPr="00F665A1" w:rsidRDefault="00494D7C" w:rsidP="00F245E3">
            <w:pPr>
              <w:spacing w:after="0" w:line="240" w:lineRule="auto"/>
              <w:jc w:val="center"/>
              <w:rPr>
                <w:rFonts w:ascii="Times New Roman" w:hAnsi="Times New Roman"/>
                <w:sz w:val="20"/>
                <w:szCs w:val="20"/>
              </w:rPr>
            </w:pPr>
          </w:p>
        </w:tc>
        <w:tc>
          <w:tcPr>
            <w:tcW w:w="882" w:type="dxa"/>
            <w:tcBorders>
              <w:top w:val="single" w:sz="4" w:space="0" w:color="auto"/>
            </w:tcBorders>
            <w:vAlign w:val="center"/>
          </w:tcPr>
          <w:p w:rsidR="00494D7C" w:rsidRPr="00F665A1" w:rsidRDefault="00494D7C" w:rsidP="00494D7C">
            <w:pPr>
              <w:spacing w:after="0" w:line="240" w:lineRule="auto"/>
              <w:rPr>
                <w:rFonts w:ascii="Times New Roman" w:hAnsi="Times New Roman"/>
                <w:sz w:val="20"/>
                <w:szCs w:val="20"/>
              </w:rPr>
            </w:pPr>
          </w:p>
        </w:tc>
        <w:tc>
          <w:tcPr>
            <w:tcW w:w="1260" w:type="dxa"/>
            <w:tcBorders>
              <w:top w:val="single" w:sz="4" w:space="0" w:color="auto"/>
            </w:tcBorders>
            <w:vAlign w:val="center"/>
          </w:tcPr>
          <w:p w:rsidR="00494D7C" w:rsidRPr="00F665A1" w:rsidRDefault="00494D7C" w:rsidP="00494D7C">
            <w:pPr>
              <w:spacing w:after="0" w:line="240" w:lineRule="auto"/>
              <w:rPr>
                <w:rFonts w:ascii="Times New Roman" w:hAnsi="Times New Roman"/>
                <w:sz w:val="20"/>
                <w:szCs w:val="20"/>
              </w:rPr>
            </w:pPr>
          </w:p>
        </w:tc>
      </w:tr>
      <w:tr w:rsidR="00494D7C" w:rsidRPr="00F665A1" w:rsidTr="00494D7C">
        <w:trPr>
          <w:trHeight w:val="278"/>
        </w:trPr>
        <w:tc>
          <w:tcPr>
            <w:tcW w:w="2358" w:type="dxa"/>
            <w:vAlign w:val="center"/>
          </w:tcPr>
          <w:p w:rsidR="00494D7C" w:rsidRPr="00F665A1" w:rsidRDefault="00494D7C" w:rsidP="00494D7C">
            <w:pPr>
              <w:spacing w:after="0" w:line="240" w:lineRule="auto"/>
              <w:rPr>
                <w:rFonts w:ascii="Times New Roman" w:hAnsi="Times New Roman"/>
                <w:sz w:val="20"/>
                <w:szCs w:val="20"/>
              </w:rPr>
            </w:pPr>
            <w:r w:rsidRPr="00F665A1">
              <w:rPr>
                <w:rFonts w:ascii="Times New Roman" w:hAnsi="Times New Roman"/>
                <w:sz w:val="20"/>
                <w:szCs w:val="20"/>
              </w:rPr>
              <w:t>*Benzo(a)anthracene</w:t>
            </w:r>
          </w:p>
        </w:tc>
        <w:tc>
          <w:tcPr>
            <w:tcW w:w="3348" w:type="dxa"/>
            <w:vAlign w:val="center"/>
          </w:tcPr>
          <w:p w:rsidR="00494D7C" w:rsidRPr="00F665A1" w:rsidRDefault="00494D7C" w:rsidP="00F245E3">
            <w:pPr>
              <w:spacing w:after="0" w:line="240" w:lineRule="auto"/>
              <w:jc w:val="center"/>
              <w:rPr>
                <w:rFonts w:ascii="Times New Roman" w:hAnsi="Times New Roman"/>
                <w:sz w:val="20"/>
                <w:szCs w:val="20"/>
              </w:rPr>
            </w:pPr>
            <w:r w:rsidRPr="00F665A1">
              <w:rPr>
                <w:rFonts w:ascii="Times New Roman" w:hAnsi="Times New Roman"/>
                <w:sz w:val="20"/>
                <w:szCs w:val="20"/>
              </w:rPr>
              <w:t>1.61822</w:t>
            </w:r>
          </w:p>
        </w:tc>
        <w:tc>
          <w:tcPr>
            <w:tcW w:w="882" w:type="dxa"/>
            <w:vAlign w:val="center"/>
          </w:tcPr>
          <w:p w:rsidR="00494D7C" w:rsidRPr="00F665A1" w:rsidRDefault="00494D7C" w:rsidP="00494D7C">
            <w:pPr>
              <w:spacing w:after="0" w:line="240" w:lineRule="auto"/>
              <w:rPr>
                <w:rFonts w:ascii="Times New Roman" w:hAnsi="Times New Roman"/>
                <w:sz w:val="20"/>
                <w:szCs w:val="20"/>
              </w:rPr>
            </w:pPr>
            <w:r w:rsidRPr="00F665A1">
              <w:rPr>
                <w:rFonts w:ascii="Times New Roman" w:hAnsi="Times New Roman"/>
                <w:sz w:val="20"/>
                <w:szCs w:val="20"/>
              </w:rPr>
              <w:t>0.1</w:t>
            </w:r>
          </w:p>
        </w:tc>
        <w:tc>
          <w:tcPr>
            <w:tcW w:w="1260" w:type="dxa"/>
            <w:vAlign w:val="center"/>
          </w:tcPr>
          <w:p w:rsidR="00494D7C" w:rsidRPr="00F665A1" w:rsidRDefault="00494D7C" w:rsidP="00494D7C">
            <w:pPr>
              <w:spacing w:after="0" w:line="240" w:lineRule="auto"/>
              <w:rPr>
                <w:rFonts w:ascii="Times New Roman" w:hAnsi="Times New Roman"/>
                <w:sz w:val="20"/>
                <w:szCs w:val="20"/>
              </w:rPr>
            </w:pPr>
            <w:r w:rsidRPr="00F665A1">
              <w:rPr>
                <w:rFonts w:ascii="Times New Roman" w:hAnsi="Times New Roman"/>
                <w:sz w:val="20"/>
                <w:szCs w:val="20"/>
              </w:rPr>
              <w:t>0.161822</w:t>
            </w:r>
          </w:p>
        </w:tc>
      </w:tr>
      <w:tr w:rsidR="00494D7C" w:rsidRPr="00F665A1" w:rsidTr="00494D7C">
        <w:trPr>
          <w:trHeight w:val="294"/>
        </w:trPr>
        <w:tc>
          <w:tcPr>
            <w:tcW w:w="2358" w:type="dxa"/>
            <w:vAlign w:val="center"/>
          </w:tcPr>
          <w:p w:rsidR="00494D7C" w:rsidRPr="00F665A1" w:rsidRDefault="00494D7C" w:rsidP="00494D7C">
            <w:pPr>
              <w:spacing w:after="0" w:line="240" w:lineRule="auto"/>
              <w:rPr>
                <w:rFonts w:ascii="Times New Roman" w:hAnsi="Times New Roman"/>
                <w:sz w:val="20"/>
                <w:szCs w:val="20"/>
              </w:rPr>
            </w:pPr>
            <w:r w:rsidRPr="00F665A1">
              <w:rPr>
                <w:rFonts w:ascii="Times New Roman" w:hAnsi="Times New Roman"/>
                <w:sz w:val="20"/>
                <w:szCs w:val="20"/>
              </w:rPr>
              <w:t>*Chrysene</w:t>
            </w:r>
          </w:p>
        </w:tc>
        <w:tc>
          <w:tcPr>
            <w:tcW w:w="3348" w:type="dxa"/>
            <w:vAlign w:val="center"/>
          </w:tcPr>
          <w:p w:rsidR="00494D7C" w:rsidRPr="00F665A1" w:rsidRDefault="00494D7C" w:rsidP="00F245E3">
            <w:pPr>
              <w:spacing w:after="0" w:line="240" w:lineRule="auto"/>
              <w:jc w:val="center"/>
              <w:rPr>
                <w:rFonts w:ascii="Times New Roman" w:hAnsi="Times New Roman"/>
                <w:sz w:val="20"/>
                <w:szCs w:val="20"/>
              </w:rPr>
            </w:pPr>
            <w:r w:rsidRPr="00F665A1">
              <w:rPr>
                <w:rFonts w:ascii="Times New Roman" w:hAnsi="Times New Roman"/>
                <w:sz w:val="20"/>
                <w:szCs w:val="20"/>
              </w:rPr>
              <w:t>0.96996</w:t>
            </w:r>
          </w:p>
        </w:tc>
        <w:tc>
          <w:tcPr>
            <w:tcW w:w="882" w:type="dxa"/>
            <w:vAlign w:val="center"/>
          </w:tcPr>
          <w:p w:rsidR="00494D7C" w:rsidRPr="00F665A1" w:rsidRDefault="00494D7C" w:rsidP="00494D7C">
            <w:pPr>
              <w:spacing w:after="0" w:line="240" w:lineRule="auto"/>
              <w:rPr>
                <w:rFonts w:ascii="Times New Roman" w:hAnsi="Times New Roman"/>
                <w:sz w:val="20"/>
                <w:szCs w:val="20"/>
              </w:rPr>
            </w:pPr>
            <w:r w:rsidRPr="00F665A1">
              <w:rPr>
                <w:rFonts w:ascii="Times New Roman" w:hAnsi="Times New Roman"/>
                <w:sz w:val="20"/>
                <w:szCs w:val="20"/>
              </w:rPr>
              <w:t>0.01</w:t>
            </w:r>
          </w:p>
        </w:tc>
        <w:tc>
          <w:tcPr>
            <w:tcW w:w="1260" w:type="dxa"/>
            <w:vAlign w:val="center"/>
          </w:tcPr>
          <w:p w:rsidR="00494D7C" w:rsidRPr="00F665A1" w:rsidRDefault="00494D7C" w:rsidP="00494D7C">
            <w:pPr>
              <w:spacing w:after="0" w:line="240" w:lineRule="auto"/>
              <w:rPr>
                <w:rFonts w:ascii="Times New Roman" w:hAnsi="Times New Roman"/>
                <w:sz w:val="20"/>
                <w:szCs w:val="20"/>
              </w:rPr>
            </w:pPr>
            <w:r w:rsidRPr="00F665A1">
              <w:rPr>
                <w:rFonts w:ascii="Times New Roman" w:hAnsi="Times New Roman"/>
                <w:sz w:val="20"/>
                <w:szCs w:val="20"/>
              </w:rPr>
              <w:t>0.00970</w:t>
            </w:r>
          </w:p>
        </w:tc>
      </w:tr>
      <w:tr w:rsidR="00494D7C" w:rsidRPr="00F665A1" w:rsidTr="00494D7C">
        <w:trPr>
          <w:trHeight w:val="278"/>
        </w:trPr>
        <w:tc>
          <w:tcPr>
            <w:tcW w:w="2358" w:type="dxa"/>
            <w:vAlign w:val="center"/>
          </w:tcPr>
          <w:p w:rsidR="00494D7C" w:rsidRPr="00F665A1" w:rsidRDefault="00494D7C" w:rsidP="00494D7C">
            <w:pPr>
              <w:spacing w:after="0" w:line="240" w:lineRule="auto"/>
              <w:rPr>
                <w:rFonts w:ascii="Times New Roman" w:hAnsi="Times New Roman"/>
                <w:sz w:val="20"/>
                <w:szCs w:val="20"/>
              </w:rPr>
            </w:pPr>
            <w:r w:rsidRPr="00F665A1">
              <w:rPr>
                <w:rFonts w:ascii="Times New Roman" w:hAnsi="Times New Roman"/>
                <w:sz w:val="20"/>
                <w:szCs w:val="20"/>
              </w:rPr>
              <w:t>*Benzo(k)fluoranthene</w:t>
            </w:r>
          </w:p>
        </w:tc>
        <w:tc>
          <w:tcPr>
            <w:tcW w:w="3348" w:type="dxa"/>
            <w:vAlign w:val="center"/>
          </w:tcPr>
          <w:p w:rsidR="00494D7C" w:rsidRPr="00F665A1" w:rsidRDefault="00494D7C" w:rsidP="00F245E3">
            <w:pPr>
              <w:spacing w:after="0" w:line="240" w:lineRule="auto"/>
              <w:jc w:val="center"/>
              <w:rPr>
                <w:rFonts w:ascii="Times New Roman" w:hAnsi="Times New Roman"/>
                <w:sz w:val="20"/>
                <w:szCs w:val="20"/>
              </w:rPr>
            </w:pPr>
            <w:r w:rsidRPr="00F665A1">
              <w:rPr>
                <w:rFonts w:ascii="Times New Roman" w:hAnsi="Times New Roman"/>
                <w:sz w:val="20"/>
                <w:szCs w:val="20"/>
              </w:rPr>
              <w:t>0.841344</w:t>
            </w:r>
          </w:p>
        </w:tc>
        <w:tc>
          <w:tcPr>
            <w:tcW w:w="882" w:type="dxa"/>
            <w:vAlign w:val="center"/>
          </w:tcPr>
          <w:p w:rsidR="00494D7C" w:rsidRPr="00F665A1" w:rsidRDefault="00494D7C" w:rsidP="00494D7C">
            <w:pPr>
              <w:spacing w:after="0" w:line="240" w:lineRule="auto"/>
              <w:rPr>
                <w:rFonts w:ascii="Times New Roman" w:hAnsi="Times New Roman"/>
                <w:sz w:val="20"/>
                <w:szCs w:val="20"/>
              </w:rPr>
            </w:pPr>
            <w:r w:rsidRPr="00F665A1">
              <w:rPr>
                <w:rFonts w:ascii="Times New Roman" w:hAnsi="Times New Roman"/>
                <w:sz w:val="20"/>
                <w:szCs w:val="20"/>
              </w:rPr>
              <w:t>0.1</w:t>
            </w:r>
          </w:p>
        </w:tc>
        <w:tc>
          <w:tcPr>
            <w:tcW w:w="1260" w:type="dxa"/>
            <w:vAlign w:val="center"/>
          </w:tcPr>
          <w:p w:rsidR="00494D7C" w:rsidRPr="00F665A1" w:rsidRDefault="00494D7C" w:rsidP="00494D7C">
            <w:pPr>
              <w:spacing w:after="0" w:line="240" w:lineRule="auto"/>
              <w:rPr>
                <w:rFonts w:ascii="Times New Roman" w:hAnsi="Times New Roman"/>
                <w:sz w:val="20"/>
                <w:szCs w:val="20"/>
              </w:rPr>
            </w:pPr>
            <w:r w:rsidRPr="00F665A1">
              <w:rPr>
                <w:rFonts w:ascii="Times New Roman" w:hAnsi="Times New Roman"/>
                <w:sz w:val="20"/>
                <w:szCs w:val="20"/>
              </w:rPr>
              <w:t>0.08413</w:t>
            </w:r>
          </w:p>
        </w:tc>
      </w:tr>
      <w:tr w:rsidR="00494D7C" w:rsidRPr="00F665A1" w:rsidTr="00494D7C">
        <w:trPr>
          <w:trHeight w:val="278"/>
        </w:trPr>
        <w:tc>
          <w:tcPr>
            <w:tcW w:w="2358" w:type="dxa"/>
            <w:vAlign w:val="center"/>
          </w:tcPr>
          <w:p w:rsidR="00494D7C" w:rsidRPr="00F665A1" w:rsidRDefault="00494D7C" w:rsidP="00494D7C">
            <w:pPr>
              <w:spacing w:after="0" w:line="240" w:lineRule="auto"/>
              <w:rPr>
                <w:rFonts w:ascii="Times New Roman" w:hAnsi="Times New Roman"/>
                <w:sz w:val="20"/>
                <w:szCs w:val="20"/>
              </w:rPr>
            </w:pPr>
            <w:r w:rsidRPr="00F665A1">
              <w:rPr>
                <w:rFonts w:ascii="Times New Roman" w:hAnsi="Times New Roman"/>
                <w:sz w:val="20"/>
                <w:szCs w:val="20"/>
              </w:rPr>
              <w:t>*Benzo(b)fluoranthene</w:t>
            </w:r>
          </w:p>
        </w:tc>
        <w:tc>
          <w:tcPr>
            <w:tcW w:w="3348" w:type="dxa"/>
            <w:vAlign w:val="center"/>
          </w:tcPr>
          <w:p w:rsidR="00494D7C" w:rsidRPr="00F665A1" w:rsidRDefault="00494D7C" w:rsidP="00F245E3">
            <w:pPr>
              <w:spacing w:after="0" w:line="240" w:lineRule="auto"/>
              <w:jc w:val="center"/>
              <w:rPr>
                <w:rFonts w:ascii="Times New Roman" w:hAnsi="Times New Roman"/>
                <w:sz w:val="20"/>
                <w:szCs w:val="20"/>
              </w:rPr>
            </w:pPr>
            <w:r w:rsidRPr="00F665A1">
              <w:rPr>
                <w:rFonts w:ascii="Times New Roman" w:hAnsi="Times New Roman"/>
                <w:sz w:val="20"/>
                <w:szCs w:val="20"/>
              </w:rPr>
              <w:t>0.42328</w:t>
            </w:r>
          </w:p>
        </w:tc>
        <w:tc>
          <w:tcPr>
            <w:tcW w:w="882" w:type="dxa"/>
            <w:vAlign w:val="center"/>
          </w:tcPr>
          <w:p w:rsidR="00494D7C" w:rsidRPr="00F665A1" w:rsidRDefault="00494D7C" w:rsidP="00494D7C">
            <w:pPr>
              <w:spacing w:after="0" w:line="240" w:lineRule="auto"/>
              <w:rPr>
                <w:rFonts w:ascii="Times New Roman" w:hAnsi="Times New Roman"/>
                <w:sz w:val="20"/>
                <w:szCs w:val="20"/>
              </w:rPr>
            </w:pPr>
            <w:r w:rsidRPr="00F665A1">
              <w:rPr>
                <w:rFonts w:ascii="Times New Roman" w:hAnsi="Times New Roman"/>
                <w:sz w:val="20"/>
                <w:szCs w:val="20"/>
              </w:rPr>
              <w:t>0.1</w:t>
            </w:r>
          </w:p>
        </w:tc>
        <w:tc>
          <w:tcPr>
            <w:tcW w:w="1260" w:type="dxa"/>
            <w:vAlign w:val="center"/>
          </w:tcPr>
          <w:p w:rsidR="00494D7C" w:rsidRPr="00F665A1" w:rsidRDefault="00494D7C" w:rsidP="00494D7C">
            <w:pPr>
              <w:spacing w:after="0" w:line="240" w:lineRule="auto"/>
              <w:rPr>
                <w:rFonts w:ascii="Times New Roman" w:hAnsi="Times New Roman"/>
                <w:sz w:val="20"/>
                <w:szCs w:val="20"/>
              </w:rPr>
            </w:pPr>
            <w:r w:rsidRPr="00F665A1">
              <w:rPr>
                <w:rFonts w:ascii="Times New Roman" w:hAnsi="Times New Roman"/>
                <w:sz w:val="20"/>
                <w:szCs w:val="20"/>
              </w:rPr>
              <w:t>0.04233</w:t>
            </w:r>
          </w:p>
        </w:tc>
      </w:tr>
      <w:tr w:rsidR="00494D7C" w:rsidRPr="00F665A1" w:rsidTr="00494D7C">
        <w:trPr>
          <w:trHeight w:val="294"/>
        </w:trPr>
        <w:tc>
          <w:tcPr>
            <w:tcW w:w="2358" w:type="dxa"/>
            <w:vAlign w:val="center"/>
          </w:tcPr>
          <w:p w:rsidR="00494D7C" w:rsidRPr="00F665A1" w:rsidRDefault="00494D7C" w:rsidP="00494D7C">
            <w:pPr>
              <w:spacing w:after="0" w:line="240" w:lineRule="auto"/>
              <w:rPr>
                <w:rFonts w:ascii="Times New Roman" w:hAnsi="Times New Roman"/>
                <w:sz w:val="20"/>
                <w:szCs w:val="20"/>
              </w:rPr>
            </w:pPr>
            <w:r w:rsidRPr="00F665A1">
              <w:rPr>
                <w:rFonts w:ascii="Times New Roman" w:hAnsi="Times New Roman"/>
                <w:sz w:val="20"/>
                <w:szCs w:val="20"/>
              </w:rPr>
              <w:t>*Benzo(a)pyrene</w:t>
            </w:r>
          </w:p>
        </w:tc>
        <w:tc>
          <w:tcPr>
            <w:tcW w:w="3348" w:type="dxa"/>
            <w:vAlign w:val="center"/>
          </w:tcPr>
          <w:p w:rsidR="00494D7C" w:rsidRPr="00F665A1" w:rsidRDefault="00494D7C" w:rsidP="00F245E3">
            <w:pPr>
              <w:spacing w:after="0" w:line="240" w:lineRule="auto"/>
              <w:jc w:val="center"/>
              <w:rPr>
                <w:rFonts w:ascii="Times New Roman" w:hAnsi="Times New Roman"/>
                <w:sz w:val="20"/>
                <w:szCs w:val="20"/>
              </w:rPr>
            </w:pPr>
            <w:r w:rsidRPr="00F665A1">
              <w:rPr>
                <w:rFonts w:ascii="Times New Roman" w:hAnsi="Times New Roman"/>
                <w:sz w:val="20"/>
                <w:szCs w:val="20"/>
              </w:rPr>
              <w:t>0.95229</w:t>
            </w:r>
          </w:p>
        </w:tc>
        <w:tc>
          <w:tcPr>
            <w:tcW w:w="882" w:type="dxa"/>
            <w:vAlign w:val="center"/>
          </w:tcPr>
          <w:p w:rsidR="00494D7C" w:rsidRPr="00F665A1" w:rsidRDefault="00494D7C" w:rsidP="00494D7C">
            <w:pPr>
              <w:spacing w:after="0" w:line="240" w:lineRule="auto"/>
              <w:rPr>
                <w:rFonts w:ascii="Times New Roman" w:hAnsi="Times New Roman"/>
                <w:sz w:val="20"/>
                <w:szCs w:val="20"/>
              </w:rPr>
            </w:pPr>
            <w:r w:rsidRPr="00F665A1">
              <w:rPr>
                <w:rFonts w:ascii="Times New Roman" w:hAnsi="Times New Roman"/>
                <w:sz w:val="20"/>
                <w:szCs w:val="20"/>
              </w:rPr>
              <w:t>1</w:t>
            </w:r>
          </w:p>
        </w:tc>
        <w:tc>
          <w:tcPr>
            <w:tcW w:w="1260" w:type="dxa"/>
            <w:vAlign w:val="center"/>
          </w:tcPr>
          <w:p w:rsidR="00494D7C" w:rsidRPr="00F665A1" w:rsidRDefault="00494D7C" w:rsidP="00494D7C">
            <w:pPr>
              <w:spacing w:after="0" w:line="240" w:lineRule="auto"/>
              <w:rPr>
                <w:rFonts w:ascii="Times New Roman" w:hAnsi="Times New Roman"/>
                <w:sz w:val="20"/>
                <w:szCs w:val="20"/>
              </w:rPr>
            </w:pPr>
            <w:r w:rsidRPr="00F665A1">
              <w:rPr>
                <w:rFonts w:ascii="Times New Roman" w:hAnsi="Times New Roman"/>
                <w:sz w:val="20"/>
                <w:szCs w:val="20"/>
              </w:rPr>
              <w:t>0.95229</w:t>
            </w:r>
          </w:p>
        </w:tc>
      </w:tr>
      <w:tr w:rsidR="00494D7C" w:rsidRPr="00F665A1" w:rsidTr="00494D7C">
        <w:trPr>
          <w:trHeight w:val="278"/>
        </w:trPr>
        <w:tc>
          <w:tcPr>
            <w:tcW w:w="2358" w:type="dxa"/>
            <w:vAlign w:val="center"/>
          </w:tcPr>
          <w:p w:rsidR="00494D7C" w:rsidRPr="00F665A1" w:rsidRDefault="00494D7C" w:rsidP="00494D7C">
            <w:pPr>
              <w:spacing w:after="0" w:line="240" w:lineRule="auto"/>
              <w:rPr>
                <w:rFonts w:ascii="Times New Roman" w:hAnsi="Times New Roman"/>
                <w:sz w:val="20"/>
                <w:szCs w:val="20"/>
              </w:rPr>
            </w:pPr>
            <w:r w:rsidRPr="00F665A1">
              <w:rPr>
                <w:rFonts w:ascii="Times New Roman" w:hAnsi="Times New Roman"/>
                <w:sz w:val="20"/>
                <w:szCs w:val="20"/>
              </w:rPr>
              <w:t>*Indeno(1,2,3cd)pyrene</w:t>
            </w:r>
          </w:p>
        </w:tc>
        <w:tc>
          <w:tcPr>
            <w:tcW w:w="3348" w:type="dxa"/>
            <w:vAlign w:val="center"/>
          </w:tcPr>
          <w:p w:rsidR="00494D7C" w:rsidRPr="00F665A1" w:rsidRDefault="00494D7C" w:rsidP="00F245E3">
            <w:pPr>
              <w:spacing w:after="0" w:line="240" w:lineRule="auto"/>
              <w:jc w:val="center"/>
              <w:rPr>
                <w:rFonts w:ascii="Times New Roman" w:hAnsi="Times New Roman"/>
                <w:sz w:val="20"/>
                <w:szCs w:val="20"/>
              </w:rPr>
            </w:pPr>
            <w:r w:rsidRPr="00F665A1">
              <w:rPr>
                <w:rFonts w:ascii="Times New Roman" w:hAnsi="Times New Roman"/>
                <w:sz w:val="20"/>
                <w:szCs w:val="20"/>
              </w:rPr>
              <w:t>0.67697</w:t>
            </w:r>
          </w:p>
        </w:tc>
        <w:tc>
          <w:tcPr>
            <w:tcW w:w="882" w:type="dxa"/>
            <w:vAlign w:val="center"/>
          </w:tcPr>
          <w:p w:rsidR="00494D7C" w:rsidRPr="00F665A1" w:rsidRDefault="00494D7C" w:rsidP="00494D7C">
            <w:pPr>
              <w:spacing w:after="0" w:line="240" w:lineRule="auto"/>
              <w:rPr>
                <w:rFonts w:ascii="Times New Roman" w:hAnsi="Times New Roman"/>
                <w:sz w:val="20"/>
                <w:szCs w:val="20"/>
              </w:rPr>
            </w:pPr>
            <w:r w:rsidRPr="00F665A1">
              <w:rPr>
                <w:rFonts w:ascii="Times New Roman" w:hAnsi="Times New Roman"/>
                <w:sz w:val="20"/>
                <w:szCs w:val="20"/>
              </w:rPr>
              <w:t>0.1</w:t>
            </w:r>
          </w:p>
        </w:tc>
        <w:tc>
          <w:tcPr>
            <w:tcW w:w="1260" w:type="dxa"/>
            <w:vAlign w:val="center"/>
          </w:tcPr>
          <w:p w:rsidR="00494D7C" w:rsidRPr="00F665A1" w:rsidRDefault="00494D7C" w:rsidP="00494D7C">
            <w:pPr>
              <w:spacing w:after="0" w:line="240" w:lineRule="auto"/>
              <w:rPr>
                <w:rFonts w:ascii="Times New Roman" w:hAnsi="Times New Roman"/>
                <w:sz w:val="20"/>
                <w:szCs w:val="20"/>
              </w:rPr>
            </w:pPr>
            <w:r w:rsidRPr="00F665A1">
              <w:rPr>
                <w:rFonts w:ascii="Times New Roman" w:hAnsi="Times New Roman"/>
                <w:sz w:val="20"/>
                <w:szCs w:val="20"/>
              </w:rPr>
              <w:t>0.06770</w:t>
            </w:r>
          </w:p>
        </w:tc>
      </w:tr>
      <w:tr w:rsidR="00494D7C" w:rsidRPr="00F665A1" w:rsidTr="00494D7C">
        <w:trPr>
          <w:trHeight w:val="294"/>
        </w:trPr>
        <w:tc>
          <w:tcPr>
            <w:tcW w:w="2358" w:type="dxa"/>
            <w:tcBorders>
              <w:bottom w:val="single" w:sz="4" w:space="0" w:color="auto"/>
            </w:tcBorders>
            <w:vAlign w:val="center"/>
          </w:tcPr>
          <w:p w:rsidR="00494D7C" w:rsidRPr="00F665A1" w:rsidRDefault="00494D7C" w:rsidP="00494D7C">
            <w:pPr>
              <w:spacing w:after="120" w:line="240" w:lineRule="auto"/>
              <w:rPr>
                <w:rFonts w:ascii="Times New Roman" w:hAnsi="Times New Roman"/>
                <w:sz w:val="20"/>
                <w:szCs w:val="20"/>
              </w:rPr>
            </w:pPr>
            <w:r w:rsidRPr="00F665A1">
              <w:rPr>
                <w:rFonts w:ascii="Times New Roman" w:hAnsi="Times New Roman"/>
                <w:sz w:val="20"/>
                <w:szCs w:val="20"/>
              </w:rPr>
              <w:t>*Dibenzo(ah)anthracene</w:t>
            </w:r>
          </w:p>
        </w:tc>
        <w:tc>
          <w:tcPr>
            <w:tcW w:w="3348" w:type="dxa"/>
            <w:tcBorders>
              <w:bottom w:val="single" w:sz="4" w:space="0" w:color="auto"/>
            </w:tcBorders>
            <w:vAlign w:val="center"/>
          </w:tcPr>
          <w:p w:rsidR="00494D7C" w:rsidRPr="00F665A1" w:rsidRDefault="00494D7C" w:rsidP="00494D7C">
            <w:pPr>
              <w:spacing w:after="120" w:line="240" w:lineRule="auto"/>
              <w:jc w:val="center"/>
              <w:rPr>
                <w:rFonts w:ascii="Times New Roman" w:hAnsi="Times New Roman"/>
                <w:sz w:val="20"/>
                <w:szCs w:val="20"/>
              </w:rPr>
            </w:pPr>
            <w:r w:rsidRPr="00F665A1">
              <w:rPr>
                <w:rFonts w:ascii="Times New Roman" w:hAnsi="Times New Roman"/>
                <w:sz w:val="20"/>
                <w:szCs w:val="20"/>
              </w:rPr>
              <w:t>0.46836</w:t>
            </w:r>
          </w:p>
        </w:tc>
        <w:tc>
          <w:tcPr>
            <w:tcW w:w="882" w:type="dxa"/>
            <w:tcBorders>
              <w:bottom w:val="single" w:sz="4" w:space="0" w:color="auto"/>
            </w:tcBorders>
            <w:vAlign w:val="center"/>
          </w:tcPr>
          <w:p w:rsidR="00494D7C" w:rsidRPr="00F665A1" w:rsidRDefault="00494D7C" w:rsidP="00494D7C">
            <w:pPr>
              <w:spacing w:after="120" w:line="240" w:lineRule="auto"/>
              <w:rPr>
                <w:rFonts w:ascii="Times New Roman" w:hAnsi="Times New Roman"/>
                <w:sz w:val="20"/>
                <w:szCs w:val="20"/>
              </w:rPr>
            </w:pPr>
            <w:r w:rsidRPr="00F665A1">
              <w:rPr>
                <w:rFonts w:ascii="Times New Roman" w:hAnsi="Times New Roman"/>
                <w:sz w:val="20"/>
                <w:szCs w:val="20"/>
              </w:rPr>
              <w:t>1</w:t>
            </w:r>
          </w:p>
        </w:tc>
        <w:tc>
          <w:tcPr>
            <w:tcW w:w="1260" w:type="dxa"/>
            <w:tcBorders>
              <w:bottom w:val="single" w:sz="4" w:space="0" w:color="auto"/>
            </w:tcBorders>
            <w:vAlign w:val="center"/>
          </w:tcPr>
          <w:p w:rsidR="00494D7C" w:rsidRPr="00F665A1" w:rsidRDefault="00494D7C" w:rsidP="00494D7C">
            <w:pPr>
              <w:spacing w:after="120" w:line="240" w:lineRule="auto"/>
              <w:rPr>
                <w:rFonts w:ascii="Times New Roman" w:hAnsi="Times New Roman"/>
                <w:sz w:val="20"/>
                <w:szCs w:val="20"/>
              </w:rPr>
            </w:pPr>
            <w:r w:rsidRPr="00F665A1">
              <w:rPr>
                <w:rFonts w:ascii="Times New Roman" w:hAnsi="Times New Roman"/>
                <w:sz w:val="20"/>
                <w:szCs w:val="20"/>
              </w:rPr>
              <w:t>0.46836</w:t>
            </w:r>
          </w:p>
        </w:tc>
      </w:tr>
      <w:tr w:rsidR="00494D7C" w:rsidRPr="00F665A1" w:rsidTr="00494D7C">
        <w:trPr>
          <w:trHeight w:val="278"/>
        </w:trPr>
        <w:tc>
          <w:tcPr>
            <w:tcW w:w="2358" w:type="dxa"/>
            <w:tcBorders>
              <w:top w:val="single" w:sz="4" w:space="0" w:color="auto"/>
            </w:tcBorders>
            <w:vAlign w:val="center"/>
          </w:tcPr>
          <w:p w:rsidR="00494D7C" w:rsidRPr="00F665A1" w:rsidRDefault="00494D7C" w:rsidP="00494D7C">
            <w:pPr>
              <w:spacing w:before="60" w:after="60" w:line="240" w:lineRule="auto"/>
              <w:rPr>
                <w:rFonts w:ascii="Times New Roman" w:hAnsi="Times New Roman"/>
                <w:sz w:val="20"/>
                <w:szCs w:val="20"/>
              </w:rPr>
            </w:pPr>
            <w:r w:rsidRPr="00F665A1">
              <w:rPr>
                <w:rFonts w:ascii="Times New Roman" w:hAnsi="Times New Roman"/>
                <w:sz w:val="20"/>
                <w:szCs w:val="20"/>
              </w:rPr>
              <w:t>Total</w:t>
            </w:r>
          </w:p>
        </w:tc>
        <w:tc>
          <w:tcPr>
            <w:tcW w:w="3348" w:type="dxa"/>
            <w:tcBorders>
              <w:top w:val="single" w:sz="4" w:space="0" w:color="auto"/>
            </w:tcBorders>
            <w:vAlign w:val="center"/>
          </w:tcPr>
          <w:p w:rsidR="00494D7C" w:rsidRPr="00F665A1" w:rsidRDefault="00494D7C" w:rsidP="00494D7C">
            <w:pPr>
              <w:spacing w:before="60" w:after="60" w:line="240" w:lineRule="auto"/>
              <w:jc w:val="center"/>
              <w:rPr>
                <w:rFonts w:ascii="Times New Roman" w:hAnsi="Times New Roman"/>
                <w:sz w:val="20"/>
                <w:szCs w:val="20"/>
              </w:rPr>
            </w:pPr>
            <w:r w:rsidRPr="00F665A1">
              <w:rPr>
                <w:rFonts w:ascii="Times New Roman" w:hAnsi="Times New Roman"/>
                <w:sz w:val="20"/>
                <w:szCs w:val="20"/>
              </w:rPr>
              <w:t>5.950424</w:t>
            </w:r>
          </w:p>
        </w:tc>
        <w:tc>
          <w:tcPr>
            <w:tcW w:w="882" w:type="dxa"/>
            <w:tcBorders>
              <w:top w:val="single" w:sz="4" w:space="0" w:color="auto"/>
            </w:tcBorders>
            <w:vAlign w:val="center"/>
          </w:tcPr>
          <w:p w:rsidR="00494D7C" w:rsidRPr="00F665A1" w:rsidRDefault="00494D7C" w:rsidP="00494D7C">
            <w:pPr>
              <w:spacing w:before="60" w:after="60" w:line="240" w:lineRule="auto"/>
              <w:rPr>
                <w:rFonts w:ascii="Times New Roman" w:hAnsi="Times New Roman"/>
                <w:sz w:val="20"/>
                <w:szCs w:val="20"/>
              </w:rPr>
            </w:pPr>
            <w:r w:rsidRPr="00F665A1">
              <w:rPr>
                <w:rFonts w:ascii="Times New Roman" w:hAnsi="Times New Roman"/>
                <w:sz w:val="20"/>
                <w:szCs w:val="20"/>
              </w:rPr>
              <w:t>-</w:t>
            </w:r>
          </w:p>
        </w:tc>
        <w:tc>
          <w:tcPr>
            <w:tcW w:w="1260" w:type="dxa"/>
            <w:tcBorders>
              <w:top w:val="single" w:sz="4" w:space="0" w:color="auto"/>
            </w:tcBorders>
            <w:vAlign w:val="center"/>
          </w:tcPr>
          <w:p w:rsidR="00494D7C" w:rsidRPr="00F665A1" w:rsidRDefault="00494D7C" w:rsidP="00494D7C">
            <w:pPr>
              <w:spacing w:before="60" w:after="60" w:line="240" w:lineRule="auto"/>
              <w:rPr>
                <w:rFonts w:ascii="Times New Roman" w:hAnsi="Times New Roman"/>
                <w:sz w:val="20"/>
                <w:szCs w:val="20"/>
              </w:rPr>
            </w:pPr>
            <w:r w:rsidRPr="00F665A1">
              <w:rPr>
                <w:rFonts w:ascii="Times New Roman" w:hAnsi="Times New Roman"/>
                <w:sz w:val="20"/>
                <w:szCs w:val="20"/>
              </w:rPr>
              <w:t>1.78633</w:t>
            </w:r>
          </w:p>
        </w:tc>
      </w:tr>
    </w:tbl>
    <w:p w:rsidR="00494D7C" w:rsidRDefault="00494D7C" w:rsidP="00494D7C">
      <w:pPr>
        <w:autoSpaceDE w:val="0"/>
        <w:autoSpaceDN w:val="0"/>
        <w:adjustRightInd w:val="0"/>
        <w:spacing w:after="0" w:line="360" w:lineRule="auto"/>
        <w:jc w:val="both"/>
        <w:rPr>
          <w:rFonts w:ascii="Times New Roman" w:hAnsi="Times New Roman"/>
          <w:sz w:val="16"/>
          <w:szCs w:val="20"/>
        </w:rPr>
      </w:pPr>
    </w:p>
    <w:p w:rsidR="00494D7C" w:rsidRDefault="00494D7C" w:rsidP="00494D7C">
      <w:pPr>
        <w:autoSpaceDE w:val="0"/>
        <w:autoSpaceDN w:val="0"/>
        <w:adjustRightInd w:val="0"/>
        <w:spacing w:after="0" w:line="240" w:lineRule="auto"/>
        <w:jc w:val="both"/>
        <w:rPr>
          <w:rFonts w:ascii="Times New Roman" w:hAnsi="Times New Roman"/>
          <w:sz w:val="16"/>
          <w:szCs w:val="20"/>
        </w:rPr>
      </w:pPr>
    </w:p>
    <w:p w:rsidR="00494D7C" w:rsidRDefault="00494D7C" w:rsidP="00494D7C">
      <w:pPr>
        <w:autoSpaceDE w:val="0"/>
        <w:autoSpaceDN w:val="0"/>
        <w:adjustRightInd w:val="0"/>
        <w:spacing w:after="0" w:line="360" w:lineRule="auto"/>
        <w:jc w:val="both"/>
        <w:rPr>
          <w:rFonts w:ascii="Times New Roman" w:hAnsi="Times New Roman"/>
          <w:sz w:val="16"/>
          <w:szCs w:val="20"/>
        </w:rPr>
      </w:pPr>
    </w:p>
    <w:p w:rsidR="00494D7C" w:rsidRDefault="00494D7C" w:rsidP="00494D7C">
      <w:pPr>
        <w:autoSpaceDE w:val="0"/>
        <w:autoSpaceDN w:val="0"/>
        <w:adjustRightInd w:val="0"/>
        <w:spacing w:after="0" w:line="360" w:lineRule="auto"/>
        <w:jc w:val="both"/>
        <w:rPr>
          <w:rFonts w:ascii="Times New Roman" w:hAnsi="Times New Roman"/>
          <w:sz w:val="16"/>
          <w:szCs w:val="20"/>
        </w:rPr>
      </w:pPr>
    </w:p>
    <w:p w:rsidR="00494D7C" w:rsidRDefault="00494D7C" w:rsidP="00494D7C">
      <w:pPr>
        <w:autoSpaceDE w:val="0"/>
        <w:autoSpaceDN w:val="0"/>
        <w:adjustRightInd w:val="0"/>
        <w:spacing w:after="0" w:line="360" w:lineRule="auto"/>
        <w:jc w:val="both"/>
        <w:rPr>
          <w:rFonts w:ascii="Times New Roman" w:hAnsi="Times New Roman"/>
          <w:sz w:val="16"/>
          <w:szCs w:val="20"/>
        </w:rPr>
      </w:pPr>
    </w:p>
    <w:p w:rsidR="00494D7C" w:rsidRDefault="00494D7C" w:rsidP="00494D7C">
      <w:pPr>
        <w:autoSpaceDE w:val="0"/>
        <w:autoSpaceDN w:val="0"/>
        <w:adjustRightInd w:val="0"/>
        <w:spacing w:after="0" w:line="360" w:lineRule="auto"/>
        <w:jc w:val="both"/>
        <w:rPr>
          <w:rFonts w:ascii="Times New Roman" w:hAnsi="Times New Roman"/>
          <w:sz w:val="16"/>
          <w:szCs w:val="20"/>
        </w:rPr>
      </w:pPr>
    </w:p>
    <w:p w:rsidR="00494D7C" w:rsidRDefault="00494D7C" w:rsidP="00494D7C">
      <w:pPr>
        <w:autoSpaceDE w:val="0"/>
        <w:autoSpaceDN w:val="0"/>
        <w:adjustRightInd w:val="0"/>
        <w:spacing w:after="0" w:line="360" w:lineRule="auto"/>
        <w:jc w:val="both"/>
        <w:rPr>
          <w:rFonts w:ascii="Times New Roman" w:hAnsi="Times New Roman"/>
          <w:sz w:val="16"/>
          <w:szCs w:val="20"/>
        </w:rPr>
      </w:pPr>
    </w:p>
    <w:p w:rsidR="00494D7C" w:rsidRDefault="00494D7C" w:rsidP="00494D7C">
      <w:pPr>
        <w:autoSpaceDE w:val="0"/>
        <w:autoSpaceDN w:val="0"/>
        <w:adjustRightInd w:val="0"/>
        <w:spacing w:after="0" w:line="360" w:lineRule="auto"/>
        <w:jc w:val="both"/>
        <w:rPr>
          <w:rFonts w:ascii="Times New Roman" w:hAnsi="Times New Roman"/>
          <w:sz w:val="16"/>
          <w:szCs w:val="20"/>
        </w:rPr>
      </w:pPr>
    </w:p>
    <w:p w:rsidR="00494D7C" w:rsidRDefault="00494D7C" w:rsidP="00494D7C">
      <w:pPr>
        <w:autoSpaceDE w:val="0"/>
        <w:autoSpaceDN w:val="0"/>
        <w:adjustRightInd w:val="0"/>
        <w:spacing w:after="0" w:line="360" w:lineRule="auto"/>
        <w:jc w:val="both"/>
        <w:rPr>
          <w:rFonts w:ascii="Times New Roman" w:hAnsi="Times New Roman"/>
          <w:sz w:val="16"/>
          <w:szCs w:val="20"/>
        </w:rPr>
      </w:pPr>
    </w:p>
    <w:p w:rsidR="00494D7C" w:rsidRDefault="00494D7C" w:rsidP="00494D7C">
      <w:pPr>
        <w:autoSpaceDE w:val="0"/>
        <w:autoSpaceDN w:val="0"/>
        <w:adjustRightInd w:val="0"/>
        <w:spacing w:after="0" w:line="360" w:lineRule="auto"/>
        <w:jc w:val="both"/>
        <w:rPr>
          <w:rFonts w:ascii="Times New Roman" w:hAnsi="Times New Roman"/>
          <w:sz w:val="16"/>
          <w:szCs w:val="20"/>
        </w:rPr>
      </w:pPr>
    </w:p>
    <w:p w:rsidR="00494D7C" w:rsidRDefault="00494D7C" w:rsidP="00494D7C">
      <w:pPr>
        <w:autoSpaceDE w:val="0"/>
        <w:autoSpaceDN w:val="0"/>
        <w:adjustRightInd w:val="0"/>
        <w:spacing w:after="0" w:line="360" w:lineRule="auto"/>
        <w:jc w:val="both"/>
        <w:rPr>
          <w:rFonts w:ascii="Times New Roman" w:hAnsi="Times New Roman"/>
          <w:sz w:val="16"/>
          <w:szCs w:val="20"/>
        </w:rPr>
      </w:pPr>
    </w:p>
    <w:p w:rsidR="00494D7C" w:rsidRDefault="00494D7C" w:rsidP="00494D7C">
      <w:pPr>
        <w:autoSpaceDE w:val="0"/>
        <w:autoSpaceDN w:val="0"/>
        <w:adjustRightInd w:val="0"/>
        <w:spacing w:after="0" w:line="360" w:lineRule="auto"/>
        <w:jc w:val="both"/>
        <w:rPr>
          <w:rFonts w:ascii="Times New Roman" w:hAnsi="Times New Roman"/>
          <w:sz w:val="16"/>
          <w:szCs w:val="20"/>
        </w:rPr>
      </w:pPr>
    </w:p>
    <w:p w:rsidR="00494D7C" w:rsidRPr="009544BD" w:rsidRDefault="00494D7C" w:rsidP="00494D7C">
      <w:pPr>
        <w:autoSpaceDE w:val="0"/>
        <w:autoSpaceDN w:val="0"/>
        <w:adjustRightInd w:val="0"/>
        <w:spacing w:after="0" w:line="360" w:lineRule="auto"/>
        <w:ind w:firstLine="720"/>
        <w:jc w:val="both"/>
        <w:rPr>
          <w:rFonts w:ascii="Times New Roman" w:hAnsi="Times New Roman"/>
          <w:sz w:val="16"/>
          <w:szCs w:val="20"/>
        </w:rPr>
      </w:pPr>
      <w:r>
        <w:rPr>
          <w:rFonts w:ascii="Times New Roman" w:hAnsi="Times New Roman"/>
          <w:sz w:val="16"/>
          <w:szCs w:val="20"/>
        </w:rPr>
        <w:t xml:space="preserve">Toxicity </w:t>
      </w:r>
      <w:r w:rsidRPr="009544BD">
        <w:rPr>
          <w:rFonts w:ascii="Times New Roman" w:hAnsi="Times New Roman"/>
          <w:sz w:val="16"/>
          <w:szCs w:val="20"/>
        </w:rPr>
        <w:t>Equivalent Factor (TEF) [44]; Benzo[a]pyrene-Toxic potency Equivalent (B[a]P-TPE); *Carcinogenic PAHs</w:t>
      </w:r>
    </w:p>
    <w:p w:rsidR="00494D7C" w:rsidRDefault="00494D7C" w:rsidP="00494D7C">
      <w:pPr>
        <w:autoSpaceDE w:val="0"/>
        <w:autoSpaceDN w:val="0"/>
        <w:adjustRightInd w:val="0"/>
        <w:spacing w:after="0" w:line="240" w:lineRule="auto"/>
        <w:jc w:val="both"/>
        <w:rPr>
          <w:rFonts w:ascii="Times New Roman" w:hAnsi="Times New Roman"/>
          <w:sz w:val="20"/>
          <w:szCs w:val="20"/>
          <w:shd w:val="clear" w:color="auto" w:fill="FFFFFF"/>
        </w:rPr>
      </w:pPr>
    </w:p>
    <w:p w:rsidR="00494D7C" w:rsidRPr="003B3A53" w:rsidRDefault="00494D7C" w:rsidP="00494D7C"/>
    <w:p w:rsidR="00494D7C" w:rsidRPr="00FD7102" w:rsidRDefault="00494D7C" w:rsidP="00494D7C">
      <w:pPr>
        <w:autoSpaceDE w:val="0"/>
        <w:autoSpaceDN w:val="0"/>
        <w:adjustRightInd w:val="0"/>
        <w:spacing w:after="0" w:line="360" w:lineRule="auto"/>
        <w:jc w:val="center"/>
        <w:rPr>
          <w:rFonts w:ascii="Times New Roman" w:hAnsi="Times New Roman"/>
          <w:sz w:val="24"/>
          <w:szCs w:val="24"/>
        </w:rPr>
      </w:pPr>
      <w:r>
        <w:rPr>
          <w:rFonts w:ascii="Times New Roman" w:hAnsi="Times New Roman"/>
          <w:noProof/>
          <w:sz w:val="24"/>
          <w:szCs w:val="24"/>
        </w:rPr>
        <w:drawing>
          <wp:inline distT="0" distB="0" distL="0" distR="0" wp14:anchorId="03583F06" wp14:editId="6B767622">
            <wp:extent cx="4659548" cy="2159541"/>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2"/>
                    <a:srcRect/>
                    <a:stretch>
                      <a:fillRect/>
                    </a:stretch>
                  </pic:blipFill>
                  <pic:spPr bwMode="auto">
                    <a:xfrm>
                      <a:off x="0" y="0"/>
                      <a:ext cx="4659611" cy="2159570"/>
                    </a:xfrm>
                    <a:prstGeom prst="rect">
                      <a:avLst/>
                    </a:prstGeom>
                    <a:noFill/>
                    <a:ln w="9525">
                      <a:noFill/>
                      <a:miter lim="800000"/>
                      <a:headEnd/>
                      <a:tailEnd/>
                    </a:ln>
                  </pic:spPr>
                </pic:pic>
              </a:graphicData>
            </a:graphic>
          </wp:inline>
        </w:drawing>
      </w:r>
    </w:p>
    <w:p w:rsidR="0036797F" w:rsidRDefault="0036797F" w:rsidP="00494D7C">
      <w:pPr>
        <w:autoSpaceDE w:val="0"/>
        <w:autoSpaceDN w:val="0"/>
        <w:adjustRightInd w:val="0"/>
        <w:spacing w:after="0" w:line="360" w:lineRule="auto"/>
        <w:jc w:val="center"/>
        <w:rPr>
          <w:rFonts w:ascii="Times New Roman" w:hAnsi="Times New Roman"/>
          <w:sz w:val="20"/>
          <w:szCs w:val="20"/>
        </w:rPr>
      </w:pPr>
    </w:p>
    <w:p w:rsidR="00494D7C" w:rsidRDefault="00494D7C" w:rsidP="00494D7C">
      <w:pPr>
        <w:autoSpaceDE w:val="0"/>
        <w:autoSpaceDN w:val="0"/>
        <w:adjustRightInd w:val="0"/>
        <w:spacing w:after="0" w:line="360" w:lineRule="auto"/>
        <w:jc w:val="center"/>
        <w:rPr>
          <w:rFonts w:ascii="Times New Roman" w:hAnsi="Times New Roman"/>
          <w:sz w:val="24"/>
          <w:szCs w:val="24"/>
        </w:rPr>
      </w:pPr>
      <w:r>
        <w:rPr>
          <w:rFonts w:ascii="Times New Roman" w:hAnsi="Times New Roman"/>
          <w:sz w:val="20"/>
          <w:szCs w:val="20"/>
        </w:rPr>
        <w:t xml:space="preserve">Figure 3. </w:t>
      </w:r>
      <w:r w:rsidR="0036797F">
        <w:rPr>
          <w:rFonts w:ascii="Times New Roman" w:hAnsi="Times New Roman"/>
          <w:sz w:val="20"/>
          <w:szCs w:val="20"/>
        </w:rPr>
        <w:t xml:space="preserve"> </w:t>
      </w:r>
      <w:r w:rsidRPr="00FD7102">
        <w:rPr>
          <w:rFonts w:ascii="Times New Roman" w:hAnsi="Times New Roman"/>
          <w:sz w:val="20"/>
          <w:szCs w:val="20"/>
        </w:rPr>
        <w:t>Concentrations of carcinogenic PAHs at each of the sampling points</w:t>
      </w:r>
    </w:p>
    <w:p w:rsidR="00494D7C" w:rsidRDefault="00494D7C" w:rsidP="0036797F">
      <w:pPr>
        <w:autoSpaceDE w:val="0"/>
        <w:autoSpaceDN w:val="0"/>
        <w:adjustRightInd w:val="0"/>
        <w:spacing w:after="0" w:line="240" w:lineRule="auto"/>
        <w:jc w:val="both"/>
        <w:rPr>
          <w:rFonts w:ascii="Times New Roman" w:hAnsi="Times New Roman"/>
          <w:sz w:val="20"/>
          <w:szCs w:val="20"/>
        </w:rPr>
      </w:pPr>
    </w:p>
    <w:p w:rsidR="0036797F" w:rsidRPr="0036797F" w:rsidRDefault="0036797F" w:rsidP="0036797F">
      <w:pPr>
        <w:autoSpaceDE w:val="0"/>
        <w:autoSpaceDN w:val="0"/>
        <w:adjustRightInd w:val="0"/>
        <w:spacing w:after="0" w:line="240" w:lineRule="auto"/>
        <w:jc w:val="both"/>
        <w:rPr>
          <w:rFonts w:ascii="Times New Roman" w:hAnsi="Times New Roman"/>
          <w:sz w:val="20"/>
          <w:szCs w:val="20"/>
        </w:rPr>
      </w:pPr>
    </w:p>
    <w:p w:rsidR="00494D7C" w:rsidRDefault="00494D7C" w:rsidP="00494D7C">
      <w:pPr>
        <w:autoSpaceDE w:val="0"/>
        <w:autoSpaceDN w:val="0"/>
        <w:adjustRightInd w:val="0"/>
        <w:spacing w:after="0" w:line="240" w:lineRule="auto"/>
        <w:jc w:val="both"/>
        <w:rPr>
          <w:rFonts w:ascii="Times New Roman" w:hAnsi="Times New Roman"/>
          <w:sz w:val="20"/>
          <w:szCs w:val="20"/>
          <w:shd w:val="clear" w:color="auto" w:fill="FFFFFF"/>
        </w:rPr>
      </w:pPr>
      <w:r w:rsidRPr="00FD7102">
        <w:rPr>
          <w:rFonts w:ascii="Times New Roman" w:hAnsi="Times New Roman"/>
          <w:b/>
          <w:sz w:val="20"/>
          <w:szCs w:val="20"/>
        </w:rPr>
        <w:t>Relationship between TOC and To</w:t>
      </w:r>
      <w:r>
        <w:rPr>
          <w:rFonts w:ascii="Times New Roman" w:hAnsi="Times New Roman"/>
          <w:b/>
          <w:sz w:val="20"/>
          <w:szCs w:val="20"/>
        </w:rPr>
        <w:t>tal PAHs Concentration in Soil</w:t>
      </w:r>
    </w:p>
    <w:p w:rsidR="00494D7C" w:rsidRDefault="00494D7C" w:rsidP="00494D7C">
      <w:pPr>
        <w:autoSpaceDE w:val="0"/>
        <w:autoSpaceDN w:val="0"/>
        <w:adjustRightInd w:val="0"/>
        <w:spacing w:after="0" w:line="240" w:lineRule="auto"/>
        <w:jc w:val="both"/>
        <w:rPr>
          <w:rFonts w:ascii="Times New Roman" w:hAnsi="Times New Roman"/>
          <w:sz w:val="20"/>
          <w:szCs w:val="20"/>
        </w:rPr>
      </w:pPr>
      <w:r w:rsidRPr="00FD7102">
        <w:rPr>
          <w:rFonts w:ascii="Times New Roman" w:hAnsi="Times New Roman"/>
          <w:sz w:val="20"/>
          <w:szCs w:val="20"/>
        </w:rPr>
        <w:t>The percentage total organic carbon of the soil does not show a wide variation in its value. The %TOC concent</w:t>
      </w:r>
      <w:r>
        <w:rPr>
          <w:rFonts w:ascii="Times New Roman" w:hAnsi="Times New Roman"/>
          <w:sz w:val="20"/>
          <w:szCs w:val="20"/>
        </w:rPr>
        <w:t>ration is presented in Table 2. The %</w:t>
      </w:r>
      <w:r w:rsidRPr="00FD7102">
        <w:rPr>
          <w:rFonts w:ascii="Times New Roman" w:hAnsi="Times New Roman"/>
          <w:sz w:val="20"/>
          <w:szCs w:val="20"/>
        </w:rPr>
        <w:t>TOC ranged from 7.66 to 6.30. The maximum percentage TOC concentration (7.66%) was recorded at sampling point S6 and the lowest was at S1 and S10 (6.30%).  Scatter plot was used to assess the relationship between the percentage total organic carbon and total concentration of PAHs in the soil sample (Figure 4). The fit line for the scattered plot using linear regression with R value of 0.01</w:t>
      </w:r>
      <w:r>
        <w:rPr>
          <w:rFonts w:ascii="Times New Roman" w:hAnsi="Times New Roman"/>
          <w:sz w:val="20"/>
          <w:szCs w:val="20"/>
        </w:rPr>
        <w:t>, t</w:t>
      </w:r>
      <w:r w:rsidRPr="00FD7102">
        <w:rPr>
          <w:rFonts w:ascii="Times New Roman" w:hAnsi="Times New Roman"/>
          <w:sz w:val="20"/>
          <w:szCs w:val="20"/>
        </w:rPr>
        <w:t xml:space="preserve">here is a positive correlation between the TOC and PAHs (r = 0.007), indicating that the organic carbon content of the soil sample increases the adsorption of the PAHs to the dumpsite soil. </w:t>
      </w:r>
    </w:p>
    <w:p w:rsidR="00494D7C" w:rsidRDefault="00494D7C" w:rsidP="00494D7C">
      <w:pPr>
        <w:autoSpaceDE w:val="0"/>
        <w:autoSpaceDN w:val="0"/>
        <w:adjustRightInd w:val="0"/>
        <w:spacing w:after="0" w:line="240" w:lineRule="auto"/>
        <w:jc w:val="both"/>
        <w:rPr>
          <w:rFonts w:ascii="Times New Roman" w:hAnsi="Times New Roman"/>
          <w:sz w:val="20"/>
          <w:szCs w:val="20"/>
        </w:rPr>
      </w:pPr>
    </w:p>
    <w:p w:rsidR="00494D7C" w:rsidRDefault="00494D7C" w:rsidP="00494D7C">
      <w:pPr>
        <w:autoSpaceDE w:val="0"/>
        <w:autoSpaceDN w:val="0"/>
        <w:adjustRightInd w:val="0"/>
        <w:spacing w:after="0" w:line="240" w:lineRule="auto"/>
        <w:jc w:val="both"/>
        <w:rPr>
          <w:rFonts w:ascii="Times New Roman" w:hAnsi="Times New Roman"/>
          <w:sz w:val="20"/>
          <w:szCs w:val="20"/>
        </w:rPr>
      </w:pPr>
    </w:p>
    <w:p w:rsidR="00494D7C" w:rsidRPr="00FD7102" w:rsidRDefault="00494D7C" w:rsidP="00494D7C">
      <w:pPr>
        <w:keepNext/>
        <w:autoSpaceDE w:val="0"/>
        <w:autoSpaceDN w:val="0"/>
        <w:adjustRightInd w:val="0"/>
        <w:spacing w:after="0" w:line="360" w:lineRule="auto"/>
        <w:jc w:val="center"/>
        <w:rPr>
          <w:rFonts w:ascii="Times New Roman" w:hAnsi="Times New Roman"/>
        </w:rPr>
      </w:pPr>
      <w:r>
        <w:rPr>
          <w:rFonts w:ascii="Times New Roman" w:hAnsi="Times New Roman"/>
          <w:noProof/>
          <w:sz w:val="24"/>
          <w:szCs w:val="24"/>
        </w:rPr>
        <w:lastRenderedPageBreak/>
        <w:drawing>
          <wp:inline distT="0" distB="0" distL="0" distR="0" wp14:anchorId="3A9EF5F5" wp14:editId="7F4E785D">
            <wp:extent cx="4348263" cy="2548647"/>
            <wp:effectExtent l="0" t="0" r="0" b="4445"/>
            <wp:docPr id="6"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494D7C" w:rsidRPr="0036797F" w:rsidRDefault="00494D7C" w:rsidP="0036797F">
      <w:pPr>
        <w:spacing w:after="0" w:line="240" w:lineRule="auto"/>
        <w:ind w:left="900" w:hanging="900"/>
        <w:jc w:val="both"/>
        <w:rPr>
          <w:rFonts w:ascii="Times New Roman" w:hAnsi="Times New Roman"/>
          <w:noProof/>
          <w:sz w:val="20"/>
          <w:szCs w:val="20"/>
          <w:lang w:bidi="ar-SA"/>
        </w:rPr>
      </w:pPr>
      <w:r w:rsidRPr="0036797F">
        <w:rPr>
          <w:rFonts w:ascii="Times New Roman" w:hAnsi="Times New Roman"/>
          <w:sz w:val="20"/>
          <w:szCs w:val="20"/>
        </w:rPr>
        <w:t xml:space="preserve">Figure 4. </w:t>
      </w:r>
      <w:r w:rsidR="0036797F">
        <w:rPr>
          <w:rFonts w:ascii="Times New Roman" w:hAnsi="Times New Roman"/>
          <w:sz w:val="20"/>
          <w:szCs w:val="20"/>
        </w:rPr>
        <w:tab/>
      </w:r>
      <w:r w:rsidRPr="0036797F">
        <w:rPr>
          <w:rFonts w:ascii="Times New Roman" w:hAnsi="Times New Roman"/>
          <w:sz w:val="20"/>
          <w:szCs w:val="20"/>
        </w:rPr>
        <w:t>Scatter plot of percentage Total Organic Carbon against total concentration of PAHs in Balogun-Biiro dumpsite</w:t>
      </w:r>
    </w:p>
    <w:p w:rsidR="00494D7C" w:rsidRDefault="00494D7C" w:rsidP="0036797F">
      <w:pPr>
        <w:spacing w:after="0" w:line="240" w:lineRule="auto"/>
        <w:jc w:val="both"/>
        <w:rPr>
          <w:rFonts w:ascii="Times New Roman" w:hAnsi="Times New Roman"/>
          <w:noProof/>
          <w:sz w:val="20"/>
          <w:szCs w:val="20"/>
          <w:lang w:bidi="ar-SA"/>
        </w:rPr>
      </w:pPr>
    </w:p>
    <w:p w:rsidR="0036797F" w:rsidRDefault="0036797F" w:rsidP="0036797F">
      <w:pPr>
        <w:spacing w:after="0" w:line="240" w:lineRule="auto"/>
        <w:jc w:val="both"/>
        <w:rPr>
          <w:rFonts w:ascii="Times New Roman" w:hAnsi="Times New Roman"/>
          <w:noProof/>
          <w:sz w:val="20"/>
          <w:szCs w:val="20"/>
          <w:lang w:bidi="ar-SA"/>
        </w:rPr>
      </w:pPr>
    </w:p>
    <w:p w:rsidR="0036797F" w:rsidRPr="00FD7102" w:rsidRDefault="0036797F" w:rsidP="0036797F">
      <w:pPr>
        <w:pStyle w:val="ListParagraph"/>
        <w:autoSpaceDE w:val="0"/>
        <w:autoSpaceDN w:val="0"/>
        <w:adjustRightInd w:val="0"/>
        <w:spacing w:after="0" w:line="240" w:lineRule="auto"/>
        <w:ind w:left="0"/>
        <w:jc w:val="both"/>
        <w:rPr>
          <w:rFonts w:ascii="Times New Roman" w:hAnsi="Times New Roman"/>
          <w:b/>
          <w:sz w:val="20"/>
          <w:szCs w:val="20"/>
        </w:rPr>
      </w:pPr>
      <w:r w:rsidRPr="00FD7102">
        <w:rPr>
          <w:rFonts w:ascii="Times New Roman" w:hAnsi="Times New Roman"/>
          <w:b/>
          <w:sz w:val="20"/>
          <w:szCs w:val="20"/>
        </w:rPr>
        <w:t xml:space="preserve">Diagnostic Ratio for Source Identification </w:t>
      </w:r>
    </w:p>
    <w:p w:rsidR="0036797F" w:rsidRDefault="0036797F" w:rsidP="0036797F">
      <w:pPr>
        <w:pStyle w:val="ListParagraph"/>
        <w:autoSpaceDE w:val="0"/>
        <w:autoSpaceDN w:val="0"/>
        <w:adjustRightInd w:val="0"/>
        <w:spacing w:after="0" w:line="240" w:lineRule="auto"/>
        <w:ind w:left="0"/>
        <w:jc w:val="both"/>
        <w:rPr>
          <w:rFonts w:ascii="Times New Roman" w:hAnsi="Times New Roman"/>
          <w:sz w:val="20"/>
          <w:szCs w:val="20"/>
        </w:rPr>
      </w:pPr>
      <w:r w:rsidRPr="00FD7102">
        <w:rPr>
          <w:rFonts w:ascii="Times New Roman" w:hAnsi="Times New Roman"/>
          <w:sz w:val="20"/>
          <w:szCs w:val="20"/>
        </w:rPr>
        <w:t>The ratios of specific PAHs compounds and its isomers have been identified as indices for source identification and to distinguish natural and anthropogenic sources of PAHs. Different researchers have employed ratios of specific PAHs isomers to distinguish petrogenic, biogenic and pyrogenic PAHs sources [3</w:t>
      </w:r>
      <w:r>
        <w:rPr>
          <w:rFonts w:ascii="Times New Roman" w:hAnsi="Times New Roman"/>
          <w:sz w:val="20"/>
          <w:szCs w:val="20"/>
        </w:rPr>
        <w:t>6</w:t>
      </w:r>
      <w:r w:rsidRPr="00FD7102">
        <w:rPr>
          <w:rFonts w:ascii="Times New Roman" w:hAnsi="Times New Roman"/>
          <w:sz w:val="20"/>
          <w:szCs w:val="20"/>
        </w:rPr>
        <w:t>, 3</w:t>
      </w:r>
      <w:r>
        <w:rPr>
          <w:rFonts w:ascii="Times New Roman" w:hAnsi="Times New Roman"/>
          <w:sz w:val="20"/>
          <w:szCs w:val="20"/>
        </w:rPr>
        <w:t>7</w:t>
      </w:r>
      <w:r w:rsidRPr="00FD7102">
        <w:rPr>
          <w:rFonts w:ascii="Times New Roman" w:hAnsi="Times New Roman"/>
          <w:sz w:val="20"/>
          <w:szCs w:val="20"/>
        </w:rPr>
        <w:t>, 3</w:t>
      </w:r>
      <w:r>
        <w:rPr>
          <w:rFonts w:ascii="Times New Roman" w:hAnsi="Times New Roman"/>
          <w:sz w:val="20"/>
          <w:szCs w:val="20"/>
        </w:rPr>
        <w:t>8</w:t>
      </w:r>
      <w:r w:rsidRPr="00FD7102">
        <w:rPr>
          <w:rFonts w:ascii="Times New Roman" w:hAnsi="Times New Roman"/>
          <w:sz w:val="20"/>
          <w:szCs w:val="20"/>
        </w:rPr>
        <w:t>, 3</w:t>
      </w:r>
      <w:r>
        <w:rPr>
          <w:rFonts w:ascii="Times New Roman" w:hAnsi="Times New Roman"/>
          <w:sz w:val="20"/>
          <w:szCs w:val="20"/>
        </w:rPr>
        <w:t>9 &amp; 40</w:t>
      </w:r>
      <w:r w:rsidRPr="00FD7102">
        <w:rPr>
          <w:rFonts w:ascii="Times New Roman" w:hAnsi="Times New Roman"/>
          <w:sz w:val="20"/>
          <w:szCs w:val="20"/>
        </w:rPr>
        <w:t>]. Petrogenic sources are characterized with the predominance of low molecular weight (2-3 ring) PAHs over the high molecular weight (4-6ring) PAHs. The ratio of low molecular weight PAHS to high molecular weight PAHs greater than 1 (LMW/HMW ˃1) indicates a petrogenic source [4</w:t>
      </w:r>
      <w:r>
        <w:rPr>
          <w:rFonts w:ascii="Times New Roman" w:hAnsi="Times New Roman"/>
          <w:sz w:val="20"/>
          <w:szCs w:val="20"/>
        </w:rPr>
        <w:t>1</w:t>
      </w:r>
      <w:r w:rsidRPr="00FD7102">
        <w:rPr>
          <w:rFonts w:ascii="Times New Roman" w:hAnsi="Times New Roman"/>
          <w:sz w:val="20"/>
          <w:szCs w:val="20"/>
        </w:rPr>
        <w:t>]. The diagnostic ratio of PAHs in the dump</w:t>
      </w:r>
      <w:r>
        <w:rPr>
          <w:rFonts w:ascii="Times New Roman" w:hAnsi="Times New Roman"/>
          <w:sz w:val="20"/>
          <w:szCs w:val="20"/>
        </w:rPr>
        <w:t>site soil presented in Table 4</w:t>
      </w:r>
      <w:r w:rsidRPr="00FD7102">
        <w:rPr>
          <w:rFonts w:ascii="Times New Roman" w:hAnsi="Times New Roman"/>
          <w:sz w:val="20"/>
          <w:szCs w:val="20"/>
        </w:rPr>
        <w:t>, showed that the values of LMW/HMW PAHs were greater than 1 at point S</w:t>
      </w:r>
      <w:r>
        <w:rPr>
          <w:rFonts w:ascii="Times New Roman" w:hAnsi="Times New Roman"/>
          <w:sz w:val="20"/>
          <w:szCs w:val="20"/>
        </w:rPr>
        <w:t>2</w:t>
      </w:r>
      <w:r w:rsidRPr="00FD7102">
        <w:rPr>
          <w:rFonts w:ascii="Times New Roman" w:hAnsi="Times New Roman"/>
          <w:sz w:val="20"/>
          <w:szCs w:val="20"/>
        </w:rPr>
        <w:t>,</w:t>
      </w:r>
      <w:r>
        <w:rPr>
          <w:rFonts w:ascii="Times New Roman" w:hAnsi="Times New Roman"/>
          <w:sz w:val="20"/>
          <w:szCs w:val="20"/>
        </w:rPr>
        <w:t xml:space="preserve"> </w:t>
      </w:r>
      <w:r w:rsidRPr="00FD7102">
        <w:rPr>
          <w:rFonts w:ascii="Times New Roman" w:hAnsi="Times New Roman"/>
          <w:sz w:val="20"/>
          <w:szCs w:val="20"/>
        </w:rPr>
        <w:t>S</w:t>
      </w:r>
      <w:r>
        <w:rPr>
          <w:rFonts w:ascii="Times New Roman" w:hAnsi="Times New Roman"/>
          <w:sz w:val="20"/>
          <w:szCs w:val="20"/>
        </w:rPr>
        <w:t xml:space="preserve">3 &amp; </w:t>
      </w:r>
      <w:r w:rsidRPr="00FD7102">
        <w:rPr>
          <w:rFonts w:ascii="Times New Roman" w:hAnsi="Times New Roman"/>
          <w:sz w:val="20"/>
          <w:szCs w:val="20"/>
        </w:rPr>
        <w:t>S</w:t>
      </w:r>
      <w:r>
        <w:rPr>
          <w:rFonts w:ascii="Times New Roman" w:hAnsi="Times New Roman"/>
          <w:sz w:val="20"/>
          <w:szCs w:val="20"/>
        </w:rPr>
        <w:t>6</w:t>
      </w:r>
      <w:r w:rsidRPr="00FD7102">
        <w:rPr>
          <w:rFonts w:ascii="Times New Roman" w:hAnsi="Times New Roman"/>
          <w:sz w:val="20"/>
          <w:szCs w:val="20"/>
        </w:rPr>
        <w:t xml:space="preserve">, suggesting a petrogenic source and the values </w:t>
      </w:r>
      <w:r>
        <w:rPr>
          <w:rFonts w:ascii="Times New Roman" w:hAnsi="Times New Roman"/>
          <w:sz w:val="20"/>
          <w:szCs w:val="20"/>
        </w:rPr>
        <w:t>at the rest sampling points</w:t>
      </w:r>
      <w:r w:rsidRPr="00FD7102">
        <w:rPr>
          <w:rFonts w:ascii="Times New Roman" w:hAnsi="Times New Roman"/>
          <w:sz w:val="20"/>
          <w:szCs w:val="20"/>
        </w:rPr>
        <w:t xml:space="preserve"> are less than one suggesting a pyrogenic source at this points. </w:t>
      </w:r>
    </w:p>
    <w:p w:rsidR="0036797F" w:rsidRDefault="0036797F" w:rsidP="0036797F">
      <w:pPr>
        <w:spacing w:after="0" w:line="240" w:lineRule="auto"/>
        <w:jc w:val="both"/>
        <w:rPr>
          <w:rFonts w:ascii="Times New Roman" w:hAnsi="Times New Roman"/>
          <w:noProof/>
          <w:sz w:val="20"/>
          <w:szCs w:val="20"/>
          <w:lang w:bidi="ar-SA"/>
        </w:rPr>
      </w:pPr>
    </w:p>
    <w:p w:rsidR="0036797F" w:rsidRDefault="0036797F" w:rsidP="0036797F">
      <w:pPr>
        <w:pStyle w:val="ListParagraph"/>
        <w:autoSpaceDE w:val="0"/>
        <w:autoSpaceDN w:val="0"/>
        <w:adjustRightInd w:val="0"/>
        <w:spacing w:after="0" w:line="240" w:lineRule="auto"/>
        <w:ind w:left="0"/>
        <w:jc w:val="both"/>
        <w:rPr>
          <w:rFonts w:ascii="Times New Roman" w:hAnsi="Times New Roman"/>
          <w:sz w:val="20"/>
          <w:szCs w:val="20"/>
        </w:rPr>
      </w:pPr>
      <w:r w:rsidRPr="00FD7102">
        <w:rPr>
          <w:rFonts w:ascii="Times New Roman" w:hAnsi="Times New Roman"/>
          <w:sz w:val="20"/>
          <w:szCs w:val="20"/>
        </w:rPr>
        <w:t>The ratio of anthracene to anthracene plus phenanthrene greater than 0.10 (Anth/Anth+Phen ˃ 0.10) is an indication of pyrogenic origin [4</w:t>
      </w:r>
      <w:r>
        <w:rPr>
          <w:rFonts w:ascii="Times New Roman" w:hAnsi="Times New Roman"/>
          <w:sz w:val="20"/>
          <w:szCs w:val="20"/>
        </w:rPr>
        <w:t>2</w:t>
      </w:r>
      <w:r w:rsidRPr="00FD7102">
        <w:rPr>
          <w:rFonts w:ascii="Times New Roman" w:hAnsi="Times New Roman"/>
          <w:sz w:val="20"/>
          <w:szCs w:val="20"/>
        </w:rPr>
        <w:t>] and fluoroanthrene to fluoroanthrene plus pyrene greater than 0.50 (Flan/Flan+Pyr ˃ 0.50) is an indication of grass, wood and coal combustion [3, 4</w:t>
      </w:r>
      <w:r>
        <w:rPr>
          <w:rFonts w:ascii="Times New Roman" w:hAnsi="Times New Roman"/>
          <w:sz w:val="20"/>
          <w:szCs w:val="20"/>
        </w:rPr>
        <w:t>3</w:t>
      </w:r>
      <w:r w:rsidRPr="00FD7102">
        <w:rPr>
          <w:rFonts w:ascii="Times New Roman" w:hAnsi="Times New Roman"/>
          <w:sz w:val="20"/>
          <w:szCs w:val="20"/>
        </w:rPr>
        <w:t>]. All the values of Anth/(Anth+Phen) was greater than 0.1 except at point S</w:t>
      </w:r>
      <w:r>
        <w:rPr>
          <w:rFonts w:ascii="Times New Roman" w:hAnsi="Times New Roman"/>
          <w:sz w:val="20"/>
          <w:szCs w:val="20"/>
        </w:rPr>
        <w:t>3 &amp; S5</w:t>
      </w:r>
      <w:r w:rsidRPr="00FD7102">
        <w:rPr>
          <w:rFonts w:ascii="Times New Roman" w:hAnsi="Times New Roman"/>
          <w:sz w:val="20"/>
          <w:szCs w:val="20"/>
        </w:rPr>
        <w:t xml:space="preserve">. This is an indication that the PAHs are from pyrogenic sources. The value of Flan/(Flan+Pyr) at sampling point S3,S4, S5, S6, S7 and S9 were higher than 0.50 suggesting a pryrogenic sources of PAHs from combustion of grass, wood or biomass deposited on the dumpsites. Yunker </w:t>
      </w:r>
      <w:r w:rsidRPr="00064CA8">
        <w:rPr>
          <w:rFonts w:ascii="Times New Roman" w:hAnsi="Times New Roman"/>
          <w:sz w:val="20"/>
          <w:szCs w:val="20"/>
        </w:rPr>
        <w:t>et al.,</w:t>
      </w:r>
      <w:r>
        <w:rPr>
          <w:rFonts w:ascii="Times New Roman" w:hAnsi="Times New Roman"/>
          <w:sz w:val="20"/>
          <w:szCs w:val="20"/>
        </w:rPr>
        <w:t>[37</w:t>
      </w:r>
      <w:r w:rsidRPr="00FD7102">
        <w:rPr>
          <w:rFonts w:ascii="Times New Roman" w:hAnsi="Times New Roman"/>
          <w:sz w:val="20"/>
          <w:szCs w:val="20"/>
        </w:rPr>
        <w:t xml:space="preserve">] reported that a ratio of bezo[a]anthracene to bezo[a]anthracene plus chyresene (B[a]A/B[a]+Chyr) less than 0.2, 0.2-0.35 and greater than 0.35 are indication of petrogenic, mixed  and pyrogenic sources respectively. The value of B[a]A/B[a]A+Chyr for all the point is greater than 0.35 indicating that the PAHs source is mainly of combustion sources </w:t>
      </w:r>
      <w:r>
        <w:rPr>
          <w:rFonts w:ascii="Times New Roman" w:hAnsi="Times New Roman"/>
          <w:sz w:val="20"/>
          <w:szCs w:val="20"/>
        </w:rPr>
        <w:t>but the value at S6 (0.29)</w:t>
      </w:r>
      <w:r w:rsidRPr="00FD7102">
        <w:rPr>
          <w:rFonts w:ascii="Times New Roman" w:hAnsi="Times New Roman"/>
          <w:sz w:val="20"/>
          <w:szCs w:val="20"/>
        </w:rPr>
        <w:t xml:space="preserve"> is greater than 0.2 but less than 0.35 suggesting a mixed source of both pyrogenic and petrogenic combustion</w:t>
      </w:r>
      <w:r>
        <w:rPr>
          <w:rFonts w:ascii="Times New Roman" w:hAnsi="Times New Roman"/>
          <w:sz w:val="20"/>
          <w:szCs w:val="20"/>
        </w:rPr>
        <w:t xml:space="preserve"> at S6</w:t>
      </w:r>
      <w:r w:rsidRPr="00FD7102">
        <w:rPr>
          <w:rFonts w:ascii="Times New Roman" w:hAnsi="Times New Roman"/>
          <w:sz w:val="20"/>
          <w:szCs w:val="20"/>
        </w:rPr>
        <w:t xml:space="preserve">. The value of Indeno(1,2,3cd)pyrene ratio Indeno(1,2,3cd)pyrene plus Benzo(ghi)perylene greater than </w:t>
      </w:r>
      <w:r>
        <w:rPr>
          <w:rFonts w:ascii="Times New Roman" w:hAnsi="Times New Roman"/>
          <w:sz w:val="20"/>
          <w:szCs w:val="20"/>
        </w:rPr>
        <w:t>0.5</w:t>
      </w:r>
      <w:r w:rsidRPr="00FD7102">
        <w:rPr>
          <w:rFonts w:ascii="Times New Roman" w:hAnsi="Times New Roman"/>
          <w:sz w:val="20"/>
          <w:szCs w:val="20"/>
        </w:rPr>
        <w:t xml:space="preserve"> suggests a combustion source</w:t>
      </w:r>
      <w:r>
        <w:rPr>
          <w:rFonts w:ascii="Times New Roman" w:hAnsi="Times New Roman"/>
          <w:sz w:val="20"/>
          <w:szCs w:val="20"/>
        </w:rPr>
        <w:t>[37]</w:t>
      </w:r>
      <w:r w:rsidRPr="00FD7102">
        <w:rPr>
          <w:rFonts w:ascii="Times New Roman" w:hAnsi="Times New Roman"/>
          <w:sz w:val="20"/>
          <w:szCs w:val="20"/>
        </w:rPr>
        <w:t>. The ratio of IP/(IP +B(ghi)P) for the dumpsite soil samples were greater than 0.5 at S2,S3,S4,S5,S6,S7 and S9 signifying a combustion source of PAHs from grass and wood, the values at S1</w:t>
      </w:r>
      <w:r>
        <w:rPr>
          <w:rFonts w:ascii="Times New Roman" w:hAnsi="Times New Roman"/>
          <w:sz w:val="20"/>
          <w:szCs w:val="20"/>
        </w:rPr>
        <w:t xml:space="preserve"> </w:t>
      </w:r>
      <w:r w:rsidRPr="00FD7102">
        <w:rPr>
          <w:rFonts w:ascii="Times New Roman" w:hAnsi="Times New Roman"/>
          <w:sz w:val="20"/>
          <w:szCs w:val="20"/>
        </w:rPr>
        <w:t>(0.45)</w:t>
      </w:r>
      <w:r>
        <w:rPr>
          <w:rFonts w:ascii="Times New Roman" w:hAnsi="Times New Roman"/>
          <w:sz w:val="20"/>
          <w:szCs w:val="20"/>
        </w:rPr>
        <w:t>,</w:t>
      </w:r>
      <w:r w:rsidRPr="00FD7102">
        <w:rPr>
          <w:rFonts w:ascii="Times New Roman" w:hAnsi="Times New Roman"/>
          <w:sz w:val="20"/>
          <w:szCs w:val="20"/>
        </w:rPr>
        <w:t xml:space="preserve"> S8</w:t>
      </w:r>
      <w:r>
        <w:rPr>
          <w:rFonts w:ascii="Times New Roman" w:hAnsi="Times New Roman"/>
          <w:sz w:val="20"/>
          <w:szCs w:val="20"/>
        </w:rPr>
        <w:t xml:space="preserve"> </w:t>
      </w:r>
      <w:r w:rsidRPr="00FD7102">
        <w:rPr>
          <w:rFonts w:ascii="Times New Roman" w:hAnsi="Times New Roman"/>
          <w:sz w:val="20"/>
          <w:szCs w:val="20"/>
        </w:rPr>
        <w:t>(0.44)</w:t>
      </w:r>
      <w:r>
        <w:rPr>
          <w:rFonts w:ascii="Times New Roman" w:hAnsi="Times New Roman"/>
          <w:sz w:val="20"/>
          <w:szCs w:val="20"/>
        </w:rPr>
        <w:t xml:space="preserve"> and S10 (0.49)</w:t>
      </w:r>
      <w:r w:rsidRPr="00FD7102">
        <w:rPr>
          <w:rFonts w:ascii="Times New Roman" w:hAnsi="Times New Roman"/>
          <w:sz w:val="20"/>
          <w:szCs w:val="20"/>
        </w:rPr>
        <w:t xml:space="preserve"> are  lesser than 0.50 but greater than 0.2.  The application of the different  source diagnostic ratios of PAHs have shown that combustion of waste (wood, plants, domestic wastes) on the dumpsite are the main source of PAHs present in the dumpsite soil. However, some ratios have suggested combustion p</w:t>
      </w:r>
      <w:r>
        <w:rPr>
          <w:rFonts w:ascii="Times New Roman" w:hAnsi="Times New Roman"/>
          <w:sz w:val="20"/>
          <w:szCs w:val="20"/>
        </w:rPr>
        <w:t xml:space="preserve">roducts of petrogenic sources. </w:t>
      </w:r>
    </w:p>
    <w:p w:rsidR="0036797F" w:rsidRDefault="0036797F" w:rsidP="0036797F">
      <w:pPr>
        <w:spacing w:after="0" w:line="240" w:lineRule="auto"/>
        <w:jc w:val="both"/>
        <w:rPr>
          <w:rFonts w:ascii="Times New Roman" w:hAnsi="Times New Roman"/>
          <w:noProof/>
          <w:sz w:val="20"/>
          <w:szCs w:val="20"/>
          <w:lang w:bidi="ar-SA"/>
        </w:rPr>
      </w:pPr>
    </w:p>
    <w:p w:rsidR="00544B8B" w:rsidRDefault="00544B8B" w:rsidP="0036797F">
      <w:pPr>
        <w:spacing w:after="0" w:line="240" w:lineRule="auto"/>
        <w:jc w:val="both"/>
        <w:rPr>
          <w:rFonts w:ascii="Times New Roman" w:hAnsi="Times New Roman"/>
          <w:noProof/>
          <w:sz w:val="20"/>
          <w:szCs w:val="20"/>
          <w:lang w:bidi="ar-SA"/>
        </w:rPr>
      </w:pPr>
    </w:p>
    <w:p w:rsidR="00FB7962" w:rsidRDefault="00FB7962" w:rsidP="0036797F">
      <w:pPr>
        <w:spacing w:after="0" w:line="240" w:lineRule="auto"/>
        <w:jc w:val="both"/>
        <w:rPr>
          <w:rFonts w:ascii="Times New Roman" w:hAnsi="Times New Roman"/>
          <w:noProof/>
          <w:sz w:val="20"/>
          <w:szCs w:val="20"/>
          <w:lang w:bidi="ar-SA"/>
        </w:rPr>
      </w:pPr>
    </w:p>
    <w:p w:rsidR="00FB7962" w:rsidRPr="00FD7102" w:rsidRDefault="00FB7962" w:rsidP="00FB7962">
      <w:pPr>
        <w:pStyle w:val="Caption"/>
        <w:keepNext/>
        <w:spacing w:after="120" w:line="240" w:lineRule="auto"/>
        <w:jc w:val="center"/>
        <w:rPr>
          <w:rFonts w:ascii="Times New Roman" w:hAnsi="Times New Roman"/>
          <w:b w:val="0"/>
        </w:rPr>
      </w:pPr>
      <w:r w:rsidRPr="00FD7102">
        <w:rPr>
          <w:rFonts w:ascii="Times New Roman" w:hAnsi="Times New Roman"/>
          <w:b w:val="0"/>
        </w:rPr>
        <w:lastRenderedPageBreak/>
        <w:t>Table</w:t>
      </w:r>
      <w:r>
        <w:rPr>
          <w:rFonts w:ascii="Times New Roman" w:hAnsi="Times New Roman"/>
          <w:b w:val="0"/>
        </w:rPr>
        <w:t xml:space="preserve"> 4. </w:t>
      </w:r>
      <w:r>
        <w:rPr>
          <w:rFonts w:ascii="Times New Roman" w:hAnsi="Times New Roman"/>
          <w:b w:val="0"/>
        </w:rPr>
        <w:t xml:space="preserve"> </w:t>
      </w:r>
      <w:r w:rsidRPr="00FD7102">
        <w:rPr>
          <w:rFonts w:ascii="Times New Roman" w:hAnsi="Times New Roman"/>
          <w:b w:val="0"/>
        </w:rPr>
        <w:t>Diagnostic Ratio of PAHs in Balogun-Biiro Dumpsite, Os</w:t>
      </w:r>
      <w:r>
        <w:rPr>
          <w:rFonts w:ascii="Times New Roman" w:hAnsi="Times New Roman"/>
          <w:b w:val="0"/>
        </w:rPr>
        <w:t>h</w:t>
      </w:r>
      <w:r w:rsidRPr="00FD7102">
        <w:rPr>
          <w:rFonts w:ascii="Times New Roman" w:hAnsi="Times New Roman"/>
          <w:b w:val="0"/>
        </w:rPr>
        <w:t>ogbo</w:t>
      </w:r>
    </w:p>
    <w:tbl>
      <w:tblPr>
        <w:tblW w:w="0" w:type="auto"/>
        <w:jc w:val="center"/>
        <w:tblInd w:w="-522" w:type="dxa"/>
        <w:tblBorders>
          <w:top w:val="single" w:sz="4" w:space="0" w:color="auto"/>
          <w:bottom w:val="single" w:sz="4" w:space="0" w:color="auto"/>
        </w:tblBorders>
        <w:tblLayout w:type="fixed"/>
        <w:tblLook w:val="04A0" w:firstRow="1" w:lastRow="0" w:firstColumn="1" w:lastColumn="0" w:noHBand="0" w:noVBand="1"/>
      </w:tblPr>
      <w:tblGrid>
        <w:gridCol w:w="1060"/>
        <w:gridCol w:w="797"/>
        <w:gridCol w:w="1190"/>
        <w:gridCol w:w="776"/>
        <w:gridCol w:w="1294"/>
        <w:gridCol w:w="900"/>
        <w:gridCol w:w="1440"/>
        <w:gridCol w:w="893"/>
        <w:gridCol w:w="900"/>
      </w:tblGrid>
      <w:tr w:rsidR="00FB7962" w:rsidRPr="00FD7102" w:rsidTr="00F245E3">
        <w:trPr>
          <w:trHeight w:val="346"/>
          <w:jc w:val="center"/>
        </w:trPr>
        <w:tc>
          <w:tcPr>
            <w:tcW w:w="1060" w:type="dxa"/>
            <w:tcBorders>
              <w:bottom w:val="single" w:sz="4" w:space="0" w:color="auto"/>
            </w:tcBorders>
            <w:shd w:val="clear" w:color="auto" w:fill="auto"/>
            <w:vAlign w:val="center"/>
          </w:tcPr>
          <w:p w:rsidR="00FB7962" w:rsidRPr="00064CA8" w:rsidRDefault="00FB7962" w:rsidP="00FB7962">
            <w:pPr>
              <w:autoSpaceDE w:val="0"/>
              <w:autoSpaceDN w:val="0"/>
              <w:adjustRightInd w:val="0"/>
              <w:spacing w:before="60" w:after="60" w:line="240" w:lineRule="auto"/>
              <w:rPr>
                <w:rFonts w:ascii="Times New Roman" w:hAnsi="Times New Roman"/>
                <w:b/>
                <w:sz w:val="20"/>
                <w:szCs w:val="20"/>
              </w:rPr>
            </w:pPr>
            <w:r w:rsidRPr="00064CA8">
              <w:rPr>
                <w:rFonts w:ascii="Times New Roman" w:hAnsi="Times New Roman"/>
                <w:b/>
                <w:sz w:val="20"/>
                <w:szCs w:val="20"/>
              </w:rPr>
              <w:t>Sampling Points</w:t>
            </w:r>
          </w:p>
        </w:tc>
        <w:tc>
          <w:tcPr>
            <w:tcW w:w="797" w:type="dxa"/>
            <w:tcBorders>
              <w:bottom w:val="single" w:sz="4" w:space="0" w:color="auto"/>
            </w:tcBorders>
            <w:shd w:val="clear" w:color="auto" w:fill="auto"/>
            <w:vAlign w:val="center"/>
          </w:tcPr>
          <w:p w:rsidR="00FB7962" w:rsidRPr="00064CA8" w:rsidRDefault="00FB7962" w:rsidP="00FB7962">
            <w:pPr>
              <w:autoSpaceDE w:val="0"/>
              <w:autoSpaceDN w:val="0"/>
              <w:adjustRightInd w:val="0"/>
              <w:spacing w:before="60" w:after="60" w:line="240" w:lineRule="auto"/>
              <w:jc w:val="center"/>
              <w:rPr>
                <w:rFonts w:ascii="Times New Roman" w:hAnsi="Times New Roman"/>
                <w:b/>
                <w:sz w:val="20"/>
                <w:szCs w:val="20"/>
              </w:rPr>
            </w:pPr>
            <w:r w:rsidRPr="00064CA8">
              <w:rPr>
                <w:rFonts w:ascii="Times New Roman" w:hAnsi="Times New Roman"/>
                <w:b/>
                <w:sz w:val="20"/>
                <w:szCs w:val="20"/>
              </w:rPr>
              <w:t>Phen/Anth</w:t>
            </w:r>
          </w:p>
        </w:tc>
        <w:tc>
          <w:tcPr>
            <w:tcW w:w="1190" w:type="dxa"/>
            <w:tcBorders>
              <w:bottom w:val="single" w:sz="4" w:space="0" w:color="auto"/>
            </w:tcBorders>
            <w:shd w:val="clear" w:color="auto" w:fill="auto"/>
            <w:vAlign w:val="center"/>
          </w:tcPr>
          <w:p w:rsidR="00FB7962" w:rsidRPr="00064CA8" w:rsidRDefault="00FB7962" w:rsidP="00FB7962">
            <w:pPr>
              <w:autoSpaceDE w:val="0"/>
              <w:autoSpaceDN w:val="0"/>
              <w:adjustRightInd w:val="0"/>
              <w:spacing w:before="60" w:after="0" w:line="240" w:lineRule="auto"/>
              <w:jc w:val="center"/>
              <w:rPr>
                <w:rFonts w:ascii="Times New Roman" w:hAnsi="Times New Roman"/>
                <w:b/>
                <w:sz w:val="20"/>
                <w:szCs w:val="20"/>
              </w:rPr>
            </w:pPr>
            <w:r w:rsidRPr="00064CA8">
              <w:rPr>
                <w:rFonts w:ascii="Times New Roman" w:hAnsi="Times New Roman"/>
                <w:b/>
                <w:sz w:val="20"/>
                <w:szCs w:val="20"/>
              </w:rPr>
              <w:t>An/Phen +</w:t>
            </w:r>
          </w:p>
          <w:p w:rsidR="00FB7962" w:rsidRPr="00064CA8" w:rsidRDefault="00FB7962" w:rsidP="00FB7962">
            <w:pPr>
              <w:autoSpaceDE w:val="0"/>
              <w:autoSpaceDN w:val="0"/>
              <w:adjustRightInd w:val="0"/>
              <w:spacing w:after="60" w:line="240" w:lineRule="auto"/>
              <w:jc w:val="center"/>
              <w:rPr>
                <w:rFonts w:ascii="Times New Roman" w:hAnsi="Times New Roman"/>
                <w:b/>
                <w:sz w:val="20"/>
                <w:szCs w:val="20"/>
              </w:rPr>
            </w:pPr>
            <w:r w:rsidRPr="00064CA8">
              <w:rPr>
                <w:rFonts w:ascii="Times New Roman" w:hAnsi="Times New Roman"/>
                <w:b/>
                <w:sz w:val="20"/>
                <w:szCs w:val="20"/>
              </w:rPr>
              <w:t>An</w:t>
            </w:r>
          </w:p>
        </w:tc>
        <w:tc>
          <w:tcPr>
            <w:tcW w:w="776" w:type="dxa"/>
            <w:tcBorders>
              <w:bottom w:val="single" w:sz="4" w:space="0" w:color="auto"/>
            </w:tcBorders>
            <w:shd w:val="clear" w:color="auto" w:fill="auto"/>
            <w:vAlign w:val="center"/>
          </w:tcPr>
          <w:p w:rsidR="00FB7962" w:rsidRPr="00064CA8" w:rsidRDefault="00FB7962" w:rsidP="00FB7962">
            <w:pPr>
              <w:autoSpaceDE w:val="0"/>
              <w:autoSpaceDN w:val="0"/>
              <w:adjustRightInd w:val="0"/>
              <w:spacing w:before="60" w:after="0" w:line="240" w:lineRule="auto"/>
              <w:jc w:val="center"/>
              <w:rPr>
                <w:rFonts w:ascii="Times New Roman" w:hAnsi="Times New Roman"/>
                <w:b/>
                <w:sz w:val="20"/>
                <w:szCs w:val="20"/>
              </w:rPr>
            </w:pPr>
            <w:r w:rsidRPr="00064CA8">
              <w:rPr>
                <w:rFonts w:ascii="Times New Roman" w:hAnsi="Times New Roman"/>
                <w:b/>
                <w:sz w:val="20"/>
                <w:szCs w:val="20"/>
              </w:rPr>
              <w:t>Flan/</w:t>
            </w:r>
          </w:p>
          <w:p w:rsidR="00FB7962" w:rsidRPr="00064CA8" w:rsidRDefault="00FB7962" w:rsidP="00FB7962">
            <w:pPr>
              <w:autoSpaceDE w:val="0"/>
              <w:autoSpaceDN w:val="0"/>
              <w:adjustRightInd w:val="0"/>
              <w:spacing w:after="60" w:line="240" w:lineRule="auto"/>
              <w:jc w:val="center"/>
              <w:rPr>
                <w:rFonts w:ascii="Times New Roman" w:hAnsi="Times New Roman"/>
                <w:b/>
                <w:sz w:val="20"/>
                <w:szCs w:val="20"/>
              </w:rPr>
            </w:pPr>
            <w:r w:rsidRPr="00064CA8">
              <w:rPr>
                <w:rFonts w:ascii="Times New Roman" w:hAnsi="Times New Roman"/>
                <w:b/>
                <w:sz w:val="20"/>
                <w:szCs w:val="20"/>
              </w:rPr>
              <w:t>Pry</w:t>
            </w:r>
          </w:p>
        </w:tc>
        <w:tc>
          <w:tcPr>
            <w:tcW w:w="1294" w:type="dxa"/>
            <w:tcBorders>
              <w:bottom w:val="single" w:sz="4" w:space="0" w:color="auto"/>
            </w:tcBorders>
            <w:shd w:val="clear" w:color="auto" w:fill="auto"/>
            <w:vAlign w:val="center"/>
          </w:tcPr>
          <w:p w:rsidR="00FB7962" w:rsidRPr="00064CA8" w:rsidRDefault="00FB7962" w:rsidP="00FB7962">
            <w:pPr>
              <w:autoSpaceDE w:val="0"/>
              <w:autoSpaceDN w:val="0"/>
              <w:adjustRightInd w:val="0"/>
              <w:spacing w:before="60" w:after="60" w:line="240" w:lineRule="auto"/>
              <w:jc w:val="center"/>
              <w:rPr>
                <w:rFonts w:ascii="Times New Roman" w:hAnsi="Times New Roman"/>
                <w:b/>
                <w:sz w:val="20"/>
                <w:szCs w:val="20"/>
              </w:rPr>
            </w:pPr>
            <w:r w:rsidRPr="00064CA8">
              <w:rPr>
                <w:rFonts w:ascii="Times New Roman" w:hAnsi="Times New Roman"/>
                <w:b/>
                <w:sz w:val="20"/>
                <w:szCs w:val="20"/>
              </w:rPr>
              <w:t>Flan/(Pry + Flan)</w:t>
            </w:r>
          </w:p>
        </w:tc>
        <w:tc>
          <w:tcPr>
            <w:tcW w:w="900" w:type="dxa"/>
            <w:tcBorders>
              <w:bottom w:val="single" w:sz="4" w:space="0" w:color="auto"/>
            </w:tcBorders>
            <w:shd w:val="clear" w:color="auto" w:fill="auto"/>
            <w:vAlign w:val="center"/>
          </w:tcPr>
          <w:p w:rsidR="00FB7962" w:rsidRPr="00064CA8" w:rsidRDefault="00FB7962" w:rsidP="00FB7962">
            <w:pPr>
              <w:autoSpaceDE w:val="0"/>
              <w:autoSpaceDN w:val="0"/>
              <w:adjustRightInd w:val="0"/>
              <w:spacing w:before="60" w:after="0" w:line="240" w:lineRule="auto"/>
              <w:jc w:val="center"/>
              <w:rPr>
                <w:rFonts w:ascii="Times New Roman" w:hAnsi="Times New Roman"/>
                <w:b/>
                <w:sz w:val="20"/>
                <w:szCs w:val="20"/>
              </w:rPr>
            </w:pPr>
            <w:r w:rsidRPr="00064CA8">
              <w:rPr>
                <w:rFonts w:ascii="Times New Roman" w:hAnsi="Times New Roman"/>
                <w:b/>
                <w:sz w:val="20"/>
                <w:szCs w:val="20"/>
              </w:rPr>
              <w:t>B(a)P/</w:t>
            </w:r>
          </w:p>
          <w:p w:rsidR="00FB7962" w:rsidRPr="00064CA8" w:rsidRDefault="00FB7962" w:rsidP="00FB7962">
            <w:pPr>
              <w:autoSpaceDE w:val="0"/>
              <w:autoSpaceDN w:val="0"/>
              <w:adjustRightInd w:val="0"/>
              <w:spacing w:after="60" w:line="240" w:lineRule="auto"/>
              <w:jc w:val="center"/>
              <w:rPr>
                <w:rFonts w:ascii="Times New Roman" w:hAnsi="Times New Roman"/>
                <w:b/>
                <w:sz w:val="20"/>
                <w:szCs w:val="20"/>
              </w:rPr>
            </w:pPr>
            <w:r w:rsidRPr="00064CA8">
              <w:rPr>
                <w:rFonts w:ascii="Times New Roman" w:hAnsi="Times New Roman"/>
                <w:b/>
                <w:sz w:val="20"/>
                <w:szCs w:val="20"/>
              </w:rPr>
              <w:t>Chry</w:t>
            </w:r>
          </w:p>
        </w:tc>
        <w:tc>
          <w:tcPr>
            <w:tcW w:w="1440" w:type="dxa"/>
            <w:tcBorders>
              <w:bottom w:val="single" w:sz="4" w:space="0" w:color="auto"/>
            </w:tcBorders>
            <w:shd w:val="clear" w:color="auto" w:fill="auto"/>
            <w:vAlign w:val="center"/>
          </w:tcPr>
          <w:p w:rsidR="00FB7962" w:rsidRPr="00064CA8" w:rsidRDefault="00FB7962" w:rsidP="00FB7962">
            <w:pPr>
              <w:autoSpaceDE w:val="0"/>
              <w:autoSpaceDN w:val="0"/>
              <w:adjustRightInd w:val="0"/>
              <w:spacing w:before="60" w:after="0" w:line="240" w:lineRule="auto"/>
              <w:jc w:val="center"/>
              <w:rPr>
                <w:rFonts w:ascii="Times New Roman" w:hAnsi="Times New Roman"/>
                <w:b/>
                <w:sz w:val="20"/>
                <w:szCs w:val="20"/>
              </w:rPr>
            </w:pPr>
            <w:r w:rsidRPr="00064CA8">
              <w:rPr>
                <w:rFonts w:ascii="Times New Roman" w:hAnsi="Times New Roman"/>
                <w:b/>
                <w:sz w:val="20"/>
                <w:szCs w:val="20"/>
              </w:rPr>
              <w:t>B(a)A/(B(a)A</w:t>
            </w:r>
          </w:p>
          <w:p w:rsidR="00FB7962" w:rsidRPr="00064CA8" w:rsidRDefault="00FB7962" w:rsidP="00FB7962">
            <w:pPr>
              <w:autoSpaceDE w:val="0"/>
              <w:autoSpaceDN w:val="0"/>
              <w:adjustRightInd w:val="0"/>
              <w:spacing w:after="60" w:line="240" w:lineRule="auto"/>
              <w:jc w:val="center"/>
              <w:rPr>
                <w:rFonts w:ascii="Times New Roman" w:hAnsi="Times New Roman"/>
                <w:b/>
                <w:sz w:val="20"/>
                <w:szCs w:val="20"/>
              </w:rPr>
            </w:pPr>
            <w:r w:rsidRPr="00064CA8">
              <w:rPr>
                <w:rFonts w:ascii="Times New Roman" w:hAnsi="Times New Roman"/>
                <w:b/>
                <w:sz w:val="20"/>
                <w:szCs w:val="20"/>
              </w:rPr>
              <w:t>+ Chy)</w:t>
            </w:r>
          </w:p>
        </w:tc>
        <w:tc>
          <w:tcPr>
            <w:tcW w:w="893" w:type="dxa"/>
            <w:tcBorders>
              <w:bottom w:val="single" w:sz="4" w:space="0" w:color="auto"/>
            </w:tcBorders>
            <w:shd w:val="clear" w:color="auto" w:fill="auto"/>
            <w:vAlign w:val="center"/>
          </w:tcPr>
          <w:p w:rsidR="00FB7962" w:rsidRPr="00064CA8" w:rsidRDefault="00FB7962" w:rsidP="00FB7962">
            <w:pPr>
              <w:autoSpaceDE w:val="0"/>
              <w:autoSpaceDN w:val="0"/>
              <w:adjustRightInd w:val="0"/>
              <w:spacing w:before="60" w:after="60" w:line="240" w:lineRule="auto"/>
              <w:jc w:val="center"/>
              <w:rPr>
                <w:rFonts w:ascii="Times New Roman" w:hAnsi="Times New Roman"/>
                <w:b/>
                <w:sz w:val="20"/>
                <w:szCs w:val="20"/>
              </w:rPr>
            </w:pPr>
            <w:r w:rsidRPr="00064CA8">
              <w:rPr>
                <w:rFonts w:ascii="Times New Roman" w:hAnsi="Times New Roman"/>
                <w:b/>
                <w:sz w:val="20"/>
                <w:szCs w:val="20"/>
              </w:rPr>
              <w:t>IP/IP+ B(ghi)P</w:t>
            </w:r>
          </w:p>
        </w:tc>
        <w:tc>
          <w:tcPr>
            <w:tcW w:w="900" w:type="dxa"/>
            <w:tcBorders>
              <w:bottom w:val="single" w:sz="4" w:space="0" w:color="auto"/>
            </w:tcBorders>
            <w:vAlign w:val="center"/>
          </w:tcPr>
          <w:p w:rsidR="00FB7962" w:rsidRPr="00064CA8" w:rsidRDefault="00FB7962" w:rsidP="00FB7962">
            <w:pPr>
              <w:autoSpaceDE w:val="0"/>
              <w:autoSpaceDN w:val="0"/>
              <w:adjustRightInd w:val="0"/>
              <w:spacing w:before="60" w:after="0" w:line="240" w:lineRule="auto"/>
              <w:jc w:val="center"/>
              <w:rPr>
                <w:rFonts w:ascii="Times New Roman" w:hAnsi="Times New Roman"/>
                <w:b/>
                <w:sz w:val="20"/>
                <w:szCs w:val="20"/>
              </w:rPr>
            </w:pPr>
            <w:r w:rsidRPr="00064CA8">
              <w:rPr>
                <w:rFonts w:ascii="Times New Roman" w:hAnsi="Times New Roman"/>
                <w:b/>
                <w:sz w:val="20"/>
                <w:szCs w:val="20"/>
              </w:rPr>
              <w:t>LMW/</w:t>
            </w:r>
          </w:p>
          <w:p w:rsidR="00FB7962" w:rsidRPr="00064CA8" w:rsidRDefault="00FB7962" w:rsidP="00FB7962">
            <w:pPr>
              <w:autoSpaceDE w:val="0"/>
              <w:autoSpaceDN w:val="0"/>
              <w:adjustRightInd w:val="0"/>
              <w:spacing w:after="60" w:line="240" w:lineRule="auto"/>
              <w:jc w:val="center"/>
              <w:rPr>
                <w:rFonts w:ascii="Times New Roman" w:hAnsi="Times New Roman"/>
                <w:b/>
                <w:sz w:val="20"/>
                <w:szCs w:val="20"/>
              </w:rPr>
            </w:pPr>
            <w:r w:rsidRPr="00064CA8">
              <w:rPr>
                <w:rFonts w:ascii="Times New Roman" w:hAnsi="Times New Roman"/>
                <w:b/>
                <w:sz w:val="20"/>
                <w:szCs w:val="20"/>
              </w:rPr>
              <w:t>HMW</w:t>
            </w:r>
          </w:p>
        </w:tc>
      </w:tr>
      <w:tr w:rsidR="00FB7962" w:rsidRPr="00FD7102" w:rsidTr="00F245E3">
        <w:trPr>
          <w:trHeight w:val="250"/>
          <w:jc w:val="center"/>
        </w:trPr>
        <w:tc>
          <w:tcPr>
            <w:tcW w:w="1060" w:type="dxa"/>
            <w:tcBorders>
              <w:top w:val="single" w:sz="4" w:space="0" w:color="auto"/>
            </w:tcBorders>
            <w:shd w:val="clear" w:color="auto" w:fill="auto"/>
            <w:vAlign w:val="center"/>
          </w:tcPr>
          <w:p w:rsidR="00FB7962" w:rsidRPr="00FD7102" w:rsidRDefault="00FB7962" w:rsidP="00FB7962">
            <w:pPr>
              <w:autoSpaceDE w:val="0"/>
              <w:autoSpaceDN w:val="0"/>
              <w:adjustRightInd w:val="0"/>
              <w:spacing w:before="120" w:after="0" w:line="240" w:lineRule="auto"/>
              <w:rPr>
                <w:rFonts w:ascii="Times New Roman" w:hAnsi="Times New Roman"/>
                <w:sz w:val="20"/>
                <w:szCs w:val="20"/>
              </w:rPr>
            </w:pPr>
            <w:r w:rsidRPr="00FD7102">
              <w:rPr>
                <w:rFonts w:ascii="Times New Roman" w:hAnsi="Times New Roman"/>
                <w:sz w:val="20"/>
                <w:szCs w:val="20"/>
              </w:rPr>
              <w:t>S1</w:t>
            </w:r>
          </w:p>
        </w:tc>
        <w:tc>
          <w:tcPr>
            <w:tcW w:w="797" w:type="dxa"/>
            <w:tcBorders>
              <w:top w:val="single" w:sz="4" w:space="0" w:color="auto"/>
            </w:tcBorders>
            <w:shd w:val="clear" w:color="auto" w:fill="auto"/>
            <w:vAlign w:val="center"/>
          </w:tcPr>
          <w:p w:rsidR="00FB7962" w:rsidRPr="00FD7102" w:rsidRDefault="00FB7962" w:rsidP="00FB7962">
            <w:pPr>
              <w:autoSpaceDE w:val="0"/>
              <w:autoSpaceDN w:val="0"/>
              <w:adjustRightInd w:val="0"/>
              <w:spacing w:before="120" w:after="0" w:line="240" w:lineRule="auto"/>
              <w:jc w:val="center"/>
              <w:rPr>
                <w:rFonts w:ascii="Times New Roman" w:hAnsi="Times New Roman"/>
                <w:sz w:val="20"/>
                <w:szCs w:val="20"/>
              </w:rPr>
            </w:pPr>
            <w:r w:rsidRPr="00FD7102">
              <w:rPr>
                <w:rFonts w:ascii="Times New Roman" w:hAnsi="Times New Roman"/>
                <w:sz w:val="20"/>
                <w:szCs w:val="20"/>
              </w:rPr>
              <w:t>0.067</w:t>
            </w:r>
          </w:p>
        </w:tc>
        <w:tc>
          <w:tcPr>
            <w:tcW w:w="1190" w:type="dxa"/>
            <w:tcBorders>
              <w:top w:val="single" w:sz="4" w:space="0" w:color="auto"/>
            </w:tcBorders>
            <w:shd w:val="clear" w:color="auto" w:fill="auto"/>
            <w:vAlign w:val="center"/>
          </w:tcPr>
          <w:p w:rsidR="00FB7962" w:rsidRPr="00FD7102" w:rsidRDefault="00FB7962" w:rsidP="00FB7962">
            <w:pPr>
              <w:autoSpaceDE w:val="0"/>
              <w:autoSpaceDN w:val="0"/>
              <w:adjustRightInd w:val="0"/>
              <w:spacing w:before="120" w:after="0" w:line="240" w:lineRule="auto"/>
              <w:jc w:val="center"/>
              <w:rPr>
                <w:rFonts w:ascii="Times New Roman" w:hAnsi="Times New Roman"/>
                <w:sz w:val="20"/>
                <w:szCs w:val="20"/>
              </w:rPr>
            </w:pPr>
            <w:r w:rsidRPr="00FD7102">
              <w:rPr>
                <w:rFonts w:ascii="Times New Roman" w:hAnsi="Times New Roman"/>
                <w:sz w:val="20"/>
                <w:szCs w:val="20"/>
              </w:rPr>
              <w:t>0.94</w:t>
            </w:r>
          </w:p>
        </w:tc>
        <w:tc>
          <w:tcPr>
            <w:tcW w:w="776" w:type="dxa"/>
            <w:tcBorders>
              <w:top w:val="single" w:sz="4" w:space="0" w:color="auto"/>
            </w:tcBorders>
            <w:shd w:val="clear" w:color="auto" w:fill="auto"/>
            <w:vAlign w:val="center"/>
          </w:tcPr>
          <w:p w:rsidR="00FB7962" w:rsidRPr="00FD7102" w:rsidRDefault="00FB7962" w:rsidP="00FB7962">
            <w:pPr>
              <w:autoSpaceDE w:val="0"/>
              <w:autoSpaceDN w:val="0"/>
              <w:adjustRightInd w:val="0"/>
              <w:spacing w:before="120" w:after="0" w:line="240" w:lineRule="auto"/>
              <w:jc w:val="center"/>
              <w:rPr>
                <w:rFonts w:ascii="Times New Roman" w:hAnsi="Times New Roman"/>
                <w:sz w:val="20"/>
                <w:szCs w:val="20"/>
              </w:rPr>
            </w:pPr>
            <w:r w:rsidRPr="00FD7102">
              <w:rPr>
                <w:rFonts w:ascii="Times New Roman" w:hAnsi="Times New Roman"/>
                <w:sz w:val="20"/>
                <w:szCs w:val="20"/>
              </w:rPr>
              <w:t>0.28</w:t>
            </w:r>
          </w:p>
        </w:tc>
        <w:tc>
          <w:tcPr>
            <w:tcW w:w="1294" w:type="dxa"/>
            <w:tcBorders>
              <w:top w:val="single" w:sz="4" w:space="0" w:color="auto"/>
            </w:tcBorders>
            <w:shd w:val="clear" w:color="auto" w:fill="auto"/>
            <w:vAlign w:val="center"/>
          </w:tcPr>
          <w:p w:rsidR="00FB7962" w:rsidRPr="00FD7102" w:rsidRDefault="00FB7962" w:rsidP="00FB7962">
            <w:pPr>
              <w:autoSpaceDE w:val="0"/>
              <w:autoSpaceDN w:val="0"/>
              <w:adjustRightInd w:val="0"/>
              <w:spacing w:before="120" w:after="0" w:line="240" w:lineRule="auto"/>
              <w:jc w:val="center"/>
              <w:rPr>
                <w:rFonts w:ascii="Times New Roman" w:hAnsi="Times New Roman"/>
                <w:sz w:val="20"/>
                <w:szCs w:val="20"/>
              </w:rPr>
            </w:pPr>
            <w:r w:rsidRPr="00FD7102">
              <w:rPr>
                <w:rFonts w:ascii="Times New Roman" w:hAnsi="Times New Roman"/>
                <w:sz w:val="20"/>
                <w:szCs w:val="20"/>
              </w:rPr>
              <w:t>0.22</w:t>
            </w:r>
          </w:p>
        </w:tc>
        <w:tc>
          <w:tcPr>
            <w:tcW w:w="900" w:type="dxa"/>
            <w:tcBorders>
              <w:top w:val="single" w:sz="4" w:space="0" w:color="auto"/>
            </w:tcBorders>
            <w:shd w:val="clear" w:color="auto" w:fill="auto"/>
            <w:vAlign w:val="center"/>
          </w:tcPr>
          <w:p w:rsidR="00FB7962" w:rsidRPr="00FD7102" w:rsidRDefault="00FB7962" w:rsidP="00FB7962">
            <w:pPr>
              <w:autoSpaceDE w:val="0"/>
              <w:autoSpaceDN w:val="0"/>
              <w:adjustRightInd w:val="0"/>
              <w:spacing w:before="120" w:after="0" w:line="240" w:lineRule="auto"/>
              <w:jc w:val="center"/>
              <w:rPr>
                <w:rFonts w:ascii="Times New Roman" w:hAnsi="Times New Roman"/>
                <w:sz w:val="20"/>
                <w:szCs w:val="20"/>
              </w:rPr>
            </w:pPr>
            <w:r w:rsidRPr="00FD7102">
              <w:rPr>
                <w:rFonts w:ascii="Times New Roman" w:hAnsi="Times New Roman"/>
                <w:sz w:val="20"/>
                <w:szCs w:val="20"/>
              </w:rPr>
              <w:t>069</w:t>
            </w:r>
          </w:p>
        </w:tc>
        <w:tc>
          <w:tcPr>
            <w:tcW w:w="1440" w:type="dxa"/>
            <w:tcBorders>
              <w:top w:val="single" w:sz="4" w:space="0" w:color="auto"/>
            </w:tcBorders>
            <w:shd w:val="clear" w:color="auto" w:fill="auto"/>
            <w:vAlign w:val="center"/>
          </w:tcPr>
          <w:p w:rsidR="00FB7962" w:rsidRPr="00FD7102" w:rsidRDefault="00FB7962" w:rsidP="00FB7962">
            <w:pPr>
              <w:autoSpaceDE w:val="0"/>
              <w:autoSpaceDN w:val="0"/>
              <w:adjustRightInd w:val="0"/>
              <w:spacing w:before="120" w:after="0" w:line="240" w:lineRule="auto"/>
              <w:jc w:val="center"/>
              <w:rPr>
                <w:rFonts w:ascii="Times New Roman" w:hAnsi="Times New Roman"/>
                <w:sz w:val="20"/>
                <w:szCs w:val="20"/>
              </w:rPr>
            </w:pPr>
            <w:r w:rsidRPr="00FD7102">
              <w:rPr>
                <w:rFonts w:ascii="Times New Roman" w:hAnsi="Times New Roman"/>
                <w:sz w:val="20"/>
                <w:szCs w:val="20"/>
              </w:rPr>
              <w:t>0.83</w:t>
            </w:r>
          </w:p>
        </w:tc>
        <w:tc>
          <w:tcPr>
            <w:tcW w:w="893" w:type="dxa"/>
            <w:tcBorders>
              <w:top w:val="single" w:sz="4" w:space="0" w:color="auto"/>
            </w:tcBorders>
            <w:shd w:val="clear" w:color="auto" w:fill="auto"/>
            <w:vAlign w:val="center"/>
          </w:tcPr>
          <w:p w:rsidR="00FB7962" w:rsidRPr="00FD7102" w:rsidRDefault="00FB7962" w:rsidP="00FB7962">
            <w:pPr>
              <w:autoSpaceDE w:val="0"/>
              <w:autoSpaceDN w:val="0"/>
              <w:adjustRightInd w:val="0"/>
              <w:spacing w:before="120" w:after="0" w:line="240" w:lineRule="auto"/>
              <w:jc w:val="center"/>
              <w:rPr>
                <w:rFonts w:ascii="Times New Roman" w:hAnsi="Times New Roman"/>
                <w:sz w:val="20"/>
                <w:szCs w:val="20"/>
              </w:rPr>
            </w:pPr>
            <w:r w:rsidRPr="00FD7102">
              <w:rPr>
                <w:rFonts w:ascii="Times New Roman" w:hAnsi="Times New Roman"/>
                <w:sz w:val="20"/>
                <w:szCs w:val="20"/>
              </w:rPr>
              <w:t>0.45</w:t>
            </w:r>
          </w:p>
        </w:tc>
        <w:tc>
          <w:tcPr>
            <w:tcW w:w="900" w:type="dxa"/>
            <w:tcBorders>
              <w:top w:val="single" w:sz="4" w:space="0" w:color="auto"/>
            </w:tcBorders>
            <w:vAlign w:val="center"/>
          </w:tcPr>
          <w:p w:rsidR="00FB7962" w:rsidRPr="00FD7102" w:rsidRDefault="00FB7962" w:rsidP="00FB7962">
            <w:pPr>
              <w:autoSpaceDE w:val="0"/>
              <w:autoSpaceDN w:val="0"/>
              <w:adjustRightInd w:val="0"/>
              <w:spacing w:before="120" w:after="0" w:line="240" w:lineRule="auto"/>
              <w:jc w:val="center"/>
              <w:rPr>
                <w:rFonts w:ascii="Times New Roman" w:hAnsi="Times New Roman"/>
                <w:sz w:val="20"/>
                <w:szCs w:val="20"/>
              </w:rPr>
            </w:pPr>
            <w:r w:rsidRPr="00FD7102">
              <w:rPr>
                <w:rFonts w:ascii="Times New Roman" w:hAnsi="Times New Roman"/>
                <w:sz w:val="20"/>
                <w:szCs w:val="20"/>
              </w:rPr>
              <w:t>0.23</w:t>
            </w:r>
          </w:p>
        </w:tc>
      </w:tr>
      <w:tr w:rsidR="00FB7962" w:rsidRPr="00FD7102" w:rsidTr="00F245E3">
        <w:trPr>
          <w:trHeight w:val="346"/>
          <w:jc w:val="center"/>
        </w:trPr>
        <w:tc>
          <w:tcPr>
            <w:tcW w:w="1060" w:type="dxa"/>
            <w:shd w:val="clear" w:color="auto" w:fill="auto"/>
            <w:vAlign w:val="center"/>
          </w:tcPr>
          <w:p w:rsidR="00FB7962" w:rsidRPr="00FD7102" w:rsidRDefault="00FB7962" w:rsidP="00F245E3">
            <w:pPr>
              <w:autoSpaceDE w:val="0"/>
              <w:autoSpaceDN w:val="0"/>
              <w:adjustRightInd w:val="0"/>
              <w:spacing w:after="0" w:line="240" w:lineRule="auto"/>
              <w:contextualSpacing/>
              <w:rPr>
                <w:rFonts w:ascii="Times New Roman" w:hAnsi="Times New Roman"/>
                <w:sz w:val="20"/>
                <w:szCs w:val="20"/>
              </w:rPr>
            </w:pPr>
            <w:r w:rsidRPr="00FD7102">
              <w:rPr>
                <w:rFonts w:ascii="Times New Roman" w:hAnsi="Times New Roman"/>
                <w:sz w:val="20"/>
                <w:szCs w:val="20"/>
              </w:rPr>
              <w:t>S2</w:t>
            </w:r>
          </w:p>
        </w:tc>
        <w:tc>
          <w:tcPr>
            <w:tcW w:w="797" w:type="dxa"/>
            <w:shd w:val="clear" w:color="auto" w:fill="auto"/>
            <w:vAlign w:val="center"/>
          </w:tcPr>
          <w:p w:rsidR="00FB7962" w:rsidRPr="00FD7102" w:rsidRDefault="00FB7962" w:rsidP="00F245E3">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2.86</w:t>
            </w:r>
          </w:p>
        </w:tc>
        <w:tc>
          <w:tcPr>
            <w:tcW w:w="1190" w:type="dxa"/>
            <w:shd w:val="clear" w:color="auto" w:fill="auto"/>
            <w:vAlign w:val="center"/>
          </w:tcPr>
          <w:p w:rsidR="00FB7962" w:rsidRPr="00FD7102" w:rsidRDefault="00FB7962" w:rsidP="00F245E3">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0.26</w:t>
            </w:r>
          </w:p>
        </w:tc>
        <w:tc>
          <w:tcPr>
            <w:tcW w:w="776" w:type="dxa"/>
            <w:shd w:val="clear" w:color="auto" w:fill="auto"/>
            <w:vAlign w:val="center"/>
          </w:tcPr>
          <w:p w:rsidR="00FB7962" w:rsidRPr="00FD7102" w:rsidRDefault="00FB7962" w:rsidP="00F245E3">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0.38</w:t>
            </w:r>
          </w:p>
        </w:tc>
        <w:tc>
          <w:tcPr>
            <w:tcW w:w="1294" w:type="dxa"/>
            <w:shd w:val="clear" w:color="auto" w:fill="auto"/>
            <w:vAlign w:val="center"/>
          </w:tcPr>
          <w:p w:rsidR="00FB7962" w:rsidRPr="00FD7102" w:rsidRDefault="00FB7962" w:rsidP="00F245E3">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0.27</w:t>
            </w:r>
          </w:p>
        </w:tc>
        <w:tc>
          <w:tcPr>
            <w:tcW w:w="900" w:type="dxa"/>
            <w:shd w:val="clear" w:color="auto" w:fill="auto"/>
            <w:vAlign w:val="center"/>
          </w:tcPr>
          <w:p w:rsidR="00FB7962" w:rsidRPr="00FD7102" w:rsidRDefault="00FB7962" w:rsidP="00F245E3">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0.81</w:t>
            </w:r>
          </w:p>
        </w:tc>
        <w:tc>
          <w:tcPr>
            <w:tcW w:w="1440" w:type="dxa"/>
            <w:shd w:val="clear" w:color="auto" w:fill="auto"/>
            <w:vAlign w:val="center"/>
          </w:tcPr>
          <w:p w:rsidR="00FB7962" w:rsidRPr="00FD7102" w:rsidRDefault="00FB7962" w:rsidP="00F245E3">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0.43</w:t>
            </w:r>
          </w:p>
        </w:tc>
        <w:tc>
          <w:tcPr>
            <w:tcW w:w="893" w:type="dxa"/>
            <w:shd w:val="clear" w:color="auto" w:fill="auto"/>
            <w:vAlign w:val="center"/>
          </w:tcPr>
          <w:p w:rsidR="00FB7962" w:rsidRPr="00FD7102" w:rsidRDefault="00FB7962" w:rsidP="00F245E3">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0.94</w:t>
            </w:r>
          </w:p>
        </w:tc>
        <w:tc>
          <w:tcPr>
            <w:tcW w:w="900" w:type="dxa"/>
            <w:vAlign w:val="center"/>
          </w:tcPr>
          <w:p w:rsidR="00FB7962" w:rsidRPr="00FD7102" w:rsidRDefault="00FB7962" w:rsidP="00F245E3">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1.05</w:t>
            </w:r>
          </w:p>
        </w:tc>
      </w:tr>
      <w:tr w:rsidR="00FB7962" w:rsidRPr="00FD7102" w:rsidTr="00F245E3">
        <w:trPr>
          <w:trHeight w:val="346"/>
          <w:jc w:val="center"/>
        </w:trPr>
        <w:tc>
          <w:tcPr>
            <w:tcW w:w="1060" w:type="dxa"/>
            <w:shd w:val="clear" w:color="auto" w:fill="auto"/>
            <w:vAlign w:val="center"/>
          </w:tcPr>
          <w:p w:rsidR="00FB7962" w:rsidRPr="00FD7102" w:rsidRDefault="00FB7962" w:rsidP="00F245E3">
            <w:pPr>
              <w:autoSpaceDE w:val="0"/>
              <w:autoSpaceDN w:val="0"/>
              <w:adjustRightInd w:val="0"/>
              <w:spacing w:after="0" w:line="240" w:lineRule="auto"/>
              <w:contextualSpacing/>
              <w:rPr>
                <w:rFonts w:ascii="Times New Roman" w:hAnsi="Times New Roman"/>
                <w:sz w:val="20"/>
                <w:szCs w:val="20"/>
              </w:rPr>
            </w:pPr>
            <w:r w:rsidRPr="00FD7102">
              <w:rPr>
                <w:rFonts w:ascii="Times New Roman" w:hAnsi="Times New Roman"/>
                <w:sz w:val="20"/>
                <w:szCs w:val="20"/>
              </w:rPr>
              <w:t>S3</w:t>
            </w:r>
          </w:p>
        </w:tc>
        <w:tc>
          <w:tcPr>
            <w:tcW w:w="797" w:type="dxa"/>
            <w:shd w:val="clear" w:color="auto" w:fill="auto"/>
            <w:vAlign w:val="center"/>
          </w:tcPr>
          <w:p w:rsidR="00FB7962" w:rsidRPr="00FD7102" w:rsidRDefault="00FB7962" w:rsidP="00F245E3">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18.4</w:t>
            </w:r>
          </w:p>
        </w:tc>
        <w:tc>
          <w:tcPr>
            <w:tcW w:w="1190" w:type="dxa"/>
            <w:shd w:val="clear" w:color="auto" w:fill="auto"/>
            <w:vAlign w:val="center"/>
          </w:tcPr>
          <w:p w:rsidR="00FB7962" w:rsidRPr="00FD7102" w:rsidRDefault="00FB7962" w:rsidP="00F245E3">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0.05</w:t>
            </w:r>
          </w:p>
        </w:tc>
        <w:tc>
          <w:tcPr>
            <w:tcW w:w="776" w:type="dxa"/>
            <w:shd w:val="clear" w:color="auto" w:fill="auto"/>
            <w:vAlign w:val="center"/>
          </w:tcPr>
          <w:p w:rsidR="00FB7962" w:rsidRPr="00FD7102" w:rsidRDefault="00FB7962" w:rsidP="00F245E3">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27.17</w:t>
            </w:r>
          </w:p>
        </w:tc>
        <w:tc>
          <w:tcPr>
            <w:tcW w:w="1294" w:type="dxa"/>
            <w:shd w:val="clear" w:color="auto" w:fill="auto"/>
            <w:vAlign w:val="center"/>
          </w:tcPr>
          <w:p w:rsidR="00FB7962" w:rsidRPr="00FD7102" w:rsidRDefault="00FB7962" w:rsidP="00F245E3">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0.96</w:t>
            </w:r>
          </w:p>
        </w:tc>
        <w:tc>
          <w:tcPr>
            <w:tcW w:w="900" w:type="dxa"/>
            <w:shd w:val="clear" w:color="auto" w:fill="auto"/>
            <w:vAlign w:val="center"/>
          </w:tcPr>
          <w:p w:rsidR="00FB7962" w:rsidRPr="00FD7102" w:rsidRDefault="00FB7962" w:rsidP="00F245E3">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0.97</w:t>
            </w:r>
          </w:p>
        </w:tc>
        <w:tc>
          <w:tcPr>
            <w:tcW w:w="1440" w:type="dxa"/>
            <w:shd w:val="clear" w:color="auto" w:fill="auto"/>
            <w:vAlign w:val="center"/>
          </w:tcPr>
          <w:p w:rsidR="00FB7962" w:rsidRPr="00FD7102" w:rsidRDefault="00FB7962" w:rsidP="00F245E3">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0.43</w:t>
            </w:r>
          </w:p>
        </w:tc>
        <w:tc>
          <w:tcPr>
            <w:tcW w:w="893" w:type="dxa"/>
            <w:shd w:val="clear" w:color="auto" w:fill="auto"/>
            <w:vAlign w:val="center"/>
          </w:tcPr>
          <w:p w:rsidR="00FB7962" w:rsidRPr="00FD7102" w:rsidRDefault="00FB7962" w:rsidP="00F245E3">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0.88</w:t>
            </w:r>
          </w:p>
        </w:tc>
        <w:tc>
          <w:tcPr>
            <w:tcW w:w="900" w:type="dxa"/>
            <w:vAlign w:val="center"/>
          </w:tcPr>
          <w:p w:rsidR="00FB7962" w:rsidRPr="00FD7102" w:rsidRDefault="00FB7962" w:rsidP="00F245E3">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6.82</w:t>
            </w:r>
          </w:p>
        </w:tc>
      </w:tr>
      <w:tr w:rsidR="00FB7962" w:rsidRPr="00FD7102" w:rsidTr="00F245E3">
        <w:trPr>
          <w:trHeight w:val="346"/>
          <w:jc w:val="center"/>
        </w:trPr>
        <w:tc>
          <w:tcPr>
            <w:tcW w:w="1060" w:type="dxa"/>
            <w:shd w:val="clear" w:color="auto" w:fill="auto"/>
            <w:vAlign w:val="center"/>
          </w:tcPr>
          <w:p w:rsidR="00FB7962" w:rsidRPr="00FD7102" w:rsidRDefault="00FB7962" w:rsidP="00F245E3">
            <w:pPr>
              <w:autoSpaceDE w:val="0"/>
              <w:autoSpaceDN w:val="0"/>
              <w:adjustRightInd w:val="0"/>
              <w:spacing w:after="0" w:line="240" w:lineRule="auto"/>
              <w:contextualSpacing/>
              <w:rPr>
                <w:rFonts w:ascii="Times New Roman" w:hAnsi="Times New Roman"/>
                <w:sz w:val="20"/>
                <w:szCs w:val="20"/>
              </w:rPr>
            </w:pPr>
            <w:r w:rsidRPr="00FD7102">
              <w:rPr>
                <w:rFonts w:ascii="Times New Roman" w:hAnsi="Times New Roman"/>
                <w:sz w:val="20"/>
                <w:szCs w:val="20"/>
              </w:rPr>
              <w:t>S4</w:t>
            </w:r>
          </w:p>
        </w:tc>
        <w:tc>
          <w:tcPr>
            <w:tcW w:w="797" w:type="dxa"/>
            <w:shd w:val="clear" w:color="auto" w:fill="auto"/>
            <w:vAlign w:val="center"/>
          </w:tcPr>
          <w:p w:rsidR="00FB7962" w:rsidRPr="00FD7102" w:rsidRDefault="00FB7962" w:rsidP="00F245E3">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1.82</w:t>
            </w:r>
          </w:p>
        </w:tc>
        <w:tc>
          <w:tcPr>
            <w:tcW w:w="1190" w:type="dxa"/>
            <w:shd w:val="clear" w:color="auto" w:fill="auto"/>
            <w:vAlign w:val="center"/>
          </w:tcPr>
          <w:p w:rsidR="00FB7962" w:rsidRPr="00FD7102" w:rsidRDefault="00FB7962" w:rsidP="00F245E3">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0.36</w:t>
            </w:r>
          </w:p>
        </w:tc>
        <w:tc>
          <w:tcPr>
            <w:tcW w:w="776" w:type="dxa"/>
            <w:shd w:val="clear" w:color="auto" w:fill="auto"/>
            <w:vAlign w:val="center"/>
          </w:tcPr>
          <w:p w:rsidR="00FB7962" w:rsidRPr="00FD7102" w:rsidRDefault="00FB7962" w:rsidP="00F245E3">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2.80</w:t>
            </w:r>
          </w:p>
        </w:tc>
        <w:tc>
          <w:tcPr>
            <w:tcW w:w="1294" w:type="dxa"/>
            <w:shd w:val="clear" w:color="auto" w:fill="auto"/>
            <w:vAlign w:val="center"/>
          </w:tcPr>
          <w:p w:rsidR="00FB7962" w:rsidRPr="00FD7102" w:rsidRDefault="00FB7962" w:rsidP="00F245E3">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0.74</w:t>
            </w:r>
          </w:p>
        </w:tc>
        <w:tc>
          <w:tcPr>
            <w:tcW w:w="900" w:type="dxa"/>
            <w:shd w:val="clear" w:color="auto" w:fill="auto"/>
            <w:vAlign w:val="center"/>
          </w:tcPr>
          <w:p w:rsidR="00FB7962" w:rsidRPr="00FD7102" w:rsidRDefault="00FB7962" w:rsidP="00F245E3">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0.88</w:t>
            </w:r>
          </w:p>
        </w:tc>
        <w:tc>
          <w:tcPr>
            <w:tcW w:w="1440" w:type="dxa"/>
            <w:shd w:val="clear" w:color="auto" w:fill="auto"/>
            <w:vAlign w:val="center"/>
          </w:tcPr>
          <w:p w:rsidR="00FB7962" w:rsidRPr="00FD7102" w:rsidRDefault="00FB7962" w:rsidP="00F245E3">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0.43</w:t>
            </w:r>
          </w:p>
        </w:tc>
        <w:tc>
          <w:tcPr>
            <w:tcW w:w="893" w:type="dxa"/>
            <w:shd w:val="clear" w:color="auto" w:fill="auto"/>
            <w:vAlign w:val="center"/>
          </w:tcPr>
          <w:p w:rsidR="00FB7962" w:rsidRPr="00FD7102" w:rsidRDefault="00FB7962" w:rsidP="00F245E3">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0.90</w:t>
            </w:r>
          </w:p>
        </w:tc>
        <w:tc>
          <w:tcPr>
            <w:tcW w:w="900" w:type="dxa"/>
            <w:vAlign w:val="center"/>
          </w:tcPr>
          <w:p w:rsidR="00FB7962" w:rsidRPr="00FD7102" w:rsidRDefault="00FB7962" w:rsidP="00F245E3">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0.96</w:t>
            </w:r>
          </w:p>
        </w:tc>
      </w:tr>
      <w:tr w:rsidR="00FB7962" w:rsidRPr="00FD7102" w:rsidTr="00F245E3">
        <w:trPr>
          <w:trHeight w:val="346"/>
          <w:jc w:val="center"/>
        </w:trPr>
        <w:tc>
          <w:tcPr>
            <w:tcW w:w="1060" w:type="dxa"/>
            <w:shd w:val="clear" w:color="auto" w:fill="auto"/>
            <w:vAlign w:val="center"/>
          </w:tcPr>
          <w:p w:rsidR="00FB7962" w:rsidRPr="00FD7102" w:rsidRDefault="00FB7962" w:rsidP="00F245E3">
            <w:pPr>
              <w:autoSpaceDE w:val="0"/>
              <w:autoSpaceDN w:val="0"/>
              <w:adjustRightInd w:val="0"/>
              <w:spacing w:after="0" w:line="240" w:lineRule="auto"/>
              <w:contextualSpacing/>
              <w:rPr>
                <w:rFonts w:ascii="Times New Roman" w:hAnsi="Times New Roman"/>
                <w:sz w:val="20"/>
                <w:szCs w:val="20"/>
              </w:rPr>
            </w:pPr>
            <w:r w:rsidRPr="00FD7102">
              <w:rPr>
                <w:rFonts w:ascii="Times New Roman" w:hAnsi="Times New Roman"/>
                <w:sz w:val="20"/>
                <w:szCs w:val="20"/>
              </w:rPr>
              <w:t>S5</w:t>
            </w:r>
          </w:p>
        </w:tc>
        <w:tc>
          <w:tcPr>
            <w:tcW w:w="797" w:type="dxa"/>
            <w:shd w:val="clear" w:color="auto" w:fill="auto"/>
            <w:vAlign w:val="center"/>
          </w:tcPr>
          <w:p w:rsidR="00FB7962" w:rsidRPr="00FD7102" w:rsidRDefault="00FB7962" w:rsidP="00F245E3">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10.5</w:t>
            </w:r>
          </w:p>
        </w:tc>
        <w:tc>
          <w:tcPr>
            <w:tcW w:w="1190" w:type="dxa"/>
            <w:shd w:val="clear" w:color="auto" w:fill="auto"/>
            <w:vAlign w:val="center"/>
          </w:tcPr>
          <w:p w:rsidR="00FB7962" w:rsidRPr="00FD7102" w:rsidRDefault="00FB7962" w:rsidP="00F245E3">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0.086</w:t>
            </w:r>
          </w:p>
        </w:tc>
        <w:tc>
          <w:tcPr>
            <w:tcW w:w="776" w:type="dxa"/>
            <w:shd w:val="clear" w:color="auto" w:fill="auto"/>
            <w:vAlign w:val="center"/>
          </w:tcPr>
          <w:p w:rsidR="00FB7962" w:rsidRPr="00FD7102" w:rsidRDefault="00FB7962" w:rsidP="00F245E3">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2.66</w:t>
            </w:r>
          </w:p>
        </w:tc>
        <w:tc>
          <w:tcPr>
            <w:tcW w:w="1294" w:type="dxa"/>
            <w:shd w:val="clear" w:color="auto" w:fill="auto"/>
            <w:vAlign w:val="center"/>
          </w:tcPr>
          <w:p w:rsidR="00FB7962" w:rsidRPr="00FD7102" w:rsidRDefault="00FB7962" w:rsidP="00F245E3">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0.73</w:t>
            </w:r>
          </w:p>
        </w:tc>
        <w:tc>
          <w:tcPr>
            <w:tcW w:w="900" w:type="dxa"/>
            <w:shd w:val="clear" w:color="auto" w:fill="auto"/>
            <w:vAlign w:val="center"/>
          </w:tcPr>
          <w:p w:rsidR="00FB7962" w:rsidRPr="00FD7102" w:rsidRDefault="00FB7962" w:rsidP="00F245E3">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1.47</w:t>
            </w:r>
          </w:p>
        </w:tc>
        <w:tc>
          <w:tcPr>
            <w:tcW w:w="1440" w:type="dxa"/>
            <w:shd w:val="clear" w:color="auto" w:fill="auto"/>
            <w:vAlign w:val="center"/>
          </w:tcPr>
          <w:p w:rsidR="00FB7962" w:rsidRPr="00FD7102" w:rsidRDefault="00FB7962" w:rsidP="00F245E3">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0.39</w:t>
            </w:r>
          </w:p>
        </w:tc>
        <w:tc>
          <w:tcPr>
            <w:tcW w:w="893" w:type="dxa"/>
            <w:shd w:val="clear" w:color="auto" w:fill="auto"/>
            <w:vAlign w:val="center"/>
          </w:tcPr>
          <w:p w:rsidR="00FB7962" w:rsidRPr="00FD7102" w:rsidRDefault="00FB7962" w:rsidP="00F245E3">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0.97</w:t>
            </w:r>
          </w:p>
        </w:tc>
        <w:tc>
          <w:tcPr>
            <w:tcW w:w="900" w:type="dxa"/>
            <w:vAlign w:val="center"/>
          </w:tcPr>
          <w:p w:rsidR="00FB7962" w:rsidRPr="00FD7102" w:rsidRDefault="00FB7962" w:rsidP="00F245E3">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0.46</w:t>
            </w:r>
          </w:p>
        </w:tc>
      </w:tr>
      <w:tr w:rsidR="00FB7962" w:rsidRPr="00FD7102" w:rsidTr="00F245E3">
        <w:trPr>
          <w:trHeight w:val="346"/>
          <w:jc w:val="center"/>
        </w:trPr>
        <w:tc>
          <w:tcPr>
            <w:tcW w:w="1060" w:type="dxa"/>
            <w:shd w:val="clear" w:color="auto" w:fill="auto"/>
            <w:vAlign w:val="center"/>
          </w:tcPr>
          <w:p w:rsidR="00FB7962" w:rsidRPr="00FD7102" w:rsidRDefault="00FB7962" w:rsidP="00F245E3">
            <w:pPr>
              <w:autoSpaceDE w:val="0"/>
              <w:autoSpaceDN w:val="0"/>
              <w:adjustRightInd w:val="0"/>
              <w:spacing w:after="0" w:line="240" w:lineRule="auto"/>
              <w:contextualSpacing/>
              <w:rPr>
                <w:rFonts w:ascii="Times New Roman" w:hAnsi="Times New Roman"/>
                <w:sz w:val="20"/>
                <w:szCs w:val="20"/>
              </w:rPr>
            </w:pPr>
            <w:r w:rsidRPr="00FD7102">
              <w:rPr>
                <w:rFonts w:ascii="Times New Roman" w:hAnsi="Times New Roman"/>
                <w:sz w:val="20"/>
                <w:szCs w:val="20"/>
              </w:rPr>
              <w:t>S6</w:t>
            </w:r>
          </w:p>
        </w:tc>
        <w:tc>
          <w:tcPr>
            <w:tcW w:w="797" w:type="dxa"/>
            <w:shd w:val="clear" w:color="auto" w:fill="auto"/>
            <w:vAlign w:val="center"/>
          </w:tcPr>
          <w:p w:rsidR="00FB7962" w:rsidRPr="00FD7102" w:rsidRDefault="00FB7962" w:rsidP="00F245E3">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0.08</w:t>
            </w:r>
          </w:p>
        </w:tc>
        <w:tc>
          <w:tcPr>
            <w:tcW w:w="1190" w:type="dxa"/>
            <w:shd w:val="clear" w:color="auto" w:fill="auto"/>
            <w:vAlign w:val="center"/>
          </w:tcPr>
          <w:p w:rsidR="00FB7962" w:rsidRPr="00FD7102" w:rsidRDefault="00FB7962" w:rsidP="00F245E3">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0.93</w:t>
            </w:r>
          </w:p>
        </w:tc>
        <w:tc>
          <w:tcPr>
            <w:tcW w:w="776" w:type="dxa"/>
            <w:shd w:val="clear" w:color="auto" w:fill="auto"/>
            <w:vAlign w:val="center"/>
          </w:tcPr>
          <w:p w:rsidR="00FB7962" w:rsidRPr="00FD7102" w:rsidRDefault="00FB7962" w:rsidP="00F245E3">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2.22</w:t>
            </w:r>
          </w:p>
        </w:tc>
        <w:tc>
          <w:tcPr>
            <w:tcW w:w="1294" w:type="dxa"/>
            <w:shd w:val="clear" w:color="auto" w:fill="auto"/>
            <w:vAlign w:val="center"/>
          </w:tcPr>
          <w:p w:rsidR="00FB7962" w:rsidRPr="00FD7102" w:rsidRDefault="00FB7962" w:rsidP="00F245E3">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0.69</w:t>
            </w:r>
          </w:p>
        </w:tc>
        <w:tc>
          <w:tcPr>
            <w:tcW w:w="900" w:type="dxa"/>
            <w:shd w:val="clear" w:color="auto" w:fill="auto"/>
            <w:vAlign w:val="center"/>
          </w:tcPr>
          <w:p w:rsidR="00FB7962" w:rsidRPr="00FD7102" w:rsidRDefault="00FB7962" w:rsidP="00F245E3">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0.67</w:t>
            </w:r>
          </w:p>
        </w:tc>
        <w:tc>
          <w:tcPr>
            <w:tcW w:w="1440" w:type="dxa"/>
            <w:shd w:val="clear" w:color="auto" w:fill="auto"/>
            <w:vAlign w:val="center"/>
          </w:tcPr>
          <w:p w:rsidR="00FB7962" w:rsidRPr="00FD7102" w:rsidRDefault="00FB7962" w:rsidP="00F245E3">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0.29</w:t>
            </w:r>
          </w:p>
        </w:tc>
        <w:tc>
          <w:tcPr>
            <w:tcW w:w="893" w:type="dxa"/>
            <w:shd w:val="clear" w:color="auto" w:fill="auto"/>
            <w:vAlign w:val="center"/>
          </w:tcPr>
          <w:p w:rsidR="00FB7962" w:rsidRPr="00FD7102" w:rsidRDefault="00FB7962" w:rsidP="00F245E3">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0.69</w:t>
            </w:r>
          </w:p>
        </w:tc>
        <w:tc>
          <w:tcPr>
            <w:tcW w:w="900" w:type="dxa"/>
            <w:vAlign w:val="center"/>
          </w:tcPr>
          <w:p w:rsidR="00FB7962" w:rsidRPr="00FD7102" w:rsidRDefault="00FB7962" w:rsidP="00F245E3">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6.60</w:t>
            </w:r>
          </w:p>
        </w:tc>
      </w:tr>
      <w:tr w:rsidR="00FB7962" w:rsidRPr="00FD7102" w:rsidTr="00F245E3">
        <w:trPr>
          <w:trHeight w:val="346"/>
          <w:jc w:val="center"/>
        </w:trPr>
        <w:tc>
          <w:tcPr>
            <w:tcW w:w="1060" w:type="dxa"/>
            <w:shd w:val="clear" w:color="auto" w:fill="auto"/>
            <w:vAlign w:val="center"/>
          </w:tcPr>
          <w:p w:rsidR="00FB7962" w:rsidRPr="00FD7102" w:rsidRDefault="00FB7962" w:rsidP="00F245E3">
            <w:pPr>
              <w:autoSpaceDE w:val="0"/>
              <w:autoSpaceDN w:val="0"/>
              <w:adjustRightInd w:val="0"/>
              <w:spacing w:after="0" w:line="240" w:lineRule="auto"/>
              <w:contextualSpacing/>
              <w:rPr>
                <w:rFonts w:ascii="Times New Roman" w:hAnsi="Times New Roman"/>
                <w:sz w:val="20"/>
                <w:szCs w:val="20"/>
              </w:rPr>
            </w:pPr>
            <w:r w:rsidRPr="00FD7102">
              <w:rPr>
                <w:rFonts w:ascii="Times New Roman" w:hAnsi="Times New Roman"/>
                <w:sz w:val="20"/>
                <w:szCs w:val="20"/>
              </w:rPr>
              <w:t>S7</w:t>
            </w:r>
          </w:p>
        </w:tc>
        <w:tc>
          <w:tcPr>
            <w:tcW w:w="797" w:type="dxa"/>
            <w:shd w:val="clear" w:color="auto" w:fill="auto"/>
            <w:vAlign w:val="center"/>
          </w:tcPr>
          <w:p w:rsidR="00FB7962" w:rsidRPr="00FD7102" w:rsidRDefault="00FB7962" w:rsidP="00F245E3">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0.94</w:t>
            </w:r>
          </w:p>
        </w:tc>
        <w:tc>
          <w:tcPr>
            <w:tcW w:w="1190" w:type="dxa"/>
            <w:shd w:val="clear" w:color="auto" w:fill="auto"/>
            <w:vAlign w:val="center"/>
          </w:tcPr>
          <w:p w:rsidR="00FB7962" w:rsidRPr="00FD7102" w:rsidRDefault="00FB7962" w:rsidP="00F245E3">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0.52</w:t>
            </w:r>
          </w:p>
        </w:tc>
        <w:tc>
          <w:tcPr>
            <w:tcW w:w="776" w:type="dxa"/>
            <w:shd w:val="clear" w:color="auto" w:fill="auto"/>
            <w:vAlign w:val="center"/>
          </w:tcPr>
          <w:p w:rsidR="00FB7962" w:rsidRPr="00FD7102" w:rsidRDefault="00FB7962" w:rsidP="00F245E3">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1.49</w:t>
            </w:r>
          </w:p>
        </w:tc>
        <w:tc>
          <w:tcPr>
            <w:tcW w:w="1294" w:type="dxa"/>
            <w:shd w:val="clear" w:color="auto" w:fill="auto"/>
            <w:vAlign w:val="center"/>
          </w:tcPr>
          <w:p w:rsidR="00FB7962" w:rsidRPr="00FD7102" w:rsidRDefault="00FB7962" w:rsidP="00F245E3">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0.60</w:t>
            </w:r>
          </w:p>
        </w:tc>
        <w:tc>
          <w:tcPr>
            <w:tcW w:w="900" w:type="dxa"/>
            <w:shd w:val="clear" w:color="auto" w:fill="auto"/>
            <w:vAlign w:val="center"/>
          </w:tcPr>
          <w:p w:rsidR="00FB7962" w:rsidRPr="00FD7102" w:rsidRDefault="00FB7962" w:rsidP="00F245E3">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0.89</w:t>
            </w:r>
          </w:p>
        </w:tc>
        <w:tc>
          <w:tcPr>
            <w:tcW w:w="1440" w:type="dxa"/>
            <w:shd w:val="clear" w:color="auto" w:fill="auto"/>
            <w:vAlign w:val="center"/>
          </w:tcPr>
          <w:p w:rsidR="00FB7962" w:rsidRPr="00FD7102" w:rsidRDefault="00FB7962" w:rsidP="00F245E3">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0.61</w:t>
            </w:r>
          </w:p>
        </w:tc>
        <w:tc>
          <w:tcPr>
            <w:tcW w:w="893" w:type="dxa"/>
            <w:shd w:val="clear" w:color="auto" w:fill="auto"/>
            <w:vAlign w:val="center"/>
          </w:tcPr>
          <w:p w:rsidR="00FB7962" w:rsidRPr="00FD7102" w:rsidRDefault="00FB7962" w:rsidP="00F245E3">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0.98</w:t>
            </w:r>
          </w:p>
        </w:tc>
        <w:tc>
          <w:tcPr>
            <w:tcW w:w="900" w:type="dxa"/>
            <w:vAlign w:val="center"/>
          </w:tcPr>
          <w:p w:rsidR="00FB7962" w:rsidRPr="00FD7102" w:rsidRDefault="00FB7962" w:rsidP="00F245E3">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0.92</w:t>
            </w:r>
          </w:p>
        </w:tc>
      </w:tr>
      <w:tr w:rsidR="00FB7962" w:rsidRPr="00FD7102" w:rsidTr="00F245E3">
        <w:trPr>
          <w:trHeight w:val="346"/>
          <w:jc w:val="center"/>
        </w:trPr>
        <w:tc>
          <w:tcPr>
            <w:tcW w:w="1060" w:type="dxa"/>
            <w:shd w:val="clear" w:color="auto" w:fill="auto"/>
            <w:vAlign w:val="center"/>
          </w:tcPr>
          <w:p w:rsidR="00FB7962" w:rsidRPr="00FD7102" w:rsidRDefault="00FB7962" w:rsidP="00F245E3">
            <w:pPr>
              <w:autoSpaceDE w:val="0"/>
              <w:autoSpaceDN w:val="0"/>
              <w:adjustRightInd w:val="0"/>
              <w:spacing w:after="0" w:line="240" w:lineRule="auto"/>
              <w:contextualSpacing/>
              <w:rPr>
                <w:rFonts w:ascii="Times New Roman" w:hAnsi="Times New Roman"/>
                <w:sz w:val="20"/>
                <w:szCs w:val="20"/>
              </w:rPr>
            </w:pPr>
            <w:r w:rsidRPr="00FD7102">
              <w:rPr>
                <w:rFonts w:ascii="Times New Roman" w:hAnsi="Times New Roman"/>
                <w:sz w:val="20"/>
                <w:szCs w:val="20"/>
              </w:rPr>
              <w:t>S8</w:t>
            </w:r>
          </w:p>
        </w:tc>
        <w:tc>
          <w:tcPr>
            <w:tcW w:w="797" w:type="dxa"/>
            <w:shd w:val="clear" w:color="auto" w:fill="auto"/>
            <w:vAlign w:val="center"/>
          </w:tcPr>
          <w:p w:rsidR="00FB7962" w:rsidRPr="00FD7102" w:rsidRDefault="00FB7962" w:rsidP="00F245E3">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0.02</w:t>
            </w:r>
          </w:p>
        </w:tc>
        <w:tc>
          <w:tcPr>
            <w:tcW w:w="1190" w:type="dxa"/>
            <w:shd w:val="clear" w:color="auto" w:fill="auto"/>
            <w:vAlign w:val="center"/>
          </w:tcPr>
          <w:p w:rsidR="00FB7962" w:rsidRPr="00FD7102" w:rsidRDefault="00FB7962" w:rsidP="00F245E3">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0.98</w:t>
            </w:r>
          </w:p>
        </w:tc>
        <w:tc>
          <w:tcPr>
            <w:tcW w:w="776" w:type="dxa"/>
            <w:shd w:val="clear" w:color="auto" w:fill="auto"/>
            <w:vAlign w:val="center"/>
          </w:tcPr>
          <w:p w:rsidR="00FB7962" w:rsidRPr="00FD7102" w:rsidRDefault="00FB7962" w:rsidP="00F245E3">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0.26</w:t>
            </w:r>
          </w:p>
        </w:tc>
        <w:tc>
          <w:tcPr>
            <w:tcW w:w="1294" w:type="dxa"/>
            <w:shd w:val="clear" w:color="auto" w:fill="auto"/>
            <w:vAlign w:val="center"/>
          </w:tcPr>
          <w:p w:rsidR="00FB7962" w:rsidRPr="00FD7102" w:rsidRDefault="00FB7962" w:rsidP="00F245E3">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0.20</w:t>
            </w:r>
          </w:p>
        </w:tc>
        <w:tc>
          <w:tcPr>
            <w:tcW w:w="900" w:type="dxa"/>
            <w:shd w:val="clear" w:color="auto" w:fill="auto"/>
            <w:vAlign w:val="center"/>
          </w:tcPr>
          <w:p w:rsidR="00FB7962" w:rsidRPr="00FD7102" w:rsidRDefault="00FB7962" w:rsidP="00F245E3">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0.68</w:t>
            </w:r>
          </w:p>
        </w:tc>
        <w:tc>
          <w:tcPr>
            <w:tcW w:w="1440" w:type="dxa"/>
            <w:shd w:val="clear" w:color="auto" w:fill="auto"/>
            <w:vAlign w:val="center"/>
          </w:tcPr>
          <w:p w:rsidR="00FB7962" w:rsidRPr="00FD7102" w:rsidRDefault="00FB7962" w:rsidP="00F245E3">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0.83</w:t>
            </w:r>
          </w:p>
        </w:tc>
        <w:tc>
          <w:tcPr>
            <w:tcW w:w="893" w:type="dxa"/>
            <w:shd w:val="clear" w:color="auto" w:fill="auto"/>
            <w:vAlign w:val="center"/>
          </w:tcPr>
          <w:p w:rsidR="00FB7962" w:rsidRPr="00FD7102" w:rsidRDefault="00FB7962" w:rsidP="00F245E3">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0.44</w:t>
            </w:r>
          </w:p>
        </w:tc>
        <w:tc>
          <w:tcPr>
            <w:tcW w:w="900" w:type="dxa"/>
            <w:vAlign w:val="center"/>
          </w:tcPr>
          <w:p w:rsidR="00FB7962" w:rsidRPr="00FD7102" w:rsidRDefault="00FB7962" w:rsidP="00F245E3">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0.15</w:t>
            </w:r>
          </w:p>
        </w:tc>
      </w:tr>
      <w:tr w:rsidR="00FB7962" w:rsidRPr="00FD7102" w:rsidTr="00F245E3">
        <w:trPr>
          <w:trHeight w:val="346"/>
          <w:jc w:val="center"/>
        </w:trPr>
        <w:tc>
          <w:tcPr>
            <w:tcW w:w="1060" w:type="dxa"/>
            <w:shd w:val="clear" w:color="auto" w:fill="auto"/>
            <w:vAlign w:val="center"/>
          </w:tcPr>
          <w:p w:rsidR="00FB7962" w:rsidRPr="00FD7102" w:rsidRDefault="00FB7962" w:rsidP="00F245E3">
            <w:pPr>
              <w:autoSpaceDE w:val="0"/>
              <w:autoSpaceDN w:val="0"/>
              <w:adjustRightInd w:val="0"/>
              <w:spacing w:after="0" w:line="240" w:lineRule="auto"/>
              <w:contextualSpacing/>
              <w:rPr>
                <w:rFonts w:ascii="Times New Roman" w:hAnsi="Times New Roman"/>
                <w:sz w:val="20"/>
                <w:szCs w:val="20"/>
              </w:rPr>
            </w:pPr>
            <w:r w:rsidRPr="00FD7102">
              <w:rPr>
                <w:rFonts w:ascii="Times New Roman" w:hAnsi="Times New Roman"/>
                <w:sz w:val="20"/>
                <w:szCs w:val="20"/>
              </w:rPr>
              <w:t>S9</w:t>
            </w:r>
          </w:p>
        </w:tc>
        <w:tc>
          <w:tcPr>
            <w:tcW w:w="797" w:type="dxa"/>
            <w:shd w:val="clear" w:color="auto" w:fill="auto"/>
            <w:vAlign w:val="center"/>
          </w:tcPr>
          <w:p w:rsidR="00FB7962" w:rsidRPr="00FD7102" w:rsidRDefault="00FB7962" w:rsidP="00F245E3">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1.74</w:t>
            </w:r>
          </w:p>
        </w:tc>
        <w:tc>
          <w:tcPr>
            <w:tcW w:w="1190" w:type="dxa"/>
            <w:shd w:val="clear" w:color="auto" w:fill="auto"/>
            <w:vAlign w:val="center"/>
          </w:tcPr>
          <w:p w:rsidR="00FB7962" w:rsidRPr="00FD7102" w:rsidRDefault="00FB7962" w:rsidP="00F245E3">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0.36</w:t>
            </w:r>
          </w:p>
        </w:tc>
        <w:tc>
          <w:tcPr>
            <w:tcW w:w="776" w:type="dxa"/>
            <w:shd w:val="clear" w:color="auto" w:fill="auto"/>
            <w:vAlign w:val="center"/>
          </w:tcPr>
          <w:p w:rsidR="00FB7962" w:rsidRPr="00FD7102" w:rsidRDefault="00FB7962" w:rsidP="00F245E3">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2.71</w:t>
            </w:r>
          </w:p>
        </w:tc>
        <w:tc>
          <w:tcPr>
            <w:tcW w:w="1294" w:type="dxa"/>
            <w:shd w:val="clear" w:color="auto" w:fill="auto"/>
            <w:vAlign w:val="center"/>
          </w:tcPr>
          <w:p w:rsidR="00FB7962" w:rsidRPr="00FD7102" w:rsidRDefault="00FB7962" w:rsidP="00F245E3">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0.73</w:t>
            </w:r>
          </w:p>
        </w:tc>
        <w:tc>
          <w:tcPr>
            <w:tcW w:w="900" w:type="dxa"/>
            <w:shd w:val="clear" w:color="auto" w:fill="auto"/>
            <w:vAlign w:val="center"/>
          </w:tcPr>
          <w:p w:rsidR="00FB7962" w:rsidRPr="00FD7102" w:rsidRDefault="00FB7962" w:rsidP="00F245E3">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0.08</w:t>
            </w:r>
          </w:p>
        </w:tc>
        <w:tc>
          <w:tcPr>
            <w:tcW w:w="1440" w:type="dxa"/>
            <w:shd w:val="clear" w:color="auto" w:fill="auto"/>
            <w:vAlign w:val="center"/>
          </w:tcPr>
          <w:p w:rsidR="00FB7962" w:rsidRPr="00FD7102" w:rsidRDefault="00FB7962" w:rsidP="00F245E3">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0.43</w:t>
            </w:r>
          </w:p>
        </w:tc>
        <w:tc>
          <w:tcPr>
            <w:tcW w:w="893" w:type="dxa"/>
            <w:shd w:val="clear" w:color="auto" w:fill="auto"/>
            <w:vAlign w:val="center"/>
          </w:tcPr>
          <w:p w:rsidR="00FB7962" w:rsidRPr="00FD7102" w:rsidRDefault="00FB7962" w:rsidP="00F245E3">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0.90</w:t>
            </w:r>
          </w:p>
        </w:tc>
        <w:tc>
          <w:tcPr>
            <w:tcW w:w="900" w:type="dxa"/>
            <w:vAlign w:val="center"/>
          </w:tcPr>
          <w:p w:rsidR="00FB7962" w:rsidRPr="00FD7102" w:rsidRDefault="00FB7962" w:rsidP="00F245E3">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0.96</w:t>
            </w:r>
          </w:p>
        </w:tc>
      </w:tr>
      <w:tr w:rsidR="00FB7962" w:rsidRPr="00FD7102" w:rsidTr="00F245E3">
        <w:trPr>
          <w:trHeight w:val="346"/>
          <w:jc w:val="center"/>
        </w:trPr>
        <w:tc>
          <w:tcPr>
            <w:tcW w:w="1060" w:type="dxa"/>
            <w:shd w:val="clear" w:color="auto" w:fill="auto"/>
            <w:vAlign w:val="center"/>
          </w:tcPr>
          <w:p w:rsidR="00FB7962" w:rsidRPr="00FD7102" w:rsidRDefault="00FB7962" w:rsidP="00FB7962">
            <w:pPr>
              <w:autoSpaceDE w:val="0"/>
              <w:autoSpaceDN w:val="0"/>
              <w:adjustRightInd w:val="0"/>
              <w:spacing w:after="120" w:line="240" w:lineRule="auto"/>
              <w:rPr>
                <w:rFonts w:ascii="Times New Roman" w:hAnsi="Times New Roman"/>
                <w:sz w:val="20"/>
                <w:szCs w:val="20"/>
              </w:rPr>
            </w:pPr>
            <w:r w:rsidRPr="00FD7102">
              <w:rPr>
                <w:rFonts w:ascii="Times New Roman" w:hAnsi="Times New Roman"/>
                <w:sz w:val="20"/>
                <w:szCs w:val="20"/>
              </w:rPr>
              <w:t>S10</w:t>
            </w:r>
          </w:p>
        </w:tc>
        <w:tc>
          <w:tcPr>
            <w:tcW w:w="797" w:type="dxa"/>
            <w:shd w:val="clear" w:color="auto" w:fill="auto"/>
            <w:vAlign w:val="center"/>
          </w:tcPr>
          <w:p w:rsidR="00FB7962" w:rsidRPr="00FD7102" w:rsidRDefault="00FB7962" w:rsidP="00FB7962">
            <w:pPr>
              <w:autoSpaceDE w:val="0"/>
              <w:autoSpaceDN w:val="0"/>
              <w:adjustRightInd w:val="0"/>
              <w:spacing w:after="120" w:line="240" w:lineRule="auto"/>
              <w:jc w:val="center"/>
              <w:rPr>
                <w:rFonts w:ascii="Times New Roman" w:hAnsi="Times New Roman"/>
                <w:sz w:val="20"/>
                <w:szCs w:val="20"/>
              </w:rPr>
            </w:pPr>
            <w:r w:rsidRPr="00FD7102">
              <w:rPr>
                <w:rFonts w:ascii="Times New Roman" w:hAnsi="Times New Roman"/>
                <w:sz w:val="20"/>
                <w:szCs w:val="20"/>
              </w:rPr>
              <w:t>0.002</w:t>
            </w:r>
          </w:p>
        </w:tc>
        <w:tc>
          <w:tcPr>
            <w:tcW w:w="1190" w:type="dxa"/>
            <w:shd w:val="clear" w:color="auto" w:fill="auto"/>
            <w:vAlign w:val="center"/>
          </w:tcPr>
          <w:p w:rsidR="00FB7962" w:rsidRPr="00FD7102" w:rsidRDefault="00FB7962" w:rsidP="00FB7962">
            <w:pPr>
              <w:autoSpaceDE w:val="0"/>
              <w:autoSpaceDN w:val="0"/>
              <w:adjustRightInd w:val="0"/>
              <w:spacing w:after="120" w:line="240" w:lineRule="auto"/>
              <w:jc w:val="center"/>
              <w:rPr>
                <w:rFonts w:ascii="Times New Roman" w:hAnsi="Times New Roman"/>
                <w:sz w:val="20"/>
                <w:szCs w:val="20"/>
              </w:rPr>
            </w:pPr>
            <w:r w:rsidRPr="00FD7102">
              <w:rPr>
                <w:rFonts w:ascii="Times New Roman" w:hAnsi="Times New Roman"/>
                <w:sz w:val="20"/>
                <w:szCs w:val="20"/>
              </w:rPr>
              <w:t>0.10</w:t>
            </w:r>
          </w:p>
        </w:tc>
        <w:tc>
          <w:tcPr>
            <w:tcW w:w="776" w:type="dxa"/>
            <w:shd w:val="clear" w:color="auto" w:fill="auto"/>
            <w:vAlign w:val="center"/>
          </w:tcPr>
          <w:p w:rsidR="00FB7962" w:rsidRPr="00FD7102" w:rsidRDefault="00FB7962" w:rsidP="00FB7962">
            <w:pPr>
              <w:autoSpaceDE w:val="0"/>
              <w:autoSpaceDN w:val="0"/>
              <w:adjustRightInd w:val="0"/>
              <w:spacing w:after="120" w:line="240" w:lineRule="auto"/>
              <w:jc w:val="center"/>
              <w:rPr>
                <w:rFonts w:ascii="Times New Roman" w:hAnsi="Times New Roman"/>
                <w:sz w:val="20"/>
                <w:szCs w:val="20"/>
              </w:rPr>
            </w:pPr>
            <w:r w:rsidRPr="00FD7102">
              <w:rPr>
                <w:rFonts w:ascii="Times New Roman" w:hAnsi="Times New Roman"/>
                <w:sz w:val="20"/>
                <w:szCs w:val="20"/>
              </w:rPr>
              <w:t>0.25</w:t>
            </w:r>
          </w:p>
        </w:tc>
        <w:tc>
          <w:tcPr>
            <w:tcW w:w="1294" w:type="dxa"/>
            <w:shd w:val="clear" w:color="auto" w:fill="auto"/>
            <w:vAlign w:val="center"/>
          </w:tcPr>
          <w:p w:rsidR="00FB7962" w:rsidRPr="00FD7102" w:rsidRDefault="00FB7962" w:rsidP="00FB7962">
            <w:pPr>
              <w:autoSpaceDE w:val="0"/>
              <w:autoSpaceDN w:val="0"/>
              <w:adjustRightInd w:val="0"/>
              <w:spacing w:after="120" w:line="240" w:lineRule="auto"/>
              <w:jc w:val="center"/>
              <w:rPr>
                <w:rFonts w:ascii="Times New Roman" w:hAnsi="Times New Roman"/>
                <w:sz w:val="20"/>
                <w:szCs w:val="20"/>
              </w:rPr>
            </w:pPr>
            <w:r w:rsidRPr="00FD7102">
              <w:rPr>
                <w:rFonts w:ascii="Times New Roman" w:hAnsi="Times New Roman"/>
                <w:sz w:val="20"/>
                <w:szCs w:val="20"/>
              </w:rPr>
              <w:t>0.20</w:t>
            </w:r>
          </w:p>
        </w:tc>
        <w:tc>
          <w:tcPr>
            <w:tcW w:w="900" w:type="dxa"/>
            <w:shd w:val="clear" w:color="auto" w:fill="auto"/>
            <w:vAlign w:val="center"/>
          </w:tcPr>
          <w:p w:rsidR="00FB7962" w:rsidRPr="00FD7102" w:rsidRDefault="00FB7962" w:rsidP="00FB7962">
            <w:pPr>
              <w:autoSpaceDE w:val="0"/>
              <w:autoSpaceDN w:val="0"/>
              <w:adjustRightInd w:val="0"/>
              <w:spacing w:after="120" w:line="240" w:lineRule="auto"/>
              <w:jc w:val="center"/>
              <w:rPr>
                <w:rFonts w:ascii="Times New Roman" w:hAnsi="Times New Roman"/>
                <w:sz w:val="20"/>
                <w:szCs w:val="20"/>
              </w:rPr>
            </w:pPr>
            <w:r w:rsidRPr="00FD7102">
              <w:rPr>
                <w:rFonts w:ascii="Times New Roman" w:hAnsi="Times New Roman"/>
                <w:sz w:val="20"/>
                <w:szCs w:val="20"/>
              </w:rPr>
              <w:t>4.43</w:t>
            </w:r>
          </w:p>
        </w:tc>
        <w:tc>
          <w:tcPr>
            <w:tcW w:w="1440" w:type="dxa"/>
            <w:shd w:val="clear" w:color="auto" w:fill="auto"/>
            <w:vAlign w:val="center"/>
          </w:tcPr>
          <w:p w:rsidR="00FB7962" w:rsidRPr="00FD7102" w:rsidRDefault="00FB7962" w:rsidP="00FB7962">
            <w:pPr>
              <w:autoSpaceDE w:val="0"/>
              <w:autoSpaceDN w:val="0"/>
              <w:adjustRightInd w:val="0"/>
              <w:spacing w:after="120" w:line="240" w:lineRule="auto"/>
              <w:jc w:val="center"/>
              <w:rPr>
                <w:rFonts w:ascii="Times New Roman" w:hAnsi="Times New Roman"/>
                <w:sz w:val="20"/>
                <w:szCs w:val="20"/>
              </w:rPr>
            </w:pPr>
            <w:r w:rsidRPr="00FD7102">
              <w:rPr>
                <w:rFonts w:ascii="Times New Roman" w:hAnsi="Times New Roman"/>
                <w:sz w:val="20"/>
                <w:szCs w:val="20"/>
              </w:rPr>
              <w:t>0.72</w:t>
            </w:r>
          </w:p>
        </w:tc>
        <w:tc>
          <w:tcPr>
            <w:tcW w:w="893" w:type="dxa"/>
            <w:shd w:val="clear" w:color="auto" w:fill="auto"/>
            <w:vAlign w:val="center"/>
          </w:tcPr>
          <w:p w:rsidR="00FB7962" w:rsidRPr="00FD7102" w:rsidRDefault="00FB7962" w:rsidP="00FB7962">
            <w:pPr>
              <w:autoSpaceDE w:val="0"/>
              <w:autoSpaceDN w:val="0"/>
              <w:adjustRightInd w:val="0"/>
              <w:spacing w:after="120" w:line="240" w:lineRule="auto"/>
              <w:jc w:val="center"/>
              <w:rPr>
                <w:rFonts w:ascii="Times New Roman" w:hAnsi="Times New Roman"/>
                <w:sz w:val="20"/>
                <w:szCs w:val="20"/>
              </w:rPr>
            </w:pPr>
            <w:r w:rsidRPr="00FD7102">
              <w:rPr>
                <w:rFonts w:ascii="Times New Roman" w:hAnsi="Times New Roman"/>
                <w:sz w:val="20"/>
                <w:szCs w:val="20"/>
              </w:rPr>
              <w:t>0.49</w:t>
            </w:r>
          </w:p>
        </w:tc>
        <w:tc>
          <w:tcPr>
            <w:tcW w:w="900" w:type="dxa"/>
            <w:vAlign w:val="center"/>
          </w:tcPr>
          <w:p w:rsidR="00FB7962" w:rsidRPr="00FD7102" w:rsidRDefault="00FB7962" w:rsidP="00FB7962">
            <w:pPr>
              <w:autoSpaceDE w:val="0"/>
              <w:autoSpaceDN w:val="0"/>
              <w:adjustRightInd w:val="0"/>
              <w:spacing w:after="120" w:line="240" w:lineRule="auto"/>
              <w:jc w:val="center"/>
              <w:rPr>
                <w:rFonts w:ascii="Times New Roman" w:hAnsi="Times New Roman"/>
                <w:sz w:val="20"/>
                <w:szCs w:val="20"/>
              </w:rPr>
            </w:pPr>
            <w:r w:rsidRPr="00FD7102">
              <w:rPr>
                <w:rFonts w:ascii="Times New Roman" w:hAnsi="Times New Roman"/>
                <w:sz w:val="20"/>
                <w:szCs w:val="20"/>
              </w:rPr>
              <w:t>0.72</w:t>
            </w:r>
          </w:p>
        </w:tc>
      </w:tr>
    </w:tbl>
    <w:p w:rsidR="00FB7962" w:rsidRDefault="00FB7962" w:rsidP="00FB7962">
      <w:pPr>
        <w:autoSpaceDE w:val="0"/>
        <w:autoSpaceDN w:val="0"/>
        <w:adjustRightInd w:val="0"/>
        <w:spacing w:before="60" w:after="0" w:line="240" w:lineRule="auto"/>
        <w:ind w:left="86"/>
        <w:jc w:val="both"/>
        <w:rPr>
          <w:rFonts w:ascii="Times New Roman" w:hAnsi="Times New Roman"/>
          <w:sz w:val="24"/>
          <w:szCs w:val="24"/>
        </w:rPr>
      </w:pPr>
      <w:r w:rsidRPr="00064CA8">
        <w:rPr>
          <w:rFonts w:ascii="Times New Roman" w:hAnsi="Times New Roman"/>
          <w:sz w:val="18"/>
          <w:szCs w:val="20"/>
        </w:rPr>
        <w:t>Fluroanthrene (Flan), Pyrene (Pyr); Anthracene (An); Phenanthrene (Phen); Low molecular weight (LMW); High molecular weight (HMW); Benzo[a]pyrene, B(a)P; Benzo[a]anthracene, (B(a)A); Benzo[ghi]pyrene, B(gh</w:t>
      </w:r>
      <w:r>
        <w:rPr>
          <w:rFonts w:ascii="Times New Roman" w:hAnsi="Times New Roman"/>
          <w:sz w:val="18"/>
          <w:szCs w:val="20"/>
        </w:rPr>
        <w:t xml:space="preserve">i)P; Indeno[123Cd]pyrene, (IP) </w:t>
      </w:r>
    </w:p>
    <w:p w:rsidR="00544B8B" w:rsidRDefault="00544B8B" w:rsidP="0036797F">
      <w:pPr>
        <w:spacing w:after="0" w:line="240" w:lineRule="auto"/>
        <w:jc w:val="both"/>
        <w:rPr>
          <w:rFonts w:ascii="Times New Roman" w:hAnsi="Times New Roman"/>
          <w:noProof/>
          <w:sz w:val="20"/>
          <w:szCs w:val="20"/>
          <w:lang w:bidi="ar-SA"/>
        </w:rPr>
      </w:pPr>
    </w:p>
    <w:p w:rsidR="0036797F" w:rsidRPr="00F447A7" w:rsidRDefault="0036797F"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FB7962" w:rsidRPr="00FD7102" w:rsidRDefault="00FB7962" w:rsidP="00FB7962">
      <w:pPr>
        <w:autoSpaceDE w:val="0"/>
        <w:autoSpaceDN w:val="0"/>
        <w:adjustRightInd w:val="0"/>
        <w:spacing w:after="0" w:line="240" w:lineRule="auto"/>
        <w:jc w:val="both"/>
        <w:rPr>
          <w:rFonts w:ascii="Times New Roman" w:hAnsi="Times New Roman"/>
          <w:b/>
          <w:sz w:val="20"/>
          <w:szCs w:val="20"/>
        </w:rPr>
      </w:pPr>
      <w:r w:rsidRPr="00FD7102">
        <w:rPr>
          <w:rFonts w:ascii="Times New Roman" w:hAnsi="Times New Roman"/>
          <w:sz w:val="20"/>
          <w:szCs w:val="20"/>
        </w:rPr>
        <w:t>The study has assessed the level, source and impact of waste dumpsite on the soil quality and human health within the within the vicinity of the Balogun-Biiro Dumpsite in Osogbo, Nigeria. It is evident that there is contamination of the soil within the vicinity of the dumpsite by PAHs. The PAHs resulted mostly from pyrogenic sources which includes indiscriminate burning of refuse and biomass. The mechanic workshops within the area have also contributed to the contamination of the soil by petrogenic PAHs. The dumpsite constitutes a health risk for the people living within the vicinity of the dumpsite due to the accumulation of carcinogenic PAHs in the dumpsite soil which could leach to groundwater and runoff into nearby surface water bodies around the area. Therefore, it is recommended that an improved waste management system should be established and the area should be remediated.</w:t>
      </w:r>
    </w:p>
    <w:p w:rsidR="006768E9" w:rsidRPr="00F447A7" w:rsidRDefault="006768E9" w:rsidP="00FB7962">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FB7962" w:rsidRPr="00FB7962" w:rsidRDefault="00FB7962" w:rsidP="00FB7962">
      <w:pPr>
        <w:pStyle w:val="ListParagraph"/>
        <w:numPr>
          <w:ilvl w:val="0"/>
          <w:numId w:val="2"/>
        </w:numPr>
        <w:autoSpaceDE w:val="0"/>
        <w:autoSpaceDN w:val="0"/>
        <w:adjustRightInd w:val="0"/>
        <w:spacing w:after="0" w:line="240" w:lineRule="auto"/>
        <w:ind w:left="360"/>
        <w:contextualSpacing w:val="0"/>
        <w:jc w:val="both"/>
        <w:rPr>
          <w:rStyle w:val="A9"/>
          <w:rFonts w:ascii="Times New Roman" w:hAnsi="Times New Roman" w:cs="Times New Roman"/>
          <w:color w:val="auto"/>
          <w:sz w:val="20"/>
          <w:szCs w:val="20"/>
        </w:rPr>
      </w:pPr>
      <w:r w:rsidRPr="00FB7962">
        <w:rPr>
          <w:rStyle w:val="A9"/>
          <w:rFonts w:ascii="Times New Roman" w:hAnsi="Times New Roman" w:cs="Times New Roman"/>
          <w:color w:val="auto"/>
          <w:sz w:val="20"/>
          <w:szCs w:val="20"/>
        </w:rPr>
        <w:t xml:space="preserve">Pruss-Ustun, A., Bonjour, S.  and Corvalan, C. (2008). The impact of the environment on health by country: A meta-synthesis. </w:t>
      </w:r>
      <w:r w:rsidRPr="00FB7962">
        <w:rPr>
          <w:rStyle w:val="A9"/>
          <w:rFonts w:ascii="Times New Roman" w:hAnsi="Times New Roman" w:cs="Times New Roman"/>
          <w:i/>
          <w:iCs/>
          <w:color w:val="auto"/>
          <w:sz w:val="20"/>
          <w:szCs w:val="20"/>
        </w:rPr>
        <w:t>Envi</w:t>
      </w:r>
      <w:r w:rsidRPr="00FB7962">
        <w:rPr>
          <w:rStyle w:val="A9"/>
          <w:rFonts w:ascii="Times New Roman" w:hAnsi="Times New Roman" w:cs="Times New Roman"/>
          <w:i/>
          <w:iCs/>
          <w:color w:val="auto"/>
          <w:sz w:val="20"/>
          <w:szCs w:val="20"/>
        </w:rPr>
        <w:softHyphen/>
        <w:t>ronmental Health,</w:t>
      </w:r>
      <w:r>
        <w:rPr>
          <w:rStyle w:val="A9"/>
          <w:rFonts w:ascii="Times New Roman" w:hAnsi="Times New Roman" w:cs="Times New Roman"/>
          <w:i/>
          <w:iCs/>
          <w:color w:val="auto"/>
          <w:sz w:val="20"/>
          <w:szCs w:val="20"/>
        </w:rPr>
        <w:t xml:space="preserve"> </w:t>
      </w:r>
      <w:r w:rsidRPr="00FB7962">
        <w:rPr>
          <w:rStyle w:val="A9"/>
          <w:rFonts w:ascii="Times New Roman" w:hAnsi="Times New Roman" w:cs="Times New Roman"/>
          <w:color w:val="auto"/>
          <w:sz w:val="20"/>
          <w:szCs w:val="20"/>
        </w:rPr>
        <w:t>25: 7-7</w:t>
      </w:r>
    </w:p>
    <w:p w:rsidR="00FB7962" w:rsidRPr="00FB7962" w:rsidRDefault="00FB7962" w:rsidP="00FB7962">
      <w:pPr>
        <w:pStyle w:val="ListParagraph"/>
        <w:numPr>
          <w:ilvl w:val="0"/>
          <w:numId w:val="2"/>
        </w:numPr>
        <w:autoSpaceDE w:val="0"/>
        <w:autoSpaceDN w:val="0"/>
        <w:adjustRightInd w:val="0"/>
        <w:spacing w:after="0" w:line="240" w:lineRule="auto"/>
        <w:ind w:left="360"/>
        <w:contextualSpacing w:val="0"/>
        <w:jc w:val="both"/>
        <w:rPr>
          <w:rStyle w:val="A9"/>
          <w:rFonts w:ascii="Times New Roman" w:hAnsi="Times New Roman" w:cs="Times New Roman"/>
          <w:color w:val="auto"/>
          <w:sz w:val="20"/>
          <w:szCs w:val="20"/>
        </w:rPr>
      </w:pPr>
      <w:r w:rsidRPr="00FB7962">
        <w:rPr>
          <w:rStyle w:val="A9"/>
          <w:rFonts w:ascii="Times New Roman" w:hAnsi="Times New Roman" w:cs="Times New Roman"/>
          <w:color w:val="auto"/>
          <w:sz w:val="20"/>
          <w:szCs w:val="20"/>
        </w:rPr>
        <w:t xml:space="preserve">The World Health Organization, WHO (2013).  Access online: </w:t>
      </w:r>
      <w:r w:rsidRPr="00FB7962">
        <w:rPr>
          <w:rFonts w:ascii="Times New Roman" w:hAnsi="Times New Roman"/>
          <w:sz w:val="20"/>
          <w:szCs w:val="20"/>
        </w:rPr>
        <w:t>http://www.who.int/gho/phe/en/</w:t>
      </w:r>
      <w:r w:rsidRPr="00FB7962">
        <w:rPr>
          <w:rStyle w:val="A9"/>
          <w:rFonts w:ascii="Times New Roman" w:hAnsi="Times New Roman" w:cs="Times New Roman"/>
          <w:color w:val="auto"/>
          <w:sz w:val="20"/>
          <w:szCs w:val="20"/>
        </w:rPr>
        <w:t xml:space="preserve">. Retrieved 6/01/2015. </w:t>
      </w:r>
    </w:p>
    <w:p w:rsidR="00FB7962" w:rsidRPr="00FB7962" w:rsidRDefault="00FB7962" w:rsidP="00FB7962">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FB7962">
        <w:rPr>
          <w:rFonts w:ascii="Times New Roman" w:hAnsi="Times New Roman"/>
          <w:sz w:val="20"/>
          <w:szCs w:val="20"/>
        </w:rPr>
        <w:t>Essumang, D.K. (2013). Environmental Xenobiotics. PhD Thesis Aalborg University, Denmark</w:t>
      </w:r>
    </w:p>
    <w:p w:rsidR="00FB7962" w:rsidRPr="00FB7962" w:rsidRDefault="00FB7962" w:rsidP="00FB7962">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FB7962">
        <w:rPr>
          <w:rFonts w:ascii="Times New Roman" w:hAnsi="Times New Roman"/>
          <w:sz w:val="20"/>
          <w:szCs w:val="20"/>
        </w:rPr>
        <w:t xml:space="preserve">Ngigwe, N. (2008). </w:t>
      </w:r>
      <w:r w:rsidRPr="00FB7962">
        <w:rPr>
          <w:rFonts w:ascii="Times New Roman" w:hAnsi="Times New Roman"/>
          <w:iCs/>
          <w:sz w:val="20"/>
          <w:szCs w:val="20"/>
        </w:rPr>
        <w:t xml:space="preserve">Problems and prospects of refuse disposal in Nigerian urban centers. </w:t>
      </w:r>
      <w:r w:rsidRPr="00FB7962">
        <w:rPr>
          <w:rFonts w:ascii="Times New Roman" w:hAnsi="Times New Roman"/>
          <w:i/>
          <w:sz w:val="20"/>
          <w:szCs w:val="20"/>
        </w:rPr>
        <w:t>International Journal of Natural and Applies Sciences,</w:t>
      </w:r>
      <w:r w:rsidRPr="00FB7962">
        <w:rPr>
          <w:rFonts w:ascii="Times New Roman" w:hAnsi="Times New Roman"/>
          <w:sz w:val="20"/>
          <w:szCs w:val="20"/>
        </w:rPr>
        <w:t xml:space="preserve"> 4(3): 1-10 </w:t>
      </w:r>
    </w:p>
    <w:p w:rsidR="00FB7962" w:rsidRPr="00FB7962" w:rsidRDefault="00FB7962" w:rsidP="00FB7962">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FB7962">
        <w:rPr>
          <w:rFonts w:ascii="Times New Roman" w:hAnsi="Times New Roman"/>
          <w:sz w:val="20"/>
          <w:szCs w:val="20"/>
        </w:rPr>
        <w:t xml:space="preserve">Ojoawo, S.O., Oginni, F.A.,Jolayemi, S. and Adenrele, O.J. (2014). Domestic Wastes Generation Pattern and Composition in Osogbo and Environs Osun State, Nigeria. </w:t>
      </w:r>
      <w:r w:rsidRPr="00FB7962">
        <w:rPr>
          <w:rFonts w:ascii="Times New Roman" w:hAnsi="Times New Roman"/>
          <w:i/>
          <w:sz w:val="20"/>
          <w:szCs w:val="20"/>
        </w:rPr>
        <w:t xml:space="preserve">International Journal of Civil Engineering </w:t>
      </w:r>
      <w:r w:rsidRPr="00FB7962">
        <w:rPr>
          <w:rFonts w:ascii="Times New Roman" w:hAnsi="Times New Roman"/>
          <w:sz w:val="20"/>
          <w:szCs w:val="20"/>
        </w:rPr>
        <w:t>3(4): 47-56.</w:t>
      </w:r>
    </w:p>
    <w:p w:rsidR="00FB7962" w:rsidRPr="00FB7962" w:rsidRDefault="00FB7962" w:rsidP="00FB7962">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FB7962">
        <w:rPr>
          <w:rFonts w:ascii="Times New Roman" w:hAnsi="Times New Roman"/>
          <w:sz w:val="20"/>
          <w:szCs w:val="20"/>
        </w:rPr>
        <w:t>Aigbokhavbo V.O. (2000). Waste Management in Nigeria: A comparative Analysis. In Atsegbua L.A (ed) Selected Essay in Petroleum and Environmental Laws, Benin City, New Era: 12-13.</w:t>
      </w:r>
    </w:p>
    <w:p w:rsidR="00FB7962" w:rsidRPr="00FB7962" w:rsidRDefault="00FB7962" w:rsidP="00FB7962">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FB7962">
        <w:rPr>
          <w:rFonts w:ascii="Times New Roman" w:hAnsi="Times New Roman"/>
          <w:sz w:val="20"/>
          <w:szCs w:val="20"/>
        </w:rPr>
        <w:t xml:space="preserve">Amadi, A.N., Olasheinde, P.I., Okosun, E.A., Okoye, N.O., Okunola, I.A. and Alkali, Y.B. (2012). A comparative study of the impact of Avu and Ihie dumpsites on soil quality of Southeastern, Nigeria. </w:t>
      </w:r>
      <w:r w:rsidRPr="00FB7962">
        <w:rPr>
          <w:rFonts w:ascii="Times New Roman" w:hAnsi="Times New Roman"/>
          <w:i/>
          <w:sz w:val="20"/>
          <w:szCs w:val="20"/>
        </w:rPr>
        <w:t>American Journal of Chemistry</w:t>
      </w:r>
      <w:r w:rsidRPr="00FB7962">
        <w:rPr>
          <w:rFonts w:ascii="Times New Roman" w:hAnsi="Times New Roman"/>
          <w:sz w:val="20"/>
          <w:szCs w:val="20"/>
        </w:rPr>
        <w:t xml:space="preserve"> 2(1): 17-23. </w:t>
      </w:r>
    </w:p>
    <w:p w:rsidR="00FB7962" w:rsidRPr="00FB7962" w:rsidRDefault="00FB7962" w:rsidP="00FB7962">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FB7962">
        <w:rPr>
          <w:rFonts w:ascii="Times New Roman" w:hAnsi="Times New Roman"/>
          <w:sz w:val="20"/>
          <w:szCs w:val="20"/>
        </w:rPr>
        <w:t xml:space="preserve">Adedosu, T.A., Adedosu, H.O.,  Abiona, O.O., Omoniyi, E., Adebayo, A. and Alli, F. (2013). Assessment of Polycyclic Aromatic Hydrocarbons in underground water around the vicinity of Balogun-Biiro dumpsite, Oke-bale, Osogbo, Nigeria. </w:t>
      </w:r>
      <w:r w:rsidRPr="00FB7962">
        <w:rPr>
          <w:rFonts w:ascii="Times New Roman" w:hAnsi="Times New Roman"/>
          <w:i/>
          <w:sz w:val="20"/>
          <w:szCs w:val="20"/>
        </w:rPr>
        <w:t xml:space="preserve">Fountain Journal of Natural and Applied Sciences </w:t>
      </w:r>
      <w:r w:rsidRPr="00FB7962">
        <w:rPr>
          <w:rFonts w:ascii="Times New Roman" w:hAnsi="Times New Roman"/>
          <w:sz w:val="20"/>
          <w:szCs w:val="20"/>
        </w:rPr>
        <w:t xml:space="preserve">2 (1): 45-51. </w:t>
      </w:r>
    </w:p>
    <w:p w:rsidR="00FB7962" w:rsidRPr="00FB7962" w:rsidRDefault="00FB7962" w:rsidP="00FB7962">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FB7962">
        <w:rPr>
          <w:rFonts w:ascii="Times New Roman" w:hAnsi="Times New Roman"/>
          <w:sz w:val="20"/>
          <w:szCs w:val="20"/>
        </w:rPr>
        <w:lastRenderedPageBreak/>
        <w:t xml:space="preserve">Oyelami, A.C., Olabanji, O.A., Abimbola, A.J and Olamide, A.O. (2013). Assessing the effect of a dumpsite on groundwater quality: A case study of Aduramigba Estate within Oshogbo Metropolis. </w:t>
      </w:r>
      <w:r w:rsidRPr="00FB7962">
        <w:rPr>
          <w:rFonts w:ascii="Times New Roman" w:hAnsi="Times New Roman"/>
          <w:i/>
          <w:sz w:val="20"/>
          <w:szCs w:val="20"/>
        </w:rPr>
        <w:t>Journal of Environment and Earth Science</w:t>
      </w:r>
      <w:r w:rsidRPr="00FB7962">
        <w:rPr>
          <w:rFonts w:ascii="Times New Roman" w:hAnsi="Times New Roman"/>
          <w:sz w:val="20"/>
          <w:szCs w:val="20"/>
        </w:rPr>
        <w:t>, 3(1): 120-131.</w:t>
      </w:r>
    </w:p>
    <w:p w:rsidR="00FB7962" w:rsidRPr="00FB7962" w:rsidRDefault="00FB7962" w:rsidP="00FB7962">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FB7962">
        <w:rPr>
          <w:rFonts w:ascii="Times New Roman" w:hAnsi="Times New Roman"/>
          <w:sz w:val="20"/>
          <w:szCs w:val="20"/>
        </w:rPr>
        <w:t xml:space="preserve">Abdus-Salam, N. (2009). Assessment of Heavy metals Pollution in Dumpsites in Ilorin Metropolis. </w:t>
      </w:r>
      <w:r w:rsidRPr="00FB7962">
        <w:rPr>
          <w:rFonts w:ascii="Times New Roman" w:hAnsi="Times New Roman"/>
          <w:i/>
          <w:sz w:val="20"/>
          <w:szCs w:val="20"/>
        </w:rPr>
        <w:t>Ethiopian Journal of Environmental Studies and Management</w:t>
      </w:r>
      <w:r w:rsidRPr="00FB7962">
        <w:rPr>
          <w:rFonts w:ascii="Times New Roman" w:hAnsi="Times New Roman"/>
          <w:sz w:val="20"/>
          <w:szCs w:val="20"/>
        </w:rPr>
        <w:t>, 2(2): 92-99.</w:t>
      </w:r>
    </w:p>
    <w:p w:rsidR="00FB7962" w:rsidRPr="00FB7962" w:rsidRDefault="00FB7962" w:rsidP="00FB7962">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FB7962">
        <w:rPr>
          <w:rFonts w:ascii="Times New Roman" w:hAnsi="Times New Roman"/>
          <w:sz w:val="20"/>
          <w:szCs w:val="20"/>
        </w:rPr>
        <w:t xml:space="preserve">Agency for Toxic Substances and Disease Registry, ATSDR (1995). Toxicological profile for polycyclic aromatic hydrocarbons (PAHs). Atlanta, G.A: U.S. Department of Health and Human Services, Public Health Service. </w:t>
      </w:r>
    </w:p>
    <w:p w:rsidR="00FB7962" w:rsidRPr="00FB7962" w:rsidRDefault="00FB7962" w:rsidP="00FB7962">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FB7962">
        <w:rPr>
          <w:rFonts w:ascii="Times New Roman" w:hAnsi="Times New Roman"/>
          <w:sz w:val="20"/>
          <w:szCs w:val="20"/>
        </w:rPr>
        <w:t xml:space="preserve">Al-Delaimy, W.K., Larsen, W.C. and Pezzoli, K. (2014). Differences in health symptoms among residents living near illegal dumpsites in Los Laurels Canyin, Tijuanan, Mexico: A cross sectional survey. </w:t>
      </w:r>
      <w:r w:rsidRPr="00FB7962">
        <w:rPr>
          <w:rFonts w:ascii="Times New Roman" w:hAnsi="Times New Roman"/>
          <w:i/>
          <w:sz w:val="20"/>
          <w:szCs w:val="20"/>
        </w:rPr>
        <w:t>International Journal of Environmental Resources and Public Health, 11</w:t>
      </w:r>
      <w:r w:rsidRPr="00FB7962">
        <w:rPr>
          <w:rFonts w:ascii="Times New Roman" w:hAnsi="Times New Roman"/>
          <w:sz w:val="20"/>
          <w:szCs w:val="20"/>
        </w:rPr>
        <w:t xml:space="preserve">(9): 9532-9552. </w:t>
      </w:r>
    </w:p>
    <w:p w:rsidR="00FB7962" w:rsidRPr="00FB7962" w:rsidRDefault="00FB7962" w:rsidP="00FB7962">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FB7962">
        <w:rPr>
          <w:rFonts w:ascii="Times New Roman" w:hAnsi="Times New Roman"/>
          <w:sz w:val="20"/>
          <w:szCs w:val="20"/>
        </w:rPr>
        <w:t xml:space="preserve">Olajire, A. A. and Ayodele, E.T. (1998). Heavy metal analysis of solid municipal wastes in the western part of Nigeria. </w:t>
      </w:r>
      <w:r w:rsidRPr="00FB7962">
        <w:rPr>
          <w:rFonts w:ascii="Times New Roman" w:hAnsi="Times New Roman"/>
          <w:i/>
          <w:sz w:val="20"/>
          <w:szCs w:val="20"/>
        </w:rPr>
        <w:t>Journal of Water, Air and Soil Pollution</w:t>
      </w:r>
      <w:r w:rsidRPr="00FB7962">
        <w:rPr>
          <w:rFonts w:ascii="Times New Roman" w:hAnsi="Times New Roman"/>
          <w:sz w:val="20"/>
          <w:szCs w:val="20"/>
        </w:rPr>
        <w:t>, 103: 219-228.</w:t>
      </w:r>
    </w:p>
    <w:p w:rsidR="00FB7962" w:rsidRPr="00FB7962" w:rsidRDefault="00FB7962" w:rsidP="00FB7962">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FB7962">
        <w:rPr>
          <w:rFonts w:ascii="Times New Roman" w:hAnsi="Times New Roman"/>
          <w:sz w:val="20"/>
          <w:szCs w:val="20"/>
        </w:rPr>
        <w:t>Ogundiran, O.O. and Afolabi, T.A. (2008).  Assessment of the physicochemical parameters and heavy metal toxicity of leachates from municipal solid waste open dumpsite</w:t>
      </w:r>
      <w:r w:rsidRPr="00FB7962">
        <w:rPr>
          <w:rFonts w:ascii="Times New Roman" w:hAnsi="Times New Roman"/>
          <w:i/>
          <w:sz w:val="20"/>
          <w:szCs w:val="20"/>
        </w:rPr>
        <w:t xml:space="preserve">. International Journal of Environmental Science and Technology, 5 </w:t>
      </w:r>
      <w:r w:rsidRPr="00FB7962">
        <w:rPr>
          <w:rFonts w:ascii="Times New Roman" w:hAnsi="Times New Roman"/>
          <w:sz w:val="20"/>
          <w:szCs w:val="20"/>
        </w:rPr>
        <w:t xml:space="preserve">(2): 243-250. </w:t>
      </w:r>
    </w:p>
    <w:p w:rsidR="00FB7962" w:rsidRPr="00FB7962" w:rsidRDefault="00FB7962" w:rsidP="00FB7962">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FB7962">
        <w:rPr>
          <w:rFonts w:ascii="Times New Roman" w:hAnsi="Times New Roman"/>
          <w:sz w:val="20"/>
          <w:szCs w:val="20"/>
        </w:rPr>
        <w:t>Buteh, D. S., Chindo, I.Y., Ekanem, E.O. and William, E.M. (2013).  Impact Assessment of Contamination Pattern of Solid Waste Dumpsites Soil: A Comparative Study of Bauchi Metropolis.</w:t>
      </w:r>
      <w:r w:rsidRPr="00FB7962">
        <w:rPr>
          <w:rFonts w:ascii="Times New Roman" w:hAnsi="Times New Roman"/>
          <w:i/>
          <w:iCs/>
          <w:sz w:val="20"/>
          <w:szCs w:val="20"/>
        </w:rPr>
        <w:t>World Journal of Analytical Chemistry,</w:t>
      </w:r>
      <w:r w:rsidRPr="00FB7962">
        <w:rPr>
          <w:rFonts w:ascii="Times New Roman" w:hAnsi="Times New Roman"/>
          <w:sz w:val="20"/>
          <w:szCs w:val="20"/>
        </w:rPr>
        <w:t xml:space="preserve"> 1(4): 59-62</w:t>
      </w:r>
    </w:p>
    <w:p w:rsidR="00FB7962" w:rsidRPr="00FB7962" w:rsidRDefault="00FB7962" w:rsidP="00FB7962">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FB7962">
        <w:rPr>
          <w:rFonts w:ascii="Times New Roman" w:hAnsi="Times New Roman"/>
          <w:sz w:val="20"/>
          <w:szCs w:val="20"/>
        </w:rPr>
        <w:t xml:space="preserve">Wcislo, E., Kuperberg, M. &amp; Teaf, C. (1997).  Risk assessment for the Czechowice oil Refinery Lagoons. Internal Report. Institute for Ecology of Industrial Area, Katowice. </w:t>
      </w:r>
    </w:p>
    <w:p w:rsidR="00FB7962" w:rsidRPr="00FB7962" w:rsidRDefault="00FB7962" w:rsidP="00FB7962">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FB7962">
        <w:rPr>
          <w:rFonts w:ascii="Times New Roman" w:hAnsi="Times New Roman"/>
          <w:sz w:val="20"/>
          <w:szCs w:val="20"/>
        </w:rPr>
        <w:t xml:space="preserve">Wcislo, E. 1998. Soil Contamination with Polycyclic Aromatic Hydrocarbons (PAHs) in Poland – A Review. </w:t>
      </w:r>
      <w:r w:rsidRPr="00FB7962">
        <w:rPr>
          <w:rFonts w:ascii="Times New Roman" w:hAnsi="Times New Roman"/>
          <w:i/>
          <w:sz w:val="20"/>
          <w:szCs w:val="20"/>
        </w:rPr>
        <w:t>Polish journal of Environmental. Studies,</w:t>
      </w:r>
      <w:r w:rsidRPr="00FB7962">
        <w:rPr>
          <w:rFonts w:ascii="Times New Roman" w:hAnsi="Times New Roman"/>
          <w:sz w:val="20"/>
          <w:szCs w:val="20"/>
        </w:rPr>
        <w:t xml:space="preserve"> 7(5): 267 – 272.</w:t>
      </w:r>
    </w:p>
    <w:p w:rsidR="00FB7962" w:rsidRPr="00FB7962" w:rsidRDefault="00FB7962" w:rsidP="00FB7962">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FB7962">
        <w:rPr>
          <w:rFonts w:ascii="Times New Roman" w:hAnsi="Times New Roman"/>
          <w:sz w:val="20"/>
          <w:szCs w:val="20"/>
        </w:rPr>
        <w:t>Douben, P.E.T. (2003). PAHs: An Ecotoxicological Perspective. John Wiley &amp; Sons, Chichester.</w:t>
      </w:r>
    </w:p>
    <w:p w:rsidR="00FB7962" w:rsidRPr="00FB7962" w:rsidRDefault="00FB7962" w:rsidP="00FB7962">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FB7962">
        <w:rPr>
          <w:rFonts w:ascii="Times New Roman" w:hAnsi="Times New Roman"/>
          <w:sz w:val="20"/>
          <w:szCs w:val="20"/>
        </w:rPr>
        <w:t>Ifemeje, J.C., Lukong, S.C., Okechukwu, A.U and Egbuna, C. (2014). Distribution of polycyclic aromatic hydrocarbons and heavy metals in soils from municipal solid wastes landfill</w:t>
      </w:r>
      <w:r w:rsidRPr="00FB7962">
        <w:rPr>
          <w:rFonts w:ascii="Times New Roman" w:hAnsi="Times New Roman"/>
          <w:i/>
          <w:sz w:val="20"/>
          <w:szCs w:val="20"/>
        </w:rPr>
        <w:t>. British Journal of Applied Science &amp; Technology</w:t>
      </w:r>
      <w:r w:rsidRPr="00FB7962">
        <w:rPr>
          <w:rFonts w:ascii="Times New Roman" w:hAnsi="Times New Roman"/>
          <w:sz w:val="20"/>
          <w:szCs w:val="20"/>
        </w:rPr>
        <w:t>, 4 (36):5058.</w:t>
      </w:r>
    </w:p>
    <w:p w:rsidR="00FB7962" w:rsidRPr="00FB7962" w:rsidRDefault="00FB7962" w:rsidP="00FB7962">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FB7962">
        <w:rPr>
          <w:rFonts w:ascii="Times New Roman" w:hAnsi="Times New Roman"/>
          <w:sz w:val="20"/>
          <w:szCs w:val="20"/>
        </w:rPr>
        <w:t xml:space="preserve">Holbrook, D.J. (1990).  Carcinogenesis, in: Haddad, L. M and Chester, J.F. (Eds.): Clinical Management of poisoning and drug overdose, 2nd ed, W.B. Saunders Co. Philadelphia 508 – 521. </w:t>
      </w:r>
    </w:p>
    <w:p w:rsidR="00FB7962" w:rsidRPr="00FB7962" w:rsidRDefault="00FB7962" w:rsidP="00FB7962">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FB7962">
        <w:rPr>
          <w:rFonts w:ascii="Times New Roman" w:hAnsi="Times New Roman"/>
          <w:sz w:val="20"/>
          <w:szCs w:val="20"/>
        </w:rPr>
        <w:t xml:space="preserve">Zou, Y.L., Zhan, W and Atkinskon, S. (2003). The characterization of polycyclic aromatic hydrocarbons emission from burning of different firewood species in Australia. </w:t>
      </w:r>
      <w:r w:rsidRPr="00FB7962">
        <w:rPr>
          <w:rFonts w:ascii="Times New Roman" w:hAnsi="Times New Roman"/>
          <w:i/>
          <w:sz w:val="20"/>
          <w:szCs w:val="20"/>
        </w:rPr>
        <w:t>Environmental Pollution</w:t>
      </w:r>
      <w:r w:rsidRPr="00FB7962">
        <w:rPr>
          <w:rFonts w:ascii="Times New Roman" w:hAnsi="Times New Roman"/>
          <w:sz w:val="20"/>
          <w:szCs w:val="20"/>
        </w:rPr>
        <w:t xml:space="preserve">, 124: 283 – 589. </w:t>
      </w:r>
    </w:p>
    <w:p w:rsidR="00FB7962" w:rsidRPr="00FB7962" w:rsidRDefault="00FB7962" w:rsidP="00FB7962">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FB7962">
        <w:rPr>
          <w:rFonts w:ascii="Times New Roman" w:hAnsi="Times New Roman"/>
          <w:sz w:val="20"/>
          <w:szCs w:val="20"/>
        </w:rPr>
        <w:t>Kaszubkiewicz, J., Kawalko, D.&amp; Perlak , Z. (2010). Concentration of polycyclic aromatic hydrocarbons in surface soil horizon of soil in immediate neighborhood of illegal waste dumps</w:t>
      </w:r>
      <w:r w:rsidRPr="00FB7962">
        <w:rPr>
          <w:rFonts w:ascii="Times New Roman" w:hAnsi="Times New Roman"/>
          <w:i/>
          <w:sz w:val="20"/>
          <w:szCs w:val="20"/>
        </w:rPr>
        <w:t xml:space="preserve">. Polish Journal of Environmental Studies </w:t>
      </w:r>
      <w:r w:rsidRPr="00FB7962">
        <w:rPr>
          <w:rFonts w:ascii="Times New Roman" w:hAnsi="Times New Roman"/>
          <w:sz w:val="20"/>
          <w:szCs w:val="20"/>
        </w:rPr>
        <w:t>19(1): 73-82.</w:t>
      </w:r>
    </w:p>
    <w:p w:rsidR="00FB7962" w:rsidRPr="00FB7962" w:rsidRDefault="00FB7962" w:rsidP="00FB7962">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FB7962">
        <w:rPr>
          <w:rFonts w:ascii="Times New Roman" w:hAnsi="Times New Roman"/>
          <w:sz w:val="20"/>
          <w:szCs w:val="20"/>
        </w:rPr>
        <w:t xml:space="preserve">Harvey, R.G. (1991).Polycyclic aromatic hydrocarbons: </w:t>
      </w:r>
      <w:r w:rsidRPr="00FB7962">
        <w:rPr>
          <w:rFonts w:ascii="Times New Roman" w:hAnsi="Times New Roman"/>
          <w:i/>
          <w:iCs/>
          <w:sz w:val="20"/>
          <w:szCs w:val="20"/>
        </w:rPr>
        <w:t>Chemistry and carcinogenic</w:t>
      </w:r>
      <w:r w:rsidRPr="00FB7962">
        <w:rPr>
          <w:rFonts w:ascii="Times New Roman" w:hAnsi="Times New Roman"/>
          <w:sz w:val="20"/>
          <w:szCs w:val="20"/>
        </w:rPr>
        <w:t xml:space="preserve">. Cambridge: Cambridge University Press. </w:t>
      </w:r>
    </w:p>
    <w:p w:rsidR="00FB7962" w:rsidRPr="00FB7962" w:rsidRDefault="00FB7962" w:rsidP="00FB7962">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FB7962">
        <w:rPr>
          <w:rFonts w:ascii="Times New Roman" w:hAnsi="Times New Roman"/>
          <w:sz w:val="20"/>
          <w:szCs w:val="20"/>
        </w:rPr>
        <w:t xml:space="preserve">Wild, S.R, and Jones, K.C (1995). Polynuclear aromatic hydrocarbons in the United Kingdom environment: a preliminary source inventory and budget. </w:t>
      </w:r>
      <w:r w:rsidRPr="00FB7962">
        <w:rPr>
          <w:rFonts w:ascii="Times New Roman" w:hAnsi="Times New Roman"/>
          <w:i/>
          <w:sz w:val="20"/>
          <w:szCs w:val="20"/>
        </w:rPr>
        <w:t>Environmental Pollution,</w:t>
      </w:r>
      <w:r w:rsidRPr="00FB7962">
        <w:rPr>
          <w:rFonts w:ascii="Times New Roman" w:hAnsi="Times New Roman"/>
          <w:sz w:val="20"/>
          <w:szCs w:val="20"/>
        </w:rPr>
        <w:t xml:space="preserve">  88:91–108.</w:t>
      </w:r>
    </w:p>
    <w:p w:rsidR="00FB7962" w:rsidRPr="00FB7962" w:rsidRDefault="00FB7962" w:rsidP="00FB7962">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FB7962">
        <w:rPr>
          <w:rFonts w:ascii="Times New Roman" w:hAnsi="Times New Roman"/>
          <w:sz w:val="20"/>
          <w:szCs w:val="20"/>
        </w:rPr>
        <w:t xml:space="preserve">Tang, L., Tang, X.Y., Zhu, Y.G, Zheng, M. H and Miao, Q.L. (2005). Contamination of polycyclic aromatic hydrocarbons (PAHs) in urban soils in Beijing, China. </w:t>
      </w:r>
      <w:r w:rsidRPr="00FB7962">
        <w:rPr>
          <w:rFonts w:ascii="Times New Roman" w:hAnsi="Times New Roman"/>
          <w:i/>
          <w:sz w:val="20"/>
          <w:szCs w:val="20"/>
        </w:rPr>
        <w:t xml:space="preserve">Environmental International, </w:t>
      </w:r>
      <w:r w:rsidRPr="00FB7962">
        <w:rPr>
          <w:rFonts w:ascii="Times New Roman" w:hAnsi="Times New Roman"/>
          <w:sz w:val="20"/>
          <w:szCs w:val="20"/>
        </w:rPr>
        <w:t>31:822–888.</w:t>
      </w:r>
    </w:p>
    <w:p w:rsidR="00FB7962" w:rsidRPr="00FB7962" w:rsidRDefault="00FB7962" w:rsidP="00FB7962">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FB7962">
        <w:rPr>
          <w:rFonts w:ascii="Times New Roman" w:hAnsi="Times New Roman"/>
          <w:sz w:val="20"/>
          <w:szCs w:val="20"/>
        </w:rPr>
        <w:t>Luch, A. (2005). The carcinogenic effects of polycyclic aromatic hydrocarbons. London Imperical College Press.</w:t>
      </w:r>
    </w:p>
    <w:p w:rsidR="00FB7962" w:rsidRPr="00FB7962" w:rsidRDefault="00FB7962" w:rsidP="00FB7962">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FB7962">
        <w:rPr>
          <w:rFonts w:ascii="Times New Roman" w:hAnsi="Times New Roman"/>
          <w:sz w:val="20"/>
          <w:szCs w:val="20"/>
        </w:rPr>
        <w:t xml:space="preserve">Andersson, E., Rotander, A.,Kronhelm,T.,Vonberggren, A., Ivarsson,P., Hollert, H. and Engwall, M. (2009). AhR agonist and genotoxicant bioavailability in a PAH-contaminated soil undergoing biological treatment. </w:t>
      </w:r>
      <w:r w:rsidRPr="00FB7962">
        <w:rPr>
          <w:rFonts w:ascii="Times New Roman" w:hAnsi="Times New Roman"/>
          <w:i/>
          <w:sz w:val="20"/>
          <w:szCs w:val="20"/>
        </w:rPr>
        <w:t>Environmental Science and Pollution Remediation,</w:t>
      </w:r>
      <w:r w:rsidRPr="00FB7962">
        <w:rPr>
          <w:rFonts w:ascii="Times New Roman" w:hAnsi="Times New Roman"/>
          <w:sz w:val="20"/>
          <w:szCs w:val="20"/>
        </w:rPr>
        <w:t xml:space="preserve"> 16(5) :521-530. </w:t>
      </w:r>
    </w:p>
    <w:p w:rsidR="00FB7962" w:rsidRPr="00FB7962" w:rsidRDefault="00FB7962" w:rsidP="00FB7962">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FB7962">
        <w:rPr>
          <w:rFonts w:ascii="Times New Roman" w:hAnsi="Times New Roman"/>
          <w:sz w:val="20"/>
          <w:szCs w:val="20"/>
        </w:rPr>
        <w:t xml:space="preserve">Kumar, V and Kothiyal, N. C. (2012). Distribution behavior and carcinogenic level of some polycyclic aromatic hydrocarbons in roadside soil at major traffic intercepts within a developing city of India. </w:t>
      </w:r>
      <w:r w:rsidRPr="00FB7962">
        <w:rPr>
          <w:rFonts w:ascii="Times New Roman" w:hAnsi="Times New Roman"/>
          <w:i/>
          <w:iCs/>
          <w:sz w:val="20"/>
          <w:szCs w:val="20"/>
        </w:rPr>
        <w:t xml:space="preserve">Environmental Monitoring Assessment, </w:t>
      </w:r>
      <w:r w:rsidRPr="00FB7962">
        <w:rPr>
          <w:rFonts w:ascii="Times New Roman" w:hAnsi="Times New Roman"/>
          <w:bCs/>
          <w:sz w:val="20"/>
          <w:szCs w:val="20"/>
        </w:rPr>
        <w:t>184</w:t>
      </w:r>
      <w:r w:rsidRPr="00FB7962">
        <w:rPr>
          <w:rFonts w:ascii="Times New Roman" w:hAnsi="Times New Roman"/>
          <w:sz w:val="20"/>
          <w:szCs w:val="20"/>
        </w:rPr>
        <w:t>: 6239–6252.</w:t>
      </w:r>
    </w:p>
    <w:p w:rsidR="00FB7962" w:rsidRPr="00FB7962" w:rsidRDefault="00FB7962" w:rsidP="00FB7962">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FB7962">
        <w:rPr>
          <w:rFonts w:ascii="Times New Roman" w:hAnsi="Times New Roman"/>
          <w:sz w:val="20"/>
          <w:szCs w:val="20"/>
        </w:rPr>
        <w:t xml:space="preserve">Vineia, P. (2009). The emerging epidemics of environmental cancer in developing countries. </w:t>
      </w:r>
      <w:r w:rsidRPr="00FB7962">
        <w:rPr>
          <w:rFonts w:ascii="Times New Roman" w:hAnsi="Times New Roman"/>
          <w:i/>
          <w:sz w:val="20"/>
          <w:szCs w:val="20"/>
        </w:rPr>
        <w:t>Journal of Oncology,</w:t>
      </w:r>
      <w:r w:rsidRPr="00FB7962">
        <w:rPr>
          <w:rFonts w:ascii="Times New Roman" w:hAnsi="Times New Roman"/>
          <w:sz w:val="20"/>
          <w:szCs w:val="20"/>
        </w:rPr>
        <w:t xml:space="preserve"> 20: 205-212.</w:t>
      </w:r>
    </w:p>
    <w:p w:rsidR="00FB7962" w:rsidRPr="00FB7962" w:rsidRDefault="00FB7962" w:rsidP="00FB7962">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FB7962">
        <w:rPr>
          <w:rFonts w:ascii="Times New Roman" w:hAnsi="Times New Roman"/>
          <w:sz w:val="20"/>
          <w:szCs w:val="20"/>
        </w:rPr>
        <w:t xml:space="preserve">International Agency for Research on Cancer (IARC), (2010).  Monographs on the Evaluation of Carcinogenic Risks to Humans, Volume 92. IARC, Lyon, France. </w:t>
      </w:r>
      <w:r w:rsidRPr="00FB7962">
        <w:rPr>
          <w:rFonts w:ascii="Times New Roman" w:hAnsi="Times New Roman"/>
          <w:sz w:val="20"/>
          <w:szCs w:val="20"/>
        </w:rPr>
        <w:t>http://monographs.iarc.fr/ENG/</w:t>
      </w:r>
      <w:r w:rsidRPr="00FB7962">
        <w:rPr>
          <w:rFonts w:ascii="Times New Roman" w:hAnsi="Times New Roman"/>
          <w:sz w:val="20"/>
          <w:szCs w:val="20"/>
        </w:rPr>
        <w:t xml:space="preserve"> Monographs/vol92/</w:t>
      </w:r>
      <w:r>
        <w:rPr>
          <w:rFonts w:ascii="Times New Roman" w:hAnsi="Times New Roman"/>
          <w:sz w:val="20"/>
          <w:szCs w:val="20"/>
        </w:rPr>
        <w:t xml:space="preserve"> </w:t>
      </w:r>
      <w:r w:rsidRPr="00FB7962">
        <w:rPr>
          <w:rFonts w:ascii="Times New Roman" w:hAnsi="Times New Roman"/>
          <w:sz w:val="20"/>
          <w:szCs w:val="20"/>
        </w:rPr>
        <w:t>index.php.</w:t>
      </w:r>
    </w:p>
    <w:p w:rsidR="00FB7962" w:rsidRPr="00FB7962" w:rsidRDefault="00FB7962" w:rsidP="00FB7962">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FB7962">
        <w:rPr>
          <w:rFonts w:ascii="Times New Roman" w:hAnsi="Times New Roman"/>
          <w:sz w:val="20"/>
          <w:szCs w:val="20"/>
        </w:rPr>
        <w:lastRenderedPageBreak/>
        <w:t>Sarikar, D. and Halder, A. (2005). Physical and chemical methods in soil analysis: fundamental concepts of analytical Chemistry and Instrumental techniques. New Age International Publisher, New Deheli, 89-92.</w:t>
      </w:r>
    </w:p>
    <w:p w:rsidR="00FB7962" w:rsidRPr="00FB7962" w:rsidRDefault="00FB7962" w:rsidP="00FB7962">
      <w:pPr>
        <w:pStyle w:val="ListParagraph"/>
        <w:numPr>
          <w:ilvl w:val="0"/>
          <w:numId w:val="2"/>
        </w:numPr>
        <w:autoSpaceDE w:val="0"/>
        <w:autoSpaceDN w:val="0"/>
        <w:adjustRightInd w:val="0"/>
        <w:spacing w:after="0" w:line="240" w:lineRule="auto"/>
        <w:ind w:left="360"/>
        <w:contextualSpacing w:val="0"/>
        <w:jc w:val="both"/>
        <w:rPr>
          <w:rStyle w:val="A9"/>
          <w:rFonts w:ascii="Times New Roman" w:hAnsi="Times New Roman" w:cs="Times New Roman"/>
          <w:color w:val="auto"/>
          <w:sz w:val="20"/>
          <w:szCs w:val="20"/>
        </w:rPr>
      </w:pPr>
      <w:r w:rsidRPr="00FB7962">
        <w:rPr>
          <w:rFonts w:ascii="Times New Roman" w:hAnsi="Times New Roman"/>
          <w:sz w:val="20"/>
          <w:szCs w:val="20"/>
        </w:rPr>
        <w:t>T</w:t>
      </w:r>
      <w:r w:rsidRPr="00FB7962">
        <w:rPr>
          <w:rStyle w:val="A9"/>
          <w:rFonts w:ascii="Times New Roman" w:hAnsi="Times New Roman" w:cs="Times New Roman"/>
          <w:color w:val="auto"/>
          <w:sz w:val="20"/>
          <w:szCs w:val="20"/>
        </w:rPr>
        <w:t xml:space="preserve">he World Health Organization,WHO (1998). Access online: </w:t>
      </w:r>
      <w:r w:rsidRPr="00FB7962">
        <w:rPr>
          <w:rFonts w:ascii="Times New Roman" w:hAnsi="Times New Roman"/>
          <w:sz w:val="20"/>
          <w:szCs w:val="20"/>
        </w:rPr>
        <w:t>http://www.inchem.org/documents/ehc/ehc/</w:t>
      </w:r>
      <w:r>
        <w:rPr>
          <w:rFonts w:ascii="Times New Roman" w:hAnsi="Times New Roman"/>
          <w:sz w:val="20"/>
          <w:szCs w:val="20"/>
        </w:rPr>
        <w:t xml:space="preserve"> </w:t>
      </w:r>
      <w:r w:rsidRPr="00FB7962">
        <w:rPr>
          <w:rFonts w:ascii="Times New Roman" w:hAnsi="Times New Roman"/>
          <w:sz w:val="20"/>
          <w:szCs w:val="20"/>
        </w:rPr>
        <w:t>ehc202.htm. Retrieved 6/01/2015</w:t>
      </w:r>
      <w:r w:rsidRPr="00FB7962">
        <w:rPr>
          <w:rStyle w:val="A9"/>
          <w:rFonts w:ascii="Times New Roman" w:hAnsi="Times New Roman" w:cs="Times New Roman"/>
          <w:color w:val="auto"/>
          <w:sz w:val="20"/>
          <w:szCs w:val="20"/>
        </w:rPr>
        <w:t>.</w:t>
      </w:r>
    </w:p>
    <w:p w:rsidR="00FB7962" w:rsidRPr="00FB7962" w:rsidRDefault="00FB7962" w:rsidP="00FB7962">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FB7962">
        <w:rPr>
          <w:rFonts w:ascii="Times New Roman" w:hAnsi="Times New Roman"/>
          <w:sz w:val="20"/>
          <w:szCs w:val="20"/>
        </w:rPr>
        <w:t>UNEP (2002). Evaluation of Urban Pollution of Surficial and Groundwater Aquifers in Africa Project.</w:t>
      </w:r>
    </w:p>
    <w:p w:rsidR="00FB7962" w:rsidRPr="00FB7962" w:rsidRDefault="00FB7962" w:rsidP="00FB7962">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FB7962">
        <w:rPr>
          <w:rFonts w:ascii="Times New Roman" w:hAnsi="Times New Roman"/>
          <w:sz w:val="20"/>
          <w:szCs w:val="20"/>
        </w:rPr>
        <w:t>Mumtaz, M. and George, J. (1995). Toxicological Profile for Polycyclic Aromatic Hydrocarbons, U.S. Department of Health and Human Services, Agency for Toxic Substances and Disease Registry, Atlanta, Ga, USA.</w:t>
      </w:r>
    </w:p>
    <w:p w:rsidR="00FB7962" w:rsidRPr="00FB7962" w:rsidRDefault="00FB7962" w:rsidP="00FB7962">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FB7962">
        <w:rPr>
          <w:rFonts w:ascii="Times New Roman" w:hAnsi="Times New Roman"/>
          <w:sz w:val="20"/>
          <w:szCs w:val="20"/>
        </w:rPr>
        <w:t xml:space="preserve">Obini, U., Okafor, C.O and Afuikwu, J.N. (2013). Determination of level of polycyclic Aromatic hydrocarbon in soil contaminated with spent motor Engine Oil in Abakaliki Auto mechanic Village. </w:t>
      </w:r>
      <w:r w:rsidRPr="00FB7962">
        <w:rPr>
          <w:rFonts w:ascii="Times New Roman" w:hAnsi="Times New Roman"/>
          <w:i/>
          <w:sz w:val="20"/>
          <w:szCs w:val="20"/>
        </w:rPr>
        <w:t>Journal of Applied Science and Environmental Management</w:t>
      </w:r>
      <w:r w:rsidRPr="00FB7962">
        <w:rPr>
          <w:rFonts w:ascii="Times New Roman" w:hAnsi="Times New Roman"/>
          <w:sz w:val="20"/>
          <w:szCs w:val="20"/>
        </w:rPr>
        <w:t xml:space="preserve">, 17(2): 169-175.  </w:t>
      </w:r>
    </w:p>
    <w:p w:rsidR="00FB7962" w:rsidRPr="00FB7962" w:rsidRDefault="00FB7962" w:rsidP="00FB7962">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FB7962">
        <w:rPr>
          <w:rFonts w:ascii="Times New Roman" w:hAnsi="Times New Roman"/>
          <w:sz w:val="20"/>
          <w:szCs w:val="20"/>
        </w:rPr>
        <w:t xml:space="preserve">International Program on Chemical Safety, IPCS.  (1998). Environmental Health Criteria, 202. </w:t>
      </w:r>
    </w:p>
    <w:p w:rsidR="00FB7962" w:rsidRPr="00FB7962" w:rsidRDefault="00FB7962" w:rsidP="00FB7962">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FB7962">
        <w:rPr>
          <w:rFonts w:ascii="Times New Roman" w:hAnsi="Times New Roman"/>
          <w:sz w:val="20"/>
          <w:szCs w:val="20"/>
        </w:rPr>
        <w:t xml:space="preserve">Yunker, M.B., Macdonald, R.W., Vingarzan, R., Mitchell, R.H., Goyette, D. &amp; Sylvestre, S. (2002). PAHs in the Fraser River basin: a critical appraisal of PAH ratios as indicators of PAH source and composition. </w:t>
      </w:r>
      <w:r w:rsidRPr="00FB7962">
        <w:rPr>
          <w:rFonts w:ascii="Times New Roman" w:hAnsi="Times New Roman"/>
          <w:i/>
          <w:sz w:val="20"/>
          <w:szCs w:val="20"/>
        </w:rPr>
        <w:t>Organic Geochemistry,</w:t>
      </w:r>
      <w:r w:rsidRPr="00FB7962">
        <w:rPr>
          <w:rFonts w:ascii="Times New Roman" w:hAnsi="Times New Roman"/>
          <w:sz w:val="20"/>
          <w:szCs w:val="20"/>
        </w:rPr>
        <w:t xml:space="preserve"> 33: 489-515.</w:t>
      </w:r>
    </w:p>
    <w:p w:rsidR="00FB7962" w:rsidRPr="00FB7962" w:rsidRDefault="00FB7962" w:rsidP="00FB7962">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FB7962">
        <w:rPr>
          <w:rFonts w:ascii="Times New Roman" w:hAnsi="Times New Roman"/>
          <w:sz w:val="20"/>
          <w:szCs w:val="20"/>
        </w:rPr>
        <w:t xml:space="preserve">Zhou, J., Wang, T., Huang, Y., Mao, T and Zhong, N. (2005). Size distribution of polycyclic aromatic hydrocarbons in urban and suburban sites of Beijing, China. </w:t>
      </w:r>
      <w:r w:rsidRPr="00FB7962">
        <w:rPr>
          <w:rFonts w:ascii="Times New Roman" w:hAnsi="Times New Roman"/>
          <w:i/>
          <w:sz w:val="20"/>
          <w:szCs w:val="20"/>
        </w:rPr>
        <w:t>Chemosphere,</w:t>
      </w:r>
      <w:r w:rsidRPr="00FB7962">
        <w:rPr>
          <w:rFonts w:ascii="Times New Roman" w:hAnsi="Times New Roman"/>
          <w:sz w:val="20"/>
          <w:szCs w:val="20"/>
        </w:rPr>
        <w:t xml:space="preserve"> 61: 792-799.</w:t>
      </w:r>
    </w:p>
    <w:p w:rsidR="00FB7962" w:rsidRPr="00FB7962" w:rsidRDefault="00FB7962" w:rsidP="00FB7962">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FB7962">
        <w:rPr>
          <w:rFonts w:ascii="Times New Roman" w:hAnsi="Times New Roman"/>
          <w:sz w:val="20"/>
          <w:szCs w:val="20"/>
        </w:rPr>
        <w:t xml:space="preserve">Wilcke, W. (2000). Polycyclic aromatic hydrocarbons (PAHs) in soil: A review. </w:t>
      </w:r>
      <w:r w:rsidRPr="00FB7962">
        <w:rPr>
          <w:rFonts w:ascii="Times New Roman" w:hAnsi="Times New Roman"/>
          <w:i/>
          <w:sz w:val="20"/>
          <w:szCs w:val="20"/>
        </w:rPr>
        <w:t>Journal of plant Nutrition and Soil Science</w:t>
      </w:r>
      <w:r w:rsidRPr="00FB7962">
        <w:rPr>
          <w:rFonts w:ascii="Times New Roman" w:hAnsi="Times New Roman"/>
          <w:sz w:val="20"/>
          <w:szCs w:val="20"/>
        </w:rPr>
        <w:t xml:space="preserve">, 163, 229-248. </w:t>
      </w:r>
    </w:p>
    <w:p w:rsidR="00FB7962" w:rsidRPr="00FB7962" w:rsidRDefault="00FB7962" w:rsidP="00FB7962">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FB7962">
        <w:rPr>
          <w:rFonts w:ascii="Times New Roman" w:hAnsi="Times New Roman"/>
          <w:sz w:val="20"/>
          <w:szCs w:val="20"/>
        </w:rPr>
        <w:t>Neff, J. M. (1979). "Polycyclic Aromatic Hydrocarbons in the Aquatic Environment Sources, Fates and Biological Effects", Applied Science Publishers Ltd., Essex, England, pp 262.</w:t>
      </w:r>
    </w:p>
    <w:p w:rsidR="00FB7962" w:rsidRPr="00FB7962" w:rsidRDefault="00FB7962" w:rsidP="00FB7962">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FB7962">
        <w:rPr>
          <w:rFonts w:ascii="Times New Roman" w:hAnsi="Times New Roman"/>
          <w:sz w:val="20"/>
          <w:szCs w:val="20"/>
        </w:rPr>
        <w:t xml:space="preserve">Zhang, W., Zhang, S., Wan, C., Yue, D., Ye, Y. and Wang, X. (2008). Source diagnostics of polycyclic aromatic hydrocarbons in urban road runoff, dust, rain and canopy through fall. </w:t>
      </w:r>
      <w:r w:rsidRPr="00FB7962">
        <w:rPr>
          <w:rFonts w:ascii="Times New Roman" w:hAnsi="Times New Roman"/>
          <w:i/>
          <w:sz w:val="20"/>
          <w:szCs w:val="20"/>
        </w:rPr>
        <w:t>Environmental Pollution,</w:t>
      </w:r>
      <w:r w:rsidRPr="00FB7962">
        <w:rPr>
          <w:rFonts w:ascii="Times New Roman" w:hAnsi="Times New Roman"/>
          <w:sz w:val="20"/>
          <w:szCs w:val="20"/>
        </w:rPr>
        <w:t xml:space="preserve"> 153: 594-601.</w:t>
      </w:r>
    </w:p>
    <w:p w:rsidR="00FB7962" w:rsidRPr="00FB7962" w:rsidRDefault="00FB7962" w:rsidP="00FB7962">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FB7962">
        <w:rPr>
          <w:rFonts w:ascii="Times New Roman" w:hAnsi="Times New Roman"/>
          <w:sz w:val="20"/>
          <w:szCs w:val="20"/>
        </w:rPr>
        <w:t>Zhendi, W., Yang, C., Brown, B., Hollebone and Landriault, M. (2008). A case study: distinguishing pyrogenic hydrocarbon from petrogenic hydrocarbons. International Oil spill conference pp 311-320.</w:t>
      </w:r>
    </w:p>
    <w:p w:rsidR="00FB7962" w:rsidRPr="00FB7962" w:rsidRDefault="00FB7962" w:rsidP="00FB7962">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FB7962">
        <w:rPr>
          <w:rFonts w:ascii="Times New Roman" w:hAnsi="Times New Roman"/>
          <w:sz w:val="20"/>
          <w:szCs w:val="20"/>
        </w:rPr>
        <w:t xml:space="preserve">Zakaria, M. P., Geik, H. K. Lee, W. Y and Hayet R. (2005). Landfill leachate as a source of polycyclic aromatic hydrocarbons (PAHs) to Malaysian waters. </w:t>
      </w:r>
      <w:r w:rsidRPr="00FB7962">
        <w:rPr>
          <w:rFonts w:ascii="Times New Roman" w:hAnsi="Times New Roman"/>
          <w:i/>
          <w:sz w:val="20"/>
          <w:szCs w:val="20"/>
        </w:rPr>
        <w:t>Coastal Marine Science,</w:t>
      </w:r>
      <w:r w:rsidRPr="00FB7962">
        <w:rPr>
          <w:rFonts w:ascii="Times New Roman" w:hAnsi="Times New Roman"/>
          <w:sz w:val="20"/>
          <w:szCs w:val="20"/>
        </w:rPr>
        <w:t xml:space="preserve"> 29 (2): 116 – 123.</w:t>
      </w:r>
    </w:p>
    <w:p w:rsidR="00FB7962" w:rsidRPr="00FB7962" w:rsidRDefault="00FB7962" w:rsidP="00FB7962">
      <w:pPr>
        <w:pStyle w:val="ListParagraph"/>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FB7962">
        <w:rPr>
          <w:rFonts w:ascii="Times New Roman" w:hAnsi="Times New Roman"/>
          <w:sz w:val="20"/>
          <w:szCs w:val="20"/>
        </w:rPr>
        <w:t xml:space="preserve">Implementing the National Environment Protection (Assessment of Contaminated Sites) Measure amendment (2013). Access online: </w:t>
      </w:r>
      <w:r w:rsidRPr="00FB7962">
        <w:rPr>
          <w:rFonts w:ascii="Times New Roman" w:hAnsi="Times New Roman"/>
          <w:sz w:val="20"/>
          <w:szCs w:val="20"/>
        </w:rPr>
        <w:t>http://www.scew.gov.au/nepms/assessment-ofsite-contamination.html</w:t>
      </w:r>
      <w:r w:rsidRPr="00FB7962">
        <w:rPr>
          <w:rFonts w:ascii="Times New Roman" w:hAnsi="Times New Roman"/>
          <w:sz w:val="20"/>
          <w:szCs w:val="20"/>
        </w:rPr>
        <w:t xml:space="preserve">. </w:t>
      </w:r>
      <w:r w:rsidRPr="00FB7962">
        <w:rPr>
          <w:rStyle w:val="A9"/>
          <w:rFonts w:ascii="Times New Roman" w:hAnsi="Times New Roman" w:cs="Times New Roman"/>
          <w:color w:val="auto"/>
          <w:sz w:val="20"/>
          <w:szCs w:val="20"/>
        </w:rPr>
        <w:t xml:space="preserve"> Retrieved 6/01/2015.</w:t>
      </w:r>
    </w:p>
    <w:p w:rsidR="00E66197" w:rsidRPr="007A738C" w:rsidRDefault="00E66197" w:rsidP="00FB7962">
      <w:pPr>
        <w:spacing w:after="0" w:line="240" w:lineRule="auto"/>
        <w:rPr>
          <w:rFonts w:ascii="Times New Roman" w:hAnsi="Times New Roman"/>
          <w:noProof/>
          <w:lang w:bidi="ar-SA"/>
        </w:rPr>
      </w:pPr>
    </w:p>
    <w:sectPr w:rsidR="00E66197" w:rsidRPr="007A738C" w:rsidSect="00AB04EC">
      <w:headerReference w:type="even" r:id="rId14"/>
      <w:headerReference w:type="default" r:id="rId15"/>
      <w:footerReference w:type="even" r:id="rId16"/>
      <w:footerReference w:type="default" r:id="rId17"/>
      <w:pgSz w:w="12240" w:h="15840" w:code="1"/>
      <w:pgMar w:top="1800" w:right="1469" w:bottom="1699" w:left="1440" w:header="706" w:footer="706" w:gutter="0"/>
      <w:pgNumType w:start="63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209E" w:rsidRDefault="0079209E" w:rsidP="00FB4C59">
      <w:pPr>
        <w:spacing w:after="0" w:line="240" w:lineRule="auto"/>
      </w:pPr>
      <w:r>
        <w:separator/>
      </w:r>
    </w:p>
  </w:endnote>
  <w:endnote w:type="continuationSeparator" w:id="0">
    <w:p w:rsidR="0079209E" w:rsidRDefault="0079209E"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TimesNewRoman,Italic">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09E" w:rsidRPr="00B75BF6" w:rsidRDefault="0079209E">
    <w:pPr>
      <w:pStyle w:val="Footer"/>
      <w:jc w:val="right"/>
      <w:rPr>
        <w:rFonts w:ascii="Times New Roman" w:hAnsi="Times New Roman"/>
        <w:lang w:val="en-US"/>
      </w:rPr>
    </w:pPr>
    <w:r w:rsidRPr="008E6968">
      <w:rPr>
        <w:rFonts w:ascii="Times New Roman" w:hAnsi="Times New Roman"/>
      </w:rPr>
      <w:fldChar w:fldCharType="begin"/>
    </w:r>
    <w:r w:rsidRPr="008E6968">
      <w:rPr>
        <w:rFonts w:ascii="Times New Roman" w:hAnsi="Times New Roman"/>
      </w:rPr>
      <w:instrText xml:space="preserve"> PAGE   \* MERGEFORMAT </w:instrText>
    </w:r>
    <w:r w:rsidRPr="008E6968">
      <w:rPr>
        <w:rFonts w:ascii="Times New Roman" w:hAnsi="Times New Roman"/>
      </w:rPr>
      <w:fldChar w:fldCharType="separate"/>
    </w:r>
    <w:r w:rsidR="00B71DD6">
      <w:rPr>
        <w:rFonts w:ascii="Times New Roman" w:hAnsi="Times New Roman"/>
        <w:noProof/>
      </w:rPr>
      <w:t>636</w:t>
    </w:r>
    <w:r w:rsidRPr="008E6968">
      <w:rPr>
        <w:rFonts w:ascii="Times New Roman" w:hAnsi="Times New Roman"/>
      </w:rPr>
      <w:fldChar w:fldCharType="end"/>
    </w:r>
  </w:p>
  <w:p w:rsidR="0079209E" w:rsidRDefault="0079209E">
    <w:pPr>
      <w:pStyle w:val="Footer"/>
    </w:pPr>
  </w:p>
  <w:p w:rsidR="0079209E" w:rsidRDefault="0079209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09E" w:rsidRPr="00F447A7" w:rsidRDefault="0079209E">
    <w:pPr>
      <w:pStyle w:val="Footer"/>
      <w:rPr>
        <w:rFonts w:ascii="Times New Roman" w:hAnsi="Times New Roman"/>
        <w:lang w:val="en-US"/>
      </w:rPr>
    </w:pPr>
    <w:r w:rsidRPr="008E6968">
      <w:rPr>
        <w:rFonts w:ascii="Times New Roman" w:hAnsi="Times New Roman"/>
      </w:rPr>
      <w:fldChar w:fldCharType="begin"/>
    </w:r>
    <w:r w:rsidRPr="008E6968">
      <w:rPr>
        <w:rFonts w:ascii="Times New Roman" w:hAnsi="Times New Roman"/>
      </w:rPr>
      <w:instrText xml:space="preserve"> PAGE   \* MERGEFORMAT </w:instrText>
    </w:r>
    <w:r w:rsidRPr="008E6968">
      <w:rPr>
        <w:rFonts w:ascii="Times New Roman" w:hAnsi="Times New Roman"/>
      </w:rPr>
      <w:fldChar w:fldCharType="separate"/>
    </w:r>
    <w:r w:rsidR="00B71DD6">
      <w:rPr>
        <w:rFonts w:ascii="Times New Roman" w:hAnsi="Times New Roman"/>
        <w:noProof/>
      </w:rPr>
      <w:t>647</w:t>
    </w:r>
    <w:r w:rsidRPr="008E6968">
      <w:rPr>
        <w:rFonts w:ascii="Times New Roman" w:hAnsi="Times New Roman"/>
      </w:rPr>
      <w:fldChar w:fldCharType="end"/>
    </w:r>
  </w:p>
  <w:p w:rsidR="0079209E" w:rsidRDefault="0079209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209E" w:rsidRDefault="0079209E" w:rsidP="00FB4C59">
      <w:pPr>
        <w:spacing w:after="0" w:line="240" w:lineRule="auto"/>
      </w:pPr>
      <w:r>
        <w:separator/>
      </w:r>
    </w:p>
  </w:footnote>
  <w:footnote w:type="continuationSeparator" w:id="0">
    <w:p w:rsidR="0079209E" w:rsidRDefault="0079209E"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09E" w:rsidRPr="00663049" w:rsidRDefault="0079209E" w:rsidP="008E6968">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Analytical Sciences, Vol 1</w:t>
    </w:r>
    <w:r>
      <w:rPr>
        <w:rFonts w:ascii="Times New Roman" w:hAnsi="Times New Roman"/>
        <w:i/>
        <w:lang w:val="en-US"/>
      </w:rPr>
      <w:t>9</w:t>
    </w:r>
    <w:r>
      <w:rPr>
        <w:rFonts w:ascii="Times New Roman" w:hAnsi="Times New Roman"/>
        <w:i/>
      </w:rPr>
      <w:t xml:space="preserve"> </w:t>
    </w:r>
    <w:r>
      <w:rPr>
        <w:rFonts w:ascii="Times New Roman" w:hAnsi="Times New Roman"/>
        <w:i/>
        <w:lang w:val="en-US"/>
      </w:rPr>
      <w:t>No 3</w:t>
    </w:r>
    <w:r>
      <w:rPr>
        <w:rFonts w:ascii="Times New Roman" w:hAnsi="Times New Roman"/>
        <w:i/>
      </w:rPr>
      <w:t xml:space="preserve"> (201</w:t>
    </w:r>
    <w:r>
      <w:rPr>
        <w:rFonts w:ascii="Times New Roman" w:hAnsi="Times New Roman"/>
        <w:i/>
        <w:lang w:val="en-US"/>
      </w:rPr>
      <w:t>5</w:t>
    </w:r>
    <w:r w:rsidRPr="00D75B35">
      <w:rPr>
        <w:rFonts w:ascii="Times New Roman" w:hAnsi="Times New Roman"/>
        <w:i/>
      </w:rPr>
      <w:t xml:space="preserve">): </w:t>
    </w:r>
    <w:r w:rsidR="00663049">
      <w:rPr>
        <w:rFonts w:ascii="Times New Roman" w:hAnsi="Times New Roman"/>
        <w:i/>
        <w:lang w:val="en-US"/>
      </w:rPr>
      <w:t>636 - 648</w:t>
    </w:r>
  </w:p>
  <w:p w:rsidR="0079209E" w:rsidRDefault="0079209E">
    <w:pPr>
      <w:pStyle w:val="Header"/>
    </w:pPr>
  </w:p>
  <w:p w:rsidR="0079209E" w:rsidRDefault="0079209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09E" w:rsidRPr="00663049" w:rsidRDefault="00663049" w:rsidP="00663049">
    <w:pPr>
      <w:spacing w:after="0" w:line="240" w:lineRule="auto"/>
      <w:ind w:left="1260" w:hanging="1260"/>
      <w:contextualSpacing/>
      <w:rPr>
        <w:rFonts w:ascii="Times New Roman" w:hAnsi="Times New Roman"/>
        <w:sz w:val="20"/>
        <w:szCs w:val="20"/>
      </w:rPr>
    </w:pPr>
    <w:r>
      <w:rPr>
        <w:rFonts w:ascii="Times New Roman" w:hAnsi="Times New Roman"/>
        <w:sz w:val="20"/>
        <w:szCs w:val="20"/>
      </w:rPr>
      <w:t>Adedosu et al</w:t>
    </w:r>
    <w:r w:rsidR="0079209E" w:rsidRPr="00663049">
      <w:rPr>
        <w:rFonts w:ascii="Times New Roman" w:hAnsi="Times New Roman"/>
        <w:sz w:val="20"/>
        <w:szCs w:val="20"/>
      </w:rPr>
      <w:t xml:space="preserve">:  </w:t>
    </w:r>
    <w:r w:rsidRPr="00663049">
      <w:rPr>
        <w:rFonts w:ascii="Times New Roman" w:hAnsi="Times New Roman"/>
        <w:sz w:val="20"/>
        <w:szCs w:val="20"/>
      </w:rPr>
      <w:t>DISTRIBUTION, SOURCES AND TOXICITY POTENTIALS OF POLYCYCLIC AROMATIC HYDROCARBONS IN SOIL AROUND THE VICI</w:t>
    </w:r>
    <w:r>
      <w:rPr>
        <w:rFonts w:ascii="Times New Roman" w:hAnsi="Times New Roman"/>
        <w:sz w:val="20"/>
        <w:szCs w:val="20"/>
      </w:rPr>
      <w:t>NITY OF BALOGUN-BIRRO DUMPSITE OF OSHOGBO, NIGERIA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753AEF"/>
    <w:multiLevelType w:val="hybridMultilevel"/>
    <w:tmpl w:val="37DC5A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C49FF"/>
    <w:rsid w:val="000F77DA"/>
    <w:rsid w:val="001068E8"/>
    <w:rsid w:val="00117BCD"/>
    <w:rsid w:val="001D035A"/>
    <w:rsid w:val="001D3855"/>
    <w:rsid w:val="001D6F2C"/>
    <w:rsid w:val="002B188F"/>
    <w:rsid w:val="002B3BD8"/>
    <w:rsid w:val="002F3F91"/>
    <w:rsid w:val="00304767"/>
    <w:rsid w:val="00304B34"/>
    <w:rsid w:val="00361BAF"/>
    <w:rsid w:val="0036797F"/>
    <w:rsid w:val="00367D1F"/>
    <w:rsid w:val="003D585B"/>
    <w:rsid w:val="003E7DA6"/>
    <w:rsid w:val="003F12FF"/>
    <w:rsid w:val="004013FA"/>
    <w:rsid w:val="00441501"/>
    <w:rsid w:val="004760D4"/>
    <w:rsid w:val="00494D7C"/>
    <w:rsid w:val="00544B8B"/>
    <w:rsid w:val="005C6768"/>
    <w:rsid w:val="00634C25"/>
    <w:rsid w:val="006416AB"/>
    <w:rsid w:val="00663049"/>
    <w:rsid w:val="006768E9"/>
    <w:rsid w:val="00687982"/>
    <w:rsid w:val="006B3EC8"/>
    <w:rsid w:val="006D695E"/>
    <w:rsid w:val="00725A6A"/>
    <w:rsid w:val="00766A30"/>
    <w:rsid w:val="0079209E"/>
    <w:rsid w:val="007923F3"/>
    <w:rsid w:val="007943F3"/>
    <w:rsid w:val="007A738C"/>
    <w:rsid w:val="007B1349"/>
    <w:rsid w:val="007E2523"/>
    <w:rsid w:val="00802C35"/>
    <w:rsid w:val="0082181A"/>
    <w:rsid w:val="008B470E"/>
    <w:rsid w:val="008D37EC"/>
    <w:rsid w:val="008E5BBF"/>
    <w:rsid w:val="008E6968"/>
    <w:rsid w:val="00A14DB9"/>
    <w:rsid w:val="00A4762A"/>
    <w:rsid w:val="00AB04EC"/>
    <w:rsid w:val="00AD1B8A"/>
    <w:rsid w:val="00AE713F"/>
    <w:rsid w:val="00B1121C"/>
    <w:rsid w:val="00B25B65"/>
    <w:rsid w:val="00B2770A"/>
    <w:rsid w:val="00B314AD"/>
    <w:rsid w:val="00B71DD6"/>
    <w:rsid w:val="00B75BF6"/>
    <w:rsid w:val="00BA1F7B"/>
    <w:rsid w:val="00BB58AF"/>
    <w:rsid w:val="00BD3D50"/>
    <w:rsid w:val="00BE7C30"/>
    <w:rsid w:val="00C055BF"/>
    <w:rsid w:val="00C2226A"/>
    <w:rsid w:val="00C57AFB"/>
    <w:rsid w:val="00C94D92"/>
    <w:rsid w:val="00C97340"/>
    <w:rsid w:val="00CA513F"/>
    <w:rsid w:val="00CF05FF"/>
    <w:rsid w:val="00D340BB"/>
    <w:rsid w:val="00D505D5"/>
    <w:rsid w:val="00D75B35"/>
    <w:rsid w:val="00D76E09"/>
    <w:rsid w:val="00D9736F"/>
    <w:rsid w:val="00D9792A"/>
    <w:rsid w:val="00DB02EA"/>
    <w:rsid w:val="00DB6CEF"/>
    <w:rsid w:val="00E204F8"/>
    <w:rsid w:val="00E66197"/>
    <w:rsid w:val="00F31093"/>
    <w:rsid w:val="00F43667"/>
    <w:rsid w:val="00F447A7"/>
    <w:rsid w:val="00FB4C59"/>
    <w:rsid w:val="00FB7962"/>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styleId="Caption">
    <w:name w:val="caption"/>
    <w:basedOn w:val="Normal"/>
    <w:next w:val="Normal"/>
    <w:uiPriority w:val="35"/>
    <w:unhideWhenUsed/>
    <w:qFormat/>
    <w:rsid w:val="0079209E"/>
    <w:rPr>
      <w:rFonts w:ascii="Calibri" w:eastAsia="Calibri" w:hAnsi="Calibri"/>
      <w:b/>
      <w:bCs/>
      <w:sz w:val="20"/>
      <w:szCs w:val="20"/>
      <w:lang w:bidi="ar-SA"/>
    </w:rPr>
  </w:style>
  <w:style w:type="character" w:styleId="Hyperlink">
    <w:name w:val="Hyperlink"/>
    <w:uiPriority w:val="99"/>
    <w:unhideWhenUsed/>
    <w:rsid w:val="00FB7962"/>
    <w:rPr>
      <w:color w:val="0000FF"/>
      <w:u w:val="single"/>
    </w:rPr>
  </w:style>
  <w:style w:type="character" w:customStyle="1" w:styleId="A9">
    <w:name w:val="A9"/>
    <w:uiPriority w:val="99"/>
    <w:rsid w:val="00FB7962"/>
    <w:rPr>
      <w:rFonts w:cs="Franklin Gothic Book"/>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styleId="Caption">
    <w:name w:val="caption"/>
    <w:basedOn w:val="Normal"/>
    <w:next w:val="Normal"/>
    <w:uiPriority w:val="35"/>
    <w:unhideWhenUsed/>
    <w:qFormat/>
    <w:rsid w:val="0079209E"/>
    <w:rPr>
      <w:rFonts w:ascii="Calibri" w:eastAsia="Calibri" w:hAnsi="Calibri"/>
      <w:b/>
      <w:bCs/>
      <w:sz w:val="20"/>
      <w:szCs w:val="20"/>
      <w:lang w:bidi="ar-SA"/>
    </w:rPr>
  </w:style>
  <w:style w:type="character" w:styleId="Hyperlink">
    <w:name w:val="Hyperlink"/>
    <w:uiPriority w:val="99"/>
    <w:unhideWhenUsed/>
    <w:rsid w:val="00FB7962"/>
    <w:rPr>
      <w:color w:val="0000FF"/>
      <w:u w:val="single"/>
    </w:rPr>
  </w:style>
  <w:style w:type="character" w:customStyle="1" w:styleId="A9">
    <w:name w:val="A9"/>
    <w:uiPriority w:val="99"/>
    <w:rsid w:val="00FB7962"/>
    <w:rPr>
      <w:rFonts w:cs="Franklin Gothic Book"/>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84404">
      <w:bodyDiv w:val="1"/>
      <w:marLeft w:val="0"/>
      <w:marRight w:val="0"/>
      <w:marTop w:val="0"/>
      <w:marBottom w:val="0"/>
      <w:divBdr>
        <w:top w:val="none" w:sz="0" w:space="0" w:color="auto"/>
        <w:left w:val="none" w:sz="0" w:space="0" w:color="auto"/>
        <w:bottom w:val="none" w:sz="0" w:space="0" w:color="auto"/>
        <w:right w:val="none" w:sz="0" w:space="0" w:color="auto"/>
      </w:divBdr>
    </w:div>
    <w:div w:id="180582705">
      <w:bodyDiv w:val="1"/>
      <w:marLeft w:val="0"/>
      <w:marRight w:val="0"/>
      <w:marTop w:val="0"/>
      <w:marBottom w:val="0"/>
      <w:divBdr>
        <w:top w:val="none" w:sz="0" w:space="0" w:color="auto"/>
        <w:left w:val="none" w:sz="0" w:space="0" w:color="auto"/>
        <w:bottom w:val="none" w:sz="0" w:space="0" w:color="auto"/>
        <w:right w:val="none" w:sz="0" w:space="0" w:color="auto"/>
      </w:divBdr>
    </w:div>
    <w:div w:id="617296042">
      <w:bodyDiv w:val="1"/>
      <w:marLeft w:val="0"/>
      <w:marRight w:val="0"/>
      <w:marTop w:val="0"/>
      <w:marBottom w:val="0"/>
      <w:divBdr>
        <w:top w:val="none" w:sz="0" w:space="0" w:color="auto"/>
        <w:left w:val="none" w:sz="0" w:space="0" w:color="auto"/>
        <w:bottom w:val="none" w:sz="0" w:space="0" w:color="auto"/>
        <w:right w:val="none" w:sz="0" w:space="0" w:color="auto"/>
      </w:divBdr>
    </w:div>
    <w:div w:id="742339468">
      <w:bodyDiv w:val="1"/>
      <w:marLeft w:val="0"/>
      <w:marRight w:val="0"/>
      <w:marTop w:val="0"/>
      <w:marBottom w:val="0"/>
      <w:divBdr>
        <w:top w:val="none" w:sz="0" w:space="0" w:color="auto"/>
        <w:left w:val="none" w:sz="0" w:space="0" w:color="auto"/>
        <w:bottom w:val="none" w:sz="0" w:space="0" w:color="auto"/>
        <w:right w:val="none" w:sz="0" w:space="0" w:color="auto"/>
      </w:divBdr>
    </w:div>
    <w:div w:id="1045913893">
      <w:bodyDiv w:val="1"/>
      <w:marLeft w:val="0"/>
      <w:marRight w:val="0"/>
      <w:marTop w:val="0"/>
      <w:marBottom w:val="0"/>
      <w:divBdr>
        <w:top w:val="none" w:sz="0" w:space="0" w:color="auto"/>
        <w:left w:val="none" w:sz="0" w:space="0" w:color="auto"/>
        <w:bottom w:val="none" w:sz="0" w:space="0" w:color="auto"/>
        <w:right w:val="none" w:sz="0" w:space="0" w:color="auto"/>
      </w:divBdr>
    </w:div>
    <w:div w:id="1089080582">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687905550">
      <w:bodyDiv w:val="1"/>
      <w:marLeft w:val="0"/>
      <w:marRight w:val="0"/>
      <w:marTop w:val="0"/>
      <w:marBottom w:val="0"/>
      <w:divBdr>
        <w:top w:val="none" w:sz="0" w:space="0" w:color="auto"/>
        <w:left w:val="none" w:sz="0" w:space="0" w:color="auto"/>
        <w:bottom w:val="none" w:sz="0" w:space="0" w:color="auto"/>
        <w:right w:val="none" w:sz="0" w:space="0" w:color="auto"/>
      </w:divBdr>
    </w:div>
    <w:div w:id="1726023958">
      <w:bodyDiv w:val="1"/>
      <w:marLeft w:val="0"/>
      <w:marRight w:val="0"/>
      <w:marTop w:val="0"/>
      <w:marBottom w:val="0"/>
      <w:divBdr>
        <w:top w:val="none" w:sz="0" w:space="0" w:color="auto"/>
        <w:left w:val="none" w:sz="0" w:space="0" w:color="auto"/>
        <w:bottom w:val="none" w:sz="0" w:space="0" w:color="auto"/>
        <w:right w:val="none" w:sz="0" w:space="0" w:color="auto"/>
      </w:divBdr>
    </w:div>
    <w:div w:id="1831099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tx>
            <c:strRef>
              <c:f>Sheet1!$C$4</c:f>
              <c:strCache>
                <c:ptCount val="1"/>
                <c:pt idx="0">
                  <c:v>%TOC</c:v>
                </c:pt>
              </c:strCache>
            </c:strRef>
          </c:tx>
          <c:spPr>
            <a:ln w="28575">
              <a:noFill/>
            </a:ln>
          </c:spPr>
          <c:trendline>
            <c:trendlineType val="linear"/>
            <c:dispRSqr val="1"/>
            <c:dispEq val="1"/>
            <c:trendlineLbl>
              <c:layout/>
              <c:numFmt formatCode="General" sourceLinked="0"/>
            </c:trendlineLbl>
          </c:trendline>
          <c:xVal>
            <c:numRef>
              <c:f>Sheet1!$B$5:$B$14</c:f>
              <c:numCache>
                <c:formatCode>General</c:formatCode>
                <c:ptCount val="10"/>
                <c:pt idx="0">
                  <c:v>3.0967399999999987</c:v>
                </c:pt>
                <c:pt idx="1">
                  <c:v>3.6529399999999987</c:v>
                </c:pt>
                <c:pt idx="2">
                  <c:v>1.4216399999999974</c:v>
                </c:pt>
                <c:pt idx="3">
                  <c:v>0.52598999999999996</c:v>
                </c:pt>
                <c:pt idx="4">
                  <c:v>0.11373999999999998</c:v>
                </c:pt>
                <c:pt idx="5">
                  <c:v>0.58220999999999956</c:v>
                </c:pt>
                <c:pt idx="6">
                  <c:v>5.6491299999999995</c:v>
                </c:pt>
                <c:pt idx="7">
                  <c:v>0.73207999999999995</c:v>
                </c:pt>
                <c:pt idx="8">
                  <c:v>0.55344000000000004</c:v>
                </c:pt>
                <c:pt idx="9">
                  <c:v>0.742120000000001</c:v>
                </c:pt>
              </c:numCache>
            </c:numRef>
          </c:xVal>
          <c:yVal>
            <c:numRef>
              <c:f>Sheet1!$C$5:$C$14</c:f>
              <c:numCache>
                <c:formatCode>General</c:formatCode>
                <c:ptCount val="10"/>
                <c:pt idx="0">
                  <c:v>6.3</c:v>
                </c:pt>
                <c:pt idx="1">
                  <c:v>6.6599999999999975</c:v>
                </c:pt>
                <c:pt idx="2">
                  <c:v>6.34</c:v>
                </c:pt>
                <c:pt idx="3">
                  <c:v>6.38</c:v>
                </c:pt>
                <c:pt idx="4">
                  <c:v>6.7</c:v>
                </c:pt>
                <c:pt idx="5">
                  <c:v>7.6599999999999975</c:v>
                </c:pt>
                <c:pt idx="6">
                  <c:v>7.18</c:v>
                </c:pt>
                <c:pt idx="7">
                  <c:v>6.74</c:v>
                </c:pt>
                <c:pt idx="8">
                  <c:v>7.5</c:v>
                </c:pt>
                <c:pt idx="9">
                  <c:v>6.3</c:v>
                </c:pt>
              </c:numCache>
            </c:numRef>
          </c:yVal>
          <c:smooth val="0"/>
        </c:ser>
        <c:dLbls>
          <c:showLegendKey val="0"/>
          <c:showVal val="0"/>
          <c:showCatName val="0"/>
          <c:showSerName val="0"/>
          <c:showPercent val="0"/>
          <c:showBubbleSize val="0"/>
        </c:dLbls>
        <c:axId val="109591168"/>
        <c:axId val="109617920"/>
      </c:scatterChart>
      <c:valAx>
        <c:axId val="109591168"/>
        <c:scaling>
          <c:orientation val="minMax"/>
        </c:scaling>
        <c:delete val="0"/>
        <c:axPos val="b"/>
        <c:title>
          <c:tx>
            <c:rich>
              <a:bodyPr/>
              <a:lstStyle/>
              <a:p>
                <a:pPr>
                  <a:defRPr/>
                </a:pPr>
                <a:r>
                  <a:rPr lang="en-US"/>
                  <a:t>Total Concentration of PAHs</a:t>
                </a:r>
              </a:p>
            </c:rich>
          </c:tx>
          <c:layout/>
          <c:overlay val="0"/>
        </c:title>
        <c:numFmt formatCode="General" sourceLinked="1"/>
        <c:majorTickMark val="out"/>
        <c:minorTickMark val="none"/>
        <c:tickLblPos val="nextTo"/>
        <c:crossAx val="109617920"/>
        <c:crosses val="autoZero"/>
        <c:crossBetween val="midCat"/>
      </c:valAx>
      <c:valAx>
        <c:axId val="109617920"/>
        <c:scaling>
          <c:orientation val="minMax"/>
        </c:scaling>
        <c:delete val="0"/>
        <c:axPos val="l"/>
        <c:title>
          <c:tx>
            <c:rich>
              <a:bodyPr rot="0" vert="horz"/>
              <a:lstStyle/>
              <a:p>
                <a:pPr>
                  <a:defRPr/>
                </a:pPr>
                <a:r>
                  <a:rPr lang="en-US"/>
                  <a:t>%</a:t>
                </a:r>
                <a:r>
                  <a:rPr lang="en-US" baseline="0"/>
                  <a:t> TOC</a:t>
                </a:r>
                <a:endParaRPr lang="en-US"/>
              </a:p>
            </c:rich>
          </c:tx>
          <c:layout/>
          <c:overlay val="0"/>
        </c:title>
        <c:numFmt formatCode="General" sourceLinked="1"/>
        <c:majorTickMark val="out"/>
        <c:minorTickMark val="none"/>
        <c:tickLblPos val="nextTo"/>
        <c:crossAx val="109591168"/>
        <c:crosses val="autoZero"/>
        <c:crossBetween val="midCat"/>
      </c:valAx>
    </c:plotArea>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25D5F1-BDCE-4199-93F4-645A1B277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13</Pages>
  <Words>6032</Words>
  <Characters>34384</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MJAS Vol 19 No 2 (2015)</vt:lpstr>
    </vt:vector>
  </TitlesOfParts>
  <Company>UKM</Company>
  <LinksUpToDate>false</LinksUpToDate>
  <CharactersWithSpaces>40336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19 No 2 (2015)</dc:title>
  <dc:creator>Harun Hj Hamzah</dc:creator>
  <cp:lastModifiedBy>ANALIS</cp:lastModifiedBy>
  <cp:revision>10</cp:revision>
  <cp:lastPrinted>2015-06-05T06:56:00Z</cp:lastPrinted>
  <dcterms:created xsi:type="dcterms:W3CDTF">2015-06-04T14:37:00Z</dcterms:created>
  <dcterms:modified xsi:type="dcterms:W3CDTF">2015-06-05T06:56:00Z</dcterms:modified>
</cp:coreProperties>
</file>