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023CE1" w:rsidRPr="00111474" w:rsidRDefault="00023CE1" w:rsidP="00023CE1">
      <w:pPr>
        <w:spacing w:after="0" w:line="240" w:lineRule="auto"/>
        <w:jc w:val="center"/>
        <w:rPr>
          <w:rFonts w:ascii="Times New Roman" w:hAnsi="Times New Roman"/>
          <w:sz w:val="28"/>
        </w:rPr>
      </w:pPr>
      <w:r w:rsidRPr="00111474">
        <w:rPr>
          <w:rFonts w:ascii="Times New Roman" w:hAnsi="Times New Roman"/>
          <w:sz w:val="28"/>
        </w:rPr>
        <w:t>SPECTROFLUORIMETRIC DETERMINATION OF BRASSINOSTEROIDS PLANT HORMONES IN BIO-EXTRACT SAMPLES</w:t>
      </w:r>
    </w:p>
    <w:p w:rsidR="006768E9" w:rsidRPr="00802DCC" w:rsidRDefault="006768E9" w:rsidP="00023CE1">
      <w:pPr>
        <w:spacing w:after="0" w:line="240" w:lineRule="auto"/>
        <w:jc w:val="center"/>
        <w:rPr>
          <w:rFonts w:ascii="Times New Roman" w:hAnsi="Times New Roman"/>
          <w:noProof/>
          <w:sz w:val="24"/>
          <w:szCs w:val="24"/>
          <w:lang w:bidi="ar-SA"/>
        </w:rPr>
      </w:pPr>
    </w:p>
    <w:p w:rsidR="00023CE1" w:rsidRDefault="00023CE1" w:rsidP="00023CE1">
      <w:pPr>
        <w:spacing w:after="0" w:line="240" w:lineRule="auto"/>
        <w:jc w:val="center"/>
        <w:rPr>
          <w:rFonts w:ascii="Times New Roman" w:hAnsi="Times New Roman"/>
          <w:sz w:val="24"/>
          <w:szCs w:val="24"/>
        </w:rPr>
      </w:pPr>
      <w:r w:rsidRPr="00111474">
        <w:rPr>
          <w:rFonts w:ascii="Times New Roman" w:hAnsi="Times New Roman"/>
          <w:sz w:val="24"/>
          <w:szCs w:val="24"/>
        </w:rPr>
        <w:t xml:space="preserve">(Penentuan spektrofluorimetrik bagi Hormon Tumbuhan Brassinosteroids dalam Sampel </w:t>
      </w:r>
    </w:p>
    <w:p w:rsidR="00023CE1" w:rsidRPr="00111474" w:rsidRDefault="00023CE1" w:rsidP="00023CE1">
      <w:pPr>
        <w:spacing w:after="0" w:line="240" w:lineRule="auto"/>
        <w:jc w:val="center"/>
        <w:rPr>
          <w:rFonts w:ascii="Times New Roman" w:hAnsi="Times New Roman"/>
          <w:sz w:val="24"/>
          <w:szCs w:val="24"/>
        </w:rPr>
      </w:pPr>
      <w:r w:rsidRPr="00111474">
        <w:rPr>
          <w:rFonts w:ascii="Times New Roman" w:hAnsi="Times New Roman"/>
          <w:sz w:val="24"/>
          <w:szCs w:val="24"/>
        </w:rPr>
        <w:t>Bio-Ekstrak)</w:t>
      </w:r>
    </w:p>
    <w:p w:rsidR="006768E9" w:rsidRPr="00802DCC" w:rsidRDefault="006768E9" w:rsidP="00023CE1">
      <w:pPr>
        <w:spacing w:after="0" w:line="240" w:lineRule="auto"/>
        <w:jc w:val="center"/>
        <w:rPr>
          <w:rFonts w:ascii="Times New Roman" w:hAnsi="Times New Roman"/>
          <w:noProof/>
          <w:sz w:val="20"/>
          <w:szCs w:val="20"/>
          <w:lang w:bidi="ar-SA"/>
        </w:rPr>
      </w:pPr>
    </w:p>
    <w:p w:rsidR="00023CE1" w:rsidRPr="00A10006" w:rsidRDefault="00023CE1" w:rsidP="00023CE1">
      <w:pPr>
        <w:spacing w:after="0" w:line="240" w:lineRule="auto"/>
        <w:jc w:val="center"/>
        <w:rPr>
          <w:rFonts w:ascii="Times New Roman" w:eastAsia="Calibri" w:hAnsi="Times New Roman"/>
          <w:color w:val="FF0000"/>
          <w:sz w:val="20"/>
          <w:szCs w:val="20"/>
        </w:rPr>
      </w:pPr>
      <w:r w:rsidRPr="00A10006">
        <w:rPr>
          <w:rFonts w:ascii="Times New Roman" w:eastAsia="Calibri" w:hAnsi="Times New Roman"/>
          <w:sz w:val="20"/>
          <w:szCs w:val="20"/>
        </w:rPr>
        <w:t>Napa Tangtreamjitmun</w:t>
      </w:r>
      <w:r w:rsidRPr="0001438B">
        <w:rPr>
          <w:rFonts w:ascii="Times New Roman" w:eastAsia="Calibri" w:hAnsi="Times New Roman"/>
          <w:sz w:val="20"/>
          <w:szCs w:val="20"/>
        </w:rPr>
        <w:t xml:space="preserve">* </w:t>
      </w:r>
      <w:r>
        <w:rPr>
          <w:rFonts w:ascii="Times New Roman" w:eastAsia="Calibri" w:hAnsi="Times New Roman"/>
          <w:sz w:val="20"/>
          <w:szCs w:val="20"/>
        </w:rPr>
        <w:t xml:space="preserve">and </w:t>
      </w:r>
      <w:r w:rsidRPr="00A10006">
        <w:rPr>
          <w:rFonts w:ascii="Times New Roman" w:eastAsia="Calibri" w:hAnsi="Times New Roman"/>
          <w:sz w:val="20"/>
          <w:szCs w:val="20"/>
        </w:rPr>
        <w:t>Kanokporn Chindaphan</w:t>
      </w:r>
    </w:p>
    <w:p w:rsidR="006768E9" w:rsidRPr="00802DCC" w:rsidRDefault="006768E9" w:rsidP="00023CE1">
      <w:pPr>
        <w:spacing w:after="0" w:line="240" w:lineRule="auto"/>
        <w:jc w:val="center"/>
        <w:rPr>
          <w:rFonts w:ascii="Times New Roman" w:hAnsi="Times New Roman"/>
          <w:noProof/>
          <w:sz w:val="18"/>
          <w:szCs w:val="18"/>
          <w:lang w:bidi="ar-SA"/>
        </w:rPr>
      </w:pPr>
    </w:p>
    <w:p w:rsidR="00023CE1" w:rsidRDefault="00023CE1" w:rsidP="00023CE1">
      <w:pPr>
        <w:spacing w:after="0" w:line="240" w:lineRule="auto"/>
        <w:jc w:val="center"/>
        <w:rPr>
          <w:rFonts w:ascii="Times New Roman" w:eastAsia="Calibri" w:hAnsi="Times New Roman"/>
          <w:i/>
          <w:iCs/>
          <w:sz w:val="18"/>
          <w:szCs w:val="18"/>
        </w:rPr>
      </w:pPr>
      <w:r w:rsidRPr="00A10006">
        <w:rPr>
          <w:rFonts w:ascii="Times New Roman" w:eastAsia="Calibri" w:hAnsi="Times New Roman"/>
          <w:i/>
          <w:iCs/>
          <w:sz w:val="18"/>
          <w:szCs w:val="18"/>
        </w:rPr>
        <w:t xml:space="preserve">Department of Chemistry, </w:t>
      </w:r>
    </w:p>
    <w:p w:rsidR="00023CE1" w:rsidRDefault="00023CE1" w:rsidP="00023CE1">
      <w:pPr>
        <w:spacing w:after="0" w:line="240" w:lineRule="auto"/>
        <w:jc w:val="center"/>
        <w:rPr>
          <w:rFonts w:ascii="Times New Roman" w:eastAsia="Calibri" w:hAnsi="Times New Roman"/>
          <w:i/>
          <w:iCs/>
          <w:sz w:val="18"/>
          <w:szCs w:val="18"/>
        </w:rPr>
      </w:pPr>
      <w:r w:rsidRPr="00A10006">
        <w:rPr>
          <w:rFonts w:ascii="Times New Roman" w:eastAsia="Calibri" w:hAnsi="Times New Roman"/>
          <w:i/>
          <w:iCs/>
          <w:sz w:val="18"/>
          <w:szCs w:val="18"/>
        </w:rPr>
        <w:t xml:space="preserve">Faculty of Science, </w:t>
      </w:r>
    </w:p>
    <w:p w:rsidR="00023CE1" w:rsidRPr="00023CE1" w:rsidRDefault="00023CE1" w:rsidP="00023CE1">
      <w:pPr>
        <w:spacing w:after="0" w:line="240" w:lineRule="auto"/>
        <w:jc w:val="center"/>
        <w:rPr>
          <w:rFonts w:ascii="Times New Roman" w:eastAsia="Calibri" w:hAnsi="Times New Roman"/>
          <w:i/>
          <w:iCs/>
          <w:color w:val="FF0000"/>
          <w:sz w:val="18"/>
          <w:szCs w:val="18"/>
        </w:rPr>
      </w:pPr>
      <w:r w:rsidRPr="00A10006">
        <w:rPr>
          <w:rFonts w:ascii="Times New Roman" w:eastAsia="Calibri" w:hAnsi="Times New Roman"/>
          <w:i/>
          <w:iCs/>
          <w:sz w:val="18"/>
          <w:szCs w:val="18"/>
          <w:lang w:val="en-NZ"/>
        </w:rPr>
        <w:t>Burapha University, Mueang,</w:t>
      </w:r>
      <w:r>
        <w:rPr>
          <w:rFonts w:ascii="Times New Roman" w:eastAsia="Calibri" w:hAnsi="Times New Roman"/>
          <w:i/>
          <w:iCs/>
          <w:color w:val="FF0000"/>
          <w:sz w:val="18"/>
          <w:szCs w:val="18"/>
        </w:rPr>
        <w:t xml:space="preserve"> </w:t>
      </w:r>
      <w:r w:rsidRPr="00A10006">
        <w:rPr>
          <w:rFonts w:ascii="Times New Roman" w:eastAsia="Calibri" w:hAnsi="Times New Roman"/>
          <w:i/>
          <w:iCs/>
          <w:sz w:val="18"/>
          <w:szCs w:val="18"/>
          <w:lang w:val="en-NZ"/>
        </w:rPr>
        <w:t xml:space="preserve">Chonburi, </w:t>
      </w:r>
      <w:r w:rsidRPr="00A10006">
        <w:rPr>
          <w:rFonts w:ascii="Times New Roman" w:eastAsia="Calibri" w:hAnsi="Times New Roman"/>
          <w:i/>
          <w:iCs/>
          <w:sz w:val="18"/>
          <w:szCs w:val="18"/>
        </w:rPr>
        <w:t>20131 Thailand</w:t>
      </w:r>
    </w:p>
    <w:p w:rsidR="006768E9" w:rsidRPr="00802DCC" w:rsidRDefault="006768E9" w:rsidP="00023CE1">
      <w:pPr>
        <w:spacing w:after="0" w:line="240" w:lineRule="auto"/>
        <w:jc w:val="center"/>
        <w:rPr>
          <w:rFonts w:ascii="Times New Roman" w:hAnsi="Times New Roman"/>
          <w:noProof/>
          <w:sz w:val="18"/>
          <w:szCs w:val="18"/>
          <w:lang w:bidi="ar-SA"/>
        </w:rPr>
      </w:pPr>
    </w:p>
    <w:p w:rsidR="006768E9" w:rsidRDefault="006768E9" w:rsidP="00023CE1">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023CE1" w:rsidRPr="00590631">
        <w:rPr>
          <w:rFonts w:ascii="Times New Roman" w:eastAsia="Calibri" w:hAnsi="Times New Roman"/>
          <w:bCs/>
          <w:i/>
          <w:iCs/>
          <w:sz w:val="18"/>
          <w:szCs w:val="18"/>
        </w:rPr>
        <w:t>napa@buu.ac.th</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023CE1">
        <w:rPr>
          <w:rFonts w:ascii="Times New Roman" w:hAnsi="Times New Roman"/>
          <w:noProof/>
          <w:sz w:val="18"/>
          <w:szCs w:val="18"/>
          <w:lang w:bidi="ar-SA"/>
        </w:rPr>
        <w:t>13 April 2015</w:t>
      </w:r>
      <w:r w:rsidRPr="00E41EE7">
        <w:rPr>
          <w:rFonts w:ascii="Times New Roman" w:hAnsi="Times New Roman"/>
          <w:noProof/>
          <w:sz w:val="18"/>
          <w:szCs w:val="18"/>
          <w:lang w:bidi="ar-SA"/>
        </w:rPr>
        <w:t>; Accepted:</w:t>
      </w:r>
      <w:r w:rsidR="00023CE1">
        <w:rPr>
          <w:rFonts w:ascii="Times New Roman" w:hAnsi="Times New Roman"/>
          <w:noProof/>
          <w:sz w:val="18"/>
          <w:szCs w:val="18"/>
          <w:lang w:bidi="ar-SA"/>
        </w:rPr>
        <w:t xml:space="preserve"> 19 May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023CE1" w:rsidRPr="0092710B" w:rsidRDefault="00023CE1" w:rsidP="00023CE1">
      <w:pPr>
        <w:spacing w:after="0" w:line="240" w:lineRule="auto"/>
        <w:jc w:val="both"/>
        <w:rPr>
          <w:rFonts w:ascii="Times New Roman" w:hAnsi="Times New Roman"/>
          <w:b/>
          <w:bCs/>
          <w:sz w:val="18"/>
          <w:szCs w:val="18"/>
        </w:rPr>
      </w:pPr>
      <w:r w:rsidRPr="0092710B">
        <w:rPr>
          <w:rFonts w:ascii="Times New Roman" w:hAnsi="Times New Roman"/>
          <w:sz w:val="18"/>
          <w:szCs w:val="18"/>
        </w:rPr>
        <w:t xml:space="preserve">A spectrofluorometric method was developed for determination of brassinosteroids plant hormones based on the reaction between brassinolide and </w:t>
      </w:r>
      <w:r w:rsidRPr="0092710B">
        <w:rPr>
          <w:rFonts w:ascii="Times New Roman" w:hAnsi="Times New Roman"/>
          <w:i/>
          <w:iCs/>
          <w:sz w:val="18"/>
          <w:szCs w:val="18"/>
        </w:rPr>
        <w:t>m</w:t>
      </w:r>
      <w:r w:rsidRPr="0092710B">
        <w:rPr>
          <w:rFonts w:ascii="Times New Roman" w:hAnsi="Times New Roman"/>
          <w:sz w:val="18"/>
          <w:szCs w:val="18"/>
        </w:rPr>
        <w:t xml:space="preserve">-dansylaminophenylboronic acid. </w:t>
      </w:r>
      <w:r w:rsidRPr="0092710B">
        <w:rPr>
          <w:rFonts w:ascii="Times New Roman" w:eastAsia="SimSun" w:hAnsi="Times New Roman"/>
          <w:sz w:val="18"/>
          <w:szCs w:val="18"/>
          <w:lang w:eastAsia="zh-CN"/>
        </w:rPr>
        <w:t xml:space="preserve">90 µM of </w:t>
      </w:r>
      <w:r w:rsidRPr="0092710B">
        <w:rPr>
          <w:rFonts w:ascii="Times New Roman" w:hAnsi="Times New Roman"/>
          <w:i/>
          <w:iCs/>
          <w:sz w:val="18"/>
          <w:szCs w:val="18"/>
        </w:rPr>
        <w:t>m</w:t>
      </w:r>
      <w:r w:rsidRPr="0092710B">
        <w:rPr>
          <w:rFonts w:ascii="Times New Roman" w:hAnsi="Times New Roman"/>
          <w:sz w:val="18"/>
          <w:szCs w:val="18"/>
        </w:rPr>
        <w:t>-dansylaminophenylboronic acid</w:t>
      </w:r>
      <w:r w:rsidRPr="0092710B">
        <w:rPr>
          <w:rFonts w:ascii="Times New Roman" w:eastAsia="SimSun" w:hAnsi="Times New Roman"/>
          <w:sz w:val="18"/>
          <w:szCs w:val="18"/>
          <w:lang w:eastAsia="zh-CN"/>
        </w:rPr>
        <w:t xml:space="preserve"> solution was chosen as the optimal concentration of the reagent. </w:t>
      </w:r>
      <w:r w:rsidRPr="0092710B">
        <w:rPr>
          <w:rFonts w:ascii="Times New Roman" w:hAnsi="Times New Roman"/>
          <w:sz w:val="18"/>
          <w:szCs w:val="18"/>
        </w:rPr>
        <w:t>The temperature of the reaction was 30°C (room temperature) for 20 min duration in 5 mM phosphate buffer solution, pH 7. The excitation and emission wavelengths were 380 nm and 505 nm, respectively. Under optimal condition, linearity was found in the range 1-5</w:t>
      </w:r>
      <w:r w:rsidRPr="0092710B">
        <w:rPr>
          <w:rFonts w:ascii="Times New Roman" w:eastAsia="SimSun" w:hAnsi="Times New Roman"/>
          <w:sz w:val="18"/>
          <w:szCs w:val="18"/>
          <w:lang w:eastAsia="zh-CN"/>
        </w:rPr>
        <w:t>0 µ</w:t>
      </w:r>
      <w:r w:rsidRPr="0092710B">
        <w:rPr>
          <w:rFonts w:ascii="Times New Roman" w:hAnsi="Times New Roman"/>
          <w:sz w:val="18"/>
          <w:szCs w:val="18"/>
        </w:rPr>
        <w:t>M. Standard addition was used for the brassinosteroids determination in bio-extract samples, without any sample preparation. Limit of detection (3</w:t>
      </w:r>
      <w:r w:rsidRPr="0092710B">
        <w:rPr>
          <w:rFonts w:ascii="Times New Roman" w:hAnsi="Times New Roman"/>
          <w:i/>
          <w:iCs/>
          <w:sz w:val="18"/>
          <w:szCs w:val="18"/>
        </w:rPr>
        <w:t>SD</w:t>
      </w:r>
      <w:r w:rsidRPr="0092710B">
        <w:rPr>
          <w:rFonts w:ascii="Times New Roman" w:hAnsi="Times New Roman"/>
          <w:sz w:val="18"/>
          <w:szCs w:val="18"/>
        </w:rPr>
        <w:t xml:space="preserve">, n=10) of 0.24 </w:t>
      </w:r>
      <w:r w:rsidRPr="0092710B">
        <w:rPr>
          <w:rFonts w:ascii="Times New Roman" w:eastAsia="SimSun" w:hAnsi="Times New Roman"/>
          <w:sz w:val="18"/>
          <w:szCs w:val="18"/>
          <w:lang w:eastAsia="zh-CN"/>
        </w:rPr>
        <w:t>µ</w:t>
      </w:r>
      <w:r w:rsidRPr="0092710B">
        <w:rPr>
          <w:rFonts w:ascii="Times New Roman" w:hAnsi="Times New Roman"/>
          <w:sz w:val="18"/>
          <w:szCs w:val="18"/>
        </w:rPr>
        <w:t>M and limit of quantitation (10</w:t>
      </w:r>
      <w:r w:rsidRPr="0092710B">
        <w:rPr>
          <w:rFonts w:ascii="Times New Roman" w:hAnsi="Times New Roman"/>
          <w:i/>
          <w:iCs/>
          <w:sz w:val="18"/>
          <w:szCs w:val="18"/>
        </w:rPr>
        <w:t>SD,</w:t>
      </w:r>
      <w:r w:rsidRPr="0092710B">
        <w:rPr>
          <w:rFonts w:ascii="Times New Roman" w:hAnsi="Times New Roman"/>
          <w:sz w:val="18"/>
          <w:szCs w:val="18"/>
        </w:rPr>
        <w:t xml:space="preserve"> n=10) of 0.48 </w:t>
      </w:r>
      <w:r w:rsidRPr="0092710B">
        <w:rPr>
          <w:rFonts w:ascii="Times New Roman" w:eastAsia="SimSun" w:hAnsi="Times New Roman"/>
          <w:sz w:val="18"/>
          <w:szCs w:val="18"/>
          <w:lang w:eastAsia="zh-CN"/>
        </w:rPr>
        <w:t>µ</w:t>
      </w:r>
      <w:r w:rsidRPr="0092710B">
        <w:rPr>
          <w:rFonts w:ascii="Times New Roman" w:hAnsi="Times New Roman"/>
          <w:sz w:val="18"/>
          <w:szCs w:val="18"/>
        </w:rPr>
        <w:t>M were obtained using sample blank with this standard addition method.</w:t>
      </w:r>
      <w:r w:rsidRPr="0092710B">
        <w:rPr>
          <w:rFonts w:ascii="Times New Roman" w:hAnsi="Times New Roman"/>
          <w:color w:val="000000"/>
          <w:sz w:val="18"/>
          <w:szCs w:val="18"/>
        </w:rPr>
        <w:t xml:space="preserve"> Result was demonstrated to be a suitable semi-quantitative technique and was applied successfully for the determination of </w:t>
      </w:r>
      <w:r w:rsidRPr="0092710B">
        <w:rPr>
          <w:rFonts w:ascii="Times New Roman" w:hAnsi="Times New Roman"/>
          <w:sz w:val="18"/>
          <w:szCs w:val="18"/>
        </w:rPr>
        <w:t>total brassinosteroids plant hormones</w:t>
      </w:r>
      <w:r w:rsidRPr="0092710B">
        <w:rPr>
          <w:rFonts w:ascii="Times New Roman" w:hAnsi="Times New Roman"/>
          <w:color w:val="000000"/>
          <w:sz w:val="18"/>
          <w:szCs w:val="18"/>
        </w:rPr>
        <w:t xml:space="preserve"> equivalent to brassinolide.</w:t>
      </w:r>
      <w:r w:rsidRPr="0092710B">
        <w:rPr>
          <w:rFonts w:ascii="Times New Roman" w:hAnsi="Times New Roman"/>
          <w:sz w:val="18"/>
          <w:szCs w:val="18"/>
        </w:rPr>
        <w:t xml:space="preserve">  </w:t>
      </w:r>
    </w:p>
    <w:p w:rsidR="00023CE1" w:rsidRPr="0092710B" w:rsidRDefault="00023CE1" w:rsidP="00023CE1">
      <w:pPr>
        <w:spacing w:after="0" w:line="240" w:lineRule="auto"/>
        <w:jc w:val="both"/>
        <w:rPr>
          <w:rFonts w:ascii="Times New Roman" w:hAnsi="Times New Roman"/>
          <w:b/>
          <w:bCs/>
          <w:sz w:val="18"/>
          <w:szCs w:val="18"/>
        </w:rPr>
      </w:pPr>
    </w:p>
    <w:p w:rsidR="00023CE1" w:rsidRPr="0092710B" w:rsidRDefault="00023CE1" w:rsidP="00023CE1">
      <w:pPr>
        <w:spacing w:after="0" w:line="240" w:lineRule="auto"/>
        <w:jc w:val="both"/>
        <w:rPr>
          <w:rFonts w:ascii="Times New Roman" w:hAnsi="Times New Roman"/>
          <w:sz w:val="18"/>
          <w:szCs w:val="18"/>
        </w:rPr>
      </w:pPr>
      <w:r>
        <w:rPr>
          <w:rFonts w:ascii="Times New Roman" w:hAnsi="Times New Roman"/>
          <w:b/>
          <w:bCs/>
          <w:sz w:val="18"/>
          <w:szCs w:val="18"/>
        </w:rPr>
        <w:t>Key</w:t>
      </w:r>
      <w:r w:rsidRPr="0092710B">
        <w:rPr>
          <w:rFonts w:ascii="Times New Roman" w:hAnsi="Times New Roman"/>
          <w:b/>
          <w:bCs/>
          <w:sz w:val="18"/>
          <w:szCs w:val="18"/>
        </w:rPr>
        <w:t xml:space="preserve">words: </w:t>
      </w:r>
      <w:r>
        <w:rPr>
          <w:rFonts w:ascii="Times New Roman" w:hAnsi="Times New Roman"/>
          <w:sz w:val="18"/>
          <w:szCs w:val="18"/>
        </w:rPr>
        <w:t>brassinolide, b</w:t>
      </w:r>
      <w:r w:rsidRPr="0092710B">
        <w:rPr>
          <w:rFonts w:ascii="Times New Roman" w:hAnsi="Times New Roman"/>
          <w:sz w:val="18"/>
          <w:szCs w:val="18"/>
        </w:rPr>
        <w:t>rassinosteroids,</w:t>
      </w:r>
      <w:r w:rsidRPr="0092710B">
        <w:rPr>
          <w:rFonts w:ascii="Times New Roman" w:hAnsi="Times New Roman"/>
          <w:i/>
          <w:iCs/>
          <w:sz w:val="18"/>
          <w:szCs w:val="18"/>
        </w:rPr>
        <w:t xml:space="preserve"> m</w:t>
      </w:r>
      <w:r w:rsidRPr="0092710B">
        <w:rPr>
          <w:rFonts w:ascii="Times New Roman" w:hAnsi="Times New Roman"/>
          <w:sz w:val="18"/>
          <w:szCs w:val="18"/>
        </w:rPr>
        <w:t xml:space="preserve">-dansylaminophenylboronic acid, </w:t>
      </w:r>
      <w:r>
        <w:rPr>
          <w:rFonts w:ascii="Times New Roman" w:hAnsi="Times New Roman"/>
          <w:sz w:val="18"/>
          <w:szCs w:val="18"/>
        </w:rPr>
        <w:t>bio-extract, s</w:t>
      </w:r>
      <w:r w:rsidRPr="0092710B">
        <w:rPr>
          <w:rFonts w:ascii="Times New Roman" w:hAnsi="Times New Roman"/>
          <w:sz w:val="18"/>
          <w:szCs w:val="18"/>
        </w:rPr>
        <w:t>pectrofluorometry</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023CE1" w:rsidRPr="0092710B" w:rsidRDefault="00023CE1" w:rsidP="00023CE1">
      <w:pPr>
        <w:spacing w:after="0" w:line="240" w:lineRule="auto"/>
        <w:jc w:val="thaiDistribute"/>
        <w:rPr>
          <w:rFonts w:ascii="Times New Roman" w:hAnsi="Times New Roman"/>
          <w:sz w:val="18"/>
          <w:szCs w:val="18"/>
        </w:rPr>
      </w:pPr>
      <w:r w:rsidRPr="0092710B">
        <w:rPr>
          <w:rFonts w:ascii="Times New Roman" w:hAnsi="Times New Roman"/>
          <w:sz w:val="18"/>
          <w:szCs w:val="18"/>
        </w:rPr>
        <w:t xml:space="preserve">Kaedah spektroflourometrik telah dibangunkan bagi penentuan hormon tumbuhan brassinosteroids berdasarkan tindak balas antara brassinolide dan asid m-dansylaminofenilboronik. 90 μM larutan asid m-dansylaminofenilboronik dipilih sebagai reagen pada kepekatan optimum. Suhu tindak balas adalah 30 °C (suhu bilik) untuk tempoh 20 min di dalam 5 mM larutan penimbal fosfat, pH 7. Panjang gelombang pengujaan dan pancaran masing – masing adalah 380 nm dan 505 nm. Di bawah keadaan optimum, kelinearan diperolehi di dalam julat 1-50 μM. Penambahan larutan piawai digunakan bagi penentuan brassinosteroids di dalam sampel bio-ekstrak, tanpa sebarang penyediaan sampel. Had pengesanan (3SD, n = 10) iaitu 0.24 μM dan had kuatifikasi (10SD, n = 10) iaitu 0.48 μM telah diperolehi dengan menggunakan sampel pengosong dan larutan piawai yang ditambah. Keputusan menunjukkan bahawa kaedah semi kuantitatif ini sesuai dan boleh diaplikasikan bagi penentuan jumlah hormon brassinosteroids di dalam tumbuhan yang bersamaan dengan kandungan brassinolide. </w:t>
      </w:r>
    </w:p>
    <w:p w:rsidR="00023CE1" w:rsidRPr="0092710B" w:rsidRDefault="00023CE1" w:rsidP="00023CE1">
      <w:pPr>
        <w:spacing w:after="0" w:line="240" w:lineRule="auto"/>
        <w:jc w:val="thaiDistribute"/>
        <w:rPr>
          <w:rFonts w:ascii="Times New Roman" w:hAnsi="Times New Roman"/>
          <w:sz w:val="18"/>
          <w:szCs w:val="18"/>
        </w:rPr>
      </w:pPr>
    </w:p>
    <w:p w:rsidR="006768E9" w:rsidRPr="00802DCC" w:rsidRDefault="00023CE1" w:rsidP="00023CE1">
      <w:pPr>
        <w:spacing w:after="0" w:line="240" w:lineRule="auto"/>
        <w:jc w:val="thaiDistribute"/>
        <w:rPr>
          <w:rFonts w:ascii="Times New Roman" w:hAnsi="Times New Roman"/>
          <w:sz w:val="18"/>
          <w:szCs w:val="18"/>
        </w:rPr>
      </w:pPr>
      <w:r w:rsidRPr="0092710B">
        <w:rPr>
          <w:rFonts w:ascii="Times New Roman" w:hAnsi="Times New Roman"/>
          <w:b/>
          <w:bCs/>
          <w:sz w:val="18"/>
          <w:szCs w:val="18"/>
        </w:rPr>
        <w:t xml:space="preserve">Kata kunci: </w:t>
      </w:r>
      <w:r>
        <w:rPr>
          <w:rFonts w:ascii="Times New Roman" w:hAnsi="Times New Roman"/>
          <w:sz w:val="18"/>
          <w:szCs w:val="18"/>
        </w:rPr>
        <w:t>brassinolide, b</w:t>
      </w:r>
      <w:r w:rsidRPr="0092710B">
        <w:rPr>
          <w:rFonts w:ascii="Times New Roman" w:hAnsi="Times New Roman"/>
          <w:sz w:val="18"/>
          <w:szCs w:val="18"/>
        </w:rPr>
        <w:t>rassinosteroids,</w:t>
      </w:r>
      <w:r w:rsidRPr="0092710B">
        <w:rPr>
          <w:rFonts w:ascii="Times New Roman" w:hAnsi="Times New Roman"/>
          <w:i/>
          <w:iCs/>
          <w:sz w:val="18"/>
          <w:szCs w:val="18"/>
        </w:rPr>
        <w:t xml:space="preserve"> </w:t>
      </w:r>
      <w:r w:rsidRPr="0092710B">
        <w:rPr>
          <w:rFonts w:ascii="Times New Roman" w:hAnsi="Times New Roman"/>
          <w:iCs/>
          <w:sz w:val="18"/>
          <w:szCs w:val="18"/>
        </w:rPr>
        <w:t xml:space="preserve">asid </w:t>
      </w:r>
      <w:r w:rsidRPr="0092710B">
        <w:rPr>
          <w:rFonts w:ascii="Times New Roman" w:hAnsi="Times New Roman"/>
          <w:i/>
          <w:iCs/>
          <w:sz w:val="18"/>
          <w:szCs w:val="18"/>
        </w:rPr>
        <w:t>m</w:t>
      </w:r>
      <w:r w:rsidRPr="0092710B">
        <w:rPr>
          <w:rFonts w:ascii="Times New Roman" w:hAnsi="Times New Roman"/>
          <w:sz w:val="18"/>
          <w:szCs w:val="18"/>
        </w:rPr>
        <w:t xml:space="preserve">-dansylaminofenilboronik, </w:t>
      </w:r>
      <w:r>
        <w:rPr>
          <w:rFonts w:ascii="Times New Roman" w:hAnsi="Times New Roman"/>
          <w:sz w:val="18"/>
          <w:szCs w:val="18"/>
        </w:rPr>
        <w:t>b</w:t>
      </w:r>
      <w:r w:rsidRPr="0092710B">
        <w:rPr>
          <w:rFonts w:ascii="Times New Roman" w:hAnsi="Times New Roman"/>
          <w:sz w:val="18"/>
          <w:szCs w:val="18"/>
        </w:rPr>
        <w:t xml:space="preserve">io-ekstrak, </w:t>
      </w:r>
      <w:r>
        <w:rPr>
          <w:rFonts w:ascii="Times New Roman" w:hAnsi="Times New Roman"/>
          <w:sz w:val="18"/>
          <w:szCs w:val="18"/>
        </w:rPr>
        <w:t>s</w:t>
      </w:r>
      <w:r w:rsidRPr="0092710B">
        <w:rPr>
          <w:rFonts w:ascii="Times New Roman" w:hAnsi="Times New Roman"/>
          <w:sz w:val="18"/>
          <w:szCs w:val="18"/>
        </w:rPr>
        <w:t>pektroflourometri</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r w:rsidRPr="00A10006">
        <w:rPr>
          <w:rFonts w:ascii="Times New Roman" w:hAnsi="Times New Roman"/>
          <w:sz w:val="20"/>
          <w:szCs w:val="20"/>
        </w:rPr>
        <w:t xml:space="preserve">In 1970, </w:t>
      </w:r>
      <w:r w:rsidRPr="00A10006">
        <w:rPr>
          <w:rFonts w:ascii="Times New Roman" w:hAnsi="Times New Roman"/>
          <w:color w:val="000000"/>
          <w:sz w:val="20"/>
          <w:szCs w:val="20"/>
        </w:rPr>
        <w:t xml:space="preserve">Brassinosteroids (BRs) known as “brassins” were first discovered </w:t>
      </w:r>
      <w:r w:rsidRPr="00A10006">
        <w:rPr>
          <w:rFonts w:ascii="Times New Roman" w:hAnsi="Times New Roman"/>
          <w:sz w:val="20"/>
          <w:szCs w:val="20"/>
        </w:rPr>
        <w:t>by extraction</w:t>
      </w:r>
      <w:r w:rsidRPr="00A10006">
        <w:rPr>
          <w:rFonts w:ascii="Times New Roman" w:hAnsi="Times New Roman"/>
          <w:color w:val="000000"/>
          <w:sz w:val="20"/>
          <w:szCs w:val="20"/>
        </w:rPr>
        <w:t xml:space="preserve"> from rape pollen (</w:t>
      </w:r>
      <w:r w:rsidRPr="00A10006">
        <w:rPr>
          <w:rFonts w:ascii="Times New Roman" w:hAnsi="Times New Roman"/>
          <w:i/>
          <w:iCs/>
          <w:color w:val="000000"/>
          <w:sz w:val="20"/>
          <w:szCs w:val="20"/>
        </w:rPr>
        <w:t>Brassica napus</w:t>
      </w:r>
      <w:r w:rsidRPr="00A10006">
        <w:rPr>
          <w:rFonts w:ascii="Times New Roman" w:hAnsi="Times New Roman"/>
          <w:color w:val="000000"/>
          <w:sz w:val="20"/>
          <w:szCs w:val="20"/>
        </w:rPr>
        <w:t>) [1,2].</w:t>
      </w:r>
      <w:r w:rsidRPr="00A10006">
        <w:rPr>
          <w:rFonts w:ascii="Times New Roman" w:hAnsi="Times New Roman"/>
          <w:sz w:val="20"/>
          <w:szCs w:val="20"/>
        </w:rPr>
        <w:t xml:space="preserve"> At present, more than 60 naturally occurring BR compounds have been </w:t>
      </w:r>
      <w:r w:rsidRPr="00A10006">
        <w:rPr>
          <w:rFonts w:ascii="Times New Roman" w:hAnsi="Times New Roman"/>
          <w:color w:val="000000"/>
          <w:sz w:val="20"/>
          <w:szCs w:val="20"/>
        </w:rPr>
        <w:t>discovered</w:t>
      </w:r>
      <w:r w:rsidRPr="00A10006">
        <w:rPr>
          <w:rFonts w:ascii="Times New Roman" w:hAnsi="Times New Roman"/>
          <w:sz w:val="20"/>
          <w:szCs w:val="20"/>
        </w:rPr>
        <w:t xml:space="preserve"> and characterized from various plant sources [3].</w:t>
      </w:r>
      <w:r w:rsidRPr="00A10006">
        <w:rPr>
          <w:rFonts w:ascii="Times New Roman" w:hAnsi="Times New Roman"/>
          <w:sz w:val="18"/>
          <w:szCs w:val="18"/>
        </w:rPr>
        <w:t xml:space="preserve"> </w:t>
      </w:r>
      <w:r w:rsidRPr="00A10006">
        <w:rPr>
          <w:rFonts w:ascii="Times New Roman" w:hAnsi="Times New Roman"/>
          <w:sz w:val="20"/>
          <w:szCs w:val="20"/>
        </w:rPr>
        <w:t>They are involved in</w:t>
      </w:r>
      <w:r w:rsidRPr="00A10006">
        <w:rPr>
          <w:rFonts w:ascii="Times New Roman" w:hAnsi="Times New Roman"/>
          <w:color w:val="000000"/>
          <w:sz w:val="20"/>
          <w:szCs w:val="20"/>
        </w:rPr>
        <w:t xml:space="preserve"> numerous biological processes in plants such as inducing cell elongation and division, and enhancing tolerance to drastic environments [4].</w:t>
      </w:r>
      <w:r w:rsidRPr="00A10006">
        <w:rPr>
          <w:rFonts w:ascii="Times New Roman" w:hAnsi="Times New Roman"/>
          <w:sz w:val="18"/>
          <w:szCs w:val="18"/>
        </w:rPr>
        <w:t xml:space="preserve"> </w:t>
      </w:r>
      <w:r w:rsidRPr="00A10006">
        <w:rPr>
          <w:rFonts w:ascii="Times New Roman" w:hAnsi="Times New Roman"/>
          <w:sz w:val="20"/>
          <w:szCs w:val="20"/>
        </w:rPr>
        <w:t>In general,</w:t>
      </w:r>
      <w:r w:rsidRPr="00A10006">
        <w:rPr>
          <w:rFonts w:ascii="Times New Roman" w:hAnsi="Times New Roman"/>
          <w:color w:val="000000"/>
          <w:sz w:val="20"/>
          <w:szCs w:val="20"/>
        </w:rPr>
        <w:t xml:space="preserve"> BRs are free steroidal compounds and might </w:t>
      </w:r>
      <w:r w:rsidRPr="00A10006">
        <w:rPr>
          <w:rFonts w:ascii="Times New Roman" w:hAnsi="Times New Roman"/>
          <w:sz w:val="20"/>
          <w:szCs w:val="20"/>
        </w:rPr>
        <w:t>be bound to</w:t>
      </w:r>
      <w:r w:rsidRPr="00A10006">
        <w:rPr>
          <w:rFonts w:ascii="Times New Roman" w:hAnsi="Times New Roman"/>
          <w:color w:val="000000"/>
          <w:sz w:val="20"/>
          <w:szCs w:val="20"/>
        </w:rPr>
        <w:t xml:space="preserve"> sugar and fatty acid compounds. The BR concentrations in plants are extremely </w:t>
      </w:r>
      <w:r w:rsidRPr="00A10006">
        <w:rPr>
          <w:rFonts w:ascii="Times New Roman" w:hAnsi="Times New Roman"/>
          <w:color w:val="000000"/>
          <w:sz w:val="20"/>
          <w:szCs w:val="20"/>
        </w:rPr>
        <w:lastRenderedPageBreak/>
        <w:t xml:space="preserve">low compared with other plant hormones. Nowadays organic agriculture has become very popular and bio-extracts are being used to replace chemical fertilizers. </w:t>
      </w:r>
      <w:r w:rsidRPr="00A10006">
        <w:rPr>
          <w:rFonts w:ascii="Times New Roman" w:hAnsi="Times New Roman"/>
          <w:sz w:val="20"/>
          <w:szCs w:val="20"/>
        </w:rPr>
        <w:t>Bio-extract is a liquid derived from the fermentation of vegetables and fruits with sugar.</w:t>
      </w:r>
    </w:p>
    <w:p w:rsidR="00023CE1" w:rsidRPr="00A10006" w:rsidRDefault="00023CE1" w:rsidP="00023CE1">
      <w:pPr>
        <w:autoSpaceDE w:val="0"/>
        <w:autoSpaceDN w:val="0"/>
        <w:adjustRightInd w:val="0"/>
        <w:spacing w:after="0" w:line="240" w:lineRule="auto"/>
        <w:jc w:val="both"/>
        <w:rPr>
          <w:rFonts w:ascii="Times New Roman" w:hAnsi="Times New Roman"/>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r w:rsidRPr="00A10006">
        <w:rPr>
          <w:rFonts w:ascii="Times New Roman" w:hAnsi="Times New Roman"/>
          <w:color w:val="000000"/>
          <w:sz w:val="20"/>
          <w:szCs w:val="20"/>
        </w:rPr>
        <w:t>Microanalysis methods have been used for identification and determination of traces of BRs using derivatizing reagents. After that, the reaction product was analysed by LC with UV detection [5], LC with fluorimetric detection [6-10],</w:t>
      </w:r>
      <w:r w:rsidRPr="00A10006">
        <w:rPr>
          <w:rFonts w:ascii="Times New Roman" w:hAnsi="Times New Roman"/>
          <w:sz w:val="20"/>
          <w:szCs w:val="20"/>
        </w:rPr>
        <w:t xml:space="preserve"> UHPLC-ESI-QqQ-MS [4] and GC-MS [1]. These methods are capable of determining each individual plant hormone in this BRs group; however, the experimental procedures are complicated and time-consuming. In this research a spectrofluorometric method was proposed for the determination of total BRs in a sample. Brassinolide was chosen for calibration because it is found at the high levels in many plants [11]. It was also the first plant growth hormonal steroid discovered and has higher biological activities than the other steroidal compounds in the group [11-13].</w:t>
      </w:r>
      <w:r w:rsidRPr="00A10006">
        <w:rPr>
          <w:rFonts w:ascii="Times New Roman" w:hAnsi="Times New Roman"/>
          <w:color w:val="000000"/>
          <w:sz w:val="20"/>
          <w:szCs w:val="20"/>
        </w:rPr>
        <w:t xml:space="preserve"> Due to the chemical structure of brassinolide (Figure 1) [13], it has α-oriented hydroxyl groups (</w:t>
      </w:r>
      <w:r w:rsidRPr="00A10006">
        <w:rPr>
          <w:rFonts w:ascii="Times New Roman" w:hAnsi="Times New Roman"/>
          <w:i/>
          <w:iCs/>
          <w:color w:val="000000"/>
          <w:sz w:val="20"/>
          <w:szCs w:val="20"/>
        </w:rPr>
        <w:t>cis</w:t>
      </w:r>
      <w:r w:rsidRPr="00A10006">
        <w:rPr>
          <w:rFonts w:ascii="Times New Roman" w:hAnsi="Times New Roman"/>
          <w:color w:val="000000"/>
          <w:sz w:val="20"/>
          <w:szCs w:val="20"/>
        </w:rPr>
        <w:t xml:space="preserve"> configuration) at C-2 and C-3 in ring A, and C-22 and C-23 in the side chain which can react with m-dansylaminophenylboronic acid.</w:t>
      </w:r>
      <w:r w:rsidRPr="00A10006">
        <w:rPr>
          <w:rFonts w:ascii="Times New Roman" w:hAnsi="Times New Roman"/>
          <w:sz w:val="20"/>
          <w:szCs w:val="20"/>
        </w:rPr>
        <w:t xml:space="preserve"> Therefore, it was chosen as a representative of the BRs, most of which have the similar diol groups [4]. The method was based on a derivatization of all </w:t>
      </w:r>
      <w:r w:rsidRPr="00A10006">
        <w:rPr>
          <w:rFonts w:ascii="Times New Roman" w:hAnsi="Times New Roman"/>
          <w:color w:val="000000"/>
          <w:sz w:val="20"/>
          <w:szCs w:val="20"/>
        </w:rPr>
        <w:t xml:space="preserve">BRs </w:t>
      </w:r>
      <w:r w:rsidRPr="00A10006">
        <w:rPr>
          <w:rFonts w:ascii="Times New Roman" w:hAnsi="Times New Roman"/>
          <w:sz w:val="20"/>
          <w:szCs w:val="20"/>
        </w:rPr>
        <w:t xml:space="preserve">with </w:t>
      </w:r>
      <w:r w:rsidRPr="00A10006">
        <w:rPr>
          <w:rFonts w:ascii="Times New Roman" w:hAnsi="Times New Roman"/>
          <w:i/>
          <w:iCs/>
          <w:sz w:val="20"/>
          <w:szCs w:val="20"/>
        </w:rPr>
        <w:t>m</w:t>
      </w:r>
      <w:r w:rsidRPr="00A10006">
        <w:rPr>
          <w:rFonts w:ascii="Times New Roman" w:hAnsi="Times New Roman"/>
          <w:sz w:val="20"/>
          <w:szCs w:val="20"/>
        </w:rPr>
        <w:t xml:space="preserve">-dansylaminophenylboronic acid as the fluorogenic reagent. It offers a simple, rapid and inexpensive operation and can be applied to real complex samples. </w:t>
      </w:r>
    </w:p>
    <w:p w:rsidR="00023CE1"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BD3878" w:rsidP="00023CE1">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noProof/>
          <w:color w:val="000000"/>
          <w:sz w:val="20"/>
          <w:szCs w:val="20"/>
          <w:lang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8.4pt;margin-top:11pt;width:173.8pt;height:116.65pt;z-index:251659776">
            <v:imagedata r:id="rId10" o:title=""/>
            <w10:wrap type="square"/>
          </v:shape>
          <o:OLEObject Type="Embed" ProgID="ChemDraw.Document.6.0" ShapeID="_x0000_s1026" DrawAspect="Content" ObjectID="_1495542666" r:id="rId11"/>
        </w:pict>
      </w: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Figure 1.  T</w:t>
      </w:r>
      <w:r w:rsidRPr="00A10006">
        <w:rPr>
          <w:rFonts w:ascii="Times New Roman" w:hAnsi="Times New Roman"/>
          <w:sz w:val="20"/>
          <w:szCs w:val="20"/>
        </w:rPr>
        <w:t>he chemical structure of brassinolide.</w:t>
      </w:r>
    </w:p>
    <w:p w:rsidR="006768E9" w:rsidRDefault="006768E9" w:rsidP="00023CE1">
      <w:pPr>
        <w:spacing w:after="0" w:line="240" w:lineRule="auto"/>
        <w:jc w:val="center"/>
        <w:rPr>
          <w:rFonts w:ascii="Times New Roman" w:hAnsi="Times New Roman"/>
          <w:noProof/>
          <w:sz w:val="20"/>
          <w:szCs w:val="20"/>
          <w:lang w:bidi="ar-SA"/>
        </w:rPr>
      </w:pPr>
    </w:p>
    <w:p w:rsidR="00023CE1" w:rsidRPr="00802DCC" w:rsidRDefault="00023CE1" w:rsidP="00023CE1">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023CE1" w:rsidRPr="00A10006" w:rsidRDefault="00023CE1" w:rsidP="00023CE1">
      <w:pPr>
        <w:autoSpaceDE w:val="0"/>
        <w:autoSpaceDN w:val="0"/>
        <w:adjustRightInd w:val="0"/>
        <w:spacing w:after="0" w:line="240" w:lineRule="auto"/>
        <w:jc w:val="thaiDistribute"/>
        <w:rPr>
          <w:rFonts w:ascii="Times New Roman" w:hAnsi="Times New Roman"/>
          <w:b/>
          <w:bCs/>
          <w:sz w:val="20"/>
          <w:szCs w:val="20"/>
        </w:rPr>
      </w:pPr>
      <w:r>
        <w:rPr>
          <w:rFonts w:ascii="Times New Roman" w:hAnsi="Times New Roman"/>
          <w:b/>
          <w:bCs/>
          <w:sz w:val="20"/>
          <w:szCs w:val="20"/>
        </w:rPr>
        <w:t xml:space="preserve">Instrument </w:t>
      </w:r>
    </w:p>
    <w:p w:rsidR="00023CE1" w:rsidRPr="00A10006" w:rsidRDefault="00023CE1" w:rsidP="00023CE1">
      <w:pPr>
        <w:autoSpaceDE w:val="0"/>
        <w:autoSpaceDN w:val="0"/>
        <w:adjustRightInd w:val="0"/>
        <w:spacing w:after="0" w:line="240" w:lineRule="auto"/>
        <w:jc w:val="both"/>
        <w:rPr>
          <w:rFonts w:ascii="Times New Roman" w:hAnsi="Times New Roman"/>
          <w:sz w:val="20"/>
          <w:szCs w:val="20"/>
        </w:rPr>
      </w:pPr>
      <w:r w:rsidRPr="00A10006">
        <w:rPr>
          <w:rFonts w:ascii="Times New Roman" w:hAnsi="Times New Roman"/>
          <w:sz w:val="20"/>
          <w:szCs w:val="20"/>
        </w:rPr>
        <w:t xml:space="preserve">The spectrofluorimetric measurements were recorded using a FP-6200 Jasco spectrofluorophotometer equipped with xenon arc lamp and a micro fluorometer quartz cell (1000 </w:t>
      </w:r>
      <w:r w:rsidRPr="00A10006">
        <w:rPr>
          <w:rFonts w:ascii="Times New Roman" w:hAnsi="Times New Roman"/>
          <w:sz w:val="20"/>
          <w:szCs w:val="20"/>
        </w:rPr>
        <w:sym w:font="Symbol" w:char="F06D"/>
      </w:r>
      <w:r w:rsidRPr="00A10006">
        <w:rPr>
          <w:rFonts w:ascii="Times New Roman" w:hAnsi="Times New Roman"/>
          <w:sz w:val="20"/>
          <w:szCs w:val="20"/>
        </w:rPr>
        <w:t>L); spectral bandwidths of 10 and 5 nm were used for excitation and emission, respectively.</w:t>
      </w:r>
    </w:p>
    <w:p w:rsidR="00023CE1" w:rsidRPr="00A10006" w:rsidRDefault="00023CE1" w:rsidP="00023CE1">
      <w:pPr>
        <w:autoSpaceDE w:val="0"/>
        <w:autoSpaceDN w:val="0"/>
        <w:adjustRightInd w:val="0"/>
        <w:spacing w:after="0" w:line="240" w:lineRule="auto"/>
        <w:jc w:val="both"/>
        <w:rPr>
          <w:rFonts w:ascii="Times New Roman" w:hAnsi="Times New Roman"/>
          <w:b/>
          <w:bCs/>
          <w:sz w:val="20"/>
          <w:szCs w:val="20"/>
        </w:rPr>
      </w:pPr>
    </w:p>
    <w:p w:rsidR="00023CE1" w:rsidRPr="00A10006" w:rsidRDefault="00023CE1" w:rsidP="00023CE1">
      <w:pPr>
        <w:autoSpaceDE w:val="0"/>
        <w:autoSpaceDN w:val="0"/>
        <w:adjustRightInd w:val="0"/>
        <w:spacing w:after="0" w:line="240" w:lineRule="auto"/>
        <w:jc w:val="thaiDistribute"/>
        <w:rPr>
          <w:rFonts w:ascii="Times New Roman" w:hAnsi="Times New Roman"/>
          <w:sz w:val="20"/>
          <w:szCs w:val="20"/>
        </w:rPr>
      </w:pPr>
      <w:r w:rsidRPr="00A10006">
        <w:rPr>
          <w:rFonts w:ascii="Times New Roman" w:hAnsi="Times New Roman"/>
          <w:b/>
          <w:bCs/>
          <w:sz w:val="20"/>
          <w:szCs w:val="20"/>
        </w:rPr>
        <w:t xml:space="preserve">Materials and </w:t>
      </w:r>
      <w:r>
        <w:rPr>
          <w:rFonts w:ascii="Times New Roman" w:hAnsi="Times New Roman"/>
          <w:b/>
          <w:bCs/>
          <w:sz w:val="20"/>
          <w:szCs w:val="20"/>
        </w:rPr>
        <w:t>R</w:t>
      </w:r>
      <w:r w:rsidRPr="00A10006">
        <w:rPr>
          <w:rFonts w:ascii="Times New Roman" w:hAnsi="Times New Roman"/>
          <w:b/>
          <w:bCs/>
          <w:sz w:val="20"/>
          <w:szCs w:val="20"/>
        </w:rPr>
        <w:t>eagents</w:t>
      </w:r>
    </w:p>
    <w:p w:rsidR="00023CE1" w:rsidRPr="00A10006" w:rsidRDefault="00023CE1" w:rsidP="00023CE1">
      <w:pPr>
        <w:autoSpaceDE w:val="0"/>
        <w:autoSpaceDN w:val="0"/>
        <w:adjustRightInd w:val="0"/>
        <w:spacing w:after="0" w:line="240" w:lineRule="auto"/>
        <w:jc w:val="both"/>
        <w:rPr>
          <w:rFonts w:ascii="Times New Roman" w:hAnsi="Times New Roman"/>
          <w:sz w:val="20"/>
          <w:szCs w:val="20"/>
        </w:rPr>
      </w:pPr>
      <w:r w:rsidRPr="00A10006">
        <w:rPr>
          <w:rFonts w:ascii="Times New Roman" w:hAnsi="Times New Roman"/>
          <w:sz w:val="20"/>
          <w:szCs w:val="20"/>
        </w:rPr>
        <w:t>Brassinolide (BL) standard was purchased from Sigma-Aldrich, UK with a purity of 90%, HPLC grade.</w:t>
      </w:r>
      <w:r w:rsidRPr="00A10006">
        <w:rPr>
          <w:rFonts w:ascii="Times New Roman" w:hAnsi="Times New Roman"/>
          <w:i/>
          <w:iCs/>
          <w:sz w:val="20"/>
          <w:szCs w:val="20"/>
        </w:rPr>
        <w:t xml:space="preserve"> m</w:t>
      </w:r>
      <w:r w:rsidRPr="00A10006">
        <w:rPr>
          <w:rFonts w:ascii="Times New Roman" w:hAnsi="Times New Roman"/>
          <w:sz w:val="20"/>
          <w:szCs w:val="20"/>
        </w:rPr>
        <w:t>-dansylaminophenylboronic acid (DABA) was from Sigma-Aldrich, USA. Disodium hydrogen phosphate dodecahydrate (Na</w:t>
      </w:r>
      <w:r w:rsidRPr="00A10006">
        <w:rPr>
          <w:rFonts w:ascii="Times New Roman" w:hAnsi="Times New Roman"/>
          <w:sz w:val="20"/>
          <w:szCs w:val="20"/>
          <w:vertAlign w:val="subscript"/>
        </w:rPr>
        <w:t>2</w:t>
      </w:r>
      <w:r w:rsidRPr="00A10006">
        <w:rPr>
          <w:rFonts w:ascii="Times New Roman" w:hAnsi="Times New Roman"/>
          <w:sz w:val="20"/>
          <w:szCs w:val="20"/>
        </w:rPr>
        <w:t>HPO</w:t>
      </w:r>
      <w:r w:rsidRPr="00A10006">
        <w:rPr>
          <w:rFonts w:ascii="Times New Roman" w:hAnsi="Times New Roman"/>
          <w:sz w:val="20"/>
          <w:szCs w:val="20"/>
          <w:vertAlign w:val="subscript"/>
        </w:rPr>
        <w:t>4</w:t>
      </w:r>
      <w:r w:rsidRPr="00A10006">
        <w:rPr>
          <w:rFonts w:ascii="Times New Roman" w:hAnsi="Times New Roman"/>
          <w:sz w:val="20"/>
          <w:szCs w:val="20"/>
        </w:rPr>
        <w:t>.12 H</w:t>
      </w:r>
      <w:r w:rsidRPr="00A10006">
        <w:rPr>
          <w:rFonts w:ascii="Times New Roman" w:hAnsi="Times New Roman"/>
          <w:sz w:val="20"/>
          <w:szCs w:val="20"/>
          <w:vertAlign w:val="subscript"/>
        </w:rPr>
        <w:t>2</w:t>
      </w:r>
      <w:r w:rsidRPr="00A10006">
        <w:rPr>
          <w:rFonts w:ascii="Times New Roman" w:hAnsi="Times New Roman"/>
          <w:sz w:val="20"/>
          <w:szCs w:val="20"/>
        </w:rPr>
        <w:t>O) and potassium dihydrogenphosphate (KH</w:t>
      </w:r>
      <w:r w:rsidRPr="00A10006">
        <w:rPr>
          <w:rFonts w:ascii="Times New Roman" w:hAnsi="Times New Roman"/>
          <w:sz w:val="20"/>
          <w:szCs w:val="20"/>
          <w:vertAlign w:val="subscript"/>
        </w:rPr>
        <w:t>2</w:t>
      </w:r>
      <w:r w:rsidRPr="00A10006">
        <w:rPr>
          <w:rFonts w:ascii="Times New Roman" w:hAnsi="Times New Roman"/>
          <w:sz w:val="20"/>
          <w:szCs w:val="20"/>
        </w:rPr>
        <w:t>PO</w:t>
      </w:r>
      <w:r w:rsidRPr="00A10006">
        <w:rPr>
          <w:rFonts w:ascii="Times New Roman" w:hAnsi="Times New Roman"/>
          <w:sz w:val="20"/>
          <w:szCs w:val="20"/>
          <w:vertAlign w:val="subscript"/>
        </w:rPr>
        <w:t>4</w:t>
      </w:r>
      <w:r w:rsidRPr="00A10006">
        <w:rPr>
          <w:rFonts w:ascii="Times New Roman" w:hAnsi="Times New Roman"/>
          <w:sz w:val="20"/>
          <w:szCs w:val="20"/>
        </w:rPr>
        <w:t>) were of analytical reagent grade from Carlo Erba, Italy. Sodium hydroxide and dimethylsulfoxide (</w:t>
      </w:r>
      <w:r w:rsidRPr="00A10006">
        <w:rPr>
          <w:rFonts w:ascii="Times New Roman" w:hAnsi="Times New Roman"/>
          <w:color w:val="000000"/>
          <w:sz w:val="20"/>
          <w:szCs w:val="20"/>
        </w:rPr>
        <w:t>DMSO</w:t>
      </w:r>
      <w:r w:rsidRPr="00A10006">
        <w:rPr>
          <w:rFonts w:ascii="Times New Roman" w:hAnsi="Times New Roman"/>
          <w:sz w:val="20"/>
          <w:szCs w:val="20"/>
        </w:rPr>
        <w:t>) were purchased from Merck, Germany. Methanol (HPLC grade</w:t>
      </w:r>
      <w:r w:rsidRPr="00A10006">
        <w:rPr>
          <w:rFonts w:ascii="Times New Roman" w:hAnsi="Times New Roman"/>
          <w:color w:val="000000"/>
          <w:sz w:val="20"/>
          <w:szCs w:val="20"/>
        </w:rPr>
        <w:t xml:space="preserve">) and </w:t>
      </w:r>
      <w:r w:rsidRPr="00A10006">
        <w:rPr>
          <w:rFonts w:ascii="Times New Roman" w:hAnsi="Times New Roman"/>
          <w:sz w:val="20"/>
          <w:szCs w:val="20"/>
        </w:rPr>
        <w:t xml:space="preserve">hydrochloric acid (AR grade) were purchased from </w:t>
      </w:r>
      <w:r w:rsidRPr="00A10006">
        <w:rPr>
          <w:rFonts w:ascii="Times New Roman" w:hAnsi="Times New Roman"/>
          <w:color w:val="000000"/>
          <w:sz w:val="20"/>
          <w:szCs w:val="20"/>
        </w:rPr>
        <w:t>RCI Labscan, Thailand.</w:t>
      </w:r>
    </w:p>
    <w:p w:rsidR="00023CE1" w:rsidRPr="00A10006" w:rsidRDefault="00023CE1" w:rsidP="00023CE1">
      <w:pPr>
        <w:autoSpaceDE w:val="0"/>
        <w:autoSpaceDN w:val="0"/>
        <w:adjustRightInd w:val="0"/>
        <w:spacing w:after="0" w:line="240" w:lineRule="auto"/>
        <w:jc w:val="both"/>
        <w:rPr>
          <w:rFonts w:ascii="Times New Roman" w:hAnsi="Times New Roman"/>
          <w:sz w:val="20"/>
          <w:szCs w:val="20"/>
        </w:rPr>
      </w:pPr>
    </w:p>
    <w:p w:rsidR="00023CE1" w:rsidRPr="00A10006" w:rsidRDefault="00023CE1" w:rsidP="00023CE1">
      <w:pPr>
        <w:autoSpaceDE w:val="0"/>
        <w:autoSpaceDN w:val="0"/>
        <w:adjustRightInd w:val="0"/>
        <w:spacing w:after="0" w:line="240" w:lineRule="auto"/>
        <w:jc w:val="thaiDistribute"/>
        <w:rPr>
          <w:rFonts w:ascii="Times New Roman" w:hAnsi="Times New Roman"/>
          <w:color w:val="000000"/>
          <w:sz w:val="20"/>
          <w:szCs w:val="20"/>
        </w:rPr>
      </w:pPr>
      <w:r w:rsidRPr="0092710B">
        <w:rPr>
          <w:rFonts w:ascii="Times New Roman" w:hAnsi="Times New Roman"/>
          <w:b/>
          <w:bCs/>
          <w:color w:val="000000"/>
          <w:sz w:val="20"/>
          <w:szCs w:val="20"/>
        </w:rPr>
        <w:t>Brassinolide</w:t>
      </w:r>
      <w:r w:rsidRPr="00A10006">
        <w:rPr>
          <w:rFonts w:ascii="Times New Roman" w:hAnsi="Times New Roman"/>
          <w:b/>
          <w:bCs/>
          <w:color w:val="000000"/>
          <w:sz w:val="20"/>
          <w:szCs w:val="20"/>
        </w:rPr>
        <w:t xml:space="preserve"> standard stock solution </w:t>
      </w:r>
    </w:p>
    <w:p w:rsidR="00023CE1" w:rsidRPr="00A10006" w:rsidRDefault="00023CE1" w:rsidP="00023CE1">
      <w:pPr>
        <w:autoSpaceDE w:val="0"/>
        <w:autoSpaceDN w:val="0"/>
        <w:adjustRightInd w:val="0"/>
        <w:spacing w:after="0" w:line="240" w:lineRule="auto"/>
        <w:jc w:val="both"/>
        <w:rPr>
          <w:rFonts w:ascii="Times New Roman" w:hAnsi="Times New Roman"/>
          <w:b/>
          <w:bCs/>
          <w:color w:val="000000"/>
          <w:sz w:val="20"/>
          <w:szCs w:val="20"/>
        </w:rPr>
      </w:pPr>
      <w:r w:rsidRPr="00A10006">
        <w:rPr>
          <w:rFonts w:ascii="Times New Roman" w:hAnsi="Times New Roman"/>
          <w:color w:val="000000"/>
          <w:sz w:val="20"/>
          <w:szCs w:val="20"/>
        </w:rPr>
        <w:t xml:space="preserve">A </w:t>
      </w:r>
      <w:r w:rsidRPr="00A10006">
        <w:rPr>
          <w:rFonts w:ascii="Times New Roman" w:hAnsi="Times New Roman"/>
          <w:sz w:val="20"/>
          <w:szCs w:val="20"/>
        </w:rPr>
        <w:t>1</w:t>
      </w:r>
      <w:r w:rsidRPr="00A10006">
        <w:rPr>
          <w:rFonts w:ascii="Times New Roman" w:eastAsia="SimSun" w:hAnsi="Times New Roman"/>
          <w:sz w:val="20"/>
          <w:szCs w:val="20"/>
          <w:lang w:eastAsia="zh-CN"/>
        </w:rPr>
        <w:t>00 µ</w:t>
      </w:r>
      <w:r w:rsidRPr="00A10006">
        <w:rPr>
          <w:rFonts w:ascii="Times New Roman" w:hAnsi="Times New Roman"/>
          <w:sz w:val="20"/>
          <w:szCs w:val="20"/>
        </w:rPr>
        <w:t>M</w:t>
      </w:r>
      <w:r w:rsidRPr="00A10006">
        <w:rPr>
          <w:rFonts w:ascii="Times New Roman" w:hAnsi="Times New Roman"/>
          <w:color w:val="000000"/>
          <w:sz w:val="20"/>
          <w:szCs w:val="20"/>
        </w:rPr>
        <w:t xml:space="preserve"> BL stock solution was prepared by dissolving 2.40 mg of BL in 20 mL of methanol and making up to volume with </w:t>
      </w:r>
      <w:r w:rsidRPr="00A10006">
        <w:rPr>
          <w:rFonts w:ascii="Times New Roman" w:hAnsi="Times New Roman"/>
          <w:bCs/>
          <w:sz w:val="20"/>
          <w:szCs w:val="20"/>
        </w:rPr>
        <w:t>deionized water</w:t>
      </w:r>
      <w:r w:rsidRPr="00A10006">
        <w:rPr>
          <w:rFonts w:ascii="Times New Roman" w:hAnsi="Times New Roman"/>
          <w:color w:val="000000"/>
          <w:sz w:val="20"/>
          <w:szCs w:val="20"/>
        </w:rPr>
        <w:t xml:space="preserve"> in a 50 mL volumetric flask. This solution was stable for a month when kept at 4</w:t>
      </w:r>
      <w:r w:rsidRPr="00A10006">
        <w:rPr>
          <w:rFonts w:ascii="Times New Roman" w:hAnsi="Times New Roman"/>
          <w:color w:val="000000"/>
          <w:sz w:val="20"/>
          <w:szCs w:val="20"/>
          <w:vertAlign w:val="superscript"/>
        </w:rPr>
        <w:t>o</w:t>
      </w:r>
      <w:r w:rsidRPr="00A10006">
        <w:rPr>
          <w:rFonts w:ascii="Times New Roman" w:hAnsi="Times New Roman"/>
          <w:color w:val="000000"/>
          <w:sz w:val="20"/>
          <w:szCs w:val="20"/>
        </w:rPr>
        <w:t>C in a refrigerator.</w:t>
      </w:r>
    </w:p>
    <w:p w:rsidR="00023CE1" w:rsidRDefault="00023CE1" w:rsidP="00023CE1">
      <w:pPr>
        <w:autoSpaceDE w:val="0"/>
        <w:autoSpaceDN w:val="0"/>
        <w:adjustRightInd w:val="0"/>
        <w:spacing w:after="0" w:line="240" w:lineRule="auto"/>
        <w:jc w:val="thaiDistribute"/>
        <w:rPr>
          <w:rFonts w:ascii="Times New Roman" w:hAnsi="Times New Roman"/>
          <w:b/>
          <w:bCs/>
          <w:color w:val="000000"/>
          <w:sz w:val="20"/>
          <w:szCs w:val="20"/>
        </w:rPr>
      </w:pPr>
    </w:p>
    <w:p w:rsidR="00023CE1" w:rsidRDefault="00023CE1" w:rsidP="00023CE1">
      <w:pPr>
        <w:autoSpaceDE w:val="0"/>
        <w:autoSpaceDN w:val="0"/>
        <w:adjustRightInd w:val="0"/>
        <w:spacing w:after="0" w:line="240" w:lineRule="auto"/>
        <w:jc w:val="thaiDistribute"/>
        <w:rPr>
          <w:rFonts w:ascii="Times New Roman" w:hAnsi="Times New Roman"/>
          <w:b/>
          <w:bCs/>
          <w:color w:val="000000"/>
          <w:sz w:val="20"/>
          <w:szCs w:val="20"/>
        </w:rPr>
      </w:pPr>
    </w:p>
    <w:p w:rsidR="00023CE1" w:rsidRPr="00A10006" w:rsidRDefault="00023CE1" w:rsidP="00023CE1">
      <w:pPr>
        <w:autoSpaceDE w:val="0"/>
        <w:autoSpaceDN w:val="0"/>
        <w:adjustRightInd w:val="0"/>
        <w:spacing w:after="0" w:line="240" w:lineRule="auto"/>
        <w:jc w:val="thaiDistribute"/>
        <w:rPr>
          <w:rFonts w:ascii="Times New Roman" w:hAnsi="Times New Roman"/>
          <w:b/>
          <w:bCs/>
          <w:color w:val="000000"/>
          <w:sz w:val="20"/>
          <w:szCs w:val="20"/>
        </w:rPr>
      </w:pPr>
    </w:p>
    <w:p w:rsidR="00023CE1" w:rsidRPr="00A10006" w:rsidRDefault="00023CE1" w:rsidP="00023CE1">
      <w:pPr>
        <w:autoSpaceDE w:val="0"/>
        <w:autoSpaceDN w:val="0"/>
        <w:adjustRightInd w:val="0"/>
        <w:spacing w:after="0" w:line="240" w:lineRule="auto"/>
        <w:jc w:val="thaiDistribute"/>
        <w:rPr>
          <w:rFonts w:ascii="Times New Roman" w:hAnsi="Times New Roman"/>
          <w:b/>
          <w:bCs/>
          <w:color w:val="000000"/>
          <w:sz w:val="20"/>
          <w:szCs w:val="20"/>
        </w:rPr>
      </w:pPr>
      <w:r w:rsidRPr="00A10006">
        <w:rPr>
          <w:rFonts w:ascii="Times New Roman" w:hAnsi="Times New Roman"/>
          <w:b/>
          <w:bCs/>
          <w:color w:val="000000"/>
          <w:sz w:val="20"/>
          <w:szCs w:val="20"/>
        </w:rPr>
        <w:lastRenderedPageBreak/>
        <w:t>General procedure</w:t>
      </w:r>
    </w:p>
    <w:p w:rsidR="00023CE1" w:rsidRPr="00A10006" w:rsidRDefault="00023CE1" w:rsidP="00023CE1">
      <w:pPr>
        <w:autoSpaceDE w:val="0"/>
        <w:autoSpaceDN w:val="0"/>
        <w:adjustRightInd w:val="0"/>
        <w:spacing w:after="0" w:line="240" w:lineRule="auto"/>
        <w:jc w:val="both"/>
        <w:rPr>
          <w:rFonts w:ascii="Times New Roman" w:hAnsi="Times New Roman"/>
          <w:color w:val="000000"/>
          <w:sz w:val="20"/>
          <w:szCs w:val="20"/>
        </w:rPr>
      </w:pPr>
      <w:r w:rsidRPr="00A10006">
        <w:rPr>
          <w:rFonts w:ascii="Times New Roman" w:hAnsi="Times New Roman"/>
          <w:color w:val="000000"/>
          <w:sz w:val="20"/>
          <w:szCs w:val="20"/>
        </w:rPr>
        <w:t xml:space="preserve">750 µL of BL stock standard solution was transferred into a small centrifuge tube. The 100 µL of DABA solution was added, followed by 650 µL of phosphate buffer solution. The reaction mixture was left for 20 min at </w:t>
      </w:r>
      <w:r w:rsidRPr="00A10006">
        <w:rPr>
          <w:rFonts w:ascii="Times New Roman" w:hAnsi="Times New Roman"/>
          <w:sz w:val="20"/>
          <w:szCs w:val="20"/>
        </w:rPr>
        <w:t>room</w:t>
      </w:r>
      <w:r w:rsidRPr="00A10006">
        <w:rPr>
          <w:rFonts w:ascii="Times New Roman" w:hAnsi="Times New Roman"/>
          <w:color w:val="000000"/>
          <w:sz w:val="20"/>
          <w:szCs w:val="20"/>
        </w:rPr>
        <w:t xml:space="preserve"> temperature. The fluorescence intensity of the reaction product was measured at 505 nm after excitation at 380 nm. A blank experiment was carried out using the same procedure but without BL solution.</w:t>
      </w:r>
    </w:p>
    <w:p w:rsidR="00023CE1" w:rsidRPr="00A10006" w:rsidRDefault="00023CE1" w:rsidP="00023CE1">
      <w:pPr>
        <w:autoSpaceDE w:val="0"/>
        <w:autoSpaceDN w:val="0"/>
        <w:adjustRightInd w:val="0"/>
        <w:spacing w:after="0" w:line="240" w:lineRule="auto"/>
        <w:jc w:val="thaiDistribute"/>
        <w:rPr>
          <w:rFonts w:ascii="Times New Roman" w:hAnsi="Times New Roman"/>
          <w:color w:val="000000"/>
          <w:sz w:val="20"/>
          <w:szCs w:val="20"/>
        </w:rPr>
      </w:pPr>
    </w:p>
    <w:p w:rsidR="00023CE1" w:rsidRPr="00A10006" w:rsidRDefault="00023CE1" w:rsidP="00023CE1">
      <w:pPr>
        <w:autoSpaceDE w:val="0"/>
        <w:autoSpaceDN w:val="0"/>
        <w:adjustRightInd w:val="0"/>
        <w:spacing w:after="0" w:line="240" w:lineRule="auto"/>
        <w:jc w:val="thaiDistribute"/>
        <w:rPr>
          <w:rFonts w:ascii="Times New Roman" w:hAnsi="Times New Roman"/>
          <w:b/>
          <w:bCs/>
          <w:color w:val="000000"/>
          <w:sz w:val="20"/>
          <w:szCs w:val="20"/>
        </w:rPr>
      </w:pPr>
      <w:r w:rsidRPr="00A10006">
        <w:rPr>
          <w:rFonts w:ascii="Times New Roman" w:hAnsi="Times New Roman"/>
          <w:b/>
          <w:bCs/>
          <w:color w:val="000000"/>
          <w:sz w:val="20"/>
          <w:szCs w:val="20"/>
        </w:rPr>
        <w:t>Standard addition procedure for bio-extract and liquid fertilizer samples</w:t>
      </w:r>
    </w:p>
    <w:p w:rsidR="00023CE1" w:rsidRDefault="00023CE1" w:rsidP="00023CE1">
      <w:pPr>
        <w:autoSpaceDE w:val="0"/>
        <w:autoSpaceDN w:val="0"/>
        <w:adjustRightInd w:val="0"/>
        <w:spacing w:after="0" w:line="240" w:lineRule="auto"/>
        <w:jc w:val="both"/>
        <w:rPr>
          <w:rFonts w:ascii="Times New Roman" w:hAnsi="Times New Roman"/>
          <w:color w:val="000000"/>
          <w:sz w:val="20"/>
          <w:szCs w:val="20"/>
        </w:rPr>
      </w:pPr>
      <w:r w:rsidRPr="00A10006">
        <w:rPr>
          <w:rFonts w:ascii="Times New Roman" w:hAnsi="Times New Roman"/>
          <w:sz w:val="20"/>
          <w:szCs w:val="20"/>
        </w:rPr>
        <w:t>Bio-extract samples were made elsewhere by fermentation of various blended plant materials with sugar and water at a ratio of 1:3:5 plant material: sugar: water in a closed container for 6 months. Liquid fertilizer samples were bought from</w:t>
      </w:r>
      <w:r w:rsidRPr="00A10006">
        <w:rPr>
          <w:rFonts w:ascii="Times New Roman" w:hAnsi="Times New Roman"/>
          <w:color w:val="000000"/>
          <w:sz w:val="20"/>
          <w:szCs w:val="20"/>
        </w:rPr>
        <w:t xml:space="preserve"> local agrochemical shops. </w:t>
      </w:r>
    </w:p>
    <w:p w:rsidR="00023CE1" w:rsidRDefault="00023CE1" w:rsidP="00023CE1">
      <w:pPr>
        <w:autoSpaceDE w:val="0"/>
        <w:autoSpaceDN w:val="0"/>
        <w:adjustRightInd w:val="0"/>
        <w:spacing w:after="0" w:line="240" w:lineRule="auto"/>
        <w:jc w:val="both"/>
        <w:rPr>
          <w:rFonts w:ascii="Times New Roman" w:hAnsi="Times New Roman"/>
          <w:color w:val="000000"/>
          <w:sz w:val="20"/>
          <w:szCs w:val="20"/>
        </w:rPr>
      </w:pPr>
    </w:p>
    <w:p w:rsidR="00023CE1" w:rsidRPr="0092710B" w:rsidRDefault="00023CE1" w:rsidP="00023CE1">
      <w:pPr>
        <w:autoSpaceDE w:val="0"/>
        <w:autoSpaceDN w:val="0"/>
        <w:adjustRightInd w:val="0"/>
        <w:spacing w:after="0" w:line="240" w:lineRule="auto"/>
        <w:jc w:val="both"/>
        <w:rPr>
          <w:rFonts w:ascii="Times New Roman" w:hAnsi="Times New Roman"/>
          <w:color w:val="000000"/>
          <w:sz w:val="20"/>
          <w:szCs w:val="20"/>
        </w:rPr>
      </w:pPr>
      <w:r w:rsidRPr="00A10006">
        <w:rPr>
          <w:rFonts w:ascii="Times New Roman" w:hAnsi="Times New Roman"/>
          <w:color w:val="000000"/>
          <w:sz w:val="20"/>
          <w:szCs w:val="20"/>
        </w:rPr>
        <w:t xml:space="preserve">Each bio-extract sample was filtered with filter paper (Whatman no.1, pore size 11 µm) and </w:t>
      </w:r>
      <w:r w:rsidRPr="00A10006">
        <w:rPr>
          <w:rFonts w:ascii="Times New Roman" w:hAnsi="Times New Roman"/>
          <w:sz w:val="20"/>
          <w:szCs w:val="20"/>
        </w:rPr>
        <w:t>diluted</w:t>
      </w:r>
      <w:r w:rsidRPr="00A10006">
        <w:rPr>
          <w:rFonts w:ascii="Times New Roman" w:hAnsi="Times New Roman"/>
          <w:color w:val="000000"/>
          <w:sz w:val="20"/>
          <w:szCs w:val="20"/>
        </w:rPr>
        <w:t xml:space="preserve"> with </w:t>
      </w:r>
      <w:r w:rsidRPr="00A10006">
        <w:rPr>
          <w:rFonts w:ascii="Times New Roman" w:hAnsi="Times New Roman"/>
          <w:bCs/>
          <w:sz w:val="20"/>
          <w:szCs w:val="20"/>
        </w:rPr>
        <w:t>deionized water</w:t>
      </w:r>
      <w:r w:rsidRPr="00A10006">
        <w:rPr>
          <w:rFonts w:ascii="Times New Roman" w:hAnsi="Times New Roman"/>
          <w:color w:val="000000"/>
          <w:sz w:val="20"/>
          <w:szCs w:val="20"/>
        </w:rPr>
        <w:t>. An aliquot of diluted samples in the range 20-700 µL, depending on either analyte concentration or sample color, was pipette</w:t>
      </w:r>
      <w:r w:rsidRPr="00A10006">
        <w:rPr>
          <w:rFonts w:ascii="Times New Roman" w:hAnsi="Times New Roman"/>
          <w:sz w:val="20"/>
          <w:szCs w:val="20"/>
        </w:rPr>
        <w:t xml:space="preserve">d </w:t>
      </w:r>
      <w:r w:rsidRPr="00A10006">
        <w:rPr>
          <w:rFonts w:ascii="Times New Roman" w:hAnsi="Times New Roman"/>
          <w:color w:val="000000"/>
          <w:sz w:val="20"/>
          <w:szCs w:val="20"/>
        </w:rPr>
        <w:t>into a small centrifuge tube</w:t>
      </w:r>
      <w:r w:rsidRPr="00A10006">
        <w:rPr>
          <w:rFonts w:ascii="Times New Roman" w:hAnsi="Times New Roman"/>
          <w:sz w:val="20"/>
          <w:szCs w:val="20"/>
        </w:rPr>
        <w:t>. The sample was spiked with BL stock standard at four different levels corresponding to 0, 0.5, 1, and 2 times the concentrations of brassinolide presented in the samples. The 100 µL of 1.35 mM of DABA</w:t>
      </w:r>
      <w:r w:rsidRPr="00A10006">
        <w:rPr>
          <w:rFonts w:ascii="Times New Roman" w:hAnsi="Times New Roman"/>
          <w:color w:val="000000"/>
          <w:sz w:val="20"/>
          <w:szCs w:val="20"/>
        </w:rPr>
        <w:t xml:space="preserve"> solution (2.50 mg of DABA dissolved in 5 mL of DMSO) was added subsequently. The reaction mixture was made to 1.5 mL with 5 mM phosphate buffer solution (pH 7) and mixed thoroughly</w:t>
      </w:r>
      <w:r w:rsidRPr="00A10006">
        <w:rPr>
          <w:rFonts w:ascii="Times New Roman" w:hAnsi="Times New Roman"/>
          <w:color w:val="000000"/>
          <w:sz w:val="20"/>
          <w:szCs w:val="20"/>
          <w:cs/>
        </w:rPr>
        <w:t>‎</w:t>
      </w:r>
      <w:r w:rsidRPr="00A10006">
        <w:rPr>
          <w:rFonts w:ascii="Times New Roman" w:hAnsi="Times New Roman"/>
          <w:color w:val="000000"/>
          <w:sz w:val="20"/>
          <w:szCs w:val="20"/>
        </w:rPr>
        <w:t>. After 20 min the fluorescence intensity was measured as described in general procedure section</w:t>
      </w:r>
      <w:r>
        <w:rPr>
          <w:rFonts w:ascii="Times New Roman" w:hAnsi="Times New Roman"/>
          <w:color w:val="000000"/>
          <w:sz w:val="20"/>
          <w:szCs w:val="20"/>
        </w:rPr>
        <w:t xml:space="preserve">. </w:t>
      </w:r>
    </w:p>
    <w:p w:rsidR="006768E9" w:rsidRPr="00802DCC" w:rsidRDefault="006768E9" w:rsidP="00023CE1">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850D61" w:rsidRPr="00A10006" w:rsidRDefault="00850D61" w:rsidP="00850D61">
      <w:pPr>
        <w:autoSpaceDE w:val="0"/>
        <w:autoSpaceDN w:val="0"/>
        <w:adjustRightInd w:val="0"/>
        <w:spacing w:after="0" w:line="240" w:lineRule="auto"/>
        <w:jc w:val="thaiDistribute"/>
        <w:rPr>
          <w:rFonts w:ascii="Times New Roman" w:hAnsi="Times New Roman"/>
          <w:b/>
          <w:bCs/>
          <w:color w:val="000000"/>
          <w:sz w:val="20"/>
          <w:szCs w:val="20"/>
        </w:rPr>
      </w:pPr>
      <w:r w:rsidRPr="00A10006">
        <w:rPr>
          <w:rFonts w:ascii="Times New Roman" w:hAnsi="Times New Roman"/>
          <w:b/>
          <w:bCs/>
          <w:color w:val="000000"/>
          <w:sz w:val="20"/>
          <w:szCs w:val="20"/>
        </w:rPr>
        <w:t>Optimization of experimental parameters</w:t>
      </w:r>
    </w:p>
    <w:p w:rsidR="00850D61" w:rsidRPr="0092710B" w:rsidRDefault="00850D61" w:rsidP="00850D61">
      <w:pPr>
        <w:autoSpaceDE w:val="0"/>
        <w:autoSpaceDN w:val="0"/>
        <w:adjustRightInd w:val="0"/>
        <w:spacing w:after="0" w:line="240" w:lineRule="auto"/>
        <w:jc w:val="both"/>
        <w:rPr>
          <w:rFonts w:ascii="Times New Roman" w:hAnsi="Times New Roman"/>
          <w:color w:val="000000"/>
          <w:sz w:val="20"/>
          <w:szCs w:val="20"/>
        </w:rPr>
      </w:pPr>
      <w:r w:rsidRPr="00A10006">
        <w:rPr>
          <w:rFonts w:ascii="Times New Roman" w:hAnsi="Times New Roman"/>
          <w:color w:val="000000"/>
          <w:sz w:val="20"/>
          <w:szCs w:val="20"/>
        </w:rPr>
        <w:t xml:space="preserve">The experimental factors affecting the development of the reaction product and its stability were carefully studied and optimized. Five factors; namely pH, phosphate buffer concentration, reaction temperature, reaction time and concentration of the DABA were changed individually while the others were kept constant. BL was found to react with </w:t>
      </w:r>
      <w:r w:rsidRPr="00A10006">
        <w:rPr>
          <w:rFonts w:ascii="Times New Roman" w:hAnsi="Times New Roman"/>
          <w:i/>
          <w:iCs/>
          <w:sz w:val="20"/>
          <w:szCs w:val="20"/>
        </w:rPr>
        <w:t>m</w:t>
      </w:r>
      <w:r w:rsidRPr="00A10006">
        <w:rPr>
          <w:rFonts w:ascii="Times New Roman" w:hAnsi="Times New Roman"/>
          <w:sz w:val="20"/>
          <w:szCs w:val="20"/>
        </w:rPr>
        <w:t xml:space="preserve">-dansylaminophenylboronic acid at pH 7 forming a fluorescent derivative </w:t>
      </w:r>
      <w:r w:rsidRPr="00A10006">
        <w:rPr>
          <w:rFonts w:ascii="Times New Roman" w:hAnsi="Times New Roman"/>
          <w:color w:val="000000"/>
          <w:sz w:val="20"/>
          <w:szCs w:val="20"/>
        </w:rPr>
        <w:t>product</w:t>
      </w:r>
      <w:r w:rsidRPr="00A10006">
        <w:rPr>
          <w:rFonts w:ascii="Times New Roman" w:hAnsi="Times New Roman"/>
          <w:sz w:val="20"/>
          <w:szCs w:val="20"/>
        </w:rPr>
        <w:t xml:space="preserve">. </w:t>
      </w:r>
      <w:r w:rsidRPr="00A10006">
        <w:rPr>
          <w:rFonts w:ascii="Times New Roman" w:hAnsi="Times New Roman"/>
          <w:color w:val="000000"/>
          <w:sz w:val="20"/>
          <w:szCs w:val="20"/>
        </w:rPr>
        <w:t>The excitation and emission spectra</w:t>
      </w:r>
      <w:r w:rsidRPr="00A10006">
        <w:rPr>
          <w:rFonts w:ascii="Times New Roman" w:hAnsi="Times New Roman"/>
          <w:sz w:val="20"/>
          <w:szCs w:val="20"/>
        </w:rPr>
        <w:t xml:space="preserve"> are shown in </w:t>
      </w:r>
      <w:r w:rsidRPr="00A10006">
        <w:rPr>
          <w:rFonts w:ascii="Times New Roman" w:hAnsi="Times New Roman"/>
          <w:color w:val="000000"/>
          <w:sz w:val="20"/>
          <w:szCs w:val="20"/>
        </w:rPr>
        <w:t xml:space="preserve">Figure 2. </w:t>
      </w:r>
      <w:r w:rsidRPr="00A10006">
        <w:rPr>
          <w:rFonts w:ascii="Times New Roman" w:hAnsi="Times New Roman"/>
          <w:sz w:val="20"/>
          <w:szCs w:val="20"/>
        </w:rPr>
        <w:t xml:space="preserve">The </w:t>
      </w:r>
      <w:r w:rsidRPr="00A10006">
        <w:rPr>
          <w:rFonts w:ascii="Times New Roman" w:hAnsi="Times New Roman"/>
          <w:color w:val="000000"/>
          <w:sz w:val="20"/>
          <w:szCs w:val="20"/>
        </w:rPr>
        <w:t>excitation</w:t>
      </w:r>
      <w:r w:rsidRPr="00A10006">
        <w:rPr>
          <w:rFonts w:ascii="Times New Roman" w:hAnsi="Times New Roman"/>
          <w:sz w:val="20"/>
          <w:szCs w:val="20"/>
        </w:rPr>
        <w:t xml:space="preserve"> wavelength</w:t>
      </w:r>
      <w:r w:rsidRPr="00A10006">
        <w:rPr>
          <w:rFonts w:ascii="Times New Roman" w:hAnsi="Times New Roman"/>
          <w:color w:val="000000"/>
          <w:sz w:val="20"/>
          <w:szCs w:val="20"/>
        </w:rPr>
        <w:t xml:space="preserve"> at 380 nm and emission </w:t>
      </w:r>
      <w:r w:rsidRPr="00A10006">
        <w:rPr>
          <w:rFonts w:ascii="Times New Roman" w:hAnsi="Times New Roman"/>
          <w:sz w:val="20"/>
          <w:szCs w:val="20"/>
        </w:rPr>
        <w:t>wavelength</w:t>
      </w:r>
      <w:r w:rsidRPr="00A10006">
        <w:rPr>
          <w:rFonts w:ascii="Times New Roman" w:hAnsi="Times New Roman"/>
          <w:color w:val="000000"/>
          <w:sz w:val="20"/>
          <w:szCs w:val="20"/>
        </w:rPr>
        <w:t xml:space="preserve"> at </w:t>
      </w:r>
      <w:r w:rsidRPr="00A10006">
        <w:rPr>
          <w:rFonts w:ascii="Times New Roman" w:hAnsi="Times New Roman"/>
          <w:sz w:val="20"/>
          <w:szCs w:val="20"/>
        </w:rPr>
        <w:t>505 nm</w:t>
      </w:r>
      <w:r w:rsidRPr="00A10006">
        <w:rPr>
          <w:rFonts w:ascii="Times New Roman" w:hAnsi="Times New Roman"/>
          <w:color w:val="000000"/>
          <w:sz w:val="20"/>
          <w:szCs w:val="20"/>
        </w:rPr>
        <w:t xml:space="preserve"> were similar to those used in previous research [6].</w:t>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r w:rsidRPr="00A10006">
        <w:rPr>
          <w:rFonts w:ascii="Times New Roman" w:hAnsi="Times New Roman"/>
          <w:noProof/>
          <w:sz w:val="18"/>
          <w:szCs w:val="18"/>
          <w:lang w:bidi="ar-SA"/>
        </w:rPr>
        <w:drawing>
          <wp:anchor distT="0" distB="0" distL="114300" distR="114300" simplePos="0" relativeHeight="251666944" behindDoc="0" locked="0" layoutInCell="1" allowOverlap="1" wp14:anchorId="16DDA4F8" wp14:editId="500E740B">
            <wp:simplePos x="0" y="0"/>
            <wp:positionH relativeFrom="column">
              <wp:posOffset>1241425</wp:posOffset>
            </wp:positionH>
            <wp:positionV relativeFrom="paragraph">
              <wp:posOffset>57150</wp:posOffset>
            </wp:positionV>
            <wp:extent cx="3580130" cy="1971040"/>
            <wp:effectExtent l="0" t="0" r="0" b="0"/>
            <wp:wrapSquare wrapText="bothSides"/>
            <wp:docPr id="3" name="แผนภูมิ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jc w:val="both"/>
        <w:rPr>
          <w:rFonts w:ascii="Times New Roman" w:hAnsi="Times New Roman"/>
          <w:sz w:val="18"/>
          <w:szCs w:val="18"/>
        </w:rPr>
      </w:pPr>
    </w:p>
    <w:p w:rsidR="00850D61" w:rsidRPr="00A10006" w:rsidRDefault="00850D61" w:rsidP="00850D61">
      <w:pPr>
        <w:autoSpaceDE w:val="0"/>
        <w:autoSpaceDN w:val="0"/>
        <w:adjustRightInd w:val="0"/>
        <w:spacing w:after="0" w:line="240" w:lineRule="auto"/>
        <w:ind w:left="810" w:hanging="810"/>
        <w:jc w:val="both"/>
        <w:rPr>
          <w:rFonts w:ascii="Times New Roman" w:hAnsi="Times New Roman"/>
          <w:color w:val="000000"/>
          <w:sz w:val="20"/>
          <w:szCs w:val="20"/>
        </w:rPr>
      </w:pPr>
      <w:r w:rsidRPr="00A10006">
        <w:rPr>
          <w:rFonts w:ascii="Times New Roman" w:hAnsi="Times New Roman"/>
          <w:sz w:val="20"/>
          <w:szCs w:val="20"/>
        </w:rPr>
        <w:t>Figure 2. Fluorescence spectra of product (</w:t>
      </w:r>
      <w:r w:rsidRPr="00A10006">
        <w:rPr>
          <w:rFonts w:ascii="Times New Roman" w:hAnsi="Times New Roman"/>
          <w:color w:val="000000"/>
          <w:sz w:val="20"/>
          <w:szCs w:val="20"/>
        </w:rPr>
        <w:t xml:space="preserve">BL: 50 µM and DABA: </w:t>
      </w:r>
      <w:r w:rsidRPr="00A10006">
        <w:rPr>
          <w:rFonts w:ascii="Times New Roman" w:hAnsi="Times New Roman"/>
          <w:sz w:val="20"/>
          <w:szCs w:val="20"/>
        </w:rPr>
        <w:t xml:space="preserve">160 </w:t>
      </w:r>
      <w:r w:rsidRPr="00A10006">
        <w:rPr>
          <w:rFonts w:ascii="Times New Roman" w:hAnsi="Times New Roman"/>
          <w:color w:val="000000"/>
          <w:sz w:val="20"/>
          <w:szCs w:val="20"/>
        </w:rPr>
        <w:t>µ</w:t>
      </w:r>
      <w:r w:rsidRPr="00A10006">
        <w:rPr>
          <w:rFonts w:ascii="Times New Roman" w:hAnsi="Times New Roman"/>
          <w:sz w:val="20"/>
          <w:szCs w:val="20"/>
        </w:rPr>
        <w:t>M)</w:t>
      </w:r>
      <w:r>
        <w:rPr>
          <w:rFonts w:ascii="Times New Roman" w:hAnsi="Times New Roman"/>
          <w:color w:val="000000"/>
          <w:sz w:val="20"/>
          <w:szCs w:val="20"/>
        </w:rPr>
        <w:t xml:space="preserve"> </w:t>
      </w:r>
      <w:r w:rsidRPr="00A10006">
        <w:rPr>
          <w:rFonts w:ascii="Times New Roman" w:hAnsi="Times New Roman"/>
          <w:color w:val="000000"/>
          <w:sz w:val="20"/>
          <w:szCs w:val="20"/>
        </w:rPr>
        <w:t xml:space="preserve">and </w:t>
      </w:r>
      <w:r w:rsidRPr="00A10006">
        <w:rPr>
          <w:rFonts w:ascii="Times New Roman" w:hAnsi="Times New Roman"/>
          <w:sz w:val="20"/>
          <w:szCs w:val="20"/>
        </w:rPr>
        <w:t xml:space="preserve">reagent blank solution (DABA: </w:t>
      </w:r>
      <w:r>
        <w:rPr>
          <w:rFonts w:ascii="Times New Roman" w:hAnsi="Times New Roman"/>
          <w:sz w:val="20"/>
          <w:szCs w:val="20"/>
        </w:rPr>
        <w:t xml:space="preserve">   </w:t>
      </w:r>
      <w:r w:rsidRPr="00A10006">
        <w:rPr>
          <w:rFonts w:ascii="Times New Roman" w:hAnsi="Times New Roman"/>
          <w:sz w:val="20"/>
          <w:szCs w:val="20"/>
        </w:rPr>
        <w:t xml:space="preserve">160 </w:t>
      </w:r>
      <w:r w:rsidRPr="00A10006">
        <w:rPr>
          <w:rFonts w:ascii="Times New Roman" w:hAnsi="Times New Roman"/>
          <w:color w:val="000000"/>
          <w:sz w:val="20"/>
          <w:szCs w:val="20"/>
        </w:rPr>
        <w:t>µ</w:t>
      </w:r>
      <w:r w:rsidRPr="00A10006">
        <w:rPr>
          <w:rFonts w:ascii="Times New Roman" w:hAnsi="Times New Roman"/>
          <w:sz w:val="20"/>
          <w:szCs w:val="20"/>
        </w:rPr>
        <w:t>M</w:t>
      </w:r>
      <w:r w:rsidRPr="00A10006">
        <w:rPr>
          <w:rFonts w:ascii="Times New Roman" w:hAnsi="Times New Roman"/>
          <w:color w:val="000000"/>
          <w:sz w:val="20"/>
          <w:szCs w:val="20"/>
        </w:rPr>
        <w:t xml:space="preserve">) </w:t>
      </w:r>
      <w:r w:rsidRPr="00A10006">
        <w:rPr>
          <w:rFonts w:ascii="Times New Roman" w:hAnsi="Times New Roman"/>
          <w:sz w:val="20"/>
          <w:szCs w:val="20"/>
        </w:rPr>
        <w:t>at pH 7.</w:t>
      </w:r>
    </w:p>
    <w:p w:rsidR="00850D61" w:rsidRDefault="00850D61" w:rsidP="00850D61">
      <w:pPr>
        <w:autoSpaceDE w:val="0"/>
        <w:autoSpaceDN w:val="0"/>
        <w:adjustRightInd w:val="0"/>
        <w:spacing w:after="0" w:line="240" w:lineRule="auto"/>
        <w:jc w:val="thaiDistribute"/>
        <w:rPr>
          <w:rFonts w:ascii="Times New Roman" w:hAnsi="Times New Roman"/>
          <w:color w:val="000000"/>
          <w:sz w:val="20"/>
          <w:szCs w:val="20"/>
        </w:rPr>
      </w:pPr>
    </w:p>
    <w:p w:rsidR="00850D61" w:rsidRPr="00A10006" w:rsidRDefault="00850D61" w:rsidP="00850D61">
      <w:pPr>
        <w:autoSpaceDE w:val="0"/>
        <w:autoSpaceDN w:val="0"/>
        <w:adjustRightInd w:val="0"/>
        <w:spacing w:after="0" w:line="240" w:lineRule="auto"/>
        <w:jc w:val="thaiDistribute"/>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iCs/>
          <w:color w:val="000000"/>
          <w:sz w:val="20"/>
          <w:szCs w:val="20"/>
        </w:rPr>
      </w:pPr>
      <w:r w:rsidRPr="00850D61">
        <w:rPr>
          <w:rFonts w:ascii="Times New Roman" w:hAnsi="Times New Roman"/>
          <w:b/>
          <w:bCs/>
          <w:iCs/>
          <w:color w:val="000000"/>
          <w:sz w:val="20"/>
          <w:szCs w:val="20"/>
        </w:rPr>
        <w:t>Effect of pH</w:t>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r w:rsidRPr="00850D61">
        <w:rPr>
          <w:rFonts w:ascii="Times New Roman" w:hAnsi="Times New Roman"/>
          <w:color w:val="000000"/>
          <w:sz w:val="20"/>
          <w:szCs w:val="20"/>
        </w:rPr>
        <w:t xml:space="preserve">The influence of pH on fluorescence intensity of the reaction product was studied in the range of pH 5-9. Maximum fluorescence intensity was obtained at pH 7 with 10 mM phosphate buffer solution, when 50 µM of </w:t>
      </w:r>
      <w:r w:rsidRPr="00850D61">
        <w:rPr>
          <w:rFonts w:ascii="Times New Roman" w:hAnsi="Times New Roman"/>
          <w:sz w:val="20"/>
          <w:szCs w:val="20"/>
        </w:rPr>
        <w:t xml:space="preserve">brassinolide was </w:t>
      </w:r>
      <w:r w:rsidRPr="00850D61">
        <w:rPr>
          <w:rFonts w:ascii="Times New Roman" w:hAnsi="Times New Roman"/>
          <w:color w:val="000000"/>
          <w:sz w:val="20"/>
          <w:szCs w:val="20"/>
        </w:rPr>
        <w:t xml:space="preserve">reacted with </w:t>
      </w:r>
      <w:r w:rsidRPr="00850D61">
        <w:rPr>
          <w:rFonts w:ascii="Times New Roman" w:hAnsi="Times New Roman"/>
          <w:sz w:val="20"/>
          <w:szCs w:val="20"/>
        </w:rPr>
        <w:t xml:space="preserve">160 </w:t>
      </w:r>
      <w:r w:rsidRPr="00850D61">
        <w:rPr>
          <w:rFonts w:ascii="Times New Roman" w:hAnsi="Times New Roman"/>
          <w:color w:val="000000"/>
          <w:sz w:val="20"/>
          <w:szCs w:val="20"/>
        </w:rPr>
        <w:t>µ</w:t>
      </w:r>
      <w:r w:rsidRPr="00850D61">
        <w:rPr>
          <w:rFonts w:ascii="Times New Roman" w:hAnsi="Times New Roman"/>
          <w:sz w:val="20"/>
          <w:szCs w:val="20"/>
        </w:rPr>
        <w:t>M</w:t>
      </w:r>
      <w:r w:rsidRPr="00850D61">
        <w:rPr>
          <w:rFonts w:ascii="Times New Roman" w:hAnsi="Times New Roman"/>
          <w:color w:val="000000"/>
          <w:sz w:val="20"/>
          <w:szCs w:val="20"/>
        </w:rPr>
        <w:t xml:space="preserve"> of DABA (Figure 3). The results indicated that at pH less than 7, the fluorescence intensity decreased. The protons in the phosphate buffer solution could lead to the protonation of the dimethylamine group in DABA and cause significantly decreased fluorescence intensity of the reaction product. </w:t>
      </w:r>
      <w:r w:rsidRPr="00850D61">
        <w:rPr>
          <w:rFonts w:ascii="Times New Roman" w:hAnsi="Times New Roman"/>
          <w:sz w:val="20"/>
          <w:szCs w:val="20"/>
        </w:rPr>
        <w:t xml:space="preserve">When the pH is higher than 7, the sulfonamide group of </w:t>
      </w:r>
      <w:r w:rsidRPr="00850D61">
        <w:rPr>
          <w:rFonts w:ascii="Times New Roman" w:hAnsi="Times New Roman"/>
          <w:color w:val="000000"/>
          <w:sz w:val="20"/>
          <w:szCs w:val="20"/>
        </w:rPr>
        <w:t>DABA</w:t>
      </w:r>
      <w:r w:rsidRPr="00850D61">
        <w:rPr>
          <w:rFonts w:ascii="Times New Roman" w:hAnsi="Times New Roman"/>
          <w:sz w:val="20"/>
          <w:szCs w:val="20"/>
        </w:rPr>
        <w:t xml:space="preserve"> can be deprotonated and the hydroxyl ion in the buffer solution can </w:t>
      </w:r>
      <w:r w:rsidRPr="00850D61">
        <w:rPr>
          <w:rFonts w:ascii="Times New Roman" w:hAnsi="Times New Roman"/>
          <w:sz w:val="20"/>
          <w:szCs w:val="20"/>
        </w:rPr>
        <w:lastRenderedPageBreak/>
        <w:t xml:space="preserve">be added to the boronic acid group of </w:t>
      </w:r>
      <w:r w:rsidRPr="00850D61">
        <w:rPr>
          <w:rFonts w:ascii="Times New Roman" w:hAnsi="Times New Roman"/>
          <w:color w:val="000000"/>
          <w:sz w:val="20"/>
          <w:szCs w:val="20"/>
        </w:rPr>
        <w:t>DABA</w:t>
      </w:r>
      <w:r w:rsidRPr="00850D61">
        <w:rPr>
          <w:rFonts w:ascii="Times New Roman" w:hAnsi="Times New Roman"/>
          <w:sz w:val="20"/>
          <w:szCs w:val="20"/>
        </w:rPr>
        <w:t xml:space="preserve">. The new product caused the peak in the fluorescence spectrum to shift, which resulted in a decrease of the fluorescence intensity at 505 nm [14]. Therefore </w:t>
      </w:r>
      <w:r w:rsidRPr="00850D61">
        <w:rPr>
          <w:rFonts w:ascii="Times New Roman" w:hAnsi="Times New Roman"/>
          <w:color w:val="000000"/>
          <w:sz w:val="20"/>
          <w:szCs w:val="20"/>
        </w:rPr>
        <w:t>phosphate buffer solution at pH 7 was chosen in further experiments.</w:t>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r w:rsidRPr="00850D61">
        <w:rPr>
          <w:rFonts w:ascii="Times New Roman" w:hAnsi="Times New Roman"/>
          <w:noProof/>
          <w:sz w:val="20"/>
          <w:szCs w:val="20"/>
          <w:lang w:bidi="ar-SA"/>
        </w:rPr>
        <w:drawing>
          <wp:anchor distT="0" distB="0" distL="114300" distR="114300" simplePos="0" relativeHeight="251661824" behindDoc="0" locked="0" layoutInCell="1" allowOverlap="1" wp14:anchorId="572754B3" wp14:editId="1AE928A0">
            <wp:simplePos x="0" y="0"/>
            <wp:positionH relativeFrom="column">
              <wp:posOffset>1241425</wp:posOffset>
            </wp:positionH>
            <wp:positionV relativeFrom="paragraph">
              <wp:posOffset>35560</wp:posOffset>
            </wp:positionV>
            <wp:extent cx="3587750" cy="1803400"/>
            <wp:effectExtent l="0" t="0" r="0" b="0"/>
            <wp:wrapSquare wrapText="bothSides"/>
            <wp:docPr id="4" name="แผนภู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center"/>
        <w:rPr>
          <w:rFonts w:ascii="Times New Roman" w:hAnsi="Times New Roman"/>
          <w:sz w:val="20"/>
          <w:szCs w:val="20"/>
        </w:rPr>
      </w:pPr>
      <w:r w:rsidRPr="00850D61">
        <w:rPr>
          <w:rFonts w:ascii="Times New Roman" w:hAnsi="Times New Roman"/>
          <w:sz w:val="20"/>
          <w:szCs w:val="20"/>
        </w:rPr>
        <w:t xml:space="preserve">Figure 3. </w:t>
      </w:r>
      <w:r>
        <w:rPr>
          <w:rFonts w:ascii="Times New Roman" w:hAnsi="Times New Roman"/>
          <w:sz w:val="20"/>
          <w:szCs w:val="20"/>
        </w:rPr>
        <w:t xml:space="preserve"> </w:t>
      </w:r>
      <w:r w:rsidRPr="00850D61">
        <w:rPr>
          <w:rFonts w:ascii="Times New Roman" w:hAnsi="Times New Roman"/>
          <w:sz w:val="20"/>
          <w:szCs w:val="20"/>
        </w:rPr>
        <w:t>Fluorescence intensity of the reaction product at different pH</w:t>
      </w:r>
      <w:r w:rsidRPr="00850D61">
        <w:rPr>
          <w:rFonts w:ascii="Times New Roman" w:hAnsi="Times New Roman"/>
          <w:color w:val="000000"/>
          <w:sz w:val="20"/>
          <w:szCs w:val="20"/>
        </w:rPr>
        <w:t>.</w:t>
      </w:r>
    </w:p>
    <w:p w:rsidR="00850D61" w:rsidRDefault="00850D61" w:rsidP="00850D61">
      <w:pPr>
        <w:autoSpaceDE w:val="0"/>
        <w:autoSpaceDN w:val="0"/>
        <w:adjustRightInd w:val="0"/>
        <w:spacing w:after="0" w:line="240" w:lineRule="auto"/>
        <w:jc w:val="both"/>
        <w:rPr>
          <w:rFonts w:ascii="Times New Roman" w:hAnsi="Times New Roman"/>
          <w:bCs/>
          <w:iCs/>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Cs/>
          <w:iCs/>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iCs/>
          <w:color w:val="000000"/>
          <w:sz w:val="20"/>
          <w:szCs w:val="20"/>
        </w:rPr>
      </w:pPr>
      <w:r w:rsidRPr="00850D61">
        <w:rPr>
          <w:rFonts w:ascii="Times New Roman" w:hAnsi="Times New Roman"/>
          <w:b/>
          <w:bCs/>
          <w:iCs/>
          <w:color w:val="000000"/>
          <w:sz w:val="20"/>
          <w:szCs w:val="20"/>
        </w:rPr>
        <w:t xml:space="preserve">Effect of phosphate buffer concentration </w:t>
      </w: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color w:val="000000"/>
          <w:sz w:val="20"/>
          <w:szCs w:val="20"/>
        </w:rPr>
        <w:t>The buffer concentration affects its ionic strength, which resulted in a change of the p</w:t>
      </w:r>
      <w:r w:rsidRPr="00850D61">
        <w:rPr>
          <w:rFonts w:ascii="Times New Roman" w:hAnsi="Times New Roman"/>
          <w:i/>
          <w:iCs/>
          <w:color w:val="000000"/>
          <w:sz w:val="20"/>
          <w:szCs w:val="20"/>
        </w:rPr>
        <w:t>K</w:t>
      </w:r>
      <w:r w:rsidRPr="00850D61">
        <w:rPr>
          <w:rFonts w:ascii="Times New Roman" w:hAnsi="Times New Roman"/>
          <w:i/>
          <w:iCs/>
          <w:color w:val="000000"/>
          <w:sz w:val="20"/>
          <w:szCs w:val="20"/>
          <w:vertAlign w:val="subscript"/>
        </w:rPr>
        <w:t>a</w:t>
      </w:r>
      <w:r w:rsidRPr="00850D61">
        <w:rPr>
          <w:rFonts w:ascii="Times New Roman" w:hAnsi="Times New Roman"/>
          <w:color w:val="000000"/>
          <w:sz w:val="20"/>
          <w:szCs w:val="20"/>
        </w:rPr>
        <w:t xml:space="preserve"> value of the buffer acid and consequently, a change of its pH, even though the concentration ratio of the buffer species was kept constant [15]. Thus, the optimized buffer concentration was necessary. The influence of phosphate buffer concentration was studied in the range of 0.1-10 mM using </w:t>
      </w:r>
      <w:r w:rsidRPr="00850D61">
        <w:rPr>
          <w:rFonts w:ascii="Times New Roman" w:hAnsi="Times New Roman"/>
          <w:sz w:val="20"/>
          <w:szCs w:val="20"/>
        </w:rPr>
        <w:t>Na</w:t>
      </w:r>
      <w:r w:rsidRPr="00850D61">
        <w:rPr>
          <w:rFonts w:ascii="Times New Roman" w:hAnsi="Times New Roman"/>
          <w:sz w:val="20"/>
          <w:szCs w:val="20"/>
          <w:vertAlign w:val="subscript"/>
        </w:rPr>
        <w:t>2</w:t>
      </w:r>
      <w:r w:rsidRPr="00850D61">
        <w:rPr>
          <w:rFonts w:ascii="Times New Roman" w:hAnsi="Times New Roman"/>
          <w:sz w:val="20"/>
          <w:szCs w:val="20"/>
        </w:rPr>
        <w:t>HPO</w:t>
      </w:r>
      <w:r w:rsidRPr="00850D61">
        <w:rPr>
          <w:rFonts w:ascii="Times New Roman" w:hAnsi="Times New Roman"/>
          <w:sz w:val="20"/>
          <w:szCs w:val="20"/>
          <w:vertAlign w:val="subscript"/>
        </w:rPr>
        <w:t>4</w:t>
      </w:r>
      <w:r w:rsidRPr="00850D61">
        <w:rPr>
          <w:rFonts w:ascii="Times New Roman" w:hAnsi="Times New Roman"/>
          <w:sz w:val="20"/>
          <w:szCs w:val="20"/>
        </w:rPr>
        <w:t>.12 H</w:t>
      </w:r>
      <w:r w:rsidRPr="00850D61">
        <w:rPr>
          <w:rFonts w:ascii="Times New Roman" w:hAnsi="Times New Roman"/>
          <w:sz w:val="20"/>
          <w:szCs w:val="20"/>
          <w:vertAlign w:val="subscript"/>
        </w:rPr>
        <w:t>2</w:t>
      </w:r>
      <w:r w:rsidRPr="00850D61">
        <w:rPr>
          <w:rFonts w:ascii="Times New Roman" w:hAnsi="Times New Roman"/>
          <w:sz w:val="20"/>
          <w:szCs w:val="20"/>
        </w:rPr>
        <w:t xml:space="preserve">O </w:t>
      </w:r>
      <w:r w:rsidRPr="00850D61">
        <w:rPr>
          <w:rFonts w:ascii="Times New Roman" w:hAnsi="Times New Roman"/>
          <w:color w:val="000000"/>
          <w:sz w:val="20"/>
          <w:szCs w:val="20"/>
        </w:rPr>
        <w:t>adjusted to pH 7 using HCl. Fluorescence intensity</w:t>
      </w:r>
      <w:r w:rsidRPr="00850D61">
        <w:rPr>
          <w:rFonts w:ascii="Times New Roman" w:hAnsi="Times New Roman"/>
          <w:sz w:val="20"/>
          <w:szCs w:val="20"/>
        </w:rPr>
        <w:t xml:space="preserve"> of the reaction products of 50 µM brassinolide and 160 µM DABA are</w:t>
      </w:r>
      <w:r w:rsidRPr="00850D61">
        <w:rPr>
          <w:rFonts w:ascii="Times New Roman" w:hAnsi="Times New Roman"/>
          <w:color w:val="000000"/>
          <w:sz w:val="20"/>
          <w:szCs w:val="20"/>
        </w:rPr>
        <w:t xml:space="preserve"> shown in Figure 4. Increasing the concentration of the phosphate buffer solution produced a proportional increase in the fluorescence intensity of the reaction product up to 5 mM. The intensity decreased between 5 and 10 mM. This could due to the change of buffer pH or the quenching effect from using high concentration of buffer. Thus, 5 mM of phosphate buffer solution was </w:t>
      </w:r>
      <w:r w:rsidRPr="00850D61">
        <w:rPr>
          <w:rFonts w:ascii="Times New Roman" w:hAnsi="Times New Roman"/>
          <w:sz w:val="20"/>
          <w:szCs w:val="20"/>
        </w:rPr>
        <w:t>selected in subsequent</w:t>
      </w:r>
      <w:r w:rsidRPr="00850D61">
        <w:rPr>
          <w:rFonts w:ascii="Times New Roman" w:hAnsi="Times New Roman"/>
          <w:color w:val="000000"/>
          <w:sz w:val="20"/>
          <w:szCs w:val="20"/>
        </w:rPr>
        <w:t xml:space="preserve"> experiments.</w:t>
      </w: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noProof/>
          <w:color w:val="000000"/>
          <w:sz w:val="20"/>
          <w:szCs w:val="20"/>
          <w:lang w:bidi="ar-SA"/>
        </w:rPr>
        <w:drawing>
          <wp:anchor distT="0" distB="0" distL="114300" distR="114300" simplePos="0" relativeHeight="251662848" behindDoc="0" locked="0" layoutInCell="1" allowOverlap="1" wp14:anchorId="7DC8548B" wp14:editId="09605136">
            <wp:simplePos x="0" y="0"/>
            <wp:positionH relativeFrom="column">
              <wp:posOffset>1282700</wp:posOffset>
            </wp:positionH>
            <wp:positionV relativeFrom="paragraph">
              <wp:posOffset>102235</wp:posOffset>
            </wp:positionV>
            <wp:extent cx="3594100" cy="1797050"/>
            <wp:effectExtent l="0" t="0" r="0" b="0"/>
            <wp:wrapSquare wrapText="bothSides"/>
            <wp:docPr id="5" name="แผนภูมิ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center"/>
        <w:rPr>
          <w:rFonts w:ascii="Times New Roman" w:hAnsi="Times New Roman"/>
          <w:sz w:val="20"/>
          <w:szCs w:val="20"/>
        </w:rPr>
      </w:pPr>
      <w:r w:rsidRPr="00850D61">
        <w:rPr>
          <w:rFonts w:ascii="Times New Roman" w:hAnsi="Times New Roman"/>
          <w:sz w:val="20"/>
          <w:szCs w:val="20"/>
        </w:rPr>
        <w:t xml:space="preserve">Figure 4. </w:t>
      </w:r>
      <w:r>
        <w:rPr>
          <w:rFonts w:ascii="Times New Roman" w:hAnsi="Times New Roman"/>
          <w:sz w:val="20"/>
          <w:szCs w:val="20"/>
        </w:rPr>
        <w:t xml:space="preserve"> </w:t>
      </w:r>
      <w:r w:rsidRPr="00850D61">
        <w:rPr>
          <w:rFonts w:ascii="Times New Roman" w:hAnsi="Times New Roman"/>
          <w:sz w:val="20"/>
          <w:szCs w:val="20"/>
        </w:rPr>
        <w:t>Fluorescence intensity of the reaction product at different buffer concentration.</w:t>
      </w:r>
    </w:p>
    <w:p w:rsid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iCs/>
          <w:color w:val="000000"/>
          <w:sz w:val="20"/>
          <w:szCs w:val="20"/>
        </w:rPr>
      </w:pPr>
      <w:r w:rsidRPr="00850D61">
        <w:rPr>
          <w:rFonts w:ascii="Times New Roman" w:hAnsi="Times New Roman"/>
          <w:b/>
          <w:bCs/>
          <w:iCs/>
          <w:color w:val="000000"/>
          <w:sz w:val="20"/>
          <w:szCs w:val="20"/>
        </w:rPr>
        <w:t>Effect of temperature</w:t>
      </w: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color w:val="000000"/>
          <w:sz w:val="20"/>
          <w:szCs w:val="20"/>
        </w:rPr>
        <w:t xml:space="preserve">In previous research, a reaction temperature at 70°C was used for derivatization of DABA with brassinosteroids [6]. However, in the other work, room temperature was chosen for derivatization process of DABA with saccharides [14, 16-17]. In this research the effect of reaction temperature was tested within the range 25-90°C. The fluorescence intensity at different reaction temperatures is shown in Figure 5. Increasing the reaction temperature </w:t>
      </w:r>
      <w:r w:rsidRPr="00850D61">
        <w:rPr>
          <w:rFonts w:ascii="Times New Roman" w:hAnsi="Times New Roman"/>
          <w:color w:val="000000"/>
          <w:sz w:val="20"/>
          <w:szCs w:val="20"/>
        </w:rPr>
        <w:lastRenderedPageBreak/>
        <w:t>higher than 40°C resulted in a subsequent decrease in the fluorescence intensity of the reaction product. This could be because in fluorescence high temperatures can cause non-radiative processes via thermal agitation, which results in a decrease of the fluorescence intensity [18]. The fluorescence intensity at 30°C and 40°C revealed no significant differences. Therefore, room temperature (about 30</w:t>
      </w:r>
      <w:r w:rsidRPr="00850D61">
        <w:rPr>
          <w:rFonts w:ascii="Times New Roman" w:hAnsi="Times New Roman"/>
          <w:color w:val="000000"/>
          <w:sz w:val="20"/>
          <w:szCs w:val="20"/>
          <w:vertAlign w:val="superscript"/>
        </w:rPr>
        <w:t>o</w:t>
      </w:r>
      <w:r w:rsidRPr="00850D61">
        <w:rPr>
          <w:rFonts w:ascii="Times New Roman" w:hAnsi="Times New Roman"/>
          <w:color w:val="000000"/>
          <w:sz w:val="20"/>
          <w:szCs w:val="20"/>
        </w:rPr>
        <w:t>C in our laboratory) was chosen as the optimal reaction temperature for convenient</w:t>
      </w:r>
      <w:r w:rsidRPr="00850D61">
        <w:rPr>
          <w:rFonts w:ascii="Times New Roman" w:hAnsi="Times New Roman"/>
          <w:sz w:val="20"/>
          <w:szCs w:val="20"/>
        </w:rPr>
        <w:t>.</w:t>
      </w:r>
    </w:p>
    <w:p w:rsidR="00850D61" w:rsidRDefault="00850D61" w:rsidP="00850D61">
      <w:pPr>
        <w:autoSpaceDE w:val="0"/>
        <w:autoSpaceDN w:val="0"/>
        <w:adjustRightInd w:val="0"/>
        <w:spacing w:after="0" w:line="240" w:lineRule="auto"/>
        <w:jc w:val="both"/>
        <w:rPr>
          <w:rFonts w:ascii="Times New Roman" w:hAnsi="Times New Roman"/>
          <w:bCs/>
          <w:iCs/>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Cs/>
          <w:iCs/>
          <w:color w:val="000000"/>
          <w:sz w:val="20"/>
          <w:szCs w:val="20"/>
        </w:rPr>
      </w:pPr>
      <w:r w:rsidRPr="00850D61">
        <w:rPr>
          <w:rFonts w:ascii="Times New Roman" w:hAnsi="Times New Roman"/>
          <w:bCs/>
          <w:noProof/>
          <w:sz w:val="20"/>
          <w:szCs w:val="20"/>
          <w:lang w:bidi="ar-SA"/>
        </w:rPr>
        <w:drawing>
          <wp:anchor distT="0" distB="0" distL="114300" distR="114300" simplePos="0" relativeHeight="251663872" behindDoc="0" locked="0" layoutInCell="1" allowOverlap="1" wp14:anchorId="1CBBAA2F" wp14:editId="667C7CE0">
            <wp:simplePos x="0" y="0"/>
            <wp:positionH relativeFrom="column">
              <wp:posOffset>1228725</wp:posOffset>
            </wp:positionH>
            <wp:positionV relativeFrom="paragraph">
              <wp:posOffset>13335</wp:posOffset>
            </wp:positionV>
            <wp:extent cx="3585845" cy="1941195"/>
            <wp:effectExtent l="0" t="0" r="0" b="0"/>
            <wp:wrapSquare wrapText="bothSides"/>
            <wp:docPr id="10" name="แผนภู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center"/>
        <w:rPr>
          <w:rFonts w:ascii="Times New Roman" w:hAnsi="Times New Roman"/>
          <w:sz w:val="20"/>
          <w:szCs w:val="20"/>
        </w:rPr>
      </w:pPr>
      <w:r w:rsidRPr="00850D61">
        <w:rPr>
          <w:rFonts w:ascii="Times New Roman" w:hAnsi="Times New Roman"/>
          <w:sz w:val="20"/>
          <w:szCs w:val="20"/>
        </w:rPr>
        <w:t xml:space="preserve">Figure 5. </w:t>
      </w:r>
      <w:r>
        <w:rPr>
          <w:rFonts w:ascii="Times New Roman" w:hAnsi="Times New Roman"/>
          <w:sz w:val="20"/>
          <w:szCs w:val="20"/>
        </w:rPr>
        <w:t xml:space="preserve"> </w:t>
      </w:r>
      <w:r w:rsidRPr="00850D61">
        <w:rPr>
          <w:rFonts w:ascii="Times New Roman" w:hAnsi="Times New Roman"/>
          <w:sz w:val="20"/>
          <w:szCs w:val="20"/>
        </w:rPr>
        <w:t>Fluorescence intensity of the reaction product at various  reaction temperature.</w:t>
      </w:r>
    </w:p>
    <w:p w:rsidR="00850D61" w:rsidRDefault="00850D61" w:rsidP="00850D61">
      <w:pPr>
        <w:autoSpaceDE w:val="0"/>
        <w:autoSpaceDN w:val="0"/>
        <w:adjustRightInd w:val="0"/>
        <w:spacing w:after="0" w:line="240" w:lineRule="auto"/>
        <w:jc w:val="both"/>
        <w:rPr>
          <w:rFonts w:ascii="Times New Roman" w:hAnsi="Times New Roman"/>
          <w:bCs/>
          <w:iCs/>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Cs/>
          <w:iCs/>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iCs/>
          <w:sz w:val="20"/>
          <w:szCs w:val="20"/>
        </w:rPr>
      </w:pPr>
      <w:r w:rsidRPr="00850D61">
        <w:rPr>
          <w:rFonts w:ascii="Times New Roman" w:hAnsi="Times New Roman"/>
          <w:b/>
          <w:bCs/>
          <w:iCs/>
          <w:sz w:val="20"/>
          <w:szCs w:val="20"/>
        </w:rPr>
        <w:t>Effect of reaction time</w:t>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r w:rsidRPr="00850D61">
        <w:rPr>
          <w:rFonts w:ascii="Times New Roman" w:hAnsi="Times New Roman"/>
          <w:color w:val="000000"/>
          <w:sz w:val="20"/>
          <w:szCs w:val="20"/>
        </w:rPr>
        <w:t xml:space="preserve">Different reaction time intervals were investigated in the range 5-70 min at room temperature. The relation between fluorescence intensity and reaction time is shown in Figure 6. It was found that after 20 min, the reaction product reaches its highest fluorescence intensity and remains constant for about 50 min. Thus, the optimal reaction </w:t>
      </w:r>
      <w:r w:rsidRPr="00850D61">
        <w:rPr>
          <w:rFonts w:ascii="Times New Roman" w:hAnsi="Times New Roman"/>
          <w:sz w:val="20"/>
          <w:szCs w:val="20"/>
        </w:rPr>
        <w:t xml:space="preserve">time used in the </w:t>
      </w:r>
      <w:r w:rsidRPr="00850D61">
        <w:rPr>
          <w:rFonts w:ascii="Times New Roman" w:hAnsi="Times New Roman"/>
          <w:color w:val="000000"/>
          <w:sz w:val="20"/>
          <w:szCs w:val="20"/>
        </w:rPr>
        <w:t>present work</w:t>
      </w:r>
      <w:r w:rsidRPr="00850D61">
        <w:rPr>
          <w:rFonts w:ascii="Times New Roman" w:hAnsi="Times New Roman"/>
          <w:sz w:val="20"/>
          <w:szCs w:val="20"/>
        </w:rPr>
        <w:t xml:space="preserve"> was 20 min.</w:t>
      </w:r>
      <w:r w:rsidRPr="00850D61">
        <w:rPr>
          <w:rFonts w:ascii="Times New Roman" w:hAnsi="Times New Roman"/>
          <w:color w:val="000000"/>
          <w:sz w:val="20"/>
          <w:szCs w:val="20"/>
        </w:rPr>
        <w:t xml:space="preserve"> This result was in agreement with previous work [9,10].</w:t>
      </w:r>
      <w:r w:rsidRPr="00850D61">
        <w:rPr>
          <w:rFonts w:ascii="Times New Roman" w:hAnsi="Times New Roman"/>
          <w:sz w:val="20"/>
          <w:szCs w:val="20"/>
        </w:rPr>
        <w:t xml:space="preserve"> The </w:t>
      </w:r>
      <w:r w:rsidRPr="00850D61">
        <w:rPr>
          <w:rFonts w:ascii="Times New Roman" w:hAnsi="Times New Roman"/>
          <w:color w:val="000000"/>
          <w:sz w:val="20"/>
          <w:szCs w:val="20"/>
        </w:rPr>
        <w:t>derivatization</w:t>
      </w:r>
      <w:r w:rsidRPr="00850D61">
        <w:rPr>
          <w:rFonts w:ascii="Times New Roman" w:hAnsi="Times New Roman"/>
          <w:sz w:val="20"/>
          <w:szCs w:val="20"/>
        </w:rPr>
        <w:t xml:space="preserve"> </w:t>
      </w:r>
      <w:r w:rsidRPr="00850D61">
        <w:rPr>
          <w:rFonts w:ascii="Times New Roman" w:hAnsi="Times New Roman"/>
          <w:color w:val="000000"/>
          <w:sz w:val="20"/>
          <w:szCs w:val="20"/>
        </w:rPr>
        <w:t>reaction</w:t>
      </w:r>
      <w:r w:rsidRPr="00850D61">
        <w:rPr>
          <w:rFonts w:ascii="Times New Roman" w:hAnsi="Times New Roman"/>
          <w:sz w:val="20"/>
          <w:szCs w:val="20"/>
        </w:rPr>
        <w:t xml:space="preserve"> could be completed in 20 min, therefore no more products to produce the fluorescence intensity.</w:t>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r w:rsidRPr="00850D61">
        <w:rPr>
          <w:rFonts w:ascii="Times New Roman" w:hAnsi="Times New Roman"/>
          <w:noProof/>
          <w:sz w:val="20"/>
          <w:szCs w:val="20"/>
          <w:lang w:bidi="ar-SA"/>
        </w:rPr>
        <w:drawing>
          <wp:anchor distT="0" distB="0" distL="114300" distR="114300" simplePos="0" relativeHeight="251664896" behindDoc="0" locked="0" layoutInCell="1" allowOverlap="1" wp14:anchorId="6E5AE4B5" wp14:editId="3004ED37">
            <wp:simplePos x="0" y="0"/>
            <wp:positionH relativeFrom="column">
              <wp:posOffset>1082675</wp:posOffset>
            </wp:positionH>
            <wp:positionV relativeFrom="paragraph">
              <wp:posOffset>58420</wp:posOffset>
            </wp:positionV>
            <wp:extent cx="3638550" cy="1803400"/>
            <wp:effectExtent l="0" t="0" r="0" b="0"/>
            <wp:wrapSquare wrapText="bothSides"/>
            <wp:docPr id="11" name="แผนภู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before="120" w:after="0" w:line="240" w:lineRule="auto"/>
        <w:jc w:val="center"/>
        <w:rPr>
          <w:rFonts w:ascii="Times New Roman" w:hAnsi="Times New Roman"/>
          <w:sz w:val="20"/>
          <w:szCs w:val="20"/>
        </w:rPr>
      </w:pPr>
      <w:r w:rsidRPr="00850D61">
        <w:rPr>
          <w:rFonts w:ascii="Times New Roman" w:hAnsi="Times New Roman"/>
          <w:sz w:val="20"/>
          <w:szCs w:val="20"/>
        </w:rPr>
        <w:t xml:space="preserve">Figure 6. </w:t>
      </w:r>
      <w:r>
        <w:rPr>
          <w:rFonts w:ascii="Times New Roman" w:hAnsi="Times New Roman"/>
          <w:sz w:val="20"/>
          <w:szCs w:val="20"/>
        </w:rPr>
        <w:t xml:space="preserve"> </w:t>
      </w:r>
      <w:r w:rsidRPr="00850D61">
        <w:rPr>
          <w:rFonts w:ascii="Times New Roman" w:hAnsi="Times New Roman"/>
          <w:sz w:val="20"/>
          <w:szCs w:val="20"/>
        </w:rPr>
        <w:t>Fluorescence intensity of the reaction product at various reaction time.</w:t>
      </w:r>
    </w:p>
    <w:p w:rsid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b/>
          <w:bCs/>
          <w:sz w:val="20"/>
          <w:szCs w:val="20"/>
        </w:rPr>
      </w:pPr>
      <w:r w:rsidRPr="00850D61">
        <w:rPr>
          <w:rFonts w:ascii="Times New Roman" w:hAnsi="Times New Roman"/>
          <w:b/>
          <w:bCs/>
          <w:iCs/>
          <w:color w:val="000000"/>
          <w:sz w:val="20"/>
          <w:szCs w:val="20"/>
        </w:rPr>
        <w:t xml:space="preserve">Effect of DABA concentration </w:t>
      </w:r>
    </w:p>
    <w:p w:rsid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color w:val="000000"/>
          <w:sz w:val="20"/>
          <w:szCs w:val="20"/>
        </w:rPr>
        <w:t xml:space="preserve">The influence of the concentration of </w:t>
      </w:r>
      <w:r w:rsidRPr="00850D61">
        <w:rPr>
          <w:rFonts w:ascii="Times New Roman" w:hAnsi="Times New Roman"/>
          <w:i/>
          <w:iCs/>
          <w:sz w:val="20"/>
          <w:szCs w:val="20"/>
        </w:rPr>
        <w:t>m</w:t>
      </w:r>
      <w:r w:rsidRPr="00850D61">
        <w:rPr>
          <w:rFonts w:ascii="Times New Roman" w:hAnsi="Times New Roman"/>
          <w:sz w:val="20"/>
          <w:szCs w:val="20"/>
        </w:rPr>
        <w:t>-dansylaminophenylboronic acid (DABA</w:t>
      </w:r>
      <w:r w:rsidRPr="00850D61">
        <w:rPr>
          <w:rFonts w:ascii="Times New Roman" w:hAnsi="Times New Roman"/>
          <w:color w:val="000000"/>
          <w:sz w:val="20"/>
          <w:szCs w:val="20"/>
        </w:rPr>
        <w:t xml:space="preserve">) was studied in the range of </w:t>
      </w:r>
      <w:r w:rsidRPr="00850D61">
        <w:rPr>
          <w:rFonts w:ascii="Times New Roman" w:hAnsi="Times New Roman"/>
          <w:sz w:val="20"/>
          <w:szCs w:val="20"/>
        </w:rPr>
        <w:t>10</w:t>
      </w:r>
      <w:r w:rsidRPr="00850D61">
        <w:rPr>
          <w:rFonts w:ascii="Times New Roman" w:hAnsi="Times New Roman"/>
          <w:color w:val="000000"/>
          <w:sz w:val="20"/>
          <w:szCs w:val="20"/>
        </w:rPr>
        <w:t>-400 µM (Figure 7). The DABA concentration was proportional to the fluorescence intensity up to</w:t>
      </w:r>
      <w:r w:rsidRPr="00850D61">
        <w:rPr>
          <w:rFonts w:ascii="Times New Roman" w:hAnsi="Times New Roman"/>
          <w:sz w:val="20"/>
          <w:szCs w:val="20"/>
        </w:rPr>
        <w:t xml:space="preserve"> 90 µM. After that </w:t>
      </w:r>
      <w:r w:rsidRPr="00850D61">
        <w:rPr>
          <w:rFonts w:ascii="Times New Roman" w:hAnsi="Times New Roman"/>
          <w:color w:val="000000"/>
          <w:sz w:val="20"/>
          <w:szCs w:val="20"/>
        </w:rPr>
        <w:t xml:space="preserve">the intensity decreased due to the fluorescence quenching effect of excess DABA in the solution. The DABA concentration was kept constant at </w:t>
      </w:r>
      <w:r w:rsidRPr="00850D61">
        <w:rPr>
          <w:rFonts w:ascii="Times New Roman" w:hAnsi="Times New Roman"/>
          <w:sz w:val="20"/>
          <w:szCs w:val="20"/>
        </w:rPr>
        <w:t>90 µM</w:t>
      </w:r>
      <w:r w:rsidRPr="00850D61">
        <w:rPr>
          <w:rFonts w:ascii="Times New Roman" w:hAnsi="Times New Roman"/>
          <w:color w:val="000000"/>
          <w:sz w:val="20"/>
          <w:szCs w:val="20"/>
        </w:rPr>
        <w:t xml:space="preserve"> in this work, which results in a mole ratio during 1: 90 to 1: 2 (BL: DABA).</w:t>
      </w:r>
    </w:p>
    <w:p w:rsidR="00C73B3F" w:rsidRDefault="00C73B3F" w:rsidP="00850D61">
      <w:pPr>
        <w:autoSpaceDE w:val="0"/>
        <w:autoSpaceDN w:val="0"/>
        <w:adjustRightInd w:val="0"/>
        <w:spacing w:after="0" w:line="240" w:lineRule="auto"/>
        <w:jc w:val="both"/>
        <w:rPr>
          <w:rFonts w:ascii="Times New Roman" w:hAnsi="Times New Roman"/>
          <w:color w:val="000000"/>
          <w:sz w:val="20"/>
          <w:szCs w:val="20"/>
        </w:rPr>
      </w:pPr>
    </w:p>
    <w:p w:rsidR="00C73B3F" w:rsidRDefault="00C73B3F" w:rsidP="00850D61">
      <w:pPr>
        <w:autoSpaceDE w:val="0"/>
        <w:autoSpaceDN w:val="0"/>
        <w:adjustRightInd w:val="0"/>
        <w:spacing w:after="0" w:line="240" w:lineRule="auto"/>
        <w:jc w:val="both"/>
        <w:rPr>
          <w:rFonts w:ascii="Times New Roman" w:hAnsi="Times New Roman"/>
          <w:color w:val="000000"/>
          <w:sz w:val="20"/>
          <w:szCs w:val="20"/>
        </w:rPr>
      </w:pPr>
    </w:p>
    <w:p w:rsidR="00C73B3F" w:rsidRDefault="00C73B3F" w:rsidP="00850D61">
      <w:pPr>
        <w:autoSpaceDE w:val="0"/>
        <w:autoSpaceDN w:val="0"/>
        <w:adjustRightInd w:val="0"/>
        <w:spacing w:after="0" w:line="240" w:lineRule="auto"/>
        <w:jc w:val="both"/>
        <w:rPr>
          <w:rFonts w:ascii="Times New Roman" w:hAnsi="Times New Roman"/>
          <w:color w:val="000000"/>
          <w:sz w:val="20"/>
          <w:szCs w:val="20"/>
        </w:rPr>
      </w:pPr>
    </w:p>
    <w:p w:rsidR="00C73B3F" w:rsidRPr="00850D61" w:rsidRDefault="00C73B3F"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noProof/>
          <w:color w:val="000000"/>
          <w:sz w:val="20"/>
          <w:szCs w:val="20"/>
          <w:lang w:bidi="ar-SA"/>
        </w:rPr>
        <w:drawing>
          <wp:anchor distT="0" distB="0" distL="114300" distR="114300" simplePos="0" relativeHeight="251665920" behindDoc="0" locked="0" layoutInCell="1" allowOverlap="1" wp14:anchorId="480D1B64" wp14:editId="39E09EF3">
            <wp:simplePos x="0" y="0"/>
            <wp:positionH relativeFrom="column">
              <wp:posOffset>1406525</wp:posOffset>
            </wp:positionH>
            <wp:positionV relativeFrom="paragraph">
              <wp:posOffset>63500</wp:posOffset>
            </wp:positionV>
            <wp:extent cx="3319145" cy="1804670"/>
            <wp:effectExtent l="0" t="0" r="0" b="0"/>
            <wp:wrapSquare wrapText="bothSides"/>
            <wp:docPr id="13" name="แผนภู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850D61" w:rsidRPr="00850D61" w:rsidRDefault="00850D61" w:rsidP="00850D61">
      <w:pPr>
        <w:autoSpaceDE w:val="0"/>
        <w:autoSpaceDN w:val="0"/>
        <w:adjustRightInd w:val="0"/>
        <w:spacing w:before="120" w:after="0" w:line="240" w:lineRule="auto"/>
        <w:jc w:val="center"/>
        <w:rPr>
          <w:rFonts w:ascii="Times New Roman" w:hAnsi="Times New Roman"/>
          <w:sz w:val="20"/>
          <w:szCs w:val="20"/>
        </w:rPr>
      </w:pPr>
      <w:r w:rsidRPr="00850D61">
        <w:rPr>
          <w:rFonts w:ascii="Times New Roman" w:hAnsi="Times New Roman"/>
          <w:sz w:val="20"/>
          <w:szCs w:val="20"/>
        </w:rPr>
        <w:t xml:space="preserve">Figure 7. </w:t>
      </w:r>
      <w:r>
        <w:rPr>
          <w:rFonts w:ascii="Times New Roman" w:hAnsi="Times New Roman"/>
          <w:sz w:val="20"/>
          <w:szCs w:val="20"/>
        </w:rPr>
        <w:t xml:space="preserve"> </w:t>
      </w:r>
      <w:r w:rsidRPr="00850D61">
        <w:rPr>
          <w:rFonts w:ascii="Times New Roman" w:hAnsi="Times New Roman"/>
          <w:sz w:val="20"/>
          <w:szCs w:val="20"/>
        </w:rPr>
        <w:t>Fluorescence intensity of the reaction product at different DABA concentration</w:t>
      </w:r>
      <w:r w:rsidRPr="00850D61">
        <w:rPr>
          <w:rFonts w:ascii="Times New Roman" w:hAnsi="Times New Roman"/>
          <w:color w:val="000000"/>
          <w:sz w:val="20"/>
          <w:szCs w:val="20"/>
        </w:rPr>
        <w:t>.</w:t>
      </w:r>
    </w:p>
    <w:p w:rsid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b/>
          <w:bCs/>
          <w:iCs/>
          <w:color w:val="000000"/>
          <w:sz w:val="20"/>
          <w:szCs w:val="20"/>
        </w:rPr>
        <w:t>Evaluation of method performance</w:t>
      </w:r>
    </w:p>
    <w:p w:rsidR="00850D61" w:rsidRPr="00850D61" w:rsidRDefault="00850D61" w:rsidP="00850D61">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color w:val="000000"/>
          <w:sz w:val="20"/>
          <w:szCs w:val="20"/>
        </w:rPr>
        <w:t xml:space="preserve">By using the above procedure and optimal conditions, the calibration graph for BL was linear in the concentration range of 1-50 </w:t>
      </w:r>
      <w:r w:rsidRPr="00850D61">
        <w:rPr>
          <w:rFonts w:ascii="Times New Roman" w:hAnsi="Times New Roman"/>
          <w:color w:val="000000"/>
          <w:sz w:val="20"/>
          <w:szCs w:val="20"/>
        </w:rPr>
        <w:sym w:font="Symbol" w:char="F06D"/>
      </w:r>
      <w:r w:rsidRPr="00850D61">
        <w:rPr>
          <w:rFonts w:ascii="Times New Roman" w:hAnsi="Times New Roman"/>
          <w:color w:val="000000"/>
          <w:sz w:val="20"/>
          <w:szCs w:val="20"/>
        </w:rPr>
        <w:t xml:space="preserve">M. The regression equation was found to be </w:t>
      </w:r>
      <w:r w:rsidRPr="00850D61">
        <w:rPr>
          <w:rFonts w:ascii="Times New Roman" w:hAnsi="Times New Roman"/>
          <w:i/>
          <w:iCs/>
          <w:color w:val="000000"/>
          <w:sz w:val="20"/>
          <w:szCs w:val="20"/>
        </w:rPr>
        <w:t>F</w:t>
      </w:r>
      <w:r w:rsidRPr="00850D61">
        <w:rPr>
          <w:rFonts w:ascii="Times New Roman" w:hAnsi="Times New Roman"/>
          <w:color w:val="000000"/>
          <w:sz w:val="20"/>
          <w:szCs w:val="20"/>
        </w:rPr>
        <w:t xml:space="preserve"> = 5.92</w:t>
      </w:r>
      <w:r w:rsidRPr="00850D61">
        <w:rPr>
          <w:rFonts w:ascii="Times New Roman" w:hAnsi="Times New Roman"/>
          <w:i/>
          <w:iCs/>
          <w:color w:val="000000"/>
          <w:sz w:val="20"/>
          <w:szCs w:val="20"/>
        </w:rPr>
        <w:t>C</w:t>
      </w:r>
      <w:r w:rsidRPr="00850D61">
        <w:rPr>
          <w:rFonts w:ascii="Times New Roman" w:hAnsi="Times New Roman"/>
          <w:color w:val="000000"/>
          <w:sz w:val="20"/>
          <w:szCs w:val="20"/>
        </w:rPr>
        <w:t xml:space="preserve"> – 9.18 (µM), with a coefficient of determination of 0.9966. For the standard addition, leaf debris bio-extract was used as a sample blank to determine the limit of detection (LOD) and the limit of quantification (LOQ) of the standard addition method. This blank solution was used because leaves were reported to contain less BRs (in the range of 0.01–0.1 ng/g), while pollens and immature seeds contain BRs in the range 1–100 ng/g [4]. The determined LOD and LOQ are 0.24 and 0.48 µ</w:t>
      </w:r>
      <w:r w:rsidRPr="00850D61">
        <w:rPr>
          <w:rFonts w:ascii="Times New Roman" w:hAnsi="Times New Roman"/>
          <w:sz w:val="20"/>
          <w:szCs w:val="20"/>
        </w:rPr>
        <w:t>M</w:t>
      </w:r>
      <w:r w:rsidRPr="00850D61">
        <w:rPr>
          <w:rFonts w:ascii="Times New Roman" w:hAnsi="Times New Roman"/>
          <w:color w:val="000000"/>
          <w:sz w:val="20"/>
          <w:szCs w:val="20"/>
        </w:rPr>
        <w:t xml:space="preserve">, respectively. Rice and </w:t>
      </w:r>
      <w:r w:rsidRPr="00850D61">
        <w:rPr>
          <w:rFonts w:ascii="Times New Roman" w:hAnsi="Times New Roman"/>
          <w:sz w:val="20"/>
          <w:szCs w:val="20"/>
        </w:rPr>
        <w:t xml:space="preserve">rambutan </w:t>
      </w:r>
      <w:r w:rsidRPr="00850D61">
        <w:rPr>
          <w:rFonts w:ascii="Times New Roman" w:hAnsi="Times New Roman"/>
          <w:color w:val="000000"/>
          <w:sz w:val="20"/>
          <w:szCs w:val="20"/>
        </w:rPr>
        <w:t xml:space="preserve">bio-extract samples containing </w:t>
      </w:r>
      <w:r w:rsidRPr="00850D61">
        <w:rPr>
          <w:rFonts w:ascii="Times New Roman" w:hAnsi="Times New Roman"/>
          <w:sz w:val="20"/>
          <w:szCs w:val="20"/>
        </w:rPr>
        <w:t xml:space="preserve">different levels of BL were used </w:t>
      </w:r>
      <w:r w:rsidRPr="00850D61">
        <w:rPr>
          <w:rFonts w:ascii="Times New Roman" w:hAnsi="Times New Roman"/>
          <w:color w:val="000000"/>
          <w:sz w:val="20"/>
          <w:szCs w:val="20"/>
        </w:rPr>
        <w:t>to evaluate the precision of the standard addition method.</w:t>
      </w:r>
      <w:r w:rsidRPr="00850D61">
        <w:rPr>
          <w:rFonts w:ascii="Times New Roman" w:hAnsi="Times New Roman"/>
          <w:sz w:val="20"/>
          <w:szCs w:val="20"/>
        </w:rPr>
        <w:t xml:space="preserve"> The relative standard deviation </w:t>
      </w:r>
      <w:r w:rsidRPr="00850D61">
        <w:rPr>
          <w:rFonts w:ascii="Times New Roman" w:hAnsi="Times New Roman"/>
          <w:color w:val="000000"/>
          <w:sz w:val="20"/>
          <w:szCs w:val="20"/>
        </w:rPr>
        <w:t xml:space="preserve">of intra-day experiments was determined </w:t>
      </w:r>
      <w:r w:rsidRPr="00850D61">
        <w:rPr>
          <w:rFonts w:ascii="Times New Roman" w:hAnsi="Times New Roman"/>
          <w:sz w:val="20"/>
          <w:szCs w:val="20"/>
        </w:rPr>
        <w:t>by repeating the experiment trice in a day</w:t>
      </w:r>
      <w:r w:rsidRPr="00850D61">
        <w:rPr>
          <w:rFonts w:ascii="Times New Roman" w:hAnsi="Times New Roman"/>
          <w:color w:val="000000"/>
          <w:sz w:val="20"/>
          <w:szCs w:val="20"/>
        </w:rPr>
        <w:t xml:space="preserve">. It was found that the </w:t>
      </w:r>
      <w:r w:rsidRPr="00850D61">
        <w:rPr>
          <w:rFonts w:ascii="Times New Roman" w:hAnsi="Times New Roman"/>
          <w:sz w:val="20"/>
          <w:szCs w:val="20"/>
        </w:rPr>
        <w:t xml:space="preserve">relative standard deviations </w:t>
      </w:r>
      <w:r w:rsidRPr="00850D61">
        <w:rPr>
          <w:rFonts w:ascii="Times New Roman" w:hAnsi="Times New Roman"/>
          <w:color w:val="000000"/>
          <w:sz w:val="20"/>
          <w:szCs w:val="20"/>
        </w:rPr>
        <w:t xml:space="preserve">were 8.1% and 11.3% for rice and </w:t>
      </w:r>
      <w:r w:rsidRPr="00850D61">
        <w:rPr>
          <w:rFonts w:ascii="Times New Roman" w:hAnsi="Times New Roman"/>
          <w:sz w:val="20"/>
          <w:szCs w:val="20"/>
        </w:rPr>
        <w:t>rambutan</w:t>
      </w:r>
      <w:r w:rsidRPr="00850D61">
        <w:rPr>
          <w:rFonts w:ascii="Times New Roman" w:hAnsi="Times New Roman"/>
          <w:color w:val="000000"/>
          <w:sz w:val="20"/>
          <w:szCs w:val="20"/>
        </w:rPr>
        <w:t xml:space="preserve"> bio-extract samples respectively (n=7). Measurements were made once a day for seven days for inter-day precision, their </w:t>
      </w:r>
      <w:r w:rsidRPr="00850D61">
        <w:rPr>
          <w:rFonts w:ascii="Times New Roman" w:hAnsi="Times New Roman"/>
          <w:sz w:val="20"/>
          <w:szCs w:val="20"/>
        </w:rPr>
        <w:t>relative standard deviations were</w:t>
      </w:r>
      <w:r w:rsidRPr="00850D61">
        <w:rPr>
          <w:rFonts w:ascii="Times New Roman" w:hAnsi="Times New Roman"/>
          <w:color w:val="000000"/>
          <w:sz w:val="20"/>
          <w:szCs w:val="20"/>
        </w:rPr>
        <w:t xml:space="preserve"> 11.8% and 12.9% for rice and </w:t>
      </w:r>
      <w:r w:rsidRPr="00850D61">
        <w:rPr>
          <w:rFonts w:ascii="Times New Roman" w:hAnsi="Times New Roman"/>
          <w:sz w:val="20"/>
          <w:szCs w:val="20"/>
        </w:rPr>
        <w:t>rambutan</w:t>
      </w:r>
      <w:r w:rsidRPr="00850D61">
        <w:rPr>
          <w:rFonts w:ascii="Times New Roman" w:hAnsi="Times New Roman"/>
          <w:color w:val="000000"/>
          <w:sz w:val="20"/>
          <w:szCs w:val="20"/>
        </w:rPr>
        <w:t xml:space="preserve"> bio-extract samples, respectively (n=7).</w:t>
      </w:r>
    </w:p>
    <w:p w:rsidR="00850D61" w:rsidRPr="00850D61" w:rsidRDefault="00850D61" w:rsidP="00850D61">
      <w:pPr>
        <w:autoSpaceDE w:val="0"/>
        <w:autoSpaceDN w:val="0"/>
        <w:adjustRightInd w:val="0"/>
        <w:spacing w:after="0" w:line="240" w:lineRule="auto"/>
        <w:jc w:val="both"/>
        <w:rPr>
          <w:rFonts w:ascii="Times New Roman" w:hAnsi="Times New Roman"/>
          <w:sz w:val="20"/>
          <w:szCs w:val="20"/>
        </w:rPr>
      </w:pPr>
    </w:p>
    <w:p w:rsidR="00C73B3F" w:rsidRPr="00850D61" w:rsidRDefault="00C73B3F" w:rsidP="00C73B3F">
      <w:pPr>
        <w:autoSpaceDE w:val="0"/>
        <w:autoSpaceDN w:val="0"/>
        <w:adjustRightInd w:val="0"/>
        <w:spacing w:after="0" w:line="240" w:lineRule="auto"/>
        <w:jc w:val="both"/>
        <w:rPr>
          <w:rFonts w:ascii="Times New Roman" w:hAnsi="Times New Roman"/>
          <w:sz w:val="20"/>
          <w:szCs w:val="20"/>
        </w:rPr>
      </w:pPr>
      <w:r w:rsidRPr="00850D61">
        <w:rPr>
          <w:rFonts w:ascii="Times New Roman" w:hAnsi="Times New Roman"/>
          <w:sz w:val="20"/>
          <w:szCs w:val="20"/>
        </w:rPr>
        <w:t xml:space="preserve">One assumption in this analysis method is that the specific fluorescent constant for all the brassinosteroids derivative compounds in the samples are the same and equal to that of the standard </w:t>
      </w:r>
      <w:r w:rsidRPr="00850D61">
        <w:rPr>
          <w:rFonts w:ascii="Times New Roman" w:hAnsi="Times New Roman"/>
          <w:color w:val="000000"/>
          <w:sz w:val="20"/>
          <w:szCs w:val="20"/>
        </w:rPr>
        <w:t>brassinolide</w:t>
      </w:r>
      <w:r w:rsidRPr="00850D61">
        <w:rPr>
          <w:rFonts w:ascii="Times New Roman" w:hAnsi="Times New Roman"/>
          <w:sz w:val="20"/>
          <w:szCs w:val="20"/>
        </w:rPr>
        <w:t xml:space="preserve"> derivative. The average fluorescent constant (peak height/mass) of 6 reported brassinosteroids was 1.1</w:t>
      </w:r>
      <w:r w:rsidRPr="00850D61">
        <w:rPr>
          <w:rFonts w:ascii="Times New Roman" w:hAnsi="Times New Roman"/>
          <w:sz w:val="20"/>
          <w:szCs w:val="20"/>
        </w:rPr>
        <w:sym w:font="Symbol" w:char="F0B1"/>
      </w:r>
      <w:r w:rsidRPr="00850D61">
        <w:rPr>
          <w:rFonts w:ascii="Times New Roman" w:hAnsi="Times New Roman"/>
          <w:sz w:val="20"/>
          <w:szCs w:val="20"/>
        </w:rPr>
        <w:t xml:space="preserve">0.5 [6]. Although individual fluorescent constants are likely to be similar; some differences are to be expected. For this reason the method should be considered semi-quantitative. </w:t>
      </w:r>
    </w:p>
    <w:p w:rsidR="00C73B3F" w:rsidRDefault="00C73B3F" w:rsidP="00C73B3F">
      <w:pPr>
        <w:autoSpaceDE w:val="0"/>
        <w:autoSpaceDN w:val="0"/>
        <w:adjustRightInd w:val="0"/>
        <w:spacing w:after="0" w:line="240" w:lineRule="auto"/>
        <w:jc w:val="both"/>
        <w:rPr>
          <w:rFonts w:ascii="Times New Roman" w:hAnsi="Times New Roman"/>
          <w:b/>
          <w:bCs/>
          <w:iCs/>
          <w:color w:val="000000"/>
          <w:sz w:val="20"/>
          <w:szCs w:val="20"/>
        </w:rPr>
      </w:pPr>
    </w:p>
    <w:p w:rsidR="00C73B3F" w:rsidRPr="00850D61" w:rsidRDefault="00C73B3F" w:rsidP="00C73B3F">
      <w:pPr>
        <w:autoSpaceDE w:val="0"/>
        <w:autoSpaceDN w:val="0"/>
        <w:adjustRightInd w:val="0"/>
        <w:spacing w:after="0" w:line="240" w:lineRule="auto"/>
        <w:jc w:val="both"/>
        <w:rPr>
          <w:rFonts w:ascii="Times New Roman" w:hAnsi="Times New Roman"/>
          <w:b/>
          <w:bCs/>
          <w:iCs/>
          <w:color w:val="000000"/>
          <w:sz w:val="20"/>
          <w:szCs w:val="20"/>
        </w:rPr>
      </w:pPr>
      <w:r w:rsidRPr="00850D61">
        <w:rPr>
          <w:rFonts w:ascii="Times New Roman" w:hAnsi="Times New Roman"/>
          <w:b/>
          <w:bCs/>
          <w:iCs/>
          <w:color w:val="000000"/>
          <w:sz w:val="20"/>
          <w:szCs w:val="20"/>
        </w:rPr>
        <w:t>Analysis of bio-extract and liquid fertilizer by standard addition method</w:t>
      </w:r>
    </w:p>
    <w:p w:rsidR="00C73B3F" w:rsidRPr="00850D61" w:rsidRDefault="00C73B3F" w:rsidP="00C73B3F">
      <w:pPr>
        <w:autoSpaceDE w:val="0"/>
        <w:autoSpaceDN w:val="0"/>
        <w:adjustRightInd w:val="0"/>
        <w:spacing w:after="0" w:line="240" w:lineRule="auto"/>
        <w:jc w:val="both"/>
        <w:rPr>
          <w:rFonts w:ascii="Times New Roman" w:hAnsi="Times New Roman"/>
          <w:color w:val="000000"/>
          <w:sz w:val="20"/>
          <w:szCs w:val="20"/>
        </w:rPr>
      </w:pPr>
      <w:r w:rsidRPr="00850D61">
        <w:rPr>
          <w:rFonts w:ascii="Times New Roman" w:hAnsi="Times New Roman"/>
          <w:color w:val="000000"/>
          <w:sz w:val="20"/>
          <w:szCs w:val="20"/>
        </w:rPr>
        <w:t>The recoveries of these samples based on the determinations of BRs equivalent to brassinolide were found to scatter in a large range (</w:t>
      </w:r>
      <w:r w:rsidRPr="00850D61">
        <w:rPr>
          <w:rFonts w:ascii="Times New Roman" w:hAnsi="Times New Roman"/>
          <w:sz w:val="20"/>
          <w:szCs w:val="20"/>
        </w:rPr>
        <w:t>10-52 %)</w:t>
      </w:r>
      <w:r w:rsidRPr="00850D61">
        <w:rPr>
          <w:rFonts w:ascii="Times New Roman" w:hAnsi="Times New Roman"/>
          <w:color w:val="000000"/>
          <w:sz w:val="20"/>
          <w:szCs w:val="20"/>
        </w:rPr>
        <w:t xml:space="preserve">. This could indicate that some matrix complex may interfere with the analyte signal (negative interference) causing inaccuracy of the determined concentration. </w:t>
      </w:r>
      <w:r w:rsidRPr="00850D61">
        <w:rPr>
          <w:rFonts w:ascii="Times New Roman" w:hAnsi="Times New Roman"/>
          <w:sz w:val="20"/>
          <w:szCs w:val="20"/>
        </w:rPr>
        <w:t>The standard addition method was adopted</w:t>
      </w:r>
      <w:r w:rsidRPr="00850D61">
        <w:rPr>
          <w:rFonts w:ascii="Times New Roman" w:hAnsi="Times New Roman"/>
          <w:color w:val="000000"/>
          <w:sz w:val="20"/>
          <w:szCs w:val="20"/>
        </w:rPr>
        <w:t xml:space="preserve"> to solve this problem. </w:t>
      </w:r>
      <w:r w:rsidRPr="00850D61">
        <w:rPr>
          <w:rFonts w:ascii="Times New Roman" w:hAnsi="Times New Roman"/>
          <w:sz w:val="20"/>
          <w:szCs w:val="20"/>
        </w:rPr>
        <w:t xml:space="preserve">The results are shown in Table 1 for various </w:t>
      </w:r>
      <w:r w:rsidRPr="00850D61">
        <w:rPr>
          <w:rFonts w:ascii="Times New Roman" w:hAnsi="Times New Roman"/>
          <w:color w:val="000000"/>
          <w:sz w:val="20"/>
          <w:szCs w:val="20"/>
        </w:rPr>
        <w:t>sample</w:t>
      </w:r>
      <w:r w:rsidRPr="00850D61">
        <w:rPr>
          <w:rFonts w:ascii="Times New Roman" w:hAnsi="Times New Roman"/>
          <w:sz w:val="20"/>
          <w:szCs w:val="20"/>
        </w:rPr>
        <w:t xml:space="preserve">s. </w:t>
      </w:r>
    </w:p>
    <w:p w:rsidR="00850D61" w:rsidRDefault="00850D61" w:rsidP="00850D61">
      <w:pPr>
        <w:autoSpaceDE w:val="0"/>
        <w:autoSpaceDN w:val="0"/>
        <w:adjustRightInd w:val="0"/>
        <w:spacing w:after="0" w:line="240" w:lineRule="auto"/>
        <w:jc w:val="both"/>
        <w:rPr>
          <w:rFonts w:ascii="Times New Roman" w:hAnsi="Times New Roman"/>
          <w:color w:val="000000"/>
          <w:sz w:val="20"/>
          <w:szCs w:val="20"/>
        </w:rPr>
      </w:pPr>
    </w:p>
    <w:p w:rsidR="00C73B3F" w:rsidRDefault="00C73B3F" w:rsidP="00850D61">
      <w:pPr>
        <w:autoSpaceDE w:val="0"/>
        <w:autoSpaceDN w:val="0"/>
        <w:adjustRightInd w:val="0"/>
        <w:spacing w:after="0" w:line="240" w:lineRule="auto"/>
        <w:jc w:val="both"/>
        <w:rPr>
          <w:rFonts w:ascii="Times New Roman" w:hAnsi="Times New Roman"/>
          <w:color w:val="000000"/>
          <w:sz w:val="20"/>
          <w:szCs w:val="20"/>
        </w:rPr>
      </w:pPr>
    </w:p>
    <w:p w:rsidR="00C73B3F" w:rsidRDefault="00C73B3F" w:rsidP="00850D61">
      <w:pPr>
        <w:autoSpaceDE w:val="0"/>
        <w:autoSpaceDN w:val="0"/>
        <w:adjustRightInd w:val="0"/>
        <w:spacing w:after="0" w:line="240" w:lineRule="auto"/>
        <w:jc w:val="both"/>
        <w:rPr>
          <w:rFonts w:ascii="Times New Roman" w:hAnsi="Times New Roman"/>
          <w:color w:val="000000"/>
          <w:sz w:val="20"/>
          <w:szCs w:val="20"/>
        </w:rPr>
      </w:pPr>
    </w:p>
    <w:p w:rsidR="00C73B3F" w:rsidRDefault="00C73B3F" w:rsidP="00850D61">
      <w:pPr>
        <w:autoSpaceDE w:val="0"/>
        <w:autoSpaceDN w:val="0"/>
        <w:adjustRightInd w:val="0"/>
        <w:spacing w:after="0" w:line="240" w:lineRule="auto"/>
        <w:jc w:val="both"/>
        <w:rPr>
          <w:rFonts w:ascii="Times New Roman" w:hAnsi="Times New Roman"/>
          <w:color w:val="000000"/>
          <w:sz w:val="20"/>
          <w:szCs w:val="20"/>
        </w:rPr>
      </w:pPr>
    </w:p>
    <w:p w:rsidR="00C73B3F" w:rsidRDefault="00C73B3F" w:rsidP="00850D61">
      <w:pPr>
        <w:autoSpaceDE w:val="0"/>
        <w:autoSpaceDN w:val="0"/>
        <w:adjustRightInd w:val="0"/>
        <w:spacing w:after="0" w:line="240" w:lineRule="auto"/>
        <w:jc w:val="both"/>
        <w:rPr>
          <w:rFonts w:ascii="Times New Roman" w:hAnsi="Times New Roman"/>
          <w:color w:val="000000"/>
          <w:sz w:val="20"/>
          <w:szCs w:val="20"/>
        </w:rPr>
      </w:pPr>
    </w:p>
    <w:p w:rsidR="00C73B3F" w:rsidRDefault="00C73B3F" w:rsidP="00850D61">
      <w:pPr>
        <w:autoSpaceDE w:val="0"/>
        <w:autoSpaceDN w:val="0"/>
        <w:adjustRightInd w:val="0"/>
        <w:spacing w:after="0" w:line="240" w:lineRule="auto"/>
        <w:jc w:val="both"/>
        <w:rPr>
          <w:rFonts w:ascii="Times New Roman" w:hAnsi="Times New Roman"/>
          <w:color w:val="000000"/>
          <w:sz w:val="20"/>
          <w:szCs w:val="20"/>
        </w:rPr>
      </w:pPr>
    </w:p>
    <w:p w:rsidR="00C73B3F" w:rsidRDefault="00C73B3F" w:rsidP="00850D61">
      <w:pPr>
        <w:autoSpaceDE w:val="0"/>
        <w:autoSpaceDN w:val="0"/>
        <w:adjustRightInd w:val="0"/>
        <w:spacing w:after="0" w:line="240" w:lineRule="auto"/>
        <w:jc w:val="both"/>
        <w:rPr>
          <w:rFonts w:ascii="Times New Roman" w:hAnsi="Times New Roman"/>
          <w:color w:val="000000"/>
          <w:sz w:val="20"/>
          <w:szCs w:val="20"/>
        </w:rPr>
      </w:pPr>
    </w:p>
    <w:p w:rsidR="00C73B3F" w:rsidRPr="00850D61" w:rsidRDefault="00C73B3F" w:rsidP="00850D61">
      <w:pPr>
        <w:autoSpaceDE w:val="0"/>
        <w:autoSpaceDN w:val="0"/>
        <w:adjustRightInd w:val="0"/>
        <w:spacing w:after="0" w:line="240" w:lineRule="auto"/>
        <w:jc w:val="both"/>
        <w:rPr>
          <w:rFonts w:ascii="Times New Roman" w:hAnsi="Times New Roman"/>
          <w:color w:val="000000"/>
          <w:sz w:val="20"/>
          <w:szCs w:val="20"/>
        </w:rPr>
      </w:pPr>
    </w:p>
    <w:p w:rsidR="00BD3878" w:rsidRDefault="00850D61" w:rsidP="00BD3878">
      <w:pPr>
        <w:tabs>
          <w:tab w:val="left" w:pos="1168"/>
        </w:tabs>
        <w:spacing w:after="0" w:line="240" w:lineRule="auto"/>
        <w:jc w:val="center"/>
        <w:rPr>
          <w:rFonts w:ascii="Times New Roman" w:hAnsi="Times New Roman"/>
          <w:sz w:val="20"/>
          <w:szCs w:val="20"/>
          <w:cs/>
        </w:rPr>
      </w:pPr>
      <w:r w:rsidRPr="00850D61">
        <w:rPr>
          <w:rFonts w:ascii="Times New Roman" w:hAnsi="Times New Roman"/>
          <w:sz w:val="20"/>
          <w:szCs w:val="20"/>
        </w:rPr>
        <w:lastRenderedPageBreak/>
        <w:t xml:space="preserve">Table 1. </w:t>
      </w:r>
      <w:r>
        <w:rPr>
          <w:rFonts w:ascii="Times New Roman" w:hAnsi="Times New Roman"/>
          <w:sz w:val="20"/>
          <w:szCs w:val="20"/>
        </w:rPr>
        <w:t xml:space="preserve"> </w:t>
      </w:r>
      <w:r w:rsidRPr="00850D61">
        <w:rPr>
          <w:rFonts w:ascii="Times New Roman" w:hAnsi="Times New Roman"/>
          <w:sz w:val="20"/>
          <w:szCs w:val="20"/>
        </w:rPr>
        <w:t xml:space="preserve">Determination of brassinolide in various </w:t>
      </w:r>
      <w:r w:rsidRPr="00850D61">
        <w:rPr>
          <w:rFonts w:ascii="Times New Roman" w:hAnsi="Times New Roman"/>
          <w:color w:val="000000"/>
          <w:sz w:val="20"/>
          <w:szCs w:val="20"/>
        </w:rPr>
        <w:t>sample</w:t>
      </w:r>
      <w:r w:rsidRPr="00850D61">
        <w:rPr>
          <w:rFonts w:ascii="Times New Roman" w:hAnsi="Times New Roman"/>
          <w:sz w:val="20"/>
          <w:szCs w:val="20"/>
        </w:rPr>
        <w:t>s</w:t>
      </w:r>
      <w:r w:rsidRPr="00850D61">
        <w:rPr>
          <w:rFonts w:ascii="Times New Roman" w:hAnsi="Times New Roman"/>
          <w:sz w:val="20"/>
          <w:szCs w:val="20"/>
          <w:cs/>
        </w:rPr>
        <w:t xml:space="preserve"> (</w:t>
      </w:r>
      <w:r w:rsidRPr="00850D61">
        <w:rPr>
          <w:rFonts w:ascii="Times New Roman" w:hAnsi="Times New Roman"/>
          <w:sz w:val="20"/>
          <w:szCs w:val="20"/>
        </w:rPr>
        <w:t>n=3</w:t>
      </w:r>
      <w:r w:rsidRPr="00850D61">
        <w:rPr>
          <w:rFonts w:ascii="Times New Roman" w:hAnsi="Times New Roman"/>
          <w:sz w:val="20"/>
          <w:szCs w:val="20"/>
          <w:cs/>
        </w:rPr>
        <w:t>)</w:t>
      </w:r>
    </w:p>
    <w:p w:rsidR="00850D61" w:rsidRPr="00850D61" w:rsidRDefault="00850D61" w:rsidP="00850D61">
      <w:pPr>
        <w:tabs>
          <w:tab w:val="left" w:pos="1168"/>
        </w:tabs>
        <w:spacing w:after="120" w:line="240" w:lineRule="auto"/>
        <w:jc w:val="center"/>
        <w:rPr>
          <w:rFonts w:ascii="Times New Roman" w:hAnsi="Times New Roman"/>
          <w:sz w:val="20"/>
          <w:szCs w:val="20"/>
        </w:rPr>
      </w:pPr>
      <w:r w:rsidRPr="00850D61">
        <w:rPr>
          <w:rFonts w:ascii="Times New Roman" w:hAnsi="Times New Roman"/>
          <w:sz w:val="20"/>
          <w:szCs w:val="20"/>
        </w:rPr>
        <w:t xml:space="preserve"> by standard addition method.</w:t>
      </w:r>
    </w:p>
    <w:tbl>
      <w:tblPr>
        <w:tblW w:w="2596" w:type="pct"/>
        <w:jc w:val="center"/>
        <w:tblBorders>
          <w:top w:val="single" w:sz="4" w:space="0" w:color="auto"/>
          <w:bottom w:val="single" w:sz="4" w:space="0" w:color="auto"/>
        </w:tblBorders>
        <w:tblLook w:val="01E0" w:firstRow="1" w:lastRow="1" w:firstColumn="1" w:lastColumn="1" w:noHBand="0" w:noVBand="0"/>
      </w:tblPr>
      <w:tblGrid>
        <w:gridCol w:w="2662"/>
        <w:gridCol w:w="2295"/>
      </w:tblGrid>
      <w:tr w:rsidR="00850D61" w:rsidRPr="00850D61" w:rsidTr="00BD3878">
        <w:trPr>
          <w:trHeight w:val="464"/>
          <w:jc w:val="center"/>
        </w:trPr>
        <w:tc>
          <w:tcPr>
            <w:tcW w:w="2685" w:type="pct"/>
            <w:tcBorders>
              <w:top w:val="single" w:sz="4" w:space="0" w:color="auto"/>
              <w:bottom w:val="single" w:sz="4" w:space="0" w:color="auto"/>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eastAsia="Calibri" w:hAnsi="Times New Roman"/>
                <w:b/>
                <w:bCs/>
                <w:sz w:val="20"/>
                <w:szCs w:val="20"/>
              </w:rPr>
            </w:pPr>
            <w:r w:rsidRPr="00850D61">
              <w:rPr>
                <w:rFonts w:ascii="Times New Roman" w:eastAsia="Calibri" w:hAnsi="Times New Roman"/>
                <w:b/>
                <w:bCs/>
                <w:sz w:val="20"/>
                <w:szCs w:val="20"/>
              </w:rPr>
              <w:t>Samples</w:t>
            </w:r>
          </w:p>
        </w:tc>
        <w:tc>
          <w:tcPr>
            <w:tcW w:w="2315" w:type="pct"/>
            <w:tcBorders>
              <w:top w:val="single" w:sz="4" w:space="0" w:color="auto"/>
              <w:bottom w:val="single" w:sz="4" w:space="0" w:color="auto"/>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b/>
                <w:bCs/>
                <w:sz w:val="20"/>
                <w:szCs w:val="20"/>
              </w:rPr>
            </w:pPr>
            <w:r w:rsidRPr="00850D61">
              <w:rPr>
                <w:rFonts w:ascii="Times New Roman" w:hAnsi="Times New Roman"/>
                <w:b/>
                <w:bCs/>
                <w:sz w:val="20"/>
                <w:szCs w:val="20"/>
              </w:rPr>
              <w:t>BRs (µM</w:t>
            </w:r>
            <w:r w:rsidRPr="00850D61">
              <w:rPr>
                <w:rFonts w:ascii="Times New Roman" w:hAnsi="Times New Roman"/>
                <w:b/>
                <w:bCs/>
                <w:sz w:val="20"/>
                <w:szCs w:val="20"/>
                <w:cs/>
              </w:rPr>
              <w:t>)</w:t>
            </w:r>
          </w:p>
        </w:tc>
        <w:bookmarkStart w:id="0" w:name="_GoBack"/>
        <w:bookmarkEnd w:id="0"/>
      </w:tr>
      <w:tr w:rsidR="00850D61" w:rsidRPr="00850D61" w:rsidTr="00BD3878">
        <w:trPr>
          <w:trHeight w:val="70"/>
          <w:jc w:val="center"/>
        </w:trPr>
        <w:tc>
          <w:tcPr>
            <w:tcW w:w="2685" w:type="pct"/>
            <w:tcBorders>
              <w:top w:val="single" w:sz="4" w:space="0" w:color="auto"/>
              <w:bottom w:val="nil"/>
            </w:tcBorders>
            <w:vAlign w:val="center"/>
          </w:tcPr>
          <w:p w:rsidR="00850D61" w:rsidRPr="00850D61" w:rsidRDefault="00850D61" w:rsidP="00850D61">
            <w:pPr>
              <w:tabs>
                <w:tab w:val="left" w:pos="907"/>
                <w:tab w:val="left" w:pos="1166"/>
                <w:tab w:val="left" w:pos="1440"/>
                <w:tab w:val="left" w:pos="1714"/>
              </w:tabs>
              <w:spacing w:before="120" w:after="0" w:line="240" w:lineRule="auto"/>
              <w:jc w:val="both"/>
              <w:rPr>
                <w:rFonts w:ascii="Times New Roman" w:hAnsi="Times New Roman"/>
                <w:sz w:val="20"/>
                <w:szCs w:val="20"/>
              </w:rPr>
            </w:pPr>
            <w:r w:rsidRPr="00850D61">
              <w:rPr>
                <w:rFonts w:ascii="Times New Roman" w:hAnsi="Times New Roman"/>
                <w:sz w:val="20"/>
                <w:szCs w:val="20"/>
              </w:rPr>
              <w:t>Rice</w:t>
            </w:r>
          </w:p>
        </w:tc>
        <w:tc>
          <w:tcPr>
            <w:tcW w:w="2315" w:type="pct"/>
            <w:tcBorders>
              <w:top w:val="single" w:sz="4" w:space="0" w:color="auto"/>
              <w:bottom w:val="nil"/>
            </w:tcBorders>
            <w:vAlign w:val="center"/>
          </w:tcPr>
          <w:p w:rsidR="00850D61" w:rsidRPr="00850D61" w:rsidRDefault="00850D61" w:rsidP="00850D61">
            <w:pPr>
              <w:tabs>
                <w:tab w:val="left" w:pos="907"/>
                <w:tab w:val="left" w:pos="1166"/>
                <w:tab w:val="left" w:pos="1440"/>
                <w:tab w:val="left" w:pos="1714"/>
              </w:tabs>
              <w:spacing w:before="120" w:after="0" w:line="240" w:lineRule="auto"/>
              <w:jc w:val="both"/>
              <w:rPr>
                <w:rFonts w:ascii="Times New Roman" w:hAnsi="Times New Roman"/>
                <w:sz w:val="20"/>
                <w:szCs w:val="20"/>
              </w:rPr>
            </w:pPr>
            <w:r w:rsidRPr="00850D61">
              <w:rPr>
                <w:rFonts w:ascii="Times New Roman" w:hAnsi="Times New Roman"/>
                <w:sz w:val="20"/>
                <w:szCs w:val="20"/>
              </w:rPr>
              <w:t>17.82 ± 1.09</w:t>
            </w:r>
          </w:p>
        </w:tc>
      </w:tr>
      <w:tr w:rsidR="00850D61" w:rsidRPr="00850D61" w:rsidTr="00BD3878">
        <w:trPr>
          <w:trHeight w:val="125"/>
          <w:jc w:val="center"/>
        </w:trPr>
        <w:tc>
          <w:tcPr>
            <w:tcW w:w="2685" w:type="pct"/>
            <w:tcBorders>
              <w:top w:val="nil"/>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Curcuma</w:t>
            </w:r>
          </w:p>
        </w:tc>
        <w:tc>
          <w:tcPr>
            <w:tcW w:w="2315" w:type="pct"/>
            <w:tcBorders>
              <w:top w:val="nil"/>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2.70 ± 0.07</w:t>
            </w:r>
          </w:p>
        </w:tc>
      </w:tr>
      <w:tr w:rsidR="00850D61" w:rsidRPr="00850D61" w:rsidTr="00BD3878">
        <w:trPr>
          <w:trHeight w:val="80"/>
          <w:jc w:val="center"/>
        </w:trPr>
        <w:tc>
          <w:tcPr>
            <w:tcW w:w="2685"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Sweet basil</w:t>
            </w:r>
          </w:p>
        </w:tc>
        <w:tc>
          <w:tcPr>
            <w:tcW w:w="2315"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2.92 ± 0.21</w:t>
            </w:r>
          </w:p>
        </w:tc>
      </w:tr>
      <w:tr w:rsidR="00850D61" w:rsidRPr="00850D61" w:rsidTr="00BD3878">
        <w:trPr>
          <w:trHeight w:val="80"/>
          <w:jc w:val="center"/>
        </w:trPr>
        <w:tc>
          <w:tcPr>
            <w:tcW w:w="2685"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Longkong</w:t>
            </w:r>
          </w:p>
        </w:tc>
        <w:tc>
          <w:tcPr>
            <w:tcW w:w="2315"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4.28 ± 0.15</w:t>
            </w:r>
          </w:p>
        </w:tc>
      </w:tr>
      <w:tr w:rsidR="00850D61" w:rsidRPr="00850D61" w:rsidTr="00BD3878">
        <w:trPr>
          <w:trHeight w:val="80"/>
          <w:jc w:val="center"/>
        </w:trPr>
        <w:tc>
          <w:tcPr>
            <w:tcW w:w="2685"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Star Gooseberry</w:t>
            </w:r>
          </w:p>
        </w:tc>
        <w:tc>
          <w:tcPr>
            <w:tcW w:w="2315"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4.59 ± 0.20</w:t>
            </w:r>
          </w:p>
        </w:tc>
      </w:tr>
      <w:tr w:rsidR="00850D61" w:rsidRPr="00850D61" w:rsidTr="00BD3878">
        <w:trPr>
          <w:trHeight w:val="80"/>
          <w:jc w:val="center"/>
        </w:trPr>
        <w:tc>
          <w:tcPr>
            <w:tcW w:w="2685"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Dragon fruit</w:t>
            </w:r>
          </w:p>
        </w:tc>
        <w:tc>
          <w:tcPr>
            <w:tcW w:w="2315"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32.02 ± 3.61</w:t>
            </w:r>
          </w:p>
        </w:tc>
      </w:tr>
      <w:tr w:rsidR="00850D61" w:rsidRPr="00850D61" w:rsidTr="00BD3878">
        <w:trPr>
          <w:trHeight w:val="99"/>
          <w:jc w:val="center"/>
        </w:trPr>
        <w:tc>
          <w:tcPr>
            <w:tcW w:w="2685"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Ginger</w:t>
            </w:r>
          </w:p>
        </w:tc>
        <w:tc>
          <w:tcPr>
            <w:tcW w:w="2315"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5.07 ± 0.20</w:t>
            </w:r>
          </w:p>
        </w:tc>
      </w:tr>
      <w:tr w:rsidR="00850D61" w:rsidRPr="00850D61" w:rsidTr="00BD3878">
        <w:trPr>
          <w:trHeight w:val="80"/>
          <w:jc w:val="center"/>
        </w:trPr>
        <w:tc>
          <w:tcPr>
            <w:tcW w:w="2685"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Galangal</w:t>
            </w:r>
          </w:p>
        </w:tc>
        <w:tc>
          <w:tcPr>
            <w:tcW w:w="2315"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20.64 ± 1.09</w:t>
            </w:r>
          </w:p>
        </w:tc>
      </w:tr>
      <w:tr w:rsidR="00850D61" w:rsidRPr="00850D61" w:rsidTr="00BD3878">
        <w:trPr>
          <w:trHeight w:val="80"/>
          <w:jc w:val="center"/>
        </w:trPr>
        <w:tc>
          <w:tcPr>
            <w:tcW w:w="2685"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Tomato</w:t>
            </w:r>
          </w:p>
        </w:tc>
        <w:tc>
          <w:tcPr>
            <w:tcW w:w="2315"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18.74 ± 0.71</w:t>
            </w:r>
          </w:p>
        </w:tc>
      </w:tr>
      <w:tr w:rsidR="00850D61" w:rsidRPr="00850D61" w:rsidTr="00BD3878">
        <w:trPr>
          <w:trHeight w:val="80"/>
          <w:jc w:val="center"/>
        </w:trPr>
        <w:tc>
          <w:tcPr>
            <w:tcW w:w="2685" w:type="pct"/>
            <w:tcBorders>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Bai-ya-nang</w:t>
            </w:r>
          </w:p>
        </w:tc>
        <w:tc>
          <w:tcPr>
            <w:tcW w:w="2315" w:type="pct"/>
            <w:tcBorders>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13.20 ± 0.73</w:t>
            </w:r>
          </w:p>
        </w:tc>
      </w:tr>
      <w:tr w:rsidR="00850D61" w:rsidRPr="00850D61" w:rsidTr="00BD3878">
        <w:trPr>
          <w:trHeight w:val="80"/>
          <w:jc w:val="center"/>
        </w:trPr>
        <w:tc>
          <w:tcPr>
            <w:tcW w:w="2685" w:type="pct"/>
            <w:tcBorders>
              <w:top w:val="nil"/>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Rambutan</w:t>
            </w:r>
          </w:p>
        </w:tc>
        <w:tc>
          <w:tcPr>
            <w:tcW w:w="2315" w:type="pct"/>
            <w:tcBorders>
              <w:top w:val="nil"/>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8.32 ± 0.56</w:t>
            </w:r>
          </w:p>
        </w:tc>
      </w:tr>
      <w:tr w:rsidR="00850D61" w:rsidRPr="00850D61" w:rsidTr="00BD3878">
        <w:trPr>
          <w:trHeight w:val="80"/>
          <w:jc w:val="center"/>
        </w:trPr>
        <w:tc>
          <w:tcPr>
            <w:tcW w:w="2685" w:type="pct"/>
            <w:tcBorders>
              <w:top w:val="nil"/>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color w:val="000000"/>
                <w:sz w:val="20"/>
                <w:szCs w:val="20"/>
              </w:rPr>
              <w:t>Fertilizer</w:t>
            </w:r>
            <w:r w:rsidRPr="00850D61">
              <w:rPr>
                <w:rFonts w:ascii="Times New Roman" w:hAnsi="Times New Roman"/>
                <w:sz w:val="20"/>
                <w:szCs w:val="20"/>
              </w:rPr>
              <w:t>: A</w:t>
            </w:r>
          </w:p>
        </w:tc>
        <w:tc>
          <w:tcPr>
            <w:tcW w:w="2315" w:type="pct"/>
            <w:tcBorders>
              <w:top w:val="nil"/>
              <w:bottom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117.40 ± 11.20</w:t>
            </w:r>
          </w:p>
        </w:tc>
      </w:tr>
      <w:tr w:rsidR="00850D61" w:rsidRPr="00850D61" w:rsidTr="00BD3878">
        <w:trPr>
          <w:trHeight w:val="80"/>
          <w:jc w:val="center"/>
        </w:trPr>
        <w:tc>
          <w:tcPr>
            <w:tcW w:w="2685"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color w:val="000000"/>
                <w:sz w:val="20"/>
                <w:szCs w:val="20"/>
              </w:rPr>
              <w:t>Fertilizer</w:t>
            </w:r>
            <w:r w:rsidRPr="00850D61">
              <w:rPr>
                <w:rFonts w:ascii="Times New Roman" w:hAnsi="Times New Roman"/>
                <w:sz w:val="20"/>
                <w:szCs w:val="20"/>
              </w:rPr>
              <w:t>: B</w:t>
            </w:r>
          </w:p>
        </w:tc>
        <w:tc>
          <w:tcPr>
            <w:tcW w:w="2315" w:type="pct"/>
            <w:tcBorders>
              <w:top w:val="nil"/>
            </w:tcBorders>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cs/>
              </w:rPr>
            </w:pPr>
            <w:r w:rsidRPr="00850D61">
              <w:rPr>
                <w:rFonts w:ascii="Times New Roman" w:hAnsi="Times New Roman"/>
                <w:sz w:val="20"/>
                <w:szCs w:val="20"/>
              </w:rPr>
              <w:t>4.65 ± 0.76</w:t>
            </w:r>
          </w:p>
        </w:tc>
      </w:tr>
      <w:tr w:rsidR="00850D61" w:rsidRPr="00850D61" w:rsidTr="00BD3878">
        <w:trPr>
          <w:trHeight w:val="80"/>
          <w:jc w:val="center"/>
        </w:trPr>
        <w:tc>
          <w:tcPr>
            <w:tcW w:w="2685"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color w:val="000000"/>
                <w:sz w:val="20"/>
                <w:szCs w:val="20"/>
              </w:rPr>
              <w:t>Fertilizer</w:t>
            </w:r>
            <w:r w:rsidRPr="00850D61">
              <w:rPr>
                <w:rFonts w:ascii="Times New Roman" w:hAnsi="Times New Roman"/>
                <w:sz w:val="20"/>
                <w:szCs w:val="20"/>
              </w:rPr>
              <w:t>: C</w:t>
            </w:r>
          </w:p>
        </w:tc>
        <w:tc>
          <w:tcPr>
            <w:tcW w:w="2315" w:type="pct"/>
            <w:vAlign w:val="center"/>
          </w:tcPr>
          <w:p w:rsidR="00850D61" w:rsidRPr="00850D61" w:rsidRDefault="00850D61" w:rsidP="00850D61">
            <w:pPr>
              <w:tabs>
                <w:tab w:val="left" w:pos="907"/>
                <w:tab w:val="left" w:pos="1166"/>
                <w:tab w:val="left" w:pos="1440"/>
                <w:tab w:val="left" w:pos="1714"/>
              </w:tabs>
              <w:spacing w:after="0" w:line="240" w:lineRule="auto"/>
              <w:jc w:val="both"/>
              <w:rPr>
                <w:rFonts w:ascii="Times New Roman" w:hAnsi="Times New Roman"/>
                <w:sz w:val="20"/>
                <w:szCs w:val="20"/>
              </w:rPr>
            </w:pPr>
            <w:r w:rsidRPr="00850D61">
              <w:rPr>
                <w:rFonts w:ascii="Times New Roman" w:hAnsi="Times New Roman"/>
                <w:sz w:val="20"/>
                <w:szCs w:val="20"/>
              </w:rPr>
              <w:t>281.00 ± 28.40</w:t>
            </w:r>
          </w:p>
        </w:tc>
      </w:tr>
      <w:tr w:rsidR="00850D61" w:rsidRPr="00850D61" w:rsidTr="00BD3878">
        <w:trPr>
          <w:trHeight w:val="80"/>
          <w:jc w:val="center"/>
        </w:trPr>
        <w:tc>
          <w:tcPr>
            <w:tcW w:w="2685" w:type="pct"/>
            <w:vAlign w:val="center"/>
          </w:tcPr>
          <w:p w:rsidR="00850D61" w:rsidRPr="00850D61" w:rsidRDefault="00850D61" w:rsidP="00850D61">
            <w:pPr>
              <w:tabs>
                <w:tab w:val="left" w:pos="907"/>
                <w:tab w:val="left" w:pos="1166"/>
                <w:tab w:val="left" w:pos="1440"/>
                <w:tab w:val="left" w:pos="1714"/>
              </w:tabs>
              <w:spacing w:after="120" w:line="240" w:lineRule="auto"/>
              <w:jc w:val="both"/>
              <w:rPr>
                <w:rFonts w:ascii="Times New Roman" w:hAnsi="Times New Roman"/>
                <w:sz w:val="20"/>
                <w:szCs w:val="20"/>
              </w:rPr>
            </w:pPr>
            <w:r w:rsidRPr="00850D61">
              <w:rPr>
                <w:rFonts w:ascii="Times New Roman" w:hAnsi="Times New Roman"/>
                <w:color w:val="000000"/>
                <w:sz w:val="20"/>
                <w:szCs w:val="20"/>
              </w:rPr>
              <w:t>Fertilizer</w:t>
            </w:r>
            <w:r w:rsidRPr="00850D61">
              <w:rPr>
                <w:rFonts w:ascii="Times New Roman" w:hAnsi="Times New Roman"/>
                <w:sz w:val="20"/>
                <w:szCs w:val="20"/>
              </w:rPr>
              <w:t>: D</w:t>
            </w:r>
          </w:p>
        </w:tc>
        <w:tc>
          <w:tcPr>
            <w:tcW w:w="2315" w:type="pct"/>
            <w:vAlign w:val="center"/>
          </w:tcPr>
          <w:p w:rsidR="00850D61" w:rsidRPr="00850D61" w:rsidRDefault="00850D61" w:rsidP="00850D61">
            <w:pPr>
              <w:tabs>
                <w:tab w:val="left" w:pos="907"/>
                <w:tab w:val="left" w:pos="1166"/>
                <w:tab w:val="left" w:pos="1440"/>
                <w:tab w:val="left" w:pos="1714"/>
              </w:tabs>
              <w:spacing w:after="120" w:line="240" w:lineRule="auto"/>
              <w:jc w:val="both"/>
              <w:rPr>
                <w:rFonts w:ascii="Times New Roman" w:hAnsi="Times New Roman"/>
                <w:sz w:val="20"/>
                <w:szCs w:val="20"/>
              </w:rPr>
            </w:pPr>
            <w:r w:rsidRPr="00850D61">
              <w:rPr>
                <w:rFonts w:ascii="Times New Roman" w:hAnsi="Times New Roman"/>
                <w:sz w:val="20"/>
                <w:szCs w:val="20"/>
              </w:rPr>
              <w:t>282.70 ± 4.60</w:t>
            </w:r>
          </w:p>
        </w:tc>
      </w:tr>
    </w:tbl>
    <w:p w:rsidR="00850D61" w:rsidRDefault="00850D61" w:rsidP="00850D61">
      <w:pPr>
        <w:autoSpaceDE w:val="0"/>
        <w:autoSpaceDN w:val="0"/>
        <w:adjustRightInd w:val="0"/>
        <w:spacing w:after="0" w:line="240" w:lineRule="auto"/>
        <w:jc w:val="both"/>
        <w:rPr>
          <w:rFonts w:ascii="Times New Roman" w:hAnsi="Times New Roman"/>
          <w:b/>
          <w:bCs/>
          <w:iCs/>
          <w:color w:val="000000"/>
          <w:sz w:val="20"/>
          <w:szCs w:val="20"/>
        </w:rPr>
      </w:pP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C73B3F" w:rsidP="006B1068">
      <w:pPr>
        <w:spacing w:after="0" w:line="240" w:lineRule="auto"/>
        <w:jc w:val="center"/>
        <w:rPr>
          <w:rFonts w:ascii="Times New Roman" w:hAnsi="Times New Roman"/>
          <w:b/>
          <w:noProof/>
          <w:sz w:val="18"/>
          <w:szCs w:val="18"/>
          <w:lang w:bidi="ar-SA"/>
        </w:rPr>
      </w:pPr>
      <w:r>
        <w:rPr>
          <w:rFonts w:ascii="Times New Roman" w:hAnsi="Times New Roman"/>
          <w:b/>
          <w:noProof/>
          <w:sz w:val="20"/>
          <w:szCs w:val="20"/>
          <w:lang w:bidi="ar-SA"/>
        </w:rPr>
        <w:t>Conc</w:t>
      </w:r>
      <w:r w:rsidR="006768E9" w:rsidRPr="00802DCC">
        <w:rPr>
          <w:rFonts w:ascii="Times New Roman" w:hAnsi="Times New Roman"/>
          <w:b/>
          <w:noProof/>
          <w:sz w:val="20"/>
          <w:szCs w:val="20"/>
          <w:lang w:bidi="ar-SA"/>
        </w:rPr>
        <w:t>usion</w:t>
      </w:r>
    </w:p>
    <w:p w:rsidR="0001438B" w:rsidRPr="005910B7" w:rsidRDefault="0001438B" w:rsidP="0001438B">
      <w:pPr>
        <w:autoSpaceDE w:val="0"/>
        <w:autoSpaceDN w:val="0"/>
        <w:adjustRightInd w:val="0"/>
        <w:spacing w:after="0" w:line="240" w:lineRule="auto"/>
        <w:jc w:val="thaiDistribute"/>
        <w:rPr>
          <w:rFonts w:ascii="Times New Roman" w:hAnsi="Times New Roman"/>
          <w:color w:val="000000"/>
          <w:sz w:val="20"/>
          <w:szCs w:val="20"/>
        </w:rPr>
      </w:pPr>
      <w:r w:rsidRPr="00A25492">
        <w:rPr>
          <w:rFonts w:ascii="Times New Roman" w:hAnsi="Times New Roman"/>
          <w:color w:val="000000"/>
          <w:sz w:val="20"/>
          <w:szCs w:val="20"/>
        </w:rPr>
        <w:t>The proposed method has the advantage of being simple and fast. The consumption of reagents was low compared with chromatographic methods.</w:t>
      </w:r>
      <w:r w:rsidRPr="00A25492">
        <w:rPr>
          <w:rFonts w:ascii="Times New Roman" w:hAnsi="Times New Roman" w:hint="cs"/>
          <w:color w:val="000000"/>
          <w:sz w:val="20"/>
          <w:szCs w:val="20"/>
          <w:cs/>
        </w:rPr>
        <w:t xml:space="preserve">  </w:t>
      </w:r>
      <w:r w:rsidRPr="00A25492">
        <w:rPr>
          <w:rFonts w:ascii="Times New Roman" w:hAnsi="Times New Roman"/>
          <w:color w:val="000000"/>
          <w:sz w:val="20"/>
          <w:szCs w:val="20"/>
        </w:rPr>
        <w:t xml:space="preserve">Furthermore, it could be applied to the determination of </w:t>
      </w:r>
      <w:r w:rsidRPr="00A25492">
        <w:rPr>
          <w:rFonts w:ascii="Times New Roman" w:hAnsi="Times New Roman"/>
          <w:sz w:val="20"/>
          <w:szCs w:val="20"/>
        </w:rPr>
        <w:t>brassinosteroids</w:t>
      </w:r>
      <w:r w:rsidRPr="00A25492">
        <w:rPr>
          <w:rFonts w:ascii="Times New Roman" w:hAnsi="Times New Roman"/>
          <w:color w:val="000000"/>
          <w:sz w:val="20"/>
          <w:szCs w:val="20"/>
        </w:rPr>
        <w:t xml:space="preserve"> equivalent to brassinolide in bio-extract and liquid fertilizer samples by</w:t>
      </w:r>
      <w:r w:rsidRPr="00A25492">
        <w:rPr>
          <w:rFonts w:ascii="Times New Roman" w:hAnsi="Times New Roman"/>
          <w:sz w:val="20"/>
          <w:szCs w:val="20"/>
        </w:rPr>
        <w:t xml:space="preserve"> the </w:t>
      </w:r>
      <w:r w:rsidRPr="00A25492">
        <w:rPr>
          <w:rFonts w:ascii="Times New Roman" w:hAnsi="Times New Roman"/>
          <w:color w:val="000000"/>
          <w:sz w:val="20"/>
          <w:szCs w:val="20"/>
        </w:rPr>
        <w:t>standard addition method,</w:t>
      </w:r>
      <w:r w:rsidRPr="00A25492">
        <w:rPr>
          <w:rFonts w:ascii="Times New Roman" w:hAnsi="Times New Roman"/>
          <w:sz w:val="20"/>
          <w:szCs w:val="20"/>
        </w:rPr>
        <w:t xml:space="preserve"> </w:t>
      </w:r>
      <w:r w:rsidRPr="00A25492">
        <w:rPr>
          <w:rFonts w:ascii="Times New Roman" w:hAnsi="Times New Roman"/>
          <w:color w:val="000000"/>
          <w:sz w:val="20"/>
          <w:szCs w:val="20"/>
        </w:rPr>
        <w:t xml:space="preserve">which is a convenient strategy to deal with matrix effects in the quantification of fluorescence methods. Complex sample pretreatments were not necessary, requiring only filtration and dilution with </w:t>
      </w:r>
      <w:r w:rsidRPr="00A10006">
        <w:rPr>
          <w:rFonts w:ascii="Times New Roman" w:hAnsi="Times New Roman"/>
          <w:bCs/>
          <w:sz w:val="20"/>
          <w:szCs w:val="20"/>
        </w:rPr>
        <w:t>deionized water</w:t>
      </w:r>
      <w:r w:rsidRPr="00A25492">
        <w:rPr>
          <w:rFonts w:ascii="Times New Roman" w:hAnsi="Times New Roman"/>
          <w:color w:val="000000"/>
          <w:sz w:val="20"/>
          <w:szCs w:val="20"/>
        </w:rPr>
        <w:t xml:space="preserve"> appropriately. Spectrofluorometry was demonstrated to be a suitable semiquantitative technique and was applied successfully for the determination of </w:t>
      </w:r>
      <w:r w:rsidRPr="00A25492">
        <w:rPr>
          <w:rFonts w:ascii="Times New Roman" w:hAnsi="Times New Roman"/>
          <w:sz w:val="20"/>
          <w:szCs w:val="20"/>
        </w:rPr>
        <w:t>total brassinosteroids plant hormones</w:t>
      </w:r>
      <w:r w:rsidRPr="00A25492">
        <w:rPr>
          <w:rFonts w:ascii="Times New Roman" w:hAnsi="Times New Roman"/>
          <w:color w:val="000000"/>
          <w:sz w:val="20"/>
          <w:szCs w:val="20"/>
        </w:rPr>
        <w:t xml:space="preserve"> equivalent to brassinolide.</w:t>
      </w:r>
    </w:p>
    <w:p w:rsidR="006768E9" w:rsidRPr="00802DCC" w:rsidRDefault="006768E9" w:rsidP="0001438B">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01438B" w:rsidRPr="00A10006" w:rsidRDefault="0001438B" w:rsidP="0001438B">
      <w:pPr>
        <w:autoSpaceDE w:val="0"/>
        <w:autoSpaceDN w:val="0"/>
        <w:adjustRightInd w:val="0"/>
        <w:spacing w:after="0" w:line="240" w:lineRule="auto"/>
        <w:jc w:val="both"/>
        <w:rPr>
          <w:rFonts w:ascii="Times New Roman" w:hAnsi="Times New Roman"/>
          <w:b/>
          <w:bCs/>
          <w:color w:val="000000"/>
          <w:sz w:val="20"/>
          <w:szCs w:val="20"/>
        </w:rPr>
      </w:pPr>
      <w:r w:rsidRPr="00A10006">
        <w:rPr>
          <w:rFonts w:ascii="Times New Roman" w:hAnsi="Times New Roman"/>
          <w:color w:val="000000"/>
          <w:sz w:val="20"/>
          <w:szCs w:val="20"/>
        </w:rPr>
        <w:t>The authors</w:t>
      </w:r>
      <w:r>
        <w:rPr>
          <w:rFonts w:ascii="Times New Roman" w:hAnsi="Times New Roman"/>
          <w:color w:val="000000"/>
          <w:sz w:val="20"/>
          <w:szCs w:val="20"/>
        </w:rPr>
        <w:t xml:space="preserve"> </w:t>
      </w:r>
      <w:r w:rsidRPr="007D6413">
        <w:rPr>
          <w:rFonts w:ascii="Times New Roman" w:hAnsi="Times New Roman"/>
          <w:color w:val="000000"/>
          <w:sz w:val="20"/>
          <w:szCs w:val="20"/>
        </w:rPr>
        <w:t xml:space="preserve">gratefully acknowledge the financial support from the </w:t>
      </w:r>
      <w:r>
        <w:rPr>
          <w:rFonts w:ascii="Times New Roman" w:hAnsi="Times New Roman"/>
          <w:color w:val="000000"/>
          <w:sz w:val="20"/>
          <w:szCs w:val="20"/>
        </w:rPr>
        <w:t>Research Grant of Burapha University through</w:t>
      </w:r>
      <w:r w:rsidRPr="007D6413">
        <w:rPr>
          <w:rFonts w:ascii="Times New Roman" w:hAnsi="Times New Roman"/>
          <w:color w:val="000000"/>
          <w:sz w:val="20"/>
          <w:szCs w:val="20"/>
        </w:rPr>
        <w:t xml:space="preserve"> National Rese</w:t>
      </w:r>
      <w:r>
        <w:rPr>
          <w:rFonts w:ascii="Times New Roman" w:hAnsi="Times New Roman"/>
          <w:color w:val="000000"/>
          <w:sz w:val="20"/>
          <w:szCs w:val="20"/>
        </w:rPr>
        <w:t>arch Council of Thailand (Grant no. 102904/2554) and</w:t>
      </w:r>
      <w:r w:rsidRPr="007D6413">
        <w:rPr>
          <w:rFonts w:ascii="Times New Roman" w:hAnsi="Times New Roman"/>
          <w:color w:val="000000"/>
          <w:sz w:val="20"/>
          <w:szCs w:val="20"/>
        </w:rPr>
        <w:t xml:space="preserve"> the Science Achievement Scholarship of Thailand (SAST), Commission on Higher E</w:t>
      </w:r>
      <w:r>
        <w:rPr>
          <w:rFonts w:ascii="Times New Roman" w:hAnsi="Times New Roman"/>
          <w:color w:val="000000"/>
          <w:sz w:val="20"/>
          <w:szCs w:val="20"/>
        </w:rPr>
        <w:t xml:space="preserve">ducation, Ministry of Education. </w:t>
      </w:r>
      <w:r w:rsidRPr="00A10006">
        <w:rPr>
          <w:rFonts w:ascii="Times New Roman" w:hAnsi="Times New Roman"/>
          <w:color w:val="000000"/>
          <w:sz w:val="20"/>
          <w:szCs w:val="20"/>
        </w:rPr>
        <w:t>The authors also thank</w:t>
      </w:r>
      <w:r>
        <w:rPr>
          <w:rFonts w:ascii="Times New Roman" w:hAnsi="Times New Roman"/>
          <w:color w:val="000000"/>
          <w:sz w:val="20"/>
          <w:szCs w:val="20"/>
        </w:rPr>
        <w:t xml:space="preserve"> </w:t>
      </w:r>
      <w:r w:rsidRPr="00A10006">
        <w:rPr>
          <w:rFonts w:ascii="Times New Roman" w:hAnsi="Times New Roman"/>
          <w:color w:val="000000"/>
          <w:sz w:val="20"/>
          <w:szCs w:val="20"/>
        </w:rPr>
        <w:t>Dr. Ron Beckett for some helpful comments on the manuscript.</w:t>
      </w:r>
    </w:p>
    <w:p w:rsidR="006768E9" w:rsidRPr="00802DCC" w:rsidRDefault="006768E9" w:rsidP="0001438B">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Pachthong, C., Supyen, D., Buddhasukh, D. and Jatisatienr, A. (2006). Isolation and Characterization of Brassinolide and Castasterone in the Pollen of Pumpkin. </w:t>
      </w:r>
      <w:r w:rsidRPr="005910B7">
        <w:rPr>
          <w:rFonts w:ascii="Times New Roman" w:hAnsi="Times New Roman"/>
          <w:i/>
          <w:iCs/>
          <w:sz w:val="20"/>
          <w:szCs w:val="20"/>
        </w:rPr>
        <w:t>Chiang Mai Journal of Science</w:t>
      </w:r>
      <w:r w:rsidRPr="005910B7">
        <w:rPr>
          <w:rFonts w:ascii="Times New Roman" w:hAnsi="Times New Roman"/>
          <w:color w:val="000000"/>
          <w:sz w:val="20"/>
          <w:szCs w:val="20"/>
        </w:rPr>
        <w:t>,</w:t>
      </w:r>
      <w:r w:rsidRPr="005910B7">
        <w:rPr>
          <w:rFonts w:ascii="Times New Roman" w:hAnsi="Times New Roman"/>
          <w:sz w:val="20"/>
          <w:szCs w:val="20"/>
        </w:rPr>
        <w:t xml:space="preserve"> 33 (1): 95-101.</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Mitchell, J. W., Mandava, N. B., Worley, J. F., Plimmer, J. R. and Smith, M. V. (1970). Brassins – a new family of plant hormones from rape pollen.</w:t>
      </w:r>
      <w:r w:rsidRPr="005910B7">
        <w:rPr>
          <w:rFonts w:ascii="Times New Roman" w:hAnsi="Times New Roman"/>
          <w:i/>
          <w:iCs/>
          <w:sz w:val="20"/>
          <w:szCs w:val="20"/>
        </w:rPr>
        <w:t xml:space="preserve"> Nature</w:t>
      </w:r>
      <w:r w:rsidRPr="005910B7">
        <w:rPr>
          <w:rFonts w:ascii="Times New Roman" w:hAnsi="Times New Roman"/>
          <w:color w:val="000000"/>
          <w:sz w:val="20"/>
          <w:szCs w:val="20"/>
        </w:rPr>
        <w:t>,</w:t>
      </w:r>
      <w:r w:rsidRPr="005910B7">
        <w:rPr>
          <w:rFonts w:ascii="Times New Roman" w:hAnsi="Times New Roman"/>
          <w:sz w:val="20"/>
          <w:szCs w:val="20"/>
        </w:rPr>
        <w:t xml:space="preserve"> 225: 1065-1066.</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Borisevich, N.A., Raichenok, T. F., Khripach, V. A., Zhabinskii, V. N. and Ivanova, G. V. (2008). Solution electronic spectra of brassinosteroid and a synthesized conjugate of a steroid and a fluorescencent label. </w:t>
      </w:r>
      <w:r w:rsidRPr="005910B7">
        <w:rPr>
          <w:rFonts w:ascii="Times New Roman" w:hAnsi="Times New Roman"/>
          <w:i/>
          <w:iCs/>
          <w:sz w:val="20"/>
          <w:szCs w:val="20"/>
        </w:rPr>
        <w:t>Journal of Applied Spectroscopy</w:t>
      </w:r>
      <w:r w:rsidRPr="005910B7">
        <w:rPr>
          <w:rFonts w:ascii="Times New Roman" w:hAnsi="Times New Roman"/>
          <w:color w:val="000000"/>
          <w:sz w:val="20"/>
          <w:szCs w:val="20"/>
        </w:rPr>
        <w:t>,</w:t>
      </w:r>
      <w:r w:rsidRPr="005910B7">
        <w:rPr>
          <w:rFonts w:ascii="Times New Roman" w:hAnsi="Times New Roman"/>
          <w:sz w:val="20"/>
          <w:szCs w:val="20"/>
        </w:rPr>
        <w:t xml:space="preserve"> 75 (1): 75-79.</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Huo, F., Wang, X., Han, Y., Bai, Y., Zhang, W., Yuan, H. and Liu, H. (2012). A new derivatization approach for the rapid and sensitive analysis of  brassinosteroids by using ultra high performance liquid chromatography electrospray ionization triple quadrupole mass spectrometry. </w:t>
      </w:r>
      <w:r w:rsidRPr="005910B7">
        <w:rPr>
          <w:rFonts w:ascii="Times New Roman" w:hAnsi="Times New Roman"/>
          <w:i/>
          <w:iCs/>
          <w:sz w:val="20"/>
          <w:szCs w:val="20"/>
        </w:rPr>
        <w:t>Talanta</w:t>
      </w:r>
      <w:r w:rsidRPr="005910B7">
        <w:rPr>
          <w:rFonts w:ascii="Times New Roman" w:hAnsi="Times New Roman"/>
          <w:color w:val="000000"/>
          <w:sz w:val="20"/>
          <w:szCs w:val="20"/>
        </w:rPr>
        <w:t>,</w:t>
      </w:r>
      <w:r w:rsidRPr="005910B7">
        <w:rPr>
          <w:rFonts w:ascii="Times New Roman" w:hAnsi="Times New Roman"/>
          <w:sz w:val="20"/>
          <w:szCs w:val="20"/>
        </w:rPr>
        <w:t xml:space="preserve"> 99: 420-425.</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Gamoh, K., Kitsuwa, T., Takatsuto, S., Fujimoto, Y. and Ikekawa, N. (1988). Determination of Trace Brassinosteroids by High Performance Liquid Chromatography. </w:t>
      </w:r>
      <w:r w:rsidRPr="005910B7">
        <w:rPr>
          <w:rFonts w:ascii="Times New Roman" w:hAnsi="Times New Roman"/>
          <w:i/>
          <w:iCs/>
          <w:sz w:val="20"/>
          <w:szCs w:val="20"/>
        </w:rPr>
        <w:t>Analytical Sciences</w:t>
      </w:r>
      <w:r w:rsidRPr="005910B7">
        <w:rPr>
          <w:rFonts w:ascii="Times New Roman" w:hAnsi="Times New Roman"/>
          <w:color w:val="000000"/>
          <w:sz w:val="20"/>
          <w:szCs w:val="20"/>
        </w:rPr>
        <w:t>,</w:t>
      </w:r>
      <w:r w:rsidRPr="005910B7">
        <w:rPr>
          <w:rFonts w:ascii="Times New Roman" w:hAnsi="Times New Roman"/>
          <w:sz w:val="20"/>
          <w:szCs w:val="20"/>
        </w:rPr>
        <w:t xml:space="preserve"> 4: 533-535.</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 xml:space="preserve">Gamoh, K., Okamoto, N., Takatsuto, S. and Tejima, I. (1990). Determination of traces of natural brassinosteroids as dansylaminophenylboronates by liquid chromatography with fluorimetric detection. </w:t>
      </w:r>
      <w:r w:rsidRPr="005910B7">
        <w:rPr>
          <w:rFonts w:ascii="Times New Roman" w:hAnsi="Times New Roman"/>
          <w:i/>
          <w:iCs/>
          <w:sz w:val="20"/>
          <w:szCs w:val="20"/>
        </w:rPr>
        <w:t>Analytica Chimica Acta</w:t>
      </w:r>
      <w:r w:rsidRPr="005910B7">
        <w:rPr>
          <w:rFonts w:ascii="Times New Roman" w:hAnsi="Times New Roman"/>
          <w:color w:val="000000"/>
          <w:sz w:val="20"/>
          <w:szCs w:val="20"/>
        </w:rPr>
        <w:t>,</w:t>
      </w:r>
      <w:r w:rsidRPr="005910B7">
        <w:rPr>
          <w:rFonts w:ascii="Times New Roman" w:hAnsi="Times New Roman"/>
          <w:sz w:val="20"/>
          <w:szCs w:val="20"/>
        </w:rPr>
        <w:t xml:space="preserve"> 228: 101-106.</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lastRenderedPageBreak/>
        <w:t xml:space="preserve">Gamoh, K., Omote, K., Okamoto, N. and Takatsuto, S. (1989). High-performance liquid chromatography of brassinosteroids in plants with derivatization using 9-phenanthreneboronic acid. </w:t>
      </w:r>
      <w:r w:rsidRPr="005910B7">
        <w:rPr>
          <w:rFonts w:ascii="Times New Roman" w:hAnsi="Times New Roman"/>
          <w:i/>
          <w:iCs/>
          <w:sz w:val="20"/>
          <w:szCs w:val="20"/>
        </w:rPr>
        <w:t>Journal of Chromatography</w:t>
      </w:r>
      <w:r w:rsidRPr="005910B7">
        <w:rPr>
          <w:rFonts w:ascii="Times New Roman" w:hAnsi="Times New Roman"/>
          <w:color w:val="000000"/>
          <w:sz w:val="20"/>
          <w:szCs w:val="20"/>
        </w:rPr>
        <w:t>,</w:t>
      </w:r>
      <w:r w:rsidRPr="005910B7">
        <w:rPr>
          <w:rFonts w:ascii="Times New Roman" w:hAnsi="Times New Roman"/>
          <w:sz w:val="20"/>
          <w:szCs w:val="20"/>
        </w:rPr>
        <w:t xml:space="preserve"> 469: 424-428.</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Gamoh, K. and Takatsuto. S. (1989). A boronic acid derivative as a highly sensitive fluorescence derivatization reagent for brassinosteroids in liquid chromatography.</w:t>
      </w:r>
      <w:r w:rsidRPr="005910B7">
        <w:rPr>
          <w:rFonts w:ascii="Times New Roman" w:hAnsi="Times New Roman"/>
          <w:i/>
          <w:iCs/>
          <w:sz w:val="20"/>
          <w:szCs w:val="20"/>
        </w:rPr>
        <w:t xml:space="preserve"> Analytica Chimica Acta</w:t>
      </w:r>
      <w:r w:rsidRPr="005910B7">
        <w:rPr>
          <w:rFonts w:ascii="Times New Roman" w:hAnsi="Times New Roman"/>
          <w:color w:val="000000"/>
          <w:sz w:val="20"/>
          <w:szCs w:val="20"/>
        </w:rPr>
        <w:t>,</w:t>
      </w:r>
      <w:r w:rsidRPr="005910B7">
        <w:rPr>
          <w:rFonts w:ascii="Times New Roman" w:hAnsi="Times New Roman"/>
          <w:sz w:val="20"/>
          <w:szCs w:val="20"/>
        </w:rPr>
        <w:t xml:space="preserve"> 222: 201-204.</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Takatsuto, S., Omote, K., Gamoh, K.</w:t>
      </w:r>
      <w:r>
        <w:rPr>
          <w:rFonts w:ascii="Times New Roman" w:hAnsi="Times New Roman"/>
          <w:sz w:val="20"/>
          <w:szCs w:val="20"/>
        </w:rPr>
        <w:t xml:space="preserve"> and </w:t>
      </w:r>
      <w:r w:rsidRPr="005910B7">
        <w:rPr>
          <w:rFonts w:ascii="Times New Roman" w:hAnsi="Times New Roman"/>
          <w:sz w:val="20"/>
          <w:szCs w:val="20"/>
        </w:rPr>
        <w:t>Ishibashi, M. (1990). Identification of Brassinolide and Castasterone in Buckwheat (</w:t>
      </w:r>
      <w:r w:rsidRPr="005910B7">
        <w:rPr>
          <w:rFonts w:ascii="Times New Roman" w:hAnsi="Times New Roman"/>
          <w:i/>
          <w:iCs/>
          <w:sz w:val="20"/>
          <w:szCs w:val="20"/>
        </w:rPr>
        <w:t>Fagopyrum esculentum Moench</w:t>
      </w:r>
      <w:r w:rsidRPr="005910B7">
        <w:rPr>
          <w:rFonts w:ascii="Times New Roman" w:hAnsi="Times New Roman"/>
          <w:sz w:val="20"/>
          <w:szCs w:val="20"/>
        </w:rPr>
        <w:t xml:space="preserve">)  Pollen. </w:t>
      </w:r>
      <w:r w:rsidRPr="005910B7">
        <w:rPr>
          <w:rFonts w:ascii="Times New Roman" w:hAnsi="Times New Roman"/>
          <w:i/>
          <w:iCs/>
          <w:sz w:val="20"/>
          <w:szCs w:val="20"/>
        </w:rPr>
        <w:t>Agricultural Biology and Chemistry</w:t>
      </w:r>
      <w:r w:rsidRPr="005910B7">
        <w:rPr>
          <w:rFonts w:ascii="Times New Roman" w:hAnsi="Times New Roman"/>
          <w:color w:val="000000"/>
          <w:sz w:val="20"/>
          <w:szCs w:val="20"/>
        </w:rPr>
        <w:t>,</w:t>
      </w:r>
      <w:r w:rsidRPr="005910B7">
        <w:rPr>
          <w:rFonts w:ascii="Times New Roman" w:hAnsi="Times New Roman"/>
          <w:sz w:val="20"/>
          <w:szCs w:val="20"/>
        </w:rPr>
        <w:t xml:space="preserve"> 54 (3): 757-762.</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5910B7">
        <w:rPr>
          <w:rFonts w:ascii="Times New Roman" w:hAnsi="Times New Roman"/>
          <w:sz w:val="20"/>
          <w:szCs w:val="20"/>
        </w:rPr>
        <w:t>Winter, J., Schneider, B., Meyenburg, S., Strack, D.</w:t>
      </w:r>
      <w:r>
        <w:rPr>
          <w:rFonts w:ascii="Times New Roman" w:hAnsi="Times New Roman"/>
          <w:sz w:val="20"/>
          <w:szCs w:val="20"/>
        </w:rPr>
        <w:t xml:space="preserve"> and </w:t>
      </w:r>
      <w:r w:rsidRPr="005910B7">
        <w:rPr>
          <w:rFonts w:ascii="Times New Roman" w:hAnsi="Times New Roman"/>
          <w:sz w:val="20"/>
          <w:szCs w:val="20"/>
        </w:rPr>
        <w:t xml:space="preserve">Adam, G. (1999). Monitoring brassinosteroid biosynthetic enzymes by fluorescent tagging and HPLC analysis of their substrates and products. </w:t>
      </w:r>
      <w:r w:rsidRPr="005910B7">
        <w:rPr>
          <w:rFonts w:ascii="Times New Roman" w:hAnsi="Times New Roman"/>
          <w:i/>
          <w:iCs/>
          <w:sz w:val="20"/>
          <w:szCs w:val="20"/>
        </w:rPr>
        <w:t>Phytochemistry</w:t>
      </w:r>
      <w:r w:rsidRPr="005910B7">
        <w:rPr>
          <w:rFonts w:ascii="Times New Roman" w:hAnsi="Times New Roman"/>
          <w:color w:val="000000"/>
          <w:sz w:val="20"/>
          <w:szCs w:val="20"/>
        </w:rPr>
        <w:t>,</w:t>
      </w:r>
      <w:r w:rsidRPr="005910B7">
        <w:rPr>
          <w:rFonts w:ascii="Times New Roman" w:hAnsi="Times New Roman"/>
          <w:sz w:val="20"/>
          <w:szCs w:val="20"/>
        </w:rPr>
        <w:t xml:space="preserve"> 51: 237-242. </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F87190">
        <w:rPr>
          <w:rFonts w:ascii="Times New Roman" w:hAnsi="Times New Roman"/>
          <w:sz w:val="20"/>
          <w:szCs w:val="20"/>
        </w:rPr>
        <w:t xml:space="preserve">Bajguz, A. (2011). </w:t>
      </w:r>
      <w:r w:rsidRPr="00F87190">
        <w:rPr>
          <w:rFonts w:ascii="Times New Roman" w:hAnsi="Times New Roman"/>
          <w:i/>
          <w:iCs/>
          <w:sz w:val="20"/>
          <w:szCs w:val="20"/>
        </w:rPr>
        <w:t>Brassinosteroids: A Class of Plant Hormone. Chapter 1: Brassinosteroids-Occurrence and chemical structures in plants</w:t>
      </w:r>
      <w:r w:rsidRPr="00F87190">
        <w:rPr>
          <w:rFonts w:ascii="Times New Roman" w:hAnsi="Times New Roman"/>
          <w:sz w:val="20"/>
          <w:szCs w:val="20"/>
        </w:rPr>
        <w:t xml:space="preserve">, S. Hayat, </w:t>
      </w:r>
      <w:r>
        <w:rPr>
          <w:rFonts w:ascii="Times New Roman" w:hAnsi="Times New Roman"/>
          <w:sz w:val="20"/>
          <w:szCs w:val="20"/>
        </w:rPr>
        <w:t xml:space="preserve">A. </w:t>
      </w:r>
      <w:r w:rsidRPr="00F87190">
        <w:rPr>
          <w:rFonts w:ascii="Times New Roman" w:hAnsi="Times New Roman"/>
          <w:sz w:val="20"/>
          <w:szCs w:val="20"/>
        </w:rPr>
        <w:t xml:space="preserve">Ahmad, editor. </w:t>
      </w:r>
      <w:r w:rsidRPr="00F87190">
        <w:rPr>
          <w:rFonts w:ascii="Times New Roman" w:hAnsi="Times New Roman"/>
          <w:i/>
          <w:iCs/>
          <w:sz w:val="20"/>
          <w:szCs w:val="20"/>
        </w:rPr>
        <w:t>Springer</w:t>
      </w:r>
      <w:r w:rsidRPr="00F87190">
        <w:rPr>
          <w:rFonts w:ascii="Times New Roman" w:hAnsi="Times New Roman"/>
          <w:sz w:val="20"/>
          <w:szCs w:val="20"/>
        </w:rPr>
        <w:t>: New York, U.S.A.: pp. 1-28.</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F87190">
        <w:rPr>
          <w:rFonts w:ascii="Times New Roman" w:hAnsi="Times New Roman"/>
          <w:sz w:val="20"/>
          <w:szCs w:val="20"/>
        </w:rPr>
        <w:t xml:space="preserve">Clouse, S. D. (2004). Regulators of Growth: Brassinosteroids. In </w:t>
      </w:r>
      <w:r>
        <w:rPr>
          <w:rFonts w:ascii="Times New Roman" w:hAnsi="Times New Roman"/>
          <w:i/>
          <w:iCs/>
          <w:sz w:val="20"/>
          <w:szCs w:val="20"/>
        </w:rPr>
        <w:t>Encyclopedia</w:t>
      </w:r>
      <w:r w:rsidRPr="00F87190">
        <w:rPr>
          <w:rFonts w:ascii="Times New Roman" w:hAnsi="Times New Roman"/>
          <w:i/>
          <w:iCs/>
          <w:sz w:val="20"/>
          <w:szCs w:val="20"/>
        </w:rPr>
        <w:t xml:space="preserve"> of Applied Plant Sciences</w:t>
      </w:r>
      <w:r w:rsidRPr="00F87190">
        <w:rPr>
          <w:rFonts w:ascii="Times New Roman" w:hAnsi="Times New Roman"/>
          <w:sz w:val="20"/>
          <w:szCs w:val="20"/>
        </w:rPr>
        <w:t>. Elsevier: Amsterdam, Netherlands: pp. 1026-1035.</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F87190">
        <w:rPr>
          <w:rFonts w:ascii="Times New Roman" w:hAnsi="Times New Roman"/>
          <w:sz w:val="20"/>
          <w:szCs w:val="20"/>
        </w:rPr>
        <w:t>Srivastava, L.M. (2002). Chapter 9 : Brassinosteroids. In</w:t>
      </w:r>
      <w:r w:rsidRPr="00F87190">
        <w:rPr>
          <w:rFonts w:ascii="Times New Roman" w:hAnsi="Times New Roman"/>
          <w:i/>
          <w:iCs/>
          <w:sz w:val="20"/>
          <w:szCs w:val="20"/>
        </w:rPr>
        <w:t xml:space="preserve"> Plant Growth and Development: Hormones and Environment</w:t>
      </w:r>
      <w:r w:rsidRPr="00F87190">
        <w:rPr>
          <w:rFonts w:ascii="Times New Roman" w:hAnsi="Times New Roman"/>
          <w:sz w:val="20"/>
          <w:szCs w:val="20"/>
        </w:rPr>
        <w:t>. Academic Press: Elsevier Science, U.S.A.: pp. 205-215.</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Peng, B. and </w:t>
      </w:r>
      <w:r w:rsidRPr="00F87190">
        <w:rPr>
          <w:rFonts w:ascii="Times New Roman" w:hAnsi="Times New Roman"/>
          <w:sz w:val="20"/>
          <w:szCs w:val="20"/>
        </w:rPr>
        <w:t xml:space="preserve">Qin, Y. (2008). Lipophilic Polymer Membrane Optical Sensor with a Synthetic Receptor for Saccharide Detection. </w:t>
      </w:r>
      <w:r w:rsidRPr="00F87190">
        <w:rPr>
          <w:rFonts w:ascii="Times New Roman" w:hAnsi="Times New Roman"/>
          <w:i/>
          <w:iCs/>
          <w:sz w:val="20"/>
          <w:szCs w:val="20"/>
        </w:rPr>
        <w:t>Analytical Chemistry</w:t>
      </w:r>
      <w:r w:rsidRPr="00F87190">
        <w:rPr>
          <w:rFonts w:ascii="Times New Roman" w:hAnsi="Times New Roman"/>
          <w:color w:val="000000"/>
          <w:sz w:val="20"/>
          <w:szCs w:val="20"/>
        </w:rPr>
        <w:t>,</w:t>
      </w:r>
      <w:r w:rsidRPr="00F87190">
        <w:rPr>
          <w:rFonts w:ascii="Times New Roman" w:hAnsi="Times New Roman"/>
          <w:sz w:val="20"/>
          <w:szCs w:val="20"/>
        </w:rPr>
        <w:t xml:space="preserve"> 80(15): </w:t>
      </w:r>
      <w:r>
        <w:rPr>
          <w:rFonts w:ascii="Times New Roman" w:hAnsi="Times New Roman"/>
          <w:sz w:val="20"/>
          <w:szCs w:val="20"/>
        </w:rPr>
        <w:t>6137–6141.</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 xml:space="preserve">Perrin, D. D. and </w:t>
      </w:r>
      <w:r w:rsidRPr="00F87190">
        <w:rPr>
          <w:rFonts w:ascii="Times New Roman" w:hAnsi="Times New Roman"/>
          <w:sz w:val="20"/>
          <w:szCs w:val="20"/>
        </w:rPr>
        <w:t xml:space="preserve">Dempsey, B. (1974). </w:t>
      </w:r>
      <w:r w:rsidRPr="00F87190">
        <w:rPr>
          <w:rFonts w:ascii="Times New Roman" w:hAnsi="Times New Roman"/>
          <w:i/>
          <w:iCs/>
          <w:sz w:val="20"/>
          <w:szCs w:val="20"/>
        </w:rPr>
        <w:t>Buffers for pH and Metal Ion Control</w:t>
      </w:r>
      <w:r w:rsidRPr="00F87190">
        <w:rPr>
          <w:rFonts w:ascii="Times New Roman" w:hAnsi="Times New Roman"/>
          <w:sz w:val="20"/>
          <w:szCs w:val="20"/>
        </w:rPr>
        <w:t xml:space="preserve">; Chapman and Hall Ltd.: London, U.K.: pp.117-123. </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F87190">
        <w:rPr>
          <w:rFonts w:ascii="Times New Roman" w:hAnsi="Times New Roman"/>
          <w:sz w:val="20"/>
          <w:szCs w:val="20"/>
        </w:rPr>
        <w:t xml:space="preserve">Luis, G. P., Granda, M., Badia, R., Diaz-Garcia, M. E. (1998). Selective fluorescent chemosensor for fructose. </w:t>
      </w:r>
      <w:r w:rsidRPr="00F87190">
        <w:rPr>
          <w:rFonts w:ascii="Times New Roman" w:hAnsi="Times New Roman"/>
          <w:i/>
          <w:iCs/>
          <w:sz w:val="20"/>
          <w:szCs w:val="20"/>
        </w:rPr>
        <w:t>Analyst</w:t>
      </w:r>
      <w:r w:rsidRPr="00F87190">
        <w:rPr>
          <w:rFonts w:ascii="Times New Roman" w:hAnsi="Times New Roman"/>
          <w:color w:val="000000"/>
          <w:sz w:val="20"/>
          <w:szCs w:val="20"/>
        </w:rPr>
        <w:t>,</w:t>
      </w:r>
      <w:r w:rsidRPr="00F87190">
        <w:rPr>
          <w:rFonts w:ascii="Times New Roman" w:hAnsi="Times New Roman"/>
          <w:sz w:val="20"/>
          <w:szCs w:val="20"/>
        </w:rPr>
        <w:t xml:space="preserve"> 123: 155–158. </w:t>
      </w:r>
    </w:p>
    <w:p w:rsidR="0001438B" w:rsidRDefault="0001438B" w:rsidP="0001438B">
      <w:pPr>
        <w:pStyle w:val="ListParagraph"/>
        <w:numPr>
          <w:ilvl w:val="0"/>
          <w:numId w:val="2"/>
        </w:numPr>
        <w:spacing w:after="0" w:line="240" w:lineRule="auto"/>
        <w:ind w:left="360"/>
        <w:jc w:val="both"/>
        <w:rPr>
          <w:rFonts w:ascii="Times New Roman" w:hAnsi="Times New Roman"/>
          <w:sz w:val="20"/>
          <w:szCs w:val="20"/>
        </w:rPr>
      </w:pPr>
      <w:r w:rsidRPr="00F87190">
        <w:rPr>
          <w:rFonts w:ascii="Times New Roman" w:hAnsi="Times New Roman"/>
          <w:sz w:val="20"/>
          <w:szCs w:val="20"/>
        </w:rPr>
        <w:t xml:space="preserve">Seckin, Z. E. (2004). </w:t>
      </w:r>
      <w:r w:rsidRPr="00F87190">
        <w:rPr>
          <w:rFonts w:ascii="Times New Roman" w:hAnsi="Times New Roman"/>
          <w:i/>
          <w:iCs/>
          <w:sz w:val="20"/>
          <w:szCs w:val="20"/>
        </w:rPr>
        <w:t xml:space="preserve">Fluorescence determination of monosaccharides and  </w:t>
      </w:r>
      <w:r>
        <w:rPr>
          <w:rFonts w:ascii="Times New Roman" w:hAnsi="Times New Roman"/>
          <w:i/>
          <w:iCs/>
          <w:sz w:val="20"/>
          <w:szCs w:val="20"/>
        </w:rPr>
        <w:t xml:space="preserve">catecholamines by usin </w:t>
      </w:r>
      <w:r w:rsidRPr="00F87190">
        <w:rPr>
          <w:rFonts w:ascii="Times New Roman" w:hAnsi="Times New Roman"/>
          <w:i/>
          <w:iCs/>
          <w:sz w:val="20"/>
          <w:szCs w:val="20"/>
        </w:rPr>
        <w:t>dansylaminophenyl boronic acid</w:t>
      </w:r>
      <w:r>
        <w:rPr>
          <w:rFonts w:ascii="Times New Roman" w:hAnsi="Times New Roman"/>
          <w:sz w:val="20"/>
          <w:szCs w:val="20"/>
        </w:rPr>
        <w:t xml:space="preserve">. Master’s thesis, </w:t>
      </w:r>
      <w:r w:rsidRPr="00F87190">
        <w:rPr>
          <w:rFonts w:ascii="Times New Roman" w:hAnsi="Times New Roman"/>
          <w:sz w:val="20"/>
          <w:szCs w:val="20"/>
        </w:rPr>
        <w:t>Department of Chemistry, The Middle East Technical University.</w:t>
      </w:r>
    </w:p>
    <w:p w:rsidR="00E66197" w:rsidRDefault="0001438B" w:rsidP="0001438B">
      <w:pPr>
        <w:pStyle w:val="ListParagraph"/>
        <w:numPr>
          <w:ilvl w:val="0"/>
          <w:numId w:val="2"/>
        </w:numPr>
        <w:spacing w:after="0" w:line="240" w:lineRule="auto"/>
        <w:ind w:left="360"/>
        <w:jc w:val="both"/>
        <w:rPr>
          <w:rFonts w:ascii="Times New Roman" w:hAnsi="Times New Roman"/>
          <w:sz w:val="20"/>
          <w:szCs w:val="20"/>
        </w:rPr>
      </w:pPr>
      <w:r w:rsidRPr="00F87190">
        <w:rPr>
          <w:rFonts w:ascii="Times New Roman" w:hAnsi="Times New Roman"/>
          <w:sz w:val="20"/>
          <w:szCs w:val="20"/>
        </w:rPr>
        <w:t xml:space="preserve">Valeur, B. (2001). </w:t>
      </w:r>
      <w:r w:rsidRPr="00F87190">
        <w:rPr>
          <w:rFonts w:ascii="Times New Roman" w:hAnsi="Times New Roman"/>
          <w:i/>
          <w:iCs/>
          <w:sz w:val="20"/>
          <w:szCs w:val="20"/>
        </w:rPr>
        <w:t>Molecular Fluorescence: Principles and Applications</w:t>
      </w:r>
      <w:r w:rsidRPr="00F87190">
        <w:rPr>
          <w:rFonts w:ascii="Times New Roman" w:hAnsi="Times New Roman"/>
          <w:sz w:val="20"/>
          <w:szCs w:val="20"/>
        </w:rPr>
        <w:t>. Wiley-VCH Verlag GmbH, Germany.</w:t>
      </w:r>
    </w:p>
    <w:p w:rsidR="0001438B" w:rsidRPr="0001438B" w:rsidRDefault="0001438B" w:rsidP="0001438B">
      <w:pPr>
        <w:pStyle w:val="ListParagraph"/>
        <w:spacing w:after="0" w:line="240" w:lineRule="auto"/>
        <w:ind w:left="360" w:hanging="360"/>
        <w:jc w:val="both"/>
        <w:rPr>
          <w:rFonts w:ascii="Times New Roman" w:hAnsi="Times New Roman"/>
          <w:sz w:val="20"/>
          <w:szCs w:val="20"/>
        </w:rPr>
      </w:pPr>
    </w:p>
    <w:sectPr w:rsidR="0001438B" w:rsidRPr="0001438B" w:rsidSect="001D6F02">
      <w:headerReference w:type="even" r:id="rId18"/>
      <w:headerReference w:type="default" r:id="rId19"/>
      <w:footerReference w:type="even" r:id="rId20"/>
      <w:footerReference w:type="default" r:id="rId21"/>
      <w:pgSz w:w="12240" w:h="15840" w:code="1"/>
      <w:pgMar w:top="1800" w:right="1469" w:bottom="1699" w:left="1440" w:header="706" w:footer="706" w:gutter="0"/>
      <w:pgNumType w:start="5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BD3878">
      <w:rPr>
        <w:rFonts w:ascii="Times New Roman" w:hAnsi="Times New Roman"/>
        <w:noProof/>
      </w:rPr>
      <w:t>562</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BD3878">
      <w:rPr>
        <w:rFonts w:ascii="Times New Roman" w:hAnsi="Times New Roman"/>
        <w:noProof/>
      </w:rPr>
      <w:t>563</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38B" w:rsidRPr="0001438B" w:rsidRDefault="0001438B" w:rsidP="0001438B">
    <w:pPr>
      <w:spacing w:after="0" w:line="240" w:lineRule="auto"/>
      <w:ind w:left="4230" w:hanging="4230"/>
      <w:rPr>
        <w:rFonts w:ascii="Times New Roman" w:eastAsia="Calibri" w:hAnsi="Times New Roman"/>
        <w:color w:val="FF0000"/>
        <w:sz w:val="20"/>
        <w:szCs w:val="20"/>
      </w:rPr>
    </w:pPr>
    <w:r w:rsidRPr="00A10006">
      <w:rPr>
        <w:rFonts w:ascii="Times New Roman" w:eastAsia="Calibri" w:hAnsi="Times New Roman"/>
        <w:sz w:val="20"/>
        <w:szCs w:val="20"/>
      </w:rPr>
      <w:t>Napa Tangtreamjitmun</w:t>
    </w:r>
    <w:r>
      <w:rPr>
        <w:rFonts w:ascii="Times New Roman" w:eastAsia="Calibri" w:hAnsi="Times New Roman"/>
        <w:sz w:val="20"/>
        <w:szCs w:val="20"/>
        <w:vertAlign w:val="superscript"/>
      </w:rPr>
      <w:t xml:space="preserve"> </w:t>
    </w:r>
    <w:r w:rsidRPr="0001438B">
      <w:rPr>
        <w:rFonts w:ascii="Times New Roman" w:eastAsia="Calibri" w:hAnsi="Times New Roman"/>
        <w:sz w:val="20"/>
        <w:szCs w:val="20"/>
      </w:rPr>
      <w:t xml:space="preserve">&amp; </w:t>
    </w:r>
    <w:r w:rsidRPr="00A10006">
      <w:rPr>
        <w:rFonts w:ascii="Times New Roman" w:eastAsia="Calibri" w:hAnsi="Times New Roman"/>
        <w:sz w:val="20"/>
        <w:szCs w:val="20"/>
      </w:rPr>
      <w:t>Kanokporn Chindaphan</w:t>
    </w:r>
    <w:r w:rsidR="00A14DB9" w:rsidRPr="0001438B">
      <w:rPr>
        <w:rFonts w:ascii="Times New Roman" w:hAnsi="Times New Roman"/>
        <w:sz w:val="20"/>
        <w:szCs w:val="20"/>
      </w:rPr>
      <w:t xml:space="preserve">:  </w:t>
    </w:r>
    <w:r>
      <w:rPr>
        <w:rFonts w:ascii="Times New Roman" w:hAnsi="Times New Roman"/>
        <w:sz w:val="20"/>
        <w:szCs w:val="20"/>
      </w:rPr>
      <w:tab/>
    </w:r>
    <w:r w:rsidRPr="0001438B">
      <w:rPr>
        <w:rFonts w:ascii="Times New Roman" w:hAnsi="Times New Roman"/>
        <w:sz w:val="20"/>
        <w:szCs w:val="20"/>
      </w:rPr>
      <w:t>SPECTROFLUORIMETRIC DETERMINATION OF BRASSINOSTEROIDS PLANT HORMONES IN BIO-EXTRACT SAMPLES</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01438B"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01438B">
      <w:rPr>
        <w:rFonts w:ascii="Times New Roman" w:hAnsi="Times New Roman"/>
        <w:i/>
        <w:lang w:val="en-US"/>
      </w:rPr>
      <w:t>557 - 564</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D77481"/>
    <w:multiLevelType w:val="hybridMultilevel"/>
    <w:tmpl w:val="91AA8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1438B"/>
    <w:rsid w:val="00023CE1"/>
    <w:rsid w:val="000C2942"/>
    <w:rsid w:val="000F4FCC"/>
    <w:rsid w:val="00117BCD"/>
    <w:rsid w:val="00136AC1"/>
    <w:rsid w:val="0016514A"/>
    <w:rsid w:val="001B35D1"/>
    <w:rsid w:val="001D035A"/>
    <w:rsid w:val="001D6F02"/>
    <w:rsid w:val="001E6B6A"/>
    <w:rsid w:val="00295A67"/>
    <w:rsid w:val="002B188F"/>
    <w:rsid w:val="002C30C6"/>
    <w:rsid w:val="002F2505"/>
    <w:rsid w:val="00317C2D"/>
    <w:rsid w:val="00330EFD"/>
    <w:rsid w:val="00361BAF"/>
    <w:rsid w:val="003D585B"/>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50D61"/>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B58AF"/>
    <w:rsid w:val="00BC3ED2"/>
    <w:rsid w:val="00BD3878"/>
    <w:rsid w:val="00BF0954"/>
    <w:rsid w:val="00C31E76"/>
    <w:rsid w:val="00C43D22"/>
    <w:rsid w:val="00C5417D"/>
    <w:rsid w:val="00C73B3F"/>
    <w:rsid w:val="00CA513F"/>
    <w:rsid w:val="00D4023F"/>
    <w:rsid w:val="00D75B35"/>
    <w:rsid w:val="00D878E4"/>
    <w:rsid w:val="00D9792A"/>
    <w:rsid w:val="00E41EE7"/>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Work\PROJECT_THESIS\EXCEL\&#3585;&#3619;&#3634;&#3615;_%20&#3623;&#3633;&#3609;&#3607;&#3637;&#3656;%2010.07%20.55_Emission%20spectru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3586;&#3657;&#3629;&#3617;&#3641;&#3621;_%20&#3623;&#3633;&#3609;&#3607;&#3637;&#3656;%2012.06.5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Work\PROJECT_THESIS\EXCEL\&#3586;&#3657;&#3629;&#3617;&#3641;&#3621;_%20&#3623;&#3633;&#3609;&#3607;&#3637;&#3656;%2017.06.5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Work\PROJECT_THESIS\EXCEL\&#3586;&#3657;&#3629;&#3617;&#3641;&#3621;_%20&#3623;&#3633;&#3609;&#3607;&#3637;&#3656;%2019-20.06.5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Work\PROJECT_THESIS\EXCEL\&#3586;&#3657;&#3629;&#3617;&#3641;&#3621;_%20&#3623;&#3633;&#3609;&#3607;&#3637;&#3656;%2010.10.5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Work\PROJECT_THESIS\EXCEL\&#3586;&#3657;&#3629;&#3617;&#3641;&#3621;_%20&#3623;&#3633;&#3609;&#3607;&#3637;&#3656;%2026.06.5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718534318388491"/>
          <c:y val="6.1619877020672766E-2"/>
          <c:w val="0.66416440844878821"/>
          <c:h val="0.71259898166439462"/>
        </c:manualLayout>
      </c:layout>
      <c:scatterChart>
        <c:scatterStyle val="smoothMarker"/>
        <c:varyColors val="0"/>
        <c:ser>
          <c:idx val="0"/>
          <c:order val="0"/>
          <c:tx>
            <c:v>Blank (DABA)</c:v>
          </c:tx>
          <c:marker>
            <c:symbol val="none"/>
          </c:marker>
          <c:xVal>
            <c:numRef>
              <c:f>Spectrum_data!$A$2:$A$322</c:f>
              <c:numCache>
                <c:formatCode>General</c:formatCode>
                <c:ptCount val="321"/>
                <c:pt idx="0">
                  <c:v>380</c:v>
                </c:pt>
                <c:pt idx="1">
                  <c:v>381</c:v>
                </c:pt>
                <c:pt idx="2">
                  <c:v>382</c:v>
                </c:pt>
                <c:pt idx="3">
                  <c:v>383</c:v>
                </c:pt>
                <c:pt idx="4">
                  <c:v>384</c:v>
                </c:pt>
                <c:pt idx="5">
                  <c:v>385</c:v>
                </c:pt>
                <c:pt idx="6">
                  <c:v>386</c:v>
                </c:pt>
                <c:pt idx="7">
                  <c:v>387</c:v>
                </c:pt>
                <c:pt idx="8">
                  <c:v>388</c:v>
                </c:pt>
                <c:pt idx="9">
                  <c:v>389</c:v>
                </c:pt>
                <c:pt idx="10">
                  <c:v>390</c:v>
                </c:pt>
                <c:pt idx="11">
                  <c:v>391</c:v>
                </c:pt>
                <c:pt idx="12">
                  <c:v>392</c:v>
                </c:pt>
                <c:pt idx="13">
                  <c:v>393</c:v>
                </c:pt>
                <c:pt idx="14">
                  <c:v>394</c:v>
                </c:pt>
                <c:pt idx="15">
                  <c:v>395</c:v>
                </c:pt>
                <c:pt idx="16">
                  <c:v>396</c:v>
                </c:pt>
                <c:pt idx="17">
                  <c:v>397</c:v>
                </c:pt>
                <c:pt idx="18">
                  <c:v>398</c:v>
                </c:pt>
                <c:pt idx="19">
                  <c:v>399</c:v>
                </c:pt>
                <c:pt idx="20">
                  <c:v>400</c:v>
                </c:pt>
                <c:pt idx="21">
                  <c:v>401</c:v>
                </c:pt>
                <c:pt idx="22">
                  <c:v>402</c:v>
                </c:pt>
                <c:pt idx="23">
                  <c:v>403</c:v>
                </c:pt>
                <c:pt idx="24">
                  <c:v>404</c:v>
                </c:pt>
                <c:pt idx="25">
                  <c:v>405</c:v>
                </c:pt>
                <c:pt idx="26">
                  <c:v>406</c:v>
                </c:pt>
                <c:pt idx="27">
                  <c:v>407</c:v>
                </c:pt>
                <c:pt idx="28">
                  <c:v>408</c:v>
                </c:pt>
                <c:pt idx="29">
                  <c:v>409</c:v>
                </c:pt>
                <c:pt idx="30">
                  <c:v>410</c:v>
                </c:pt>
                <c:pt idx="31">
                  <c:v>411</c:v>
                </c:pt>
                <c:pt idx="32">
                  <c:v>412</c:v>
                </c:pt>
                <c:pt idx="33">
                  <c:v>413</c:v>
                </c:pt>
                <c:pt idx="34">
                  <c:v>414</c:v>
                </c:pt>
                <c:pt idx="35">
                  <c:v>415</c:v>
                </c:pt>
                <c:pt idx="36">
                  <c:v>416</c:v>
                </c:pt>
                <c:pt idx="37">
                  <c:v>417</c:v>
                </c:pt>
                <c:pt idx="38">
                  <c:v>418</c:v>
                </c:pt>
                <c:pt idx="39">
                  <c:v>419</c:v>
                </c:pt>
                <c:pt idx="40">
                  <c:v>420</c:v>
                </c:pt>
                <c:pt idx="41">
                  <c:v>421</c:v>
                </c:pt>
                <c:pt idx="42">
                  <c:v>422</c:v>
                </c:pt>
                <c:pt idx="43">
                  <c:v>423</c:v>
                </c:pt>
                <c:pt idx="44">
                  <c:v>424</c:v>
                </c:pt>
                <c:pt idx="45">
                  <c:v>425</c:v>
                </c:pt>
                <c:pt idx="46">
                  <c:v>426</c:v>
                </c:pt>
                <c:pt idx="47">
                  <c:v>427</c:v>
                </c:pt>
                <c:pt idx="48">
                  <c:v>428</c:v>
                </c:pt>
                <c:pt idx="49">
                  <c:v>429</c:v>
                </c:pt>
                <c:pt idx="50">
                  <c:v>430</c:v>
                </c:pt>
                <c:pt idx="51">
                  <c:v>431</c:v>
                </c:pt>
                <c:pt idx="52">
                  <c:v>432</c:v>
                </c:pt>
                <c:pt idx="53">
                  <c:v>433</c:v>
                </c:pt>
                <c:pt idx="54">
                  <c:v>434</c:v>
                </c:pt>
                <c:pt idx="55">
                  <c:v>435</c:v>
                </c:pt>
                <c:pt idx="56">
                  <c:v>436</c:v>
                </c:pt>
                <c:pt idx="57">
                  <c:v>437</c:v>
                </c:pt>
                <c:pt idx="58">
                  <c:v>438</c:v>
                </c:pt>
                <c:pt idx="59">
                  <c:v>439</c:v>
                </c:pt>
                <c:pt idx="60">
                  <c:v>440</c:v>
                </c:pt>
                <c:pt idx="61">
                  <c:v>441</c:v>
                </c:pt>
                <c:pt idx="62">
                  <c:v>442</c:v>
                </c:pt>
                <c:pt idx="63">
                  <c:v>443</c:v>
                </c:pt>
                <c:pt idx="64">
                  <c:v>444</c:v>
                </c:pt>
                <c:pt idx="65">
                  <c:v>445</c:v>
                </c:pt>
                <c:pt idx="66">
                  <c:v>446</c:v>
                </c:pt>
                <c:pt idx="67">
                  <c:v>447</c:v>
                </c:pt>
                <c:pt idx="68">
                  <c:v>448</c:v>
                </c:pt>
                <c:pt idx="69">
                  <c:v>449</c:v>
                </c:pt>
                <c:pt idx="70">
                  <c:v>450</c:v>
                </c:pt>
                <c:pt idx="71">
                  <c:v>451</c:v>
                </c:pt>
                <c:pt idx="72">
                  <c:v>452</c:v>
                </c:pt>
                <c:pt idx="73">
                  <c:v>453</c:v>
                </c:pt>
                <c:pt idx="74">
                  <c:v>454</c:v>
                </c:pt>
                <c:pt idx="75">
                  <c:v>455</c:v>
                </c:pt>
                <c:pt idx="76">
                  <c:v>456</c:v>
                </c:pt>
                <c:pt idx="77">
                  <c:v>457</c:v>
                </c:pt>
                <c:pt idx="78">
                  <c:v>458</c:v>
                </c:pt>
                <c:pt idx="79">
                  <c:v>459</c:v>
                </c:pt>
                <c:pt idx="80">
                  <c:v>460</c:v>
                </c:pt>
                <c:pt idx="81">
                  <c:v>461</c:v>
                </c:pt>
                <c:pt idx="82">
                  <c:v>462</c:v>
                </c:pt>
                <c:pt idx="83">
                  <c:v>463</c:v>
                </c:pt>
                <c:pt idx="84">
                  <c:v>464</c:v>
                </c:pt>
                <c:pt idx="85">
                  <c:v>465</c:v>
                </c:pt>
                <c:pt idx="86">
                  <c:v>466</c:v>
                </c:pt>
                <c:pt idx="87">
                  <c:v>467</c:v>
                </c:pt>
                <c:pt idx="88">
                  <c:v>468</c:v>
                </c:pt>
                <c:pt idx="89">
                  <c:v>469</c:v>
                </c:pt>
                <c:pt idx="90">
                  <c:v>470</c:v>
                </c:pt>
                <c:pt idx="91">
                  <c:v>471</c:v>
                </c:pt>
                <c:pt idx="92">
                  <c:v>472</c:v>
                </c:pt>
                <c:pt idx="93">
                  <c:v>473</c:v>
                </c:pt>
                <c:pt idx="94">
                  <c:v>474</c:v>
                </c:pt>
                <c:pt idx="95">
                  <c:v>475</c:v>
                </c:pt>
                <c:pt idx="96">
                  <c:v>476</c:v>
                </c:pt>
                <c:pt idx="97">
                  <c:v>477</c:v>
                </c:pt>
                <c:pt idx="98">
                  <c:v>478</c:v>
                </c:pt>
                <c:pt idx="99">
                  <c:v>479</c:v>
                </c:pt>
                <c:pt idx="100">
                  <c:v>480</c:v>
                </c:pt>
                <c:pt idx="101">
                  <c:v>481</c:v>
                </c:pt>
                <c:pt idx="102">
                  <c:v>482</c:v>
                </c:pt>
                <c:pt idx="103">
                  <c:v>483</c:v>
                </c:pt>
                <c:pt idx="104">
                  <c:v>484</c:v>
                </c:pt>
                <c:pt idx="105">
                  <c:v>485</c:v>
                </c:pt>
                <c:pt idx="106">
                  <c:v>486</c:v>
                </c:pt>
                <c:pt idx="107">
                  <c:v>487</c:v>
                </c:pt>
                <c:pt idx="108">
                  <c:v>488</c:v>
                </c:pt>
                <c:pt idx="109">
                  <c:v>489</c:v>
                </c:pt>
                <c:pt idx="110">
                  <c:v>490</c:v>
                </c:pt>
                <c:pt idx="111">
                  <c:v>491</c:v>
                </c:pt>
                <c:pt idx="112">
                  <c:v>492</c:v>
                </c:pt>
                <c:pt idx="113">
                  <c:v>493</c:v>
                </c:pt>
                <c:pt idx="114">
                  <c:v>494</c:v>
                </c:pt>
                <c:pt idx="115">
                  <c:v>495</c:v>
                </c:pt>
                <c:pt idx="116">
                  <c:v>496</c:v>
                </c:pt>
                <c:pt idx="117">
                  <c:v>497</c:v>
                </c:pt>
                <c:pt idx="118">
                  <c:v>498</c:v>
                </c:pt>
                <c:pt idx="119">
                  <c:v>499</c:v>
                </c:pt>
                <c:pt idx="120">
                  <c:v>500</c:v>
                </c:pt>
                <c:pt idx="121">
                  <c:v>501</c:v>
                </c:pt>
                <c:pt idx="122">
                  <c:v>502</c:v>
                </c:pt>
                <c:pt idx="123">
                  <c:v>503</c:v>
                </c:pt>
                <c:pt idx="124">
                  <c:v>504</c:v>
                </c:pt>
                <c:pt idx="125">
                  <c:v>505</c:v>
                </c:pt>
                <c:pt idx="126">
                  <c:v>506</c:v>
                </c:pt>
                <c:pt idx="127">
                  <c:v>507</c:v>
                </c:pt>
                <c:pt idx="128">
                  <c:v>508</c:v>
                </c:pt>
                <c:pt idx="129">
                  <c:v>509</c:v>
                </c:pt>
                <c:pt idx="130">
                  <c:v>510</c:v>
                </c:pt>
                <c:pt idx="131">
                  <c:v>511</c:v>
                </c:pt>
                <c:pt idx="132">
                  <c:v>512</c:v>
                </c:pt>
                <c:pt idx="133">
                  <c:v>513</c:v>
                </c:pt>
                <c:pt idx="134">
                  <c:v>514</c:v>
                </c:pt>
                <c:pt idx="135">
                  <c:v>515</c:v>
                </c:pt>
                <c:pt idx="136">
                  <c:v>516</c:v>
                </c:pt>
                <c:pt idx="137">
                  <c:v>517</c:v>
                </c:pt>
                <c:pt idx="138">
                  <c:v>518</c:v>
                </c:pt>
                <c:pt idx="139">
                  <c:v>519</c:v>
                </c:pt>
                <c:pt idx="140">
                  <c:v>520</c:v>
                </c:pt>
                <c:pt idx="141">
                  <c:v>521</c:v>
                </c:pt>
                <c:pt idx="142">
                  <c:v>522</c:v>
                </c:pt>
                <c:pt idx="143">
                  <c:v>523</c:v>
                </c:pt>
                <c:pt idx="144">
                  <c:v>524</c:v>
                </c:pt>
                <c:pt idx="145">
                  <c:v>525</c:v>
                </c:pt>
                <c:pt idx="146">
                  <c:v>526</c:v>
                </c:pt>
                <c:pt idx="147">
                  <c:v>527</c:v>
                </c:pt>
                <c:pt idx="148">
                  <c:v>528</c:v>
                </c:pt>
                <c:pt idx="149">
                  <c:v>529</c:v>
                </c:pt>
                <c:pt idx="150">
                  <c:v>530</c:v>
                </c:pt>
                <c:pt idx="151">
                  <c:v>531</c:v>
                </c:pt>
                <c:pt idx="152">
                  <c:v>532</c:v>
                </c:pt>
                <c:pt idx="153">
                  <c:v>533</c:v>
                </c:pt>
                <c:pt idx="154">
                  <c:v>534</c:v>
                </c:pt>
                <c:pt idx="155">
                  <c:v>535</c:v>
                </c:pt>
                <c:pt idx="156">
                  <c:v>536</c:v>
                </c:pt>
                <c:pt idx="157">
                  <c:v>537</c:v>
                </c:pt>
                <c:pt idx="158">
                  <c:v>538</c:v>
                </c:pt>
                <c:pt idx="159">
                  <c:v>539</c:v>
                </c:pt>
                <c:pt idx="160">
                  <c:v>540</c:v>
                </c:pt>
                <c:pt idx="161">
                  <c:v>541</c:v>
                </c:pt>
                <c:pt idx="162">
                  <c:v>542</c:v>
                </c:pt>
                <c:pt idx="163">
                  <c:v>543</c:v>
                </c:pt>
                <c:pt idx="164">
                  <c:v>544</c:v>
                </c:pt>
                <c:pt idx="165">
                  <c:v>545</c:v>
                </c:pt>
                <c:pt idx="166">
                  <c:v>546</c:v>
                </c:pt>
                <c:pt idx="167">
                  <c:v>547</c:v>
                </c:pt>
                <c:pt idx="168">
                  <c:v>548</c:v>
                </c:pt>
                <c:pt idx="169">
                  <c:v>549</c:v>
                </c:pt>
                <c:pt idx="170">
                  <c:v>550</c:v>
                </c:pt>
                <c:pt idx="171">
                  <c:v>551</c:v>
                </c:pt>
                <c:pt idx="172">
                  <c:v>552</c:v>
                </c:pt>
                <c:pt idx="173">
                  <c:v>553</c:v>
                </c:pt>
                <c:pt idx="174">
                  <c:v>554</c:v>
                </c:pt>
                <c:pt idx="175">
                  <c:v>555</c:v>
                </c:pt>
                <c:pt idx="176">
                  <c:v>556</c:v>
                </c:pt>
                <c:pt idx="177">
                  <c:v>557</c:v>
                </c:pt>
                <c:pt idx="178">
                  <c:v>558</c:v>
                </c:pt>
                <c:pt idx="179">
                  <c:v>559</c:v>
                </c:pt>
                <c:pt idx="180">
                  <c:v>560</c:v>
                </c:pt>
                <c:pt idx="181">
                  <c:v>561</c:v>
                </c:pt>
                <c:pt idx="182">
                  <c:v>562</c:v>
                </c:pt>
                <c:pt idx="183">
                  <c:v>563</c:v>
                </c:pt>
                <c:pt idx="184">
                  <c:v>564</c:v>
                </c:pt>
                <c:pt idx="185">
                  <c:v>565</c:v>
                </c:pt>
                <c:pt idx="186">
                  <c:v>566</c:v>
                </c:pt>
                <c:pt idx="187">
                  <c:v>567</c:v>
                </c:pt>
                <c:pt idx="188">
                  <c:v>568</c:v>
                </c:pt>
                <c:pt idx="189">
                  <c:v>569</c:v>
                </c:pt>
                <c:pt idx="190">
                  <c:v>570</c:v>
                </c:pt>
                <c:pt idx="191">
                  <c:v>571</c:v>
                </c:pt>
                <c:pt idx="192">
                  <c:v>572</c:v>
                </c:pt>
                <c:pt idx="193">
                  <c:v>573</c:v>
                </c:pt>
                <c:pt idx="194">
                  <c:v>574</c:v>
                </c:pt>
                <c:pt idx="195">
                  <c:v>575</c:v>
                </c:pt>
                <c:pt idx="196">
                  <c:v>576</c:v>
                </c:pt>
                <c:pt idx="197">
                  <c:v>577</c:v>
                </c:pt>
                <c:pt idx="198">
                  <c:v>578</c:v>
                </c:pt>
                <c:pt idx="199">
                  <c:v>579</c:v>
                </c:pt>
                <c:pt idx="200">
                  <c:v>580</c:v>
                </c:pt>
                <c:pt idx="201">
                  <c:v>581</c:v>
                </c:pt>
                <c:pt idx="202">
                  <c:v>582</c:v>
                </c:pt>
                <c:pt idx="203">
                  <c:v>583</c:v>
                </c:pt>
                <c:pt idx="204">
                  <c:v>584</c:v>
                </c:pt>
                <c:pt idx="205">
                  <c:v>585</c:v>
                </c:pt>
                <c:pt idx="206">
                  <c:v>586</c:v>
                </c:pt>
                <c:pt idx="207">
                  <c:v>587</c:v>
                </c:pt>
                <c:pt idx="208">
                  <c:v>588</c:v>
                </c:pt>
                <c:pt idx="209">
                  <c:v>589</c:v>
                </c:pt>
                <c:pt idx="210">
                  <c:v>590</c:v>
                </c:pt>
                <c:pt idx="211">
                  <c:v>591</c:v>
                </c:pt>
                <c:pt idx="212">
                  <c:v>592</c:v>
                </c:pt>
                <c:pt idx="213">
                  <c:v>593</c:v>
                </c:pt>
                <c:pt idx="214">
                  <c:v>594</c:v>
                </c:pt>
                <c:pt idx="215">
                  <c:v>595</c:v>
                </c:pt>
                <c:pt idx="216">
                  <c:v>596</c:v>
                </c:pt>
                <c:pt idx="217">
                  <c:v>597</c:v>
                </c:pt>
                <c:pt idx="218">
                  <c:v>598</c:v>
                </c:pt>
                <c:pt idx="219">
                  <c:v>599</c:v>
                </c:pt>
                <c:pt idx="220">
                  <c:v>600</c:v>
                </c:pt>
                <c:pt idx="221">
                  <c:v>601</c:v>
                </c:pt>
                <c:pt idx="222">
                  <c:v>602</c:v>
                </c:pt>
                <c:pt idx="223">
                  <c:v>603</c:v>
                </c:pt>
                <c:pt idx="224">
                  <c:v>604</c:v>
                </c:pt>
                <c:pt idx="225">
                  <c:v>605</c:v>
                </c:pt>
                <c:pt idx="226">
                  <c:v>606</c:v>
                </c:pt>
                <c:pt idx="227">
                  <c:v>607</c:v>
                </c:pt>
                <c:pt idx="228">
                  <c:v>608</c:v>
                </c:pt>
                <c:pt idx="229">
                  <c:v>609</c:v>
                </c:pt>
                <c:pt idx="230">
                  <c:v>610</c:v>
                </c:pt>
                <c:pt idx="231">
                  <c:v>611</c:v>
                </c:pt>
                <c:pt idx="232">
                  <c:v>612</c:v>
                </c:pt>
                <c:pt idx="233">
                  <c:v>613</c:v>
                </c:pt>
                <c:pt idx="234">
                  <c:v>614</c:v>
                </c:pt>
                <c:pt idx="235">
                  <c:v>615</c:v>
                </c:pt>
                <c:pt idx="236">
                  <c:v>616</c:v>
                </c:pt>
                <c:pt idx="237">
                  <c:v>617</c:v>
                </c:pt>
                <c:pt idx="238">
                  <c:v>618</c:v>
                </c:pt>
                <c:pt idx="239">
                  <c:v>619</c:v>
                </c:pt>
                <c:pt idx="240">
                  <c:v>620</c:v>
                </c:pt>
                <c:pt idx="241">
                  <c:v>621</c:v>
                </c:pt>
                <c:pt idx="242">
                  <c:v>622</c:v>
                </c:pt>
                <c:pt idx="243">
                  <c:v>623</c:v>
                </c:pt>
                <c:pt idx="244">
                  <c:v>624</c:v>
                </c:pt>
                <c:pt idx="245">
                  <c:v>625</c:v>
                </c:pt>
                <c:pt idx="246">
                  <c:v>626</c:v>
                </c:pt>
                <c:pt idx="247">
                  <c:v>627</c:v>
                </c:pt>
                <c:pt idx="248">
                  <c:v>628</c:v>
                </c:pt>
                <c:pt idx="249">
                  <c:v>629</c:v>
                </c:pt>
                <c:pt idx="250">
                  <c:v>630</c:v>
                </c:pt>
                <c:pt idx="251">
                  <c:v>631</c:v>
                </c:pt>
                <c:pt idx="252">
                  <c:v>632</c:v>
                </c:pt>
                <c:pt idx="253">
                  <c:v>633</c:v>
                </c:pt>
                <c:pt idx="254">
                  <c:v>634</c:v>
                </c:pt>
                <c:pt idx="255">
                  <c:v>635</c:v>
                </c:pt>
                <c:pt idx="256">
                  <c:v>636</c:v>
                </c:pt>
                <c:pt idx="257">
                  <c:v>637</c:v>
                </c:pt>
                <c:pt idx="258">
                  <c:v>638</c:v>
                </c:pt>
                <c:pt idx="259">
                  <c:v>639</c:v>
                </c:pt>
                <c:pt idx="260">
                  <c:v>640</c:v>
                </c:pt>
                <c:pt idx="261">
                  <c:v>641</c:v>
                </c:pt>
                <c:pt idx="262">
                  <c:v>642</c:v>
                </c:pt>
                <c:pt idx="263">
                  <c:v>643</c:v>
                </c:pt>
                <c:pt idx="264">
                  <c:v>644</c:v>
                </c:pt>
                <c:pt idx="265">
                  <c:v>645</c:v>
                </c:pt>
                <c:pt idx="266">
                  <c:v>646</c:v>
                </c:pt>
                <c:pt idx="267">
                  <c:v>647</c:v>
                </c:pt>
                <c:pt idx="268">
                  <c:v>648</c:v>
                </c:pt>
                <c:pt idx="269">
                  <c:v>649</c:v>
                </c:pt>
                <c:pt idx="270">
                  <c:v>650</c:v>
                </c:pt>
                <c:pt idx="271">
                  <c:v>651</c:v>
                </c:pt>
                <c:pt idx="272">
                  <c:v>652</c:v>
                </c:pt>
                <c:pt idx="273">
                  <c:v>653</c:v>
                </c:pt>
                <c:pt idx="274">
                  <c:v>654</c:v>
                </c:pt>
                <c:pt idx="275">
                  <c:v>655</c:v>
                </c:pt>
                <c:pt idx="276">
                  <c:v>656</c:v>
                </c:pt>
                <c:pt idx="277">
                  <c:v>657</c:v>
                </c:pt>
                <c:pt idx="278">
                  <c:v>658</c:v>
                </c:pt>
                <c:pt idx="279">
                  <c:v>659</c:v>
                </c:pt>
                <c:pt idx="280">
                  <c:v>660</c:v>
                </c:pt>
                <c:pt idx="281">
                  <c:v>661</c:v>
                </c:pt>
                <c:pt idx="282">
                  <c:v>662</c:v>
                </c:pt>
                <c:pt idx="283">
                  <c:v>663</c:v>
                </c:pt>
                <c:pt idx="284">
                  <c:v>664</c:v>
                </c:pt>
                <c:pt idx="285">
                  <c:v>665</c:v>
                </c:pt>
                <c:pt idx="286">
                  <c:v>666</c:v>
                </c:pt>
                <c:pt idx="287">
                  <c:v>667</c:v>
                </c:pt>
                <c:pt idx="288">
                  <c:v>668</c:v>
                </c:pt>
                <c:pt idx="289">
                  <c:v>669</c:v>
                </c:pt>
                <c:pt idx="290">
                  <c:v>670</c:v>
                </c:pt>
                <c:pt idx="291">
                  <c:v>671</c:v>
                </c:pt>
                <c:pt idx="292">
                  <c:v>672</c:v>
                </c:pt>
                <c:pt idx="293">
                  <c:v>673</c:v>
                </c:pt>
                <c:pt idx="294">
                  <c:v>674</c:v>
                </c:pt>
                <c:pt idx="295">
                  <c:v>675</c:v>
                </c:pt>
                <c:pt idx="296">
                  <c:v>676</c:v>
                </c:pt>
                <c:pt idx="297">
                  <c:v>677</c:v>
                </c:pt>
                <c:pt idx="298">
                  <c:v>678</c:v>
                </c:pt>
                <c:pt idx="299">
                  <c:v>679</c:v>
                </c:pt>
                <c:pt idx="300">
                  <c:v>680</c:v>
                </c:pt>
                <c:pt idx="301">
                  <c:v>681</c:v>
                </c:pt>
                <c:pt idx="302">
                  <c:v>682</c:v>
                </c:pt>
                <c:pt idx="303">
                  <c:v>683</c:v>
                </c:pt>
                <c:pt idx="304">
                  <c:v>684</c:v>
                </c:pt>
                <c:pt idx="305">
                  <c:v>685</c:v>
                </c:pt>
                <c:pt idx="306">
                  <c:v>686</c:v>
                </c:pt>
                <c:pt idx="307">
                  <c:v>687</c:v>
                </c:pt>
                <c:pt idx="308">
                  <c:v>688</c:v>
                </c:pt>
                <c:pt idx="309">
                  <c:v>689</c:v>
                </c:pt>
                <c:pt idx="310">
                  <c:v>690</c:v>
                </c:pt>
                <c:pt idx="311">
                  <c:v>691</c:v>
                </c:pt>
                <c:pt idx="312">
                  <c:v>692</c:v>
                </c:pt>
                <c:pt idx="313">
                  <c:v>693</c:v>
                </c:pt>
                <c:pt idx="314">
                  <c:v>694</c:v>
                </c:pt>
                <c:pt idx="315">
                  <c:v>695</c:v>
                </c:pt>
                <c:pt idx="316">
                  <c:v>696</c:v>
                </c:pt>
                <c:pt idx="317">
                  <c:v>697</c:v>
                </c:pt>
                <c:pt idx="318">
                  <c:v>698</c:v>
                </c:pt>
                <c:pt idx="319">
                  <c:v>699</c:v>
                </c:pt>
                <c:pt idx="320">
                  <c:v>700</c:v>
                </c:pt>
              </c:numCache>
            </c:numRef>
          </c:xVal>
          <c:yVal>
            <c:numRef>
              <c:f>Spectrum_data!$B$2:$B$322</c:f>
              <c:numCache>
                <c:formatCode>General</c:formatCode>
                <c:ptCount val="321"/>
                <c:pt idx="0">
                  <c:v>9.0631800000000027</c:v>
                </c:pt>
                <c:pt idx="1">
                  <c:v>9.0539400000000008</c:v>
                </c:pt>
                <c:pt idx="2">
                  <c:v>8.5808900000000001</c:v>
                </c:pt>
                <c:pt idx="3">
                  <c:v>7.6326299999999998</c:v>
                </c:pt>
                <c:pt idx="4">
                  <c:v>6.3245399999999856</c:v>
                </c:pt>
                <c:pt idx="5">
                  <c:v>4.87263</c:v>
                </c:pt>
                <c:pt idx="6">
                  <c:v>3.5078299999999998</c:v>
                </c:pt>
                <c:pt idx="7">
                  <c:v>2.3630100000000001</c:v>
                </c:pt>
                <c:pt idx="8">
                  <c:v>1.4487099999999979</c:v>
                </c:pt>
                <c:pt idx="9">
                  <c:v>0.768760000000001</c:v>
                </c:pt>
                <c:pt idx="10">
                  <c:v>0.3139400000000005</c:v>
                </c:pt>
                <c:pt idx="11">
                  <c:v>4.9530000000000018E-2</c:v>
                </c:pt>
                <c:pt idx="12">
                  <c:v>-7.8589999999999993E-2</c:v>
                </c:pt>
                <c:pt idx="13">
                  <c:v>-0.1288</c:v>
                </c:pt>
                <c:pt idx="14">
                  <c:v>-0.14552000000000001</c:v>
                </c:pt>
                <c:pt idx="15">
                  <c:v>-0.15215000000000001</c:v>
                </c:pt>
                <c:pt idx="16">
                  <c:v>-0.15443000000000037</c:v>
                </c:pt>
                <c:pt idx="17">
                  <c:v>-0.15603000000000028</c:v>
                </c:pt>
                <c:pt idx="18">
                  <c:v>-0.15667</c:v>
                </c:pt>
                <c:pt idx="19">
                  <c:v>-0.15741000000000044</c:v>
                </c:pt>
                <c:pt idx="20">
                  <c:v>-0.15790000000000037</c:v>
                </c:pt>
                <c:pt idx="21">
                  <c:v>-0.15899000000000044</c:v>
                </c:pt>
                <c:pt idx="22">
                  <c:v>-0.15866000000000025</c:v>
                </c:pt>
                <c:pt idx="23">
                  <c:v>-0.15650000000000028</c:v>
                </c:pt>
                <c:pt idx="24">
                  <c:v>-0.15492000000000028</c:v>
                </c:pt>
                <c:pt idx="25">
                  <c:v>-0.15522000000000025</c:v>
                </c:pt>
                <c:pt idx="26">
                  <c:v>-0.15681000000000031</c:v>
                </c:pt>
                <c:pt idx="27">
                  <c:v>-0.15574000000000043</c:v>
                </c:pt>
                <c:pt idx="28">
                  <c:v>-0.15603000000000028</c:v>
                </c:pt>
                <c:pt idx="29">
                  <c:v>-0.15537000000000001</c:v>
                </c:pt>
                <c:pt idx="30">
                  <c:v>-0.15537999999999999</c:v>
                </c:pt>
                <c:pt idx="31">
                  <c:v>-0.15442000000000028</c:v>
                </c:pt>
                <c:pt idx="32">
                  <c:v>-0.15545000000000031</c:v>
                </c:pt>
                <c:pt idx="33">
                  <c:v>-0.15648000000000031</c:v>
                </c:pt>
                <c:pt idx="34">
                  <c:v>-0.15724000000000043</c:v>
                </c:pt>
                <c:pt idx="35">
                  <c:v>-0.15498000000000031</c:v>
                </c:pt>
                <c:pt idx="36">
                  <c:v>-0.15270000000000028</c:v>
                </c:pt>
                <c:pt idx="37">
                  <c:v>-0.15064000000000025</c:v>
                </c:pt>
                <c:pt idx="38">
                  <c:v>-0.14862</c:v>
                </c:pt>
                <c:pt idx="39">
                  <c:v>-0.14516999999999999</c:v>
                </c:pt>
                <c:pt idx="40">
                  <c:v>-0.13969000000000001</c:v>
                </c:pt>
                <c:pt idx="41">
                  <c:v>-0.13424000000000025</c:v>
                </c:pt>
                <c:pt idx="42">
                  <c:v>-0.12509000000000001</c:v>
                </c:pt>
                <c:pt idx="43">
                  <c:v>-0.11416999999999998</c:v>
                </c:pt>
                <c:pt idx="44">
                  <c:v>-0.10042000000000002</c:v>
                </c:pt>
                <c:pt idx="45">
                  <c:v>-8.6930000000000035E-2</c:v>
                </c:pt>
                <c:pt idx="46">
                  <c:v>-7.0470000000000033E-2</c:v>
                </c:pt>
                <c:pt idx="47">
                  <c:v>-5.3340000000000012E-2</c:v>
                </c:pt>
                <c:pt idx="48">
                  <c:v>-3.456E-2</c:v>
                </c:pt>
                <c:pt idx="49">
                  <c:v>-1.6619999999999999E-2</c:v>
                </c:pt>
                <c:pt idx="50">
                  <c:v>1.8700000000000004E-3</c:v>
                </c:pt>
                <c:pt idx="51">
                  <c:v>2.0600000000000018E-2</c:v>
                </c:pt>
                <c:pt idx="52">
                  <c:v>3.7310000000000024E-2</c:v>
                </c:pt>
                <c:pt idx="53">
                  <c:v>5.3109999999999997E-2</c:v>
                </c:pt>
                <c:pt idx="54">
                  <c:v>6.4790000000000139E-2</c:v>
                </c:pt>
                <c:pt idx="55">
                  <c:v>7.5360000000000052E-2</c:v>
                </c:pt>
                <c:pt idx="56">
                  <c:v>8.3470000000000016E-2</c:v>
                </c:pt>
                <c:pt idx="57">
                  <c:v>9.0250000000000066E-2</c:v>
                </c:pt>
                <c:pt idx="58">
                  <c:v>9.5570000000000072E-2</c:v>
                </c:pt>
                <c:pt idx="59">
                  <c:v>0.10069000000000013</c:v>
                </c:pt>
                <c:pt idx="60">
                  <c:v>0.10507000000000002</c:v>
                </c:pt>
                <c:pt idx="61">
                  <c:v>0.10868999999999998</c:v>
                </c:pt>
                <c:pt idx="62">
                  <c:v>0.11153000000000002</c:v>
                </c:pt>
                <c:pt idx="63">
                  <c:v>0.11670000000000012</c:v>
                </c:pt>
                <c:pt idx="64">
                  <c:v>0.12642999999999999</c:v>
                </c:pt>
                <c:pt idx="65">
                  <c:v>0.13783999999999999</c:v>
                </c:pt>
                <c:pt idx="66">
                  <c:v>0.15249000000000032</c:v>
                </c:pt>
                <c:pt idx="67">
                  <c:v>0.16968000000000003</c:v>
                </c:pt>
                <c:pt idx="68">
                  <c:v>0.19401000000000004</c:v>
                </c:pt>
                <c:pt idx="69">
                  <c:v>0.22398000000000004</c:v>
                </c:pt>
                <c:pt idx="70">
                  <c:v>0.2563800000000005</c:v>
                </c:pt>
                <c:pt idx="71">
                  <c:v>0.29142000000000057</c:v>
                </c:pt>
                <c:pt idx="72">
                  <c:v>0.32769000000000031</c:v>
                </c:pt>
                <c:pt idx="73">
                  <c:v>0.36941000000000063</c:v>
                </c:pt>
                <c:pt idx="74">
                  <c:v>0.41416000000000008</c:v>
                </c:pt>
                <c:pt idx="75">
                  <c:v>0.46523000000000003</c:v>
                </c:pt>
                <c:pt idx="76">
                  <c:v>0.52059</c:v>
                </c:pt>
                <c:pt idx="77">
                  <c:v>0.57950999999999997</c:v>
                </c:pt>
                <c:pt idx="78">
                  <c:v>0.63898999999999995</c:v>
                </c:pt>
                <c:pt idx="79">
                  <c:v>0.69868000000000074</c:v>
                </c:pt>
                <c:pt idx="80">
                  <c:v>0.763540000000001</c:v>
                </c:pt>
                <c:pt idx="81">
                  <c:v>0.83340000000000003</c:v>
                </c:pt>
                <c:pt idx="82">
                  <c:v>0.9084099999999995</c:v>
                </c:pt>
                <c:pt idx="83">
                  <c:v>0.98458999999999863</c:v>
                </c:pt>
                <c:pt idx="84">
                  <c:v>1.0605599999999999</c:v>
                </c:pt>
                <c:pt idx="85">
                  <c:v>1.14039</c:v>
                </c:pt>
                <c:pt idx="86">
                  <c:v>1.2284999999999977</c:v>
                </c:pt>
                <c:pt idx="87">
                  <c:v>1.3254599999999999</c:v>
                </c:pt>
                <c:pt idx="88">
                  <c:v>1.4307599999999998</c:v>
                </c:pt>
                <c:pt idx="89">
                  <c:v>1.5422400000000001</c:v>
                </c:pt>
                <c:pt idx="90">
                  <c:v>1.65709</c:v>
                </c:pt>
                <c:pt idx="91">
                  <c:v>1.7759299999999973</c:v>
                </c:pt>
                <c:pt idx="92">
                  <c:v>1.8993199999999999</c:v>
                </c:pt>
                <c:pt idx="93">
                  <c:v>2.0380199999999977</c:v>
                </c:pt>
                <c:pt idx="94">
                  <c:v>2.1886199999999998</c:v>
                </c:pt>
                <c:pt idx="95">
                  <c:v>2.3461399999999997</c:v>
                </c:pt>
                <c:pt idx="96">
                  <c:v>2.5053200000000002</c:v>
                </c:pt>
                <c:pt idx="97">
                  <c:v>2.6686299999999998</c:v>
                </c:pt>
                <c:pt idx="98">
                  <c:v>2.8366699999999923</c:v>
                </c:pt>
                <c:pt idx="99">
                  <c:v>3.0081799999999999</c:v>
                </c:pt>
                <c:pt idx="100">
                  <c:v>3.1857500000000001</c:v>
                </c:pt>
                <c:pt idx="101">
                  <c:v>3.3656699999999962</c:v>
                </c:pt>
                <c:pt idx="102">
                  <c:v>3.5519499999999962</c:v>
                </c:pt>
                <c:pt idx="103">
                  <c:v>3.74207</c:v>
                </c:pt>
                <c:pt idx="104">
                  <c:v>3.9436100000000001</c:v>
                </c:pt>
                <c:pt idx="105">
                  <c:v>4.1511099999999965</c:v>
                </c:pt>
                <c:pt idx="106">
                  <c:v>4.3673799999999945</c:v>
                </c:pt>
                <c:pt idx="107">
                  <c:v>4.6003600000000002</c:v>
                </c:pt>
                <c:pt idx="108">
                  <c:v>4.8365200000000002</c:v>
                </c:pt>
                <c:pt idx="109">
                  <c:v>5.0741299999999985</c:v>
                </c:pt>
                <c:pt idx="110">
                  <c:v>5.3180399999999945</c:v>
                </c:pt>
                <c:pt idx="111">
                  <c:v>5.5816700000000079</c:v>
                </c:pt>
                <c:pt idx="112">
                  <c:v>5.8593599999999997</c:v>
                </c:pt>
                <c:pt idx="113">
                  <c:v>6.1400899999999945</c:v>
                </c:pt>
                <c:pt idx="114">
                  <c:v>6.4304600000000089</c:v>
                </c:pt>
                <c:pt idx="115">
                  <c:v>6.73</c:v>
                </c:pt>
                <c:pt idx="116">
                  <c:v>7.0340699999999998</c:v>
                </c:pt>
                <c:pt idx="117">
                  <c:v>7.3403299999999998</c:v>
                </c:pt>
                <c:pt idx="118">
                  <c:v>7.6578699999999955</c:v>
                </c:pt>
                <c:pt idx="119">
                  <c:v>7.9831899999999996</c:v>
                </c:pt>
                <c:pt idx="120">
                  <c:v>8.2962400000000009</c:v>
                </c:pt>
                <c:pt idx="121">
                  <c:v>8.5969500000000014</c:v>
                </c:pt>
                <c:pt idx="122">
                  <c:v>8.9040900000000001</c:v>
                </c:pt>
                <c:pt idx="123">
                  <c:v>9.2295700000000007</c:v>
                </c:pt>
                <c:pt idx="124">
                  <c:v>9.5587400000000002</c:v>
                </c:pt>
                <c:pt idx="125">
                  <c:v>9.9052800000000047</c:v>
                </c:pt>
                <c:pt idx="126">
                  <c:v>10.2584</c:v>
                </c:pt>
                <c:pt idx="127">
                  <c:v>10.626300000000001</c:v>
                </c:pt>
                <c:pt idx="128">
                  <c:v>10.9848</c:v>
                </c:pt>
                <c:pt idx="129">
                  <c:v>11.3497</c:v>
                </c:pt>
                <c:pt idx="130">
                  <c:v>11.718199999999998</c:v>
                </c:pt>
                <c:pt idx="131">
                  <c:v>12.090300000000001</c:v>
                </c:pt>
                <c:pt idx="132">
                  <c:v>12.4693</c:v>
                </c:pt>
                <c:pt idx="133">
                  <c:v>12.862500000000026</c:v>
                </c:pt>
                <c:pt idx="134">
                  <c:v>13.247199999999999</c:v>
                </c:pt>
                <c:pt idx="135">
                  <c:v>13.622</c:v>
                </c:pt>
                <c:pt idx="136">
                  <c:v>14.0009</c:v>
                </c:pt>
                <c:pt idx="137">
                  <c:v>14.395600000000018</c:v>
                </c:pt>
                <c:pt idx="138">
                  <c:v>14.7851</c:v>
                </c:pt>
                <c:pt idx="139">
                  <c:v>15.155600000000016</c:v>
                </c:pt>
                <c:pt idx="140">
                  <c:v>15.5045</c:v>
                </c:pt>
                <c:pt idx="141">
                  <c:v>15.860900000000004</c:v>
                </c:pt>
                <c:pt idx="142">
                  <c:v>16.206</c:v>
                </c:pt>
                <c:pt idx="143">
                  <c:v>16.550699999999967</c:v>
                </c:pt>
                <c:pt idx="144">
                  <c:v>16.897300000000001</c:v>
                </c:pt>
                <c:pt idx="145">
                  <c:v>17.2499</c:v>
                </c:pt>
                <c:pt idx="146">
                  <c:v>17.60790000000004</c:v>
                </c:pt>
                <c:pt idx="147">
                  <c:v>17.943099999999962</c:v>
                </c:pt>
                <c:pt idx="148">
                  <c:v>18.257899999999999</c:v>
                </c:pt>
                <c:pt idx="149">
                  <c:v>18.563399999999962</c:v>
                </c:pt>
                <c:pt idx="150">
                  <c:v>18.884</c:v>
                </c:pt>
                <c:pt idx="151">
                  <c:v>19.182399999999962</c:v>
                </c:pt>
                <c:pt idx="152">
                  <c:v>19.498099999999958</c:v>
                </c:pt>
                <c:pt idx="153">
                  <c:v>19.764199999999963</c:v>
                </c:pt>
                <c:pt idx="154">
                  <c:v>20.035299999999989</c:v>
                </c:pt>
                <c:pt idx="155">
                  <c:v>20.265099999999947</c:v>
                </c:pt>
                <c:pt idx="156">
                  <c:v>20.491199999999989</c:v>
                </c:pt>
                <c:pt idx="157">
                  <c:v>20.717600000000001</c:v>
                </c:pt>
                <c:pt idx="158">
                  <c:v>20.908399999999947</c:v>
                </c:pt>
                <c:pt idx="159">
                  <c:v>21.081099999999989</c:v>
                </c:pt>
                <c:pt idx="160">
                  <c:v>21.214300000000001</c:v>
                </c:pt>
                <c:pt idx="161">
                  <c:v>21.3552</c:v>
                </c:pt>
                <c:pt idx="162">
                  <c:v>21.4773</c:v>
                </c:pt>
                <c:pt idx="163">
                  <c:v>21.570900000000005</c:v>
                </c:pt>
                <c:pt idx="164">
                  <c:v>21.638200000000001</c:v>
                </c:pt>
                <c:pt idx="165">
                  <c:v>21.686</c:v>
                </c:pt>
                <c:pt idx="166">
                  <c:v>21.732399999999959</c:v>
                </c:pt>
                <c:pt idx="167">
                  <c:v>21.719000000000001</c:v>
                </c:pt>
                <c:pt idx="168">
                  <c:v>21.675999999999988</c:v>
                </c:pt>
                <c:pt idx="169">
                  <c:v>21.592099999999963</c:v>
                </c:pt>
                <c:pt idx="170">
                  <c:v>21.512</c:v>
                </c:pt>
                <c:pt idx="171">
                  <c:v>21.410399999999989</c:v>
                </c:pt>
                <c:pt idx="172">
                  <c:v>21.3003</c:v>
                </c:pt>
                <c:pt idx="173">
                  <c:v>21.1602</c:v>
                </c:pt>
                <c:pt idx="174">
                  <c:v>20.998499999999954</c:v>
                </c:pt>
                <c:pt idx="175">
                  <c:v>20.798499999999958</c:v>
                </c:pt>
                <c:pt idx="176">
                  <c:v>20.6022</c:v>
                </c:pt>
                <c:pt idx="177">
                  <c:v>20.3932</c:v>
                </c:pt>
                <c:pt idx="178">
                  <c:v>20.184699999999989</c:v>
                </c:pt>
                <c:pt idx="179">
                  <c:v>19.945399999999935</c:v>
                </c:pt>
                <c:pt idx="180">
                  <c:v>19.7058</c:v>
                </c:pt>
                <c:pt idx="181">
                  <c:v>19.438399999999962</c:v>
                </c:pt>
                <c:pt idx="182">
                  <c:v>19.159500000000001</c:v>
                </c:pt>
                <c:pt idx="183">
                  <c:v>18.851299999999988</c:v>
                </c:pt>
                <c:pt idx="184">
                  <c:v>18.557600000000001</c:v>
                </c:pt>
                <c:pt idx="185">
                  <c:v>18.248599999999943</c:v>
                </c:pt>
                <c:pt idx="186">
                  <c:v>17.951000000000001</c:v>
                </c:pt>
                <c:pt idx="187">
                  <c:v>17.636099999999999</c:v>
                </c:pt>
                <c:pt idx="188">
                  <c:v>17.311900000000044</c:v>
                </c:pt>
                <c:pt idx="189">
                  <c:v>16.996099999999959</c:v>
                </c:pt>
                <c:pt idx="190">
                  <c:v>16.685599999999958</c:v>
                </c:pt>
                <c:pt idx="191">
                  <c:v>16.393599999999989</c:v>
                </c:pt>
                <c:pt idx="192">
                  <c:v>16.095800000000001</c:v>
                </c:pt>
                <c:pt idx="193">
                  <c:v>15.793999999999999</c:v>
                </c:pt>
                <c:pt idx="194">
                  <c:v>15.4999</c:v>
                </c:pt>
                <c:pt idx="195">
                  <c:v>15.218999999999999</c:v>
                </c:pt>
                <c:pt idx="196">
                  <c:v>14.9458</c:v>
                </c:pt>
                <c:pt idx="197">
                  <c:v>14.6709</c:v>
                </c:pt>
                <c:pt idx="198">
                  <c:v>14.376600000000016</c:v>
                </c:pt>
                <c:pt idx="199">
                  <c:v>14.0884</c:v>
                </c:pt>
                <c:pt idx="200">
                  <c:v>13.799800000000001</c:v>
                </c:pt>
                <c:pt idx="201">
                  <c:v>13.5017</c:v>
                </c:pt>
                <c:pt idx="202">
                  <c:v>13.1968</c:v>
                </c:pt>
                <c:pt idx="203">
                  <c:v>12.906600000000006</c:v>
                </c:pt>
                <c:pt idx="204">
                  <c:v>12.628699999999998</c:v>
                </c:pt>
                <c:pt idx="205">
                  <c:v>12.356300000000006</c:v>
                </c:pt>
                <c:pt idx="206">
                  <c:v>12.069500000000016</c:v>
                </c:pt>
                <c:pt idx="207">
                  <c:v>11.779400000000004</c:v>
                </c:pt>
                <c:pt idx="208">
                  <c:v>11.4979</c:v>
                </c:pt>
                <c:pt idx="209">
                  <c:v>11.2135</c:v>
                </c:pt>
                <c:pt idx="210">
                  <c:v>10.933300000000001</c:v>
                </c:pt>
                <c:pt idx="211">
                  <c:v>10.651</c:v>
                </c:pt>
                <c:pt idx="212">
                  <c:v>10.3773</c:v>
                </c:pt>
                <c:pt idx="213">
                  <c:v>10.114000000000001</c:v>
                </c:pt>
                <c:pt idx="214">
                  <c:v>9.8669700000000002</c:v>
                </c:pt>
                <c:pt idx="215">
                  <c:v>9.6246799999999997</c:v>
                </c:pt>
                <c:pt idx="216">
                  <c:v>9.3802700000000012</c:v>
                </c:pt>
                <c:pt idx="217">
                  <c:v>9.1270299999999995</c:v>
                </c:pt>
                <c:pt idx="218">
                  <c:v>8.8578800000000157</c:v>
                </c:pt>
                <c:pt idx="219">
                  <c:v>8.5964500000000008</c:v>
                </c:pt>
                <c:pt idx="220">
                  <c:v>8.3319299999999998</c:v>
                </c:pt>
                <c:pt idx="221">
                  <c:v>8.0872799999999998</c:v>
                </c:pt>
                <c:pt idx="222">
                  <c:v>7.8443699999999996</c:v>
                </c:pt>
                <c:pt idx="223">
                  <c:v>7.60982</c:v>
                </c:pt>
                <c:pt idx="224">
                  <c:v>7.3765099999999997</c:v>
                </c:pt>
                <c:pt idx="225">
                  <c:v>7.1402599999999996</c:v>
                </c:pt>
                <c:pt idx="226">
                  <c:v>6.9066200000000091</c:v>
                </c:pt>
                <c:pt idx="227">
                  <c:v>6.6813500000000001</c:v>
                </c:pt>
                <c:pt idx="228">
                  <c:v>6.4640999999999975</c:v>
                </c:pt>
                <c:pt idx="229">
                  <c:v>6.2501199999999955</c:v>
                </c:pt>
                <c:pt idx="230">
                  <c:v>6.0389600000000003</c:v>
                </c:pt>
                <c:pt idx="231">
                  <c:v>5.8339099999999995</c:v>
                </c:pt>
                <c:pt idx="232">
                  <c:v>5.6387799999999997</c:v>
                </c:pt>
                <c:pt idx="233">
                  <c:v>5.4519500000000001</c:v>
                </c:pt>
                <c:pt idx="234">
                  <c:v>5.2673299999999985</c:v>
                </c:pt>
                <c:pt idx="235">
                  <c:v>5.0876799999999998</c:v>
                </c:pt>
                <c:pt idx="236">
                  <c:v>4.9058799999999998</c:v>
                </c:pt>
                <c:pt idx="237">
                  <c:v>4.7225399999999915</c:v>
                </c:pt>
                <c:pt idx="238">
                  <c:v>4.5394199999999998</c:v>
                </c:pt>
                <c:pt idx="239">
                  <c:v>4.3605399999999896</c:v>
                </c:pt>
                <c:pt idx="240">
                  <c:v>4.1912700000000003</c:v>
                </c:pt>
                <c:pt idx="241">
                  <c:v>4.0247999999999955</c:v>
                </c:pt>
                <c:pt idx="242">
                  <c:v>3.8631500000000001</c:v>
                </c:pt>
                <c:pt idx="243">
                  <c:v>3.7053300000000045</c:v>
                </c:pt>
                <c:pt idx="244">
                  <c:v>3.5478000000000001</c:v>
                </c:pt>
                <c:pt idx="245">
                  <c:v>3.3949799999999977</c:v>
                </c:pt>
                <c:pt idx="246">
                  <c:v>3.2520799999999968</c:v>
                </c:pt>
                <c:pt idx="247">
                  <c:v>3.1202999999999999</c:v>
                </c:pt>
                <c:pt idx="248">
                  <c:v>2.9933000000000001</c:v>
                </c:pt>
                <c:pt idx="249">
                  <c:v>2.8688099999999968</c:v>
                </c:pt>
                <c:pt idx="250">
                  <c:v>2.7469399999999999</c:v>
                </c:pt>
                <c:pt idx="251">
                  <c:v>2.6313900000000001</c:v>
                </c:pt>
                <c:pt idx="252">
                  <c:v>2.5234000000000001</c:v>
                </c:pt>
                <c:pt idx="253">
                  <c:v>2.4139399999999998</c:v>
                </c:pt>
                <c:pt idx="254">
                  <c:v>2.30559</c:v>
                </c:pt>
                <c:pt idx="255">
                  <c:v>2.1960299999999977</c:v>
                </c:pt>
                <c:pt idx="256">
                  <c:v>2.0908199999999977</c:v>
                </c:pt>
                <c:pt idx="257">
                  <c:v>1.98729</c:v>
                </c:pt>
                <c:pt idx="258">
                  <c:v>1.88452</c:v>
                </c:pt>
                <c:pt idx="259">
                  <c:v>1.7884100000000003</c:v>
                </c:pt>
                <c:pt idx="260">
                  <c:v>1.69472</c:v>
                </c:pt>
                <c:pt idx="261">
                  <c:v>1.6106799999999999</c:v>
                </c:pt>
                <c:pt idx="262">
                  <c:v>1.5291299999999977</c:v>
                </c:pt>
                <c:pt idx="263">
                  <c:v>1.4531099999999977</c:v>
                </c:pt>
                <c:pt idx="264">
                  <c:v>1.3771199999999999</c:v>
                </c:pt>
                <c:pt idx="265">
                  <c:v>1.3015999999999976</c:v>
                </c:pt>
                <c:pt idx="266">
                  <c:v>1.2291099999999977</c:v>
                </c:pt>
                <c:pt idx="267">
                  <c:v>1.1619599999999999</c:v>
                </c:pt>
                <c:pt idx="268">
                  <c:v>1.0992500000000001</c:v>
                </c:pt>
                <c:pt idx="269">
                  <c:v>1.0439099999999977</c:v>
                </c:pt>
                <c:pt idx="270">
                  <c:v>0.98410999999999949</c:v>
                </c:pt>
                <c:pt idx="271">
                  <c:v>0.93030999999999997</c:v>
                </c:pt>
                <c:pt idx="272">
                  <c:v>0.87604000000000126</c:v>
                </c:pt>
                <c:pt idx="273">
                  <c:v>0.82511000000000001</c:v>
                </c:pt>
                <c:pt idx="274">
                  <c:v>0.77024000000000115</c:v>
                </c:pt>
                <c:pt idx="275">
                  <c:v>0.71810000000000063</c:v>
                </c:pt>
                <c:pt idx="276">
                  <c:v>0.66965000000000174</c:v>
                </c:pt>
                <c:pt idx="277">
                  <c:v>0.62431999999999999</c:v>
                </c:pt>
                <c:pt idx="278">
                  <c:v>0.58063000000000009</c:v>
                </c:pt>
                <c:pt idx="279">
                  <c:v>0.5404099999999995</c:v>
                </c:pt>
                <c:pt idx="280">
                  <c:v>0.50339999999999996</c:v>
                </c:pt>
                <c:pt idx="281">
                  <c:v>0.46616000000000002</c:v>
                </c:pt>
                <c:pt idx="282">
                  <c:v>0.42937000000000075</c:v>
                </c:pt>
                <c:pt idx="283">
                  <c:v>0.39535000000000076</c:v>
                </c:pt>
                <c:pt idx="284">
                  <c:v>0.36320000000000002</c:v>
                </c:pt>
                <c:pt idx="285">
                  <c:v>0.33363000000000032</c:v>
                </c:pt>
                <c:pt idx="286">
                  <c:v>0.30460000000000031</c:v>
                </c:pt>
                <c:pt idx="287">
                  <c:v>0.2783100000000005</c:v>
                </c:pt>
                <c:pt idx="288">
                  <c:v>0.25398000000000032</c:v>
                </c:pt>
                <c:pt idx="289">
                  <c:v>0.23132</c:v>
                </c:pt>
                <c:pt idx="290">
                  <c:v>0.20905000000000001</c:v>
                </c:pt>
                <c:pt idx="291">
                  <c:v>0.18576000000000031</c:v>
                </c:pt>
                <c:pt idx="292">
                  <c:v>0.16172000000000003</c:v>
                </c:pt>
                <c:pt idx="293">
                  <c:v>0.13991000000000031</c:v>
                </c:pt>
                <c:pt idx="294">
                  <c:v>0.12031</c:v>
                </c:pt>
                <c:pt idx="295">
                  <c:v>0.10321000000000002</c:v>
                </c:pt>
                <c:pt idx="296">
                  <c:v>8.6280000000000009E-2</c:v>
                </c:pt>
                <c:pt idx="297">
                  <c:v>7.1510000000000018E-2</c:v>
                </c:pt>
                <c:pt idx="298">
                  <c:v>5.5180000000000021E-2</c:v>
                </c:pt>
                <c:pt idx="299">
                  <c:v>3.9820000000000008E-2</c:v>
                </c:pt>
                <c:pt idx="300">
                  <c:v>2.4170000000000004E-2</c:v>
                </c:pt>
                <c:pt idx="301">
                  <c:v>1.0970000000000004E-2</c:v>
                </c:pt>
                <c:pt idx="302">
                  <c:v>-2.3400000000000005E-3</c:v>
                </c:pt>
                <c:pt idx="303">
                  <c:v>-1.5190000000000002E-2</c:v>
                </c:pt>
                <c:pt idx="304">
                  <c:v>-2.7310000000000008E-2</c:v>
                </c:pt>
                <c:pt idx="305">
                  <c:v>-4.0090000000000077E-2</c:v>
                </c:pt>
                <c:pt idx="306">
                  <c:v>-5.3730000000000028E-2</c:v>
                </c:pt>
                <c:pt idx="307">
                  <c:v>-6.6009999999999999E-2</c:v>
                </c:pt>
                <c:pt idx="308">
                  <c:v>-7.6480000000000034E-2</c:v>
                </c:pt>
                <c:pt idx="309">
                  <c:v>-8.6230000000000015E-2</c:v>
                </c:pt>
                <c:pt idx="310">
                  <c:v>-9.6440000000000012E-2</c:v>
                </c:pt>
                <c:pt idx="311">
                  <c:v>-0.10446999999999998</c:v>
                </c:pt>
                <c:pt idx="312">
                  <c:v>-0.11122000000000012</c:v>
                </c:pt>
                <c:pt idx="313">
                  <c:v>-0.11880000000000002</c:v>
                </c:pt>
                <c:pt idx="314">
                  <c:v>-0.12590000000000001</c:v>
                </c:pt>
                <c:pt idx="315">
                  <c:v>-0.13275999999999999</c:v>
                </c:pt>
                <c:pt idx="316">
                  <c:v>-0.13855999999999999</c:v>
                </c:pt>
                <c:pt idx="317">
                  <c:v>-0.14327999999999999</c:v>
                </c:pt>
                <c:pt idx="318">
                  <c:v>-0.14681000000000025</c:v>
                </c:pt>
                <c:pt idx="319">
                  <c:v>-0.14973000000000028</c:v>
                </c:pt>
                <c:pt idx="320">
                  <c:v>-0.15267</c:v>
                </c:pt>
              </c:numCache>
            </c:numRef>
          </c:yVal>
          <c:smooth val="1"/>
        </c:ser>
        <c:ser>
          <c:idx val="1"/>
          <c:order val="1"/>
          <c:tx>
            <c:v>BL : 50 µM + DABA</c:v>
          </c:tx>
          <c:marker>
            <c:symbol val="none"/>
          </c:marker>
          <c:xVal>
            <c:numRef>
              <c:f>Spectrum_data!$Y$2:$Y$322</c:f>
              <c:numCache>
                <c:formatCode>General</c:formatCode>
                <c:ptCount val="321"/>
                <c:pt idx="0">
                  <c:v>380</c:v>
                </c:pt>
                <c:pt idx="1">
                  <c:v>381</c:v>
                </c:pt>
                <c:pt idx="2">
                  <c:v>382</c:v>
                </c:pt>
                <c:pt idx="3">
                  <c:v>383</c:v>
                </c:pt>
                <c:pt idx="4">
                  <c:v>384</c:v>
                </c:pt>
                <c:pt idx="5">
                  <c:v>385</c:v>
                </c:pt>
                <c:pt idx="6">
                  <c:v>386</c:v>
                </c:pt>
                <c:pt idx="7">
                  <c:v>387</c:v>
                </c:pt>
                <c:pt idx="8">
                  <c:v>388</c:v>
                </c:pt>
                <c:pt idx="9">
                  <c:v>389</c:v>
                </c:pt>
                <c:pt idx="10">
                  <c:v>390</c:v>
                </c:pt>
                <c:pt idx="11">
                  <c:v>391</c:v>
                </c:pt>
                <c:pt idx="12">
                  <c:v>392</c:v>
                </c:pt>
                <c:pt idx="13">
                  <c:v>393</c:v>
                </c:pt>
                <c:pt idx="14">
                  <c:v>394</c:v>
                </c:pt>
                <c:pt idx="15">
                  <c:v>395</c:v>
                </c:pt>
                <c:pt idx="16">
                  <c:v>396</c:v>
                </c:pt>
                <c:pt idx="17">
                  <c:v>397</c:v>
                </c:pt>
                <c:pt idx="18">
                  <c:v>398</c:v>
                </c:pt>
                <c:pt idx="19">
                  <c:v>399</c:v>
                </c:pt>
                <c:pt idx="20">
                  <c:v>400</c:v>
                </c:pt>
                <c:pt idx="21">
                  <c:v>401</c:v>
                </c:pt>
                <c:pt idx="22">
                  <c:v>402</c:v>
                </c:pt>
                <c:pt idx="23">
                  <c:v>403</c:v>
                </c:pt>
                <c:pt idx="24">
                  <c:v>404</c:v>
                </c:pt>
                <c:pt idx="25">
                  <c:v>405</c:v>
                </c:pt>
                <c:pt idx="26">
                  <c:v>406</c:v>
                </c:pt>
                <c:pt idx="27">
                  <c:v>407</c:v>
                </c:pt>
                <c:pt idx="28">
                  <c:v>408</c:v>
                </c:pt>
                <c:pt idx="29">
                  <c:v>409</c:v>
                </c:pt>
                <c:pt idx="30">
                  <c:v>410</c:v>
                </c:pt>
                <c:pt idx="31">
                  <c:v>411</c:v>
                </c:pt>
                <c:pt idx="32">
                  <c:v>412</c:v>
                </c:pt>
                <c:pt idx="33">
                  <c:v>413</c:v>
                </c:pt>
                <c:pt idx="34">
                  <c:v>414</c:v>
                </c:pt>
                <c:pt idx="35">
                  <c:v>415</c:v>
                </c:pt>
                <c:pt idx="36">
                  <c:v>416</c:v>
                </c:pt>
                <c:pt idx="37">
                  <c:v>417</c:v>
                </c:pt>
                <c:pt idx="38">
                  <c:v>418</c:v>
                </c:pt>
                <c:pt idx="39">
                  <c:v>419</c:v>
                </c:pt>
                <c:pt idx="40">
                  <c:v>420</c:v>
                </c:pt>
                <c:pt idx="41">
                  <c:v>421</c:v>
                </c:pt>
                <c:pt idx="42">
                  <c:v>422</c:v>
                </c:pt>
                <c:pt idx="43">
                  <c:v>423</c:v>
                </c:pt>
                <c:pt idx="44">
                  <c:v>424</c:v>
                </c:pt>
                <c:pt idx="45">
                  <c:v>425</c:v>
                </c:pt>
                <c:pt idx="46">
                  <c:v>426</c:v>
                </c:pt>
                <c:pt idx="47">
                  <c:v>427</c:v>
                </c:pt>
                <c:pt idx="48">
                  <c:v>428</c:v>
                </c:pt>
                <c:pt idx="49">
                  <c:v>429</c:v>
                </c:pt>
                <c:pt idx="50">
                  <c:v>430</c:v>
                </c:pt>
                <c:pt idx="51">
                  <c:v>431</c:v>
                </c:pt>
                <c:pt idx="52">
                  <c:v>432</c:v>
                </c:pt>
                <c:pt idx="53">
                  <c:v>433</c:v>
                </c:pt>
                <c:pt idx="54">
                  <c:v>434</c:v>
                </c:pt>
                <c:pt idx="55">
                  <c:v>435</c:v>
                </c:pt>
                <c:pt idx="56">
                  <c:v>436</c:v>
                </c:pt>
                <c:pt idx="57">
                  <c:v>437</c:v>
                </c:pt>
                <c:pt idx="58">
                  <c:v>438</c:v>
                </c:pt>
                <c:pt idx="59">
                  <c:v>439</c:v>
                </c:pt>
                <c:pt idx="60">
                  <c:v>440</c:v>
                </c:pt>
                <c:pt idx="61">
                  <c:v>441</c:v>
                </c:pt>
                <c:pt idx="62">
                  <c:v>442</c:v>
                </c:pt>
                <c:pt idx="63">
                  <c:v>443</c:v>
                </c:pt>
                <c:pt idx="64">
                  <c:v>444</c:v>
                </c:pt>
                <c:pt idx="65">
                  <c:v>445</c:v>
                </c:pt>
                <c:pt idx="66">
                  <c:v>446</c:v>
                </c:pt>
                <c:pt idx="67">
                  <c:v>447</c:v>
                </c:pt>
                <c:pt idx="68">
                  <c:v>448</c:v>
                </c:pt>
                <c:pt idx="69">
                  <c:v>449</c:v>
                </c:pt>
                <c:pt idx="70">
                  <c:v>450</c:v>
                </c:pt>
                <c:pt idx="71">
                  <c:v>451</c:v>
                </c:pt>
                <c:pt idx="72">
                  <c:v>452</c:v>
                </c:pt>
                <c:pt idx="73">
                  <c:v>453</c:v>
                </c:pt>
                <c:pt idx="74">
                  <c:v>454</c:v>
                </c:pt>
                <c:pt idx="75">
                  <c:v>455</c:v>
                </c:pt>
                <c:pt idx="76">
                  <c:v>456</c:v>
                </c:pt>
                <c:pt idx="77">
                  <c:v>457</c:v>
                </c:pt>
                <c:pt idx="78">
                  <c:v>458</c:v>
                </c:pt>
                <c:pt idx="79">
                  <c:v>459</c:v>
                </c:pt>
                <c:pt idx="80">
                  <c:v>460</c:v>
                </c:pt>
                <c:pt idx="81">
                  <c:v>461</c:v>
                </c:pt>
                <c:pt idx="82">
                  <c:v>462</c:v>
                </c:pt>
                <c:pt idx="83">
                  <c:v>463</c:v>
                </c:pt>
                <c:pt idx="84">
                  <c:v>464</c:v>
                </c:pt>
                <c:pt idx="85">
                  <c:v>465</c:v>
                </c:pt>
                <c:pt idx="86">
                  <c:v>466</c:v>
                </c:pt>
                <c:pt idx="87">
                  <c:v>467</c:v>
                </c:pt>
                <c:pt idx="88">
                  <c:v>468</c:v>
                </c:pt>
                <c:pt idx="89">
                  <c:v>469</c:v>
                </c:pt>
                <c:pt idx="90">
                  <c:v>470</c:v>
                </c:pt>
                <c:pt idx="91">
                  <c:v>471</c:v>
                </c:pt>
                <c:pt idx="92">
                  <c:v>472</c:v>
                </c:pt>
                <c:pt idx="93">
                  <c:v>473</c:v>
                </c:pt>
                <c:pt idx="94">
                  <c:v>474</c:v>
                </c:pt>
                <c:pt idx="95">
                  <c:v>475</c:v>
                </c:pt>
                <c:pt idx="96">
                  <c:v>476</c:v>
                </c:pt>
                <c:pt idx="97">
                  <c:v>477</c:v>
                </c:pt>
                <c:pt idx="98">
                  <c:v>478</c:v>
                </c:pt>
                <c:pt idx="99">
                  <c:v>479</c:v>
                </c:pt>
                <c:pt idx="100">
                  <c:v>480</c:v>
                </c:pt>
                <c:pt idx="101">
                  <c:v>481</c:v>
                </c:pt>
                <c:pt idx="102">
                  <c:v>482</c:v>
                </c:pt>
                <c:pt idx="103">
                  <c:v>483</c:v>
                </c:pt>
                <c:pt idx="104">
                  <c:v>484</c:v>
                </c:pt>
                <c:pt idx="105">
                  <c:v>485</c:v>
                </c:pt>
                <c:pt idx="106">
                  <c:v>486</c:v>
                </c:pt>
                <c:pt idx="107">
                  <c:v>487</c:v>
                </c:pt>
                <c:pt idx="108">
                  <c:v>488</c:v>
                </c:pt>
                <c:pt idx="109">
                  <c:v>489</c:v>
                </c:pt>
                <c:pt idx="110">
                  <c:v>490</c:v>
                </c:pt>
                <c:pt idx="111">
                  <c:v>491</c:v>
                </c:pt>
                <c:pt idx="112">
                  <c:v>492</c:v>
                </c:pt>
                <c:pt idx="113">
                  <c:v>493</c:v>
                </c:pt>
                <c:pt idx="114">
                  <c:v>494</c:v>
                </c:pt>
                <c:pt idx="115">
                  <c:v>495</c:v>
                </c:pt>
                <c:pt idx="116">
                  <c:v>496</c:v>
                </c:pt>
                <c:pt idx="117">
                  <c:v>497</c:v>
                </c:pt>
                <c:pt idx="118">
                  <c:v>498</c:v>
                </c:pt>
                <c:pt idx="119">
                  <c:v>499</c:v>
                </c:pt>
                <c:pt idx="120">
                  <c:v>500</c:v>
                </c:pt>
                <c:pt idx="121">
                  <c:v>501</c:v>
                </c:pt>
                <c:pt idx="122">
                  <c:v>502</c:v>
                </c:pt>
                <c:pt idx="123">
                  <c:v>503</c:v>
                </c:pt>
                <c:pt idx="124">
                  <c:v>504</c:v>
                </c:pt>
                <c:pt idx="125">
                  <c:v>505</c:v>
                </c:pt>
                <c:pt idx="126">
                  <c:v>506</c:v>
                </c:pt>
                <c:pt idx="127">
                  <c:v>507</c:v>
                </c:pt>
                <c:pt idx="128">
                  <c:v>508</c:v>
                </c:pt>
                <c:pt idx="129">
                  <c:v>509</c:v>
                </c:pt>
                <c:pt idx="130">
                  <c:v>510</c:v>
                </c:pt>
                <c:pt idx="131">
                  <c:v>511</c:v>
                </c:pt>
                <c:pt idx="132">
                  <c:v>512</c:v>
                </c:pt>
                <c:pt idx="133">
                  <c:v>513</c:v>
                </c:pt>
                <c:pt idx="134">
                  <c:v>514</c:v>
                </c:pt>
                <c:pt idx="135">
                  <c:v>515</c:v>
                </c:pt>
                <c:pt idx="136">
                  <c:v>516</c:v>
                </c:pt>
                <c:pt idx="137">
                  <c:v>517</c:v>
                </c:pt>
                <c:pt idx="138">
                  <c:v>518</c:v>
                </c:pt>
                <c:pt idx="139">
                  <c:v>519</c:v>
                </c:pt>
                <c:pt idx="140">
                  <c:v>520</c:v>
                </c:pt>
                <c:pt idx="141">
                  <c:v>521</c:v>
                </c:pt>
                <c:pt idx="142">
                  <c:v>522</c:v>
                </c:pt>
                <c:pt idx="143">
                  <c:v>523</c:v>
                </c:pt>
                <c:pt idx="144">
                  <c:v>524</c:v>
                </c:pt>
                <c:pt idx="145">
                  <c:v>525</c:v>
                </c:pt>
                <c:pt idx="146">
                  <c:v>526</c:v>
                </c:pt>
                <c:pt idx="147">
                  <c:v>527</c:v>
                </c:pt>
                <c:pt idx="148">
                  <c:v>528</c:v>
                </c:pt>
                <c:pt idx="149">
                  <c:v>529</c:v>
                </c:pt>
                <c:pt idx="150">
                  <c:v>530</c:v>
                </c:pt>
                <c:pt idx="151">
                  <c:v>531</c:v>
                </c:pt>
                <c:pt idx="152">
                  <c:v>532</c:v>
                </c:pt>
                <c:pt idx="153">
                  <c:v>533</c:v>
                </c:pt>
                <c:pt idx="154">
                  <c:v>534</c:v>
                </c:pt>
                <c:pt idx="155">
                  <c:v>535</c:v>
                </c:pt>
                <c:pt idx="156">
                  <c:v>536</c:v>
                </c:pt>
                <c:pt idx="157">
                  <c:v>537</c:v>
                </c:pt>
                <c:pt idx="158">
                  <c:v>538</c:v>
                </c:pt>
                <c:pt idx="159">
                  <c:v>539</c:v>
                </c:pt>
                <c:pt idx="160">
                  <c:v>540</c:v>
                </c:pt>
                <c:pt idx="161">
                  <c:v>541</c:v>
                </c:pt>
                <c:pt idx="162">
                  <c:v>542</c:v>
                </c:pt>
                <c:pt idx="163">
                  <c:v>543</c:v>
                </c:pt>
                <c:pt idx="164">
                  <c:v>544</c:v>
                </c:pt>
                <c:pt idx="165">
                  <c:v>545</c:v>
                </c:pt>
                <c:pt idx="166">
                  <c:v>546</c:v>
                </c:pt>
                <c:pt idx="167">
                  <c:v>547</c:v>
                </c:pt>
                <c:pt idx="168">
                  <c:v>548</c:v>
                </c:pt>
                <c:pt idx="169">
                  <c:v>549</c:v>
                </c:pt>
                <c:pt idx="170">
                  <c:v>550</c:v>
                </c:pt>
                <c:pt idx="171">
                  <c:v>551</c:v>
                </c:pt>
                <c:pt idx="172">
                  <c:v>552</c:v>
                </c:pt>
                <c:pt idx="173">
                  <c:v>553</c:v>
                </c:pt>
                <c:pt idx="174">
                  <c:v>554</c:v>
                </c:pt>
                <c:pt idx="175">
                  <c:v>555</c:v>
                </c:pt>
                <c:pt idx="176">
                  <c:v>556</c:v>
                </c:pt>
                <c:pt idx="177">
                  <c:v>557</c:v>
                </c:pt>
                <c:pt idx="178">
                  <c:v>558</c:v>
                </c:pt>
                <c:pt idx="179">
                  <c:v>559</c:v>
                </c:pt>
                <c:pt idx="180">
                  <c:v>560</c:v>
                </c:pt>
                <c:pt idx="181">
                  <c:v>561</c:v>
                </c:pt>
                <c:pt idx="182">
                  <c:v>562</c:v>
                </c:pt>
                <c:pt idx="183">
                  <c:v>563</c:v>
                </c:pt>
                <c:pt idx="184">
                  <c:v>564</c:v>
                </c:pt>
                <c:pt idx="185">
                  <c:v>565</c:v>
                </c:pt>
                <c:pt idx="186">
                  <c:v>566</c:v>
                </c:pt>
                <c:pt idx="187">
                  <c:v>567</c:v>
                </c:pt>
                <c:pt idx="188">
                  <c:v>568</c:v>
                </c:pt>
                <c:pt idx="189">
                  <c:v>569</c:v>
                </c:pt>
                <c:pt idx="190">
                  <c:v>570</c:v>
                </c:pt>
                <c:pt idx="191">
                  <c:v>571</c:v>
                </c:pt>
                <c:pt idx="192">
                  <c:v>572</c:v>
                </c:pt>
                <c:pt idx="193">
                  <c:v>573</c:v>
                </c:pt>
                <c:pt idx="194">
                  <c:v>574</c:v>
                </c:pt>
                <c:pt idx="195">
                  <c:v>575</c:v>
                </c:pt>
                <c:pt idx="196">
                  <c:v>576</c:v>
                </c:pt>
                <c:pt idx="197">
                  <c:v>577</c:v>
                </c:pt>
                <c:pt idx="198">
                  <c:v>578</c:v>
                </c:pt>
                <c:pt idx="199">
                  <c:v>579</c:v>
                </c:pt>
                <c:pt idx="200">
                  <c:v>580</c:v>
                </c:pt>
                <c:pt idx="201">
                  <c:v>581</c:v>
                </c:pt>
                <c:pt idx="202">
                  <c:v>582</c:v>
                </c:pt>
                <c:pt idx="203">
                  <c:v>583</c:v>
                </c:pt>
                <c:pt idx="204">
                  <c:v>584</c:v>
                </c:pt>
                <c:pt idx="205">
                  <c:v>585</c:v>
                </c:pt>
                <c:pt idx="206">
                  <c:v>586</c:v>
                </c:pt>
                <c:pt idx="207">
                  <c:v>587</c:v>
                </c:pt>
                <c:pt idx="208">
                  <c:v>588</c:v>
                </c:pt>
                <c:pt idx="209">
                  <c:v>589</c:v>
                </c:pt>
                <c:pt idx="210">
                  <c:v>590</c:v>
                </c:pt>
                <c:pt idx="211">
                  <c:v>591</c:v>
                </c:pt>
                <c:pt idx="212">
                  <c:v>592</c:v>
                </c:pt>
                <c:pt idx="213">
                  <c:v>593</c:v>
                </c:pt>
                <c:pt idx="214">
                  <c:v>594</c:v>
                </c:pt>
                <c:pt idx="215">
                  <c:v>595</c:v>
                </c:pt>
                <c:pt idx="216">
                  <c:v>596</c:v>
                </c:pt>
                <c:pt idx="217">
                  <c:v>597</c:v>
                </c:pt>
                <c:pt idx="218">
                  <c:v>598</c:v>
                </c:pt>
                <c:pt idx="219">
                  <c:v>599</c:v>
                </c:pt>
                <c:pt idx="220">
                  <c:v>600</c:v>
                </c:pt>
                <c:pt idx="221">
                  <c:v>601</c:v>
                </c:pt>
                <c:pt idx="222">
                  <c:v>602</c:v>
                </c:pt>
                <c:pt idx="223">
                  <c:v>603</c:v>
                </c:pt>
                <c:pt idx="224">
                  <c:v>604</c:v>
                </c:pt>
                <c:pt idx="225">
                  <c:v>605</c:v>
                </c:pt>
                <c:pt idx="226">
                  <c:v>606</c:v>
                </c:pt>
                <c:pt idx="227">
                  <c:v>607</c:v>
                </c:pt>
                <c:pt idx="228">
                  <c:v>608</c:v>
                </c:pt>
                <c:pt idx="229">
                  <c:v>609</c:v>
                </c:pt>
                <c:pt idx="230">
                  <c:v>610</c:v>
                </c:pt>
                <c:pt idx="231">
                  <c:v>611</c:v>
                </c:pt>
                <c:pt idx="232">
                  <c:v>612</c:v>
                </c:pt>
                <c:pt idx="233">
                  <c:v>613</c:v>
                </c:pt>
                <c:pt idx="234">
                  <c:v>614</c:v>
                </c:pt>
                <c:pt idx="235">
                  <c:v>615</c:v>
                </c:pt>
                <c:pt idx="236">
                  <c:v>616</c:v>
                </c:pt>
                <c:pt idx="237">
                  <c:v>617</c:v>
                </c:pt>
                <c:pt idx="238">
                  <c:v>618</c:v>
                </c:pt>
                <c:pt idx="239">
                  <c:v>619</c:v>
                </c:pt>
                <c:pt idx="240">
                  <c:v>620</c:v>
                </c:pt>
                <c:pt idx="241">
                  <c:v>621</c:v>
                </c:pt>
                <c:pt idx="242">
                  <c:v>622</c:v>
                </c:pt>
                <c:pt idx="243">
                  <c:v>623</c:v>
                </c:pt>
                <c:pt idx="244">
                  <c:v>624</c:v>
                </c:pt>
                <c:pt idx="245">
                  <c:v>625</c:v>
                </c:pt>
                <c:pt idx="246">
                  <c:v>626</c:v>
                </c:pt>
                <c:pt idx="247">
                  <c:v>627</c:v>
                </c:pt>
                <c:pt idx="248">
                  <c:v>628</c:v>
                </c:pt>
                <c:pt idx="249">
                  <c:v>629</c:v>
                </c:pt>
                <c:pt idx="250">
                  <c:v>630</c:v>
                </c:pt>
                <c:pt idx="251">
                  <c:v>631</c:v>
                </c:pt>
                <c:pt idx="252">
                  <c:v>632</c:v>
                </c:pt>
                <c:pt idx="253">
                  <c:v>633</c:v>
                </c:pt>
                <c:pt idx="254">
                  <c:v>634</c:v>
                </c:pt>
                <c:pt idx="255">
                  <c:v>635</c:v>
                </c:pt>
                <c:pt idx="256">
                  <c:v>636</c:v>
                </c:pt>
                <c:pt idx="257">
                  <c:v>637</c:v>
                </c:pt>
                <c:pt idx="258">
                  <c:v>638</c:v>
                </c:pt>
                <c:pt idx="259">
                  <c:v>639</c:v>
                </c:pt>
                <c:pt idx="260">
                  <c:v>640</c:v>
                </c:pt>
                <c:pt idx="261">
                  <c:v>641</c:v>
                </c:pt>
                <c:pt idx="262">
                  <c:v>642</c:v>
                </c:pt>
                <c:pt idx="263">
                  <c:v>643</c:v>
                </c:pt>
                <c:pt idx="264">
                  <c:v>644</c:v>
                </c:pt>
                <c:pt idx="265">
                  <c:v>645</c:v>
                </c:pt>
                <c:pt idx="266">
                  <c:v>646</c:v>
                </c:pt>
                <c:pt idx="267">
                  <c:v>647</c:v>
                </c:pt>
                <c:pt idx="268">
                  <c:v>648</c:v>
                </c:pt>
                <c:pt idx="269">
                  <c:v>649</c:v>
                </c:pt>
                <c:pt idx="270">
                  <c:v>650</c:v>
                </c:pt>
                <c:pt idx="271">
                  <c:v>651</c:v>
                </c:pt>
                <c:pt idx="272">
                  <c:v>652</c:v>
                </c:pt>
                <c:pt idx="273">
                  <c:v>653</c:v>
                </c:pt>
                <c:pt idx="274">
                  <c:v>654</c:v>
                </c:pt>
                <c:pt idx="275">
                  <c:v>655</c:v>
                </c:pt>
                <c:pt idx="276">
                  <c:v>656</c:v>
                </c:pt>
                <c:pt idx="277">
                  <c:v>657</c:v>
                </c:pt>
                <c:pt idx="278">
                  <c:v>658</c:v>
                </c:pt>
                <c:pt idx="279">
                  <c:v>659</c:v>
                </c:pt>
                <c:pt idx="280">
                  <c:v>660</c:v>
                </c:pt>
                <c:pt idx="281">
                  <c:v>661</c:v>
                </c:pt>
                <c:pt idx="282">
                  <c:v>662</c:v>
                </c:pt>
                <c:pt idx="283">
                  <c:v>663</c:v>
                </c:pt>
                <c:pt idx="284">
                  <c:v>664</c:v>
                </c:pt>
                <c:pt idx="285">
                  <c:v>665</c:v>
                </c:pt>
                <c:pt idx="286">
                  <c:v>666</c:v>
                </c:pt>
                <c:pt idx="287">
                  <c:v>667</c:v>
                </c:pt>
                <c:pt idx="288">
                  <c:v>668</c:v>
                </c:pt>
                <c:pt idx="289">
                  <c:v>669</c:v>
                </c:pt>
                <c:pt idx="290">
                  <c:v>670</c:v>
                </c:pt>
                <c:pt idx="291">
                  <c:v>671</c:v>
                </c:pt>
                <c:pt idx="292">
                  <c:v>672</c:v>
                </c:pt>
                <c:pt idx="293">
                  <c:v>673</c:v>
                </c:pt>
                <c:pt idx="294">
                  <c:v>674</c:v>
                </c:pt>
                <c:pt idx="295">
                  <c:v>675</c:v>
                </c:pt>
                <c:pt idx="296">
                  <c:v>676</c:v>
                </c:pt>
                <c:pt idx="297">
                  <c:v>677</c:v>
                </c:pt>
                <c:pt idx="298">
                  <c:v>678</c:v>
                </c:pt>
                <c:pt idx="299">
                  <c:v>679</c:v>
                </c:pt>
                <c:pt idx="300">
                  <c:v>680</c:v>
                </c:pt>
                <c:pt idx="301">
                  <c:v>681</c:v>
                </c:pt>
                <c:pt idx="302">
                  <c:v>682</c:v>
                </c:pt>
                <c:pt idx="303">
                  <c:v>683</c:v>
                </c:pt>
                <c:pt idx="304">
                  <c:v>684</c:v>
                </c:pt>
                <c:pt idx="305">
                  <c:v>685</c:v>
                </c:pt>
                <c:pt idx="306">
                  <c:v>686</c:v>
                </c:pt>
                <c:pt idx="307">
                  <c:v>687</c:v>
                </c:pt>
                <c:pt idx="308">
                  <c:v>688</c:v>
                </c:pt>
                <c:pt idx="309">
                  <c:v>689</c:v>
                </c:pt>
                <c:pt idx="310">
                  <c:v>690</c:v>
                </c:pt>
                <c:pt idx="311">
                  <c:v>691</c:v>
                </c:pt>
                <c:pt idx="312">
                  <c:v>692</c:v>
                </c:pt>
                <c:pt idx="313">
                  <c:v>693</c:v>
                </c:pt>
                <c:pt idx="314">
                  <c:v>694</c:v>
                </c:pt>
                <c:pt idx="315">
                  <c:v>695</c:v>
                </c:pt>
                <c:pt idx="316">
                  <c:v>696</c:v>
                </c:pt>
                <c:pt idx="317">
                  <c:v>697</c:v>
                </c:pt>
                <c:pt idx="318">
                  <c:v>698</c:v>
                </c:pt>
                <c:pt idx="319">
                  <c:v>699</c:v>
                </c:pt>
                <c:pt idx="320">
                  <c:v>700</c:v>
                </c:pt>
              </c:numCache>
            </c:numRef>
          </c:xVal>
          <c:yVal>
            <c:numRef>
              <c:f>Spectrum_data!$Z$2:$Z$322</c:f>
              <c:numCache>
                <c:formatCode>General</c:formatCode>
                <c:ptCount val="321"/>
                <c:pt idx="0">
                  <c:v>999.99900000000002</c:v>
                </c:pt>
                <c:pt idx="1">
                  <c:v>999.99900000000002</c:v>
                </c:pt>
                <c:pt idx="2">
                  <c:v>999.99900000000002</c:v>
                </c:pt>
                <c:pt idx="3">
                  <c:v>999.99900000000002</c:v>
                </c:pt>
                <c:pt idx="4">
                  <c:v>999.99900000000002</c:v>
                </c:pt>
                <c:pt idx="5">
                  <c:v>918.04699999999946</c:v>
                </c:pt>
                <c:pt idx="6">
                  <c:v>758.25699999999949</c:v>
                </c:pt>
                <c:pt idx="7">
                  <c:v>534.428</c:v>
                </c:pt>
                <c:pt idx="8">
                  <c:v>344.61799999999999</c:v>
                </c:pt>
                <c:pt idx="9">
                  <c:v>201.19399999999999</c:v>
                </c:pt>
                <c:pt idx="10">
                  <c:v>104.369</c:v>
                </c:pt>
                <c:pt idx="11">
                  <c:v>47.421300000000002</c:v>
                </c:pt>
                <c:pt idx="12">
                  <c:v>19.408999999999963</c:v>
                </c:pt>
                <c:pt idx="13">
                  <c:v>8.2793799999999997</c:v>
                </c:pt>
                <c:pt idx="14">
                  <c:v>5.0951099999999965</c:v>
                </c:pt>
                <c:pt idx="15">
                  <c:v>4.3904699999999997</c:v>
                </c:pt>
                <c:pt idx="16">
                  <c:v>4.2165799999999996</c:v>
                </c:pt>
                <c:pt idx="17">
                  <c:v>4.1333299999999999</c:v>
                </c:pt>
                <c:pt idx="18">
                  <c:v>4.0733800000000002</c:v>
                </c:pt>
                <c:pt idx="19">
                  <c:v>4.0304099999999998</c:v>
                </c:pt>
                <c:pt idx="20">
                  <c:v>4.0022700000000002</c:v>
                </c:pt>
                <c:pt idx="21">
                  <c:v>3.9990799999999962</c:v>
                </c:pt>
                <c:pt idx="22">
                  <c:v>4.0353399999999997</c:v>
                </c:pt>
                <c:pt idx="23">
                  <c:v>4.1490299999999998</c:v>
                </c:pt>
                <c:pt idx="24">
                  <c:v>4.3522999999999996</c:v>
                </c:pt>
                <c:pt idx="25">
                  <c:v>4.6317899999999996</c:v>
                </c:pt>
                <c:pt idx="26">
                  <c:v>4.9542900000000003</c:v>
                </c:pt>
                <c:pt idx="27">
                  <c:v>5.2825099999999985</c:v>
                </c:pt>
                <c:pt idx="28">
                  <c:v>5.5868700000000002</c:v>
                </c:pt>
                <c:pt idx="29">
                  <c:v>5.8175799999999906</c:v>
                </c:pt>
                <c:pt idx="30">
                  <c:v>5.9502899999999999</c:v>
                </c:pt>
                <c:pt idx="31">
                  <c:v>5.9944499999999996</c:v>
                </c:pt>
                <c:pt idx="32">
                  <c:v>5.9830300000000003</c:v>
                </c:pt>
                <c:pt idx="33">
                  <c:v>5.9545799999999955</c:v>
                </c:pt>
                <c:pt idx="34">
                  <c:v>5.9372800000000003</c:v>
                </c:pt>
                <c:pt idx="35">
                  <c:v>5.9582700000000024</c:v>
                </c:pt>
                <c:pt idx="36">
                  <c:v>6.0359699999999998</c:v>
                </c:pt>
                <c:pt idx="37">
                  <c:v>6.1857600000000001</c:v>
                </c:pt>
                <c:pt idx="38">
                  <c:v>6.4207099999999997</c:v>
                </c:pt>
                <c:pt idx="39">
                  <c:v>6.74275</c:v>
                </c:pt>
                <c:pt idx="40">
                  <c:v>7.1552600000000002</c:v>
                </c:pt>
                <c:pt idx="41">
                  <c:v>7.6594699999999998</c:v>
                </c:pt>
                <c:pt idx="42">
                  <c:v>8.2645800000000005</c:v>
                </c:pt>
                <c:pt idx="43">
                  <c:v>8.931849999999999</c:v>
                </c:pt>
                <c:pt idx="44">
                  <c:v>9.6179299999999994</c:v>
                </c:pt>
                <c:pt idx="45">
                  <c:v>10.3079</c:v>
                </c:pt>
                <c:pt idx="46">
                  <c:v>11.044299999999998</c:v>
                </c:pt>
                <c:pt idx="47">
                  <c:v>11.861600000000006</c:v>
                </c:pt>
                <c:pt idx="48">
                  <c:v>12.7707</c:v>
                </c:pt>
                <c:pt idx="49">
                  <c:v>13.7836</c:v>
                </c:pt>
                <c:pt idx="50">
                  <c:v>14.936500000000002</c:v>
                </c:pt>
                <c:pt idx="51">
                  <c:v>16.194600000000001</c:v>
                </c:pt>
                <c:pt idx="52">
                  <c:v>17.573499999999989</c:v>
                </c:pt>
                <c:pt idx="53">
                  <c:v>19.080199999999962</c:v>
                </c:pt>
                <c:pt idx="54">
                  <c:v>20.735299999999963</c:v>
                </c:pt>
                <c:pt idx="55">
                  <c:v>22.567900000000005</c:v>
                </c:pt>
                <c:pt idx="56">
                  <c:v>24.567799999999959</c:v>
                </c:pt>
                <c:pt idx="57">
                  <c:v>26.771799999999963</c:v>
                </c:pt>
                <c:pt idx="58">
                  <c:v>29.124500000000001</c:v>
                </c:pt>
                <c:pt idx="59">
                  <c:v>31.648800000000001</c:v>
                </c:pt>
                <c:pt idx="60">
                  <c:v>34.372900000000001</c:v>
                </c:pt>
                <c:pt idx="61">
                  <c:v>37.378800000000005</c:v>
                </c:pt>
                <c:pt idx="62">
                  <c:v>40.551399999999994</c:v>
                </c:pt>
                <c:pt idx="63">
                  <c:v>43.833800000000004</c:v>
                </c:pt>
                <c:pt idx="64">
                  <c:v>47.148000000000003</c:v>
                </c:pt>
                <c:pt idx="65">
                  <c:v>50.628700000000073</c:v>
                </c:pt>
                <c:pt idx="66">
                  <c:v>54.387599999999999</c:v>
                </c:pt>
                <c:pt idx="67">
                  <c:v>58.398900000000012</c:v>
                </c:pt>
                <c:pt idx="68">
                  <c:v>62.744400000000006</c:v>
                </c:pt>
                <c:pt idx="69">
                  <c:v>67.456599999999995</c:v>
                </c:pt>
                <c:pt idx="70">
                  <c:v>72.489199999999997</c:v>
                </c:pt>
                <c:pt idx="71">
                  <c:v>77.626999999999981</c:v>
                </c:pt>
                <c:pt idx="72">
                  <c:v>82.927800000000005</c:v>
                </c:pt>
                <c:pt idx="73">
                  <c:v>88.517100000000127</c:v>
                </c:pt>
                <c:pt idx="74">
                  <c:v>94.507199999999997</c:v>
                </c:pt>
                <c:pt idx="75">
                  <c:v>100.76100000000002</c:v>
                </c:pt>
                <c:pt idx="76">
                  <c:v>107.30800000000001</c:v>
                </c:pt>
                <c:pt idx="77">
                  <c:v>114.071</c:v>
                </c:pt>
                <c:pt idx="78">
                  <c:v>120.95</c:v>
                </c:pt>
                <c:pt idx="79">
                  <c:v>128.01899999999998</c:v>
                </c:pt>
                <c:pt idx="80">
                  <c:v>135.34900000000002</c:v>
                </c:pt>
                <c:pt idx="81">
                  <c:v>142.82300000000001</c:v>
                </c:pt>
                <c:pt idx="82">
                  <c:v>150.20299999999997</c:v>
                </c:pt>
                <c:pt idx="83">
                  <c:v>157.35900000000001</c:v>
                </c:pt>
                <c:pt idx="84">
                  <c:v>164.51399999999998</c:v>
                </c:pt>
                <c:pt idx="85">
                  <c:v>171.96100000000001</c:v>
                </c:pt>
                <c:pt idx="86">
                  <c:v>179.77099999999999</c:v>
                </c:pt>
                <c:pt idx="87">
                  <c:v>187.85700000000026</c:v>
                </c:pt>
                <c:pt idx="88">
                  <c:v>196.34800000000001</c:v>
                </c:pt>
                <c:pt idx="89">
                  <c:v>205.04499999999999</c:v>
                </c:pt>
                <c:pt idx="90">
                  <c:v>213.71199999999999</c:v>
                </c:pt>
                <c:pt idx="91">
                  <c:v>222.18</c:v>
                </c:pt>
                <c:pt idx="92">
                  <c:v>230.68</c:v>
                </c:pt>
                <c:pt idx="93">
                  <c:v>239.53399999999999</c:v>
                </c:pt>
                <c:pt idx="94">
                  <c:v>248.50300000000001</c:v>
                </c:pt>
                <c:pt idx="95">
                  <c:v>257.41199999999907</c:v>
                </c:pt>
                <c:pt idx="96">
                  <c:v>265.9729999999995</c:v>
                </c:pt>
                <c:pt idx="97">
                  <c:v>274.214</c:v>
                </c:pt>
                <c:pt idx="98">
                  <c:v>282.24599999999964</c:v>
                </c:pt>
                <c:pt idx="99">
                  <c:v>290.00900000000001</c:v>
                </c:pt>
                <c:pt idx="100">
                  <c:v>297.44799999999969</c:v>
                </c:pt>
                <c:pt idx="101">
                  <c:v>304.45099999999951</c:v>
                </c:pt>
                <c:pt idx="102">
                  <c:v>310.92299999999943</c:v>
                </c:pt>
                <c:pt idx="103">
                  <c:v>316.68900000000002</c:v>
                </c:pt>
                <c:pt idx="104">
                  <c:v>322.33699999999925</c:v>
                </c:pt>
                <c:pt idx="105">
                  <c:v>328.04300000000001</c:v>
                </c:pt>
                <c:pt idx="106">
                  <c:v>333.64100000000002</c:v>
                </c:pt>
                <c:pt idx="107">
                  <c:v>338.95499999999993</c:v>
                </c:pt>
                <c:pt idx="108">
                  <c:v>344.0329999999995</c:v>
                </c:pt>
                <c:pt idx="109">
                  <c:v>348.863</c:v>
                </c:pt>
                <c:pt idx="110">
                  <c:v>352.97499999999951</c:v>
                </c:pt>
                <c:pt idx="111">
                  <c:v>356.83499999999964</c:v>
                </c:pt>
                <c:pt idx="112">
                  <c:v>360.77699999999925</c:v>
                </c:pt>
                <c:pt idx="113">
                  <c:v>364.46899999999926</c:v>
                </c:pt>
                <c:pt idx="114">
                  <c:v>367.48899999999907</c:v>
                </c:pt>
                <c:pt idx="115">
                  <c:v>369.86799999999999</c:v>
                </c:pt>
                <c:pt idx="116">
                  <c:v>372.04700000000008</c:v>
                </c:pt>
                <c:pt idx="117">
                  <c:v>374.13299999999964</c:v>
                </c:pt>
                <c:pt idx="118">
                  <c:v>375.78999999999951</c:v>
                </c:pt>
                <c:pt idx="119">
                  <c:v>377.13299999999964</c:v>
                </c:pt>
                <c:pt idx="120">
                  <c:v>378.18400000000008</c:v>
                </c:pt>
                <c:pt idx="121">
                  <c:v>378.904</c:v>
                </c:pt>
                <c:pt idx="122">
                  <c:v>379.36799999999999</c:v>
                </c:pt>
                <c:pt idx="123">
                  <c:v>379.16</c:v>
                </c:pt>
                <c:pt idx="124">
                  <c:v>378.846</c:v>
                </c:pt>
                <c:pt idx="125">
                  <c:v>378.05700000000002</c:v>
                </c:pt>
                <c:pt idx="126">
                  <c:v>377.363</c:v>
                </c:pt>
                <c:pt idx="127">
                  <c:v>376.17200000000008</c:v>
                </c:pt>
                <c:pt idx="128">
                  <c:v>374.85899999999964</c:v>
                </c:pt>
                <c:pt idx="129">
                  <c:v>373.23200000000003</c:v>
                </c:pt>
                <c:pt idx="130">
                  <c:v>371.45</c:v>
                </c:pt>
                <c:pt idx="131">
                  <c:v>369.45800000000003</c:v>
                </c:pt>
                <c:pt idx="132">
                  <c:v>366.88200000000001</c:v>
                </c:pt>
                <c:pt idx="133">
                  <c:v>364.14699999999999</c:v>
                </c:pt>
                <c:pt idx="134">
                  <c:v>361.51900000000001</c:v>
                </c:pt>
                <c:pt idx="135">
                  <c:v>358.83699999999925</c:v>
                </c:pt>
                <c:pt idx="136">
                  <c:v>355.78199999999913</c:v>
                </c:pt>
                <c:pt idx="137">
                  <c:v>352.28799999999944</c:v>
                </c:pt>
                <c:pt idx="138">
                  <c:v>348.94</c:v>
                </c:pt>
                <c:pt idx="139">
                  <c:v>345.8959999999995</c:v>
                </c:pt>
                <c:pt idx="140">
                  <c:v>342.66399999999999</c:v>
                </c:pt>
                <c:pt idx="141">
                  <c:v>339.12400000000002</c:v>
                </c:pt>
                <c:pt idx="142">
                  <c:v>335.40299999999951</c:v>
                </c:pt>
                <c:pt idx="143">
                  <c:v>331.613</c:v>
                </c:pt>
                <c:pt idx="144">
                  <c:v>327.74599999999964</c:v>
                </c:pt>
                <c:pt idx="145">
                  <c:v>323.66800000000001</c:v>
                </c:pt>
                <c:pt idx="146">
                  <c:v>319.41499999999951</c:v>
                </c:pt>
                <c:pt idx="147">
                  <c:v>315.072</c:v>
                </c:pt>
                <c:pt idx="148">
                  <c:v>310.73099999999926</c:v>
                </c:pt>
                <c:pt idx="149">
                  <c:v>306.18799999999999</c:v>
                </c:pt>
                <c:pt idx="150">
                  <c:v>301.59899999999925</c:v>
                </c:pt>
                <c:pt idx="151">
                  <c:v>296.5</c:v>
                </c:pt>
                <c:pt idx="152">
                  <c:v>291.42899999999906</c:v>
                </c:pt>
                <c:pt idx="153">
                  <c:v>286.19900000000001</c:v>
                </c:pt>
                <c:pt idx="154">
                  <c:v>281.18900000000002</c:v>
                </c:pt>
                <c:pt idx="155">
                  <c:v>275.96599999999944</c:v>
                </c:pt>
                <c:pt idx="156">
                  <c:v>270.70400000000001</c:v>
                </c:pt>
                <c:pt idx="157">
                  <c:v>265.61500000000001</c:v>
                </c:pt>
                <c:pt idx="158">
                  <c:v>260.73599999999925</c:v>
                </c:pt>
                <c:pt idx="159">
                  <c:v>255.82200000000029</c:v>
                </c:pt>
                <c:pt idx="160">
                  <c:v>250.70399999999998</c:v>
                </c:pt>
                <c:pt idx="161">
                  <c:v>245.476</c:v>
                </c:pt>
                <c:pt idx="162">
                  <c:v>240.02700000000004</c:v>
                </c:pt>
                <c:pt idx="163">
                  <c:v>234.67299999999997</c:v>
                </c:pt>
                <c:pt idx="164">
                  <c:v>229.43600000000001</c:v>
                </c:pt>
                <c:pt idx="165">
                  <c:v>224.15</c:v>
                </c:pt>
                <c:pt idx="166">
                  <c:v>218.62200000000001</c:v>
                </c:pt>
                <c:pt idx="167">
                  <c:v>213.00900000000001</c:v>
                </c:pt>
                <c:pt idx="168">
                  <c:v>207.44399999999999</c:v>
                </c:pt>
                <c:pt idx="169">
                  <c:v>201.77399999999992</c:v>
                </c:pt>
                <c:pt idx="170">
                  <c:v>195.916</c:v>
                </c:pt>
                <c:pt idx="171">
                  <c:v>190.255</c:v>
                </c:pt>
                <c:pt idx="172">
                  <c:v>184.73299999999998</c:v>
                </c:pt>
                <c:pt idx="173">
                  <c:v>179.23099999999999</c:v>
                </c:pt>
                <c:pt idx="174">
                  <c:v>173.559</c:v>
                </c:pt>
                <c:pt idx="175">
                  <c:v>167.96200000000007</c:v>
                </c:pt>
                <c:pt idx="176">
                  <c:v>162.66</c:v>
                </c:pt>
                <c:pt idx="177">
                  <c:v>157.74899999999997</c:v>
                </c:pt>
                <c:pt idx="178">
                  <c:v>152.86800000000025</c:v>
                </c:pt>
                <c:pt idx="179">
                  <c:v>147.93600000000001</c:v>
                </c:pt>
                <c:pt idx="180">
                  <c:v>143.06</c:v>
                </c:pt>
                <c:pt idx="181">
                  <c:v>138.23599999999999</c:v>
                </c:pt>
                <c:pt idx="182">
                  <c:v>133.51899999999998</c:v>
                </c:pt>
                <c:pt idx="183">
                  <c:v>128.82600000000025</c:v>
                </c:pt>
                <c:pt idx="184">
                  <c:v>124.392</c:v>
                </c:pt>
                <c:pt idx="185">
                  <c:v>120.07</c:v>
                </c:pt>
                <c:pt idx="186">
                  <c:v>115.812</c:v>
                </c:pt>
                <c:pt idx="187">
                  <c:v>111.599</c:v>
                </c:pt>
                <c:pt idx="188">
                  <c:v>107.44100000000014</c:v>
                </c:pt>
                <c:pt idx="189">
                  <c:v>103.46700000000013</c:v>
                </c:pt>
                <c:pt idx="190">
                  <c:v>99.747000000000128</c:v>
                </c:pt>
                <c:pt idx="191">
                  <c:v>96.229600000000005</c:v>
                </c:pt>
                <c:pt idx="192">
                  <c:v>92.736400000000003</c:v>
                </c:pt>
                <c:pt idx="193">
                  <c:v>89.35029999999999</c:v>
                </c:pt>
                <c:pt idx="194">
                  <c:v>86.134500000000003</c:v>
                </c:pt>
                <c:pt idx="195">
                  <c:v>83.208299999999994</c:v>
                </c:pt>
                <c:pt idx="196">
                  <c:v>80.365299999999991</c:v>
                </c:pt>
                <c:pt idx="197">
                  <c:v>77.614599999999996</c:v>
                </c:pt>
                <c:pt idx="198">
                  <c:v>74.934399999999997</c:v>
                </c:pt>
                <c:pt idx="199">
                  <c:v>72.322899999999919</c:v>
                </c:pt>
                <c:pt idx="200">
                  <c:v>69.741700000000023</c:v>
                </c:pt>
                <c:pt idx="201">
                  <c:v>67.198099999999982</c:v>
                </c:pt>
                <c:pt idx="202">
                  <c:v>64.772399999999948</c:v>
                </c:pt>
                <c:pt idx="203">
                  <c:v>62.458999999999996</c:v>
                </c:pt>
                <c:pt idx="204">
                  <c:v>60.157799999999995</c:v>
                </c:pt>
                <c:pt idx="205">
                  <c:v>57.925300000000064</c:v>
                </c:pt>
                <c:pt idx="206">
                  <c:v>55.781300000000002</c:v>
                </c:pt>
                <c:pt idx="207">
                  <c:v>53.742200000000011</c:v>
                </c:pt>
                <c:pt idx="208">
                  <c:v>51.763200000000012</c:v>
                </c:pt>
                <c:pt idx="209">
                  <c:v>49.847499999999997</c:v>
                </c:pt>
                <c:pt idx="210">
                  <c:v>48.028100000000073</c:v>
                </c:pt>
                <c:pt idx="211">
                  <c:v>46.240600000000001</c:v>
                </c:pt>
                <c:pt idx="212">
                  <c:v>44.525900000000064</c:v>
                </c:pt>
                <c:pt idx="213">
                  <c:v>42.912200000000006</c:v>
                </c:pt>
                <c:pt idx="214">
                  <c:v>41.414099999999998</c:v>
                </c:pt>
                <c:pt idx="215">
                  <c:v>39.979600000000005</c:v>
                </c:pt>
                <c:pt idx="216">
                  <c:v>38.527100000000011</c:v>
                </c:pt>
                <c:pt idx="217">
                  <c:v>37.089500000000001</c:v>
                </c:pt>
                <c:pt idx="218">
                  <c:v>35.671300000000002</c:v>
                </c:pt>
                <c:pt idx="219">
                  <c:v>34.318400000000004</c:v>
                </c:pt>
                <c:pt idx="220">
                  <c:v>33.011099999999999</c:v>
                </c:pt>
                <c:pt idx="221">
                  <c:v>31.7545</c:v>
                </c:pt>
                <c:pt idx="222">
                  <c:v>30.5351</c:v>
                </c:pt>
                <c:pt idx="223">
                  <c:v>29.345699999999958</c:v>
                </c:pt>
                <c:pt idx="224">
                  <c:v>28.194299999999988</c:v>
                </c:pt>
                <c:pt idx="225">
                  <c:v>27.076499999999989</c:v>
                </c:pt>
                <c:pt idx="226">
                  <c:v>26.027999999999999</c:v>
                </c:pt>
                <c:pt idx="227">
                  <c:v>25.019300000000001</c:v>
                </c:pt>
                <c:pt idx="228">
                  <c:v>24.0517</c:v>
                </c:pt>
                <c:pt idx="229">
                  <c:v>23.1022</c:v>
                </c:pt>
                <c:pt idx="230">
                  <c:v>22.1995</c:v>
                </c:pt>
                <c:pt idx="231">
                  <c:v>21.3614</c:v>
                </c:pt>
                <c:pt idx="232">
                  <c:v>20.566199999999959</c:v>
                </c:pt>
                <c:pt idx="233">
                  <c:v>19.822900000000001</c:v>
                </c:pt>
                <c:pt idx="234">
                  <c:v>19.0946</c:v>
                </c:pt>
                <c:pt idx="235">
                  <c:v>18.373200000000001</c:v>
                </c:pt>
                <c:pt idx="236">
                  <c:v>17.661999999999999</c:v>
                </c:pt>
                <c:pt idx="237">
                  <c:v>16.964999999999989</c:v>
                </c:pt>
                <c:pt idx="238">
                  <c:v>16.294</c:v>
                </c:pt>
                <c:pt idx="239">
                  <c:v>15.650500000000006</c:v>
                </c:pt>
                <c:pt idx="240">
                  <c:v>15.0365</c:v>
                </c:pt>
                <c:pt idx="241">
                  <c:v>14.4602</c:v>
                </c:pt>
                <c:pt idx="242">
                  <c:v>13.899400000000018</c:v>
                </c:pt>
                <c:pt idx="243">
                  <c:v>13.361600000000006</c:v>
                </c:pt>
                <c:pt idx="244">
                  <c:v>12.8361</c:v>
                </c:pt>
                <c:pt idx="245">
                  <c:v>12.3459</c:v>
                </c:pt>
                <c:pt idx="246">
                  <c:v>11.8909</c:v>
                </c:pt>
                <c:pt idx="247">
                  <c:v>11.436400000000004</c:v>
                </c:pt>
                <c:pt idx="248">
                  <c:v>10.9941</c:v>
                </c:pt>
                <c:pt idx="249">
                  <c:v>10.579800000000002</c:v>
                </c:pt>
                <c:pt idx="250">
                  <c:v>10.226900000000001</c:v>
                </c:pt>
                <c:pt idx="251">
                  <c:v>9.8889199999999988</c:v>
                </c:pt>
                <c:pt idx="252">
                  <c:v>9.5527600000000028</c:v>
                </c:pt>
                <c:pt idx="253">
                  <c:v>9.2069299999999998</c:v>
                </c:pt>
                <c:pt idx="254">
                  <c:v>8.8776300000000195</c:v>
                </c:pt>
                <c:pt idx="255">
                  <c:v>8.5568300000000068</c:v>
                </c:pt>
                <c:pt idx="256">
                  <c:v>8.2567900000000005</c:v>
                </c:pt>
                <c:pt idx="257">
                  <c:v>7.9745299999999997</c:v>
                </c:pt>
                <c:pt idx="258">
                  <c:v>7.7027200000000002</c:v>
                </c:pt>
                <c:pt idx="259">
                  <c:v>7.4409599999999996</c:v>
                </c:pt>
                <c:pt idx="260">
                  <c:v>7.1804299999999985</c:v>
                </c:pt>
                <c:pt idx="261">
                  <c:v>6.9507899999999996</c:v>
                </c:pt>
                <c:pt idx="262">
                  <c:v>6.733250000000008</c:v>
                </c:pt>
                <c:pt idx="263">
                  <c:v>6.5347</c:v>
                </c:pt>
                <c:pt idx="264">
                  <c:v>6.3283199999999917</c:v>
                </c:pt>
                <c:pt idx="265">
                  <c:v>6.1326599999999996</c:v>
                </c:pt>
                <c:pt idx="266">
                  <c:v>5.9432900000000091</c:v>
                </c:pt>
                <c:pt idx="267">
                  <c:v>5.7711399999999999</c:v>
                </c:pt>
                <c:pt idx="268">
                  <c:v>5.6134899999999908</c:v>
                </c:pt>
                <c:pt idx="269">
                  <c:v>5.47018</c:v>
                </c:pt>
                <c:pt idx="270">
                  <c:v>5.3380299999999998</c:v>
                </c:pt>
                <c:pt idx="271">
                  <c:v>5.2015700000000002</c:v>
                </c:pt>
                <c:pt idx="272">
                  <c:v>5.0644499999999955</c:v>
                </c:pt>
                <c:pt idx="273">
                  <c:v>4.92889</c:v>
                </c:pt>
                <c:pt idx="274">
                  <c:v>4.8031199999999945</c:v>
                </c:pt>
                <c:pt idx="275">
                  <c:v>4.6804600000000001</c:v>
                </c:pt>
                <c:pt idx="276">
                  <c:v>4.5666900000000004</c:v>
                </c:pt>
                <c:pt idx="277">
                  <c:v>4.4619299999999997</c:v>
                </c:pt>
                <c:pt idx="278">
                  <c:v>4.3641499999999906</c:v>
                </c:pt>
                <c:pt idx="279">
                  <c:v>4.2735000000000003</c:v>
                </c:pt>
                <c:pt idx="280">
                  <c:v>4.1817700000000002</c:v>
                </c:pt>
                <c:pt idx="281">
                  <c:v>4.0943099999999975</c:v>
                </c:pt>
                <c:pt idx="282">
                  <c:v>4.0141199999999886</c:v>
                </c:pt>
                <c:pt idx="283">
                  <c:v>3.9406300000000001</c:v>
                </c:pt>
                <c:pt idx="284">
                  <c:v>3.8731599999999977</c:v>
                </c:pt>
                <c:pt idx="285">
                  <c:v>3.8056299999999967</c:v>
                </c:pt>
                <c:pt idx="286">
                  <c:v>3.7425000000000002</c:v>
                </c:pt>
                <c:pt idx="287">
                  <c:v>3.6889500000000002</c:v>
                </c:pt>
                <c:pt idx="288">
                  <c:v>3.6393599999999977</c:v>
                </c:pt>
                <c:pt idx="289">
                  <c:v>3.5916999999999977</c:v>
                </c:pt>
                <c:pt idx="290">
                  <c:v>3.5403799999999999</c:v>
                </c:pt>
                <c:pt idx="291">
                  <c:v>3.4903999999999997</c:v>
                </c:pt>
                <c:pt idx="292">
                  <c:v>3.4447000000000001</c:v>
                </c:pt>
                <c:pt idx="293">
                  <c:v>3.4024599999999956</c:v>
                </c:pt>
                <c:pt idx="294">
                  <c:v>3.3612599999999957</c:v>
                </c:pt>
                <c:pt idx="295">
                  <c:v>3.3248499999999956</c:v>
                </c:pt>
                <c:pt idx="296">
                  <c:v>3.2843700000000045</c:v>
                </c:pt>
                <c:pt idx="297">
                  <c:v>3.2474500000000002</c:v>
                </c:pt>
                <c:pt idx="298">
                  <c:v>3.2119599999999977</c:v>
                </c:pt>
                <c:pt idx="299">
                  <c:v>3.1891500000000002</c:v>
                </c:pt>
                <c:pt idx="300">
                  <c:v>3.1629</c:v>
                </c:pt>
                <c:pt idx="301">
                  <c:v>3.1417000000000002</c:v>
                </c:pt>
                <c:pt idx="302">
                  <c:v>3.1179199999999998</c:v>
                </c:pt>
                <c:pt idx="303">
                  <c:v>3.0960199999999967</c:v>
                </c:pt>
                <c:pt idx="304">
                  <c:v>3.0691700000000002</c:v>
                </c:pt>
                <c:pt idx="305">
                  <c:v>3.0446499999999967</c:v>
                </c:pt>
                <c:pt idx="306">
                  <c:v>3.0170599999999967</c:v>
                </c:pt>
                <c:pt idx="307">
                  <c:v>2.9888599999999967</c:v>
                </c:pt>
                <c:pt idx="308">
                  <c:v>2.9659</c:v>
                </c:pt>
                <c:pt idx="309">
                  <c:v>2.9511399999999997</c:v>
                </c:pt>
                <c:pt idx="310">
                  <c:v>2.9381300000000001</c:v>
                </c:pt>
                <c:pt idx="311">
                  <c:v>2.92259</c:v>
                </c:pt>
                <c:pt idx="312">
                  <c:v>2.9078599999999977</c:v>
                </c:pt>
                <c:pt idx="313">
                  <c:v>2.8960899999999956</c:v>
                </c:pt>
                <c:pt idx="314">
                  <c:v>2.8948799999999957</c:v>
                </c:pt>
                <c:pt idx="315">
                  <c:v>2.9012599999999962</c:v>
                </c:pt>
                <c:pt idx="316">
                  <c:v>2.9042499999999967</c:v>
                </c:pt>
                <c:pt idx="317">
                  <c:v>2.9094099999999967</c:v>
                </c:pt>
                <c:pt idx="318">
                  <c:v>2.9134199999999977</c:v>
                </c:pt>
                <c:pt idx="319">
                  <c:v>2.9301200000000001</c:v>
                </c:pt>
                <c:pt idx="320">
                  <c:v>2.9444300000000001</c:v>
                </c:pt>
              </c:numCache>
            </c:numRef>
          </c:yVal>
          <c:smooth val="1"/>
        </c:ser>
        <c:dLbls>
          <c:showLegendKey val="0"/>
          <c:showVal val="0"/>
          <c:showCatName val="0"/>
          <c:showSerName val="0"/>
          <c:showPercent val="0"/>
          <c:showBubbleSize val="0"/>
        </c:dLbls>
        <c:axId val="78394496"/>
        <c:axId val="78403456"/>
      </c:scatterChart>
      <c:valAx>
        <c:axId val="78394496"/>
        <c:scaling>
          <c:orientation val="minMax"/>
          <c:max val="700"/>
          <c:min val="40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Emission wavelength (nm)</a:t>
                </a:r>
                <a:endParaRPr lang="th-TH" sz="1000">
                  <a:latin typeface="Times New Roman" pitchFamily="18" charset="0"/>
                </a:endParaRPr>
              </a:p>
            </c:rich>
          </c:tx>
          <c:layout>
            <c:manualLayout>
              <c:xMode val="edge"/>
              <c:yMode val="edge"/>
              <c:x val="0.29077950450873369"/>
              <c:y val="0.91374185455069101"/>
            </c:manualLayout>
          </c:layout>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78403456"/>
        <c:crosses val="autoZero"/>
        <c:crossBetween val="midCat"/>
        <c:majorUnit val="50"/>
      </c:valAx>
      <c:valAx>
        <c:axId val="78403456"/>
        <c:scaling>
          <c:orientation val="minMax"/>
          <c:max val="500"/>
          <c:min val="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Fluorescence intensity</a:t>
                </a:r>
                <a:endParaRPr lang="th-TH" sz="1000">
                  <a:latin typeface="Times New Roman" pitchFamily="18" charset="0"/>
                </a:endParaRPr>
              </a:p>
            </c:rich>
          </c:tx>
          <c:layout>
            <c:manualLayout>
              <c:xMode val="edge"/>
              <c:yMode val="edge"/>
              <c:x val="3.5083766124979161E-2"/>
              <c:y val="0.10780391160782309"/>
            </c:manualLayout>
          </c:layout>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78394496"/>
        <c:crosses val="autoZero"/>
        <c:crossBetween val="midCat"/>
        <c:majorUnit val="100"/>
      </c:valAx>
    </c:plotArea>
    <c:legend>
      <c:legendPos val="r"/>
      <c:layout>
        <c:manualLayout>
          <c:xMode val="edge"/>
          <c:yMode val="edge"/>
          <c:x val="0.57179371195621831"/>
          <c:y val="0.21911855541025571"/>
          <c:w val="0.40427039705143242"/>
          <c:h val="0.30691596868455823"/>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8415441432655"/>
          <c:y val="8.3899301319729572E-2"/>
          <c:w val="0.69866193287510825"/>
          <c:h val="0.68155456918043456"/>
        </c:manualLayout>
      </c:layout>
      <c:scatterChart>
        <c:scatterStyle val="lineMarker"/>
        <c:varyColors val="0"/>
        <c:ser>
          <c:idx val="0"/>
          <c:order val="0"/>
          <c:spPr>
            <a:ln w="25400">
              <a:solidFill>
                <a:schemeClr val="tx1"/>
              </a:solidFill>
            </a:ln>
          </c:spPr>
          <c:marker>
            <c:symbol val="diamond"/>
            <c:size val="5"/>
            <c:spPr>
              <a:solidFill>
                <a:sysClr val="windowText" lastClr="000000"/>
              </a:solidFill>
            </c:spPr>
          </c:marker>
          <c:errBars>
            <c:errDir val="y"/>
            <c:errBarType val="both"/>
            <c:errValType val="cust"/>
            <c:noEndCap val="0"/>
            <c:plus>
              <c:numRef>
                <c:f>พลอตกราฟ_KH2PO4!$G$23:$G$27</c:f>
                <c:numCache>
                  <c:formatCode>General</c:formatCode>
                  <c:ptCount val="5"/>
                  <c:pt idx="0">
                    <c:v>1.6079279627313225</c:v>
                  </c:pt>
                  <c:pt idx="1">
                    <c:v>5.3684449641719265</c:v>
                  </c:pt>
                  <c:pt idx="2">
                    <c:v>10.441427169374498</c:v>
                  </c:pt>
                  <c:pt idx="3">
                    <c:v>9.0656645095664512</c:v>
                  </c:pt>
                  <c:pt idx="4">
                    <c:v>11.91661882974145</c:v>
                  </c:pt>
                </c:numCache>
              </c:numRef>
            </c:plus>
            <c:minus>
              <c:numRef>
                <c:f>พลอตกราฟ_KH2PO4!$G$23:$G$27</c:f>
                <c:numCache>
                  <c:formatCode>General</c:formatCode>
                  <c:ptCount val="5"/>
                  <c:pt idx="0">
                    <c:v>1.6079279627313225</c:v>
                  </c:pt>
                  <c:pt idx="1">
                    <c:v>5.3684449641719265</c:v>
                  </c:pt>
                  <c:pt idx="2">
                    <c:v>10.441427169374498</c:v>
                  </c:pt>
                  <c:pt idx="3">
                    <c:v>9.0656645095664512</c:v>
                  </c:pt>
                  <c:pt idx="4">
                    <c:v>11.91661882974145</c:v>
                  </c:pt>
                </c:numCache>
              </c:numRef>
            </c:minus>
          </c:errBars>
          <c:xVal>
            <c:numRef>
              <c:f>พลอตกราฟ_KH2PO4!$B$23:$B$27</c:f>
              <c:numCache>
                <c:formatCode>0.00</c:formatCode>
                <c:ptCount val="5"/>
                <c:pt idx="0">
                  <c:v>5</c:v>
                </c:pt>
                <c:pt idx="1">
                  <c:v>6</c:v>
                </c:pt>
                <c:pt idx="2">
                  <c:v>7</c:v>
                </c:pt>
                <c:pt idx="3">
                  <c:v>8</c:v>
                </c:pt>
                <c:pt idx="4">
                  <c:v>9</c:v>
                </c:pt>
              </c:numCache>
            </c:numRef>
          </c:xVal>
          <c:yVal>
            <c:numRef>
              <c:f>พลอตกราฟ_KH2PO4!$F$23:$F$27</c:f>
              <c:numCache>
                <c:formatCode>0.0000</c:formatCode>
                <c:ptCount val="5"/>
                <c:pt idx="0">
                  <c:v>173.36953666666668</c:v>
                </c:pt>
                <c:pt idx="1">
                  <c:v>201.94714666666664</c:v>
                </c:pt>
                <c:pt idx="2">
                  <c:v>236.37020666666669</c:v>
                </c:pt>
                <c:pt idx="3">
                  <c:v>187.40059999999997</c:v>
                </c:pt>
                <c:pt idx="4">
                  <c:v>199.75126666666665</c:v>
                </c:pt>
              </c:numCache>
            </c:numRef>
          </c:yVal>
          <c:smooth val="0"/>
        </c:ser>
        <c:dLbls>
          <c:showLegendKey val="0"/>
          <c:showVal val="0"/>
          <c:showCatName val="0"/>
          <c:showSerName val="0"/>
          <c:showPercent val="0"/>
          <c:showBubbleSize val="0"/>
        </c:dLbls>
        <c:axId val="78428416"/>
        <c:axId val="78430592"/>
      </c:scatterChart>
      <c:valAx>
        <c:axId val="78428416"/>
        <c:scaling>
          <c:orientation val="minMax"/>
          <c:min val="4"/>
        </c:scaling>
        <c:delete val="0"/>
        <c:axPos val="b"/>
        <c:title>
          <c:tx>
            <c:rich>
              <a:bodyPr/>
              <a:lstStyle/>
              <a:p>
                <a:pPr>
                  <a:defRPr lang="en-US" sz="1000">
                    <a:latin typeface="Times New Roman" pitchFamily="18" charset="0"/>
                    <a:cs typeface="Times New Roman" pitchFamily="18" charset="0"/>
                  </a:defRPr>
                </a:pPr>
                <a:r>
                  <a:rPr lang="en-US" sz="1000" b="1" i="0" u="none" strike="noStrike" baseline="0">
                    <a:latin typeface="Times New Roman" pitchFamily="18" charset="0"/>
                    <a:cs typeface="Times New Roman" pitchFamily="18" charset="0"/>
                  </a:rPr>
                  <a:t>pH</a:t>
                </a:r>
                <a:endParaRPr lang="th-TH" sz="1000">
                  <a:latin typeface="Times New Roman" pitchFamily="18" charset="0"/>
                  <a:cs typeface="Angsana New" pitchFamily="18" charset="-34"/>
                </a:endParaRPr>
              </a:p>
            </c:rich>
          </c:tx>
          <c:layout>
            <c:manualLayout>
              <c:xMode val="edge"/>
              <c:yMode val="edge"/>
              <c:x val="0.49380112884119576"/>
              <c:y val="0.88133802816901408"/>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78430592"/>
        <c:crosses val="autoZero"/>
        <c:crossBetween val="midCat"/>
        <c:majorUnit val="1"/>
      </c:valAx>
      <c:valAx>
        <c:axId val="78430592"/>
        <c:scaling>
          <c:orientation val="minMax"/>
          <c:min val="100"/>
        </c:scaling>
        <c:delete val="0"/>
        <c:axPos val="l"/>
        <c:title>
          <c:tx>
            <c:rich>
              <a:bodyPr rot="-5400000" vert="horz"/>
              <a:lstStyle/>
              <a:p>
                <a:pPr>
                  <a:defRPr lang="en-US" sz="1000">
                    <a:latin typeface="Times New Roman" pitchFamily="18" charset="0"/>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2.6502404013657589E-2"/>
              <c:y val="7.4324054563602082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78428416"/>
        <c:crosses val="autoZero"/>
        <c:crossBetween val="midCat"/>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15124787846776"/>
          <c:y val="8.0481900893130412E-2"/>
          <c:w val="0.73479930522572345"/>
          <c:h val="0.66393984161713404"/>
        </c:manualLayout>
      </c:layout>
      <c:scatterChart>
        <c:scatterStyle val="lineMarker"/>
        <c:varyColors val="0"/>
        <c:ser>
          <c:idx val="0"/>
          <c:order val="0"/>
          <c:spPr>
            <a:ln w="25400">
              <a:solidFill>
                <a:schemeClr val="tx1"/>
              </a:solidFill>
            </a:ln>
          </c:spPr>
          <c:marker>
            <c:symbol val="diamond"/>
            <c:size val="4"/>
            <c:spPr>
              <a:solidFill>
                <a:sysClr val="windowText" lastClr="000000"/>
              </a:solidFill>
            </c:spPr>
          </c:marker>
          <c:errBars>
            <c:errDir val="y"/>
            <c:errBarType val="both"/>
            <c:errValType val="cust"/>
            <c:noEndCap val="0"/>
            <c:plus>
              <c:numRef>
                <c:f>ข้อมูล!$G$23:$G$29</c:f>
                <c:numCache>
                  <c:formatCode>General</c:formatCode>
                  <c:ptCount val="7"/>
                  <c:pt idx="0">
                    <c:v>4.2920545585235645</c:v>
                  </c:pt>
                  <c:pt idx="1">
                    <c:v>11.59932904668754</c:v>
                  </c:pt>
                  <c:pt idx="2">
                    <c:v>15.106133533547126</c:v>
                  </c:pt>
                  <c:pt idx="3">
                    <c:v>8.8866125342185267</c:v>
                  </c:pt>
                  <c:pt idx="4">
                    <c:v>5.7320336123692792</c:v>
                  </c:pt>
                  <c:pt idx="5">
                    <c:v>12.431337699539929</c:v>
                  </c:pt>
                  <c:pt idx="6">
                    <c:v>10.397515296133356</c:v>
                  </c:pt>
                </c:numCache>
              </c:numRef>
            </c:plus>
            <c:minus>
              <c:numRef>
                <c:f>ข้อมูล!$G$23:$G$29</c:f>
                <c:numCache>
                  <c:formatCode>General</c:formatCode>
                  <c:ptCount val="7"/>
                  <c:pt idx="0">
                    <c:v>4.2920545585235645</c:v>
                  </c:pt>
                  <c:pt idx="1">
                    <c:v>11.59932904668754</c:v>
                  </c:pt>
                  <c:pt idx="2">
                    <c:v>15.106133533547126</c:v>
                  </c:pt>
                  <c:pt idx="3">
                    <c:v>8.8866125342185267</c:v>
                  </c:pt>
                  <c:pt idx="4">
                    <c:v>5.7320336123692792</c:v>
                  </c:pt>
                  <c:pt idx="5">
                    <c:v>12.431337699539929</c:v>
                  </c:pt>
                  <c:pt idx="6">
                    <c:v>10.397515296133356</c:v>
                  </c:pt>
                </c:numCache>
              </c:numRef>
            </c:minus>
          </c:errBars>
          <c:xVal>
            <c:numRef>
              <c:f>ข้อมูล!$B$32:$B$38</c:f>
              <c:numCache>
                <c:formatCode>General</c:formatCode>
                <c:ptCount val="7"/>
                <c:pt idx="0">
                  <c:v>0</c:v>
                </c:pt>
                <c:pt idx="1">
                  <c:v>0.1</c:v>
                </c:pt>
                <c:pt idx="2">
                  <c:v>1</c:v>
                </c:pt>
                <c:pt idx="3">
                  <c:v>5</c:v>
                </c:pt>
                <c:pt idx="4">
                  <c:v>10</c:v>
                </c:pt>
                <c:pt idx="5">
                  <c:v>50</c:v>
                </c:pt>
                <c:pt idx="6">
                  <c:v>100</c:v>
                </c:pt>
              </c:numCache>
            </c:numRef>
          </c:xVal>
          <c:yVal>
            <c:numRef>
              <c:f>ข้อมูล!$C$32:$C$38</c:f>
              <c:numCache>
                <c:formatCode>0.0000</c:formatCode>
                <c:ptCount val="7"/>
                <c:pt idx="0">
                  <c:v>180.19665000000001</c:v>
                </c:pt>
                <c:pt idx="1">
                  <c:v>198.49575000000002</c:v>
                </c:pt>
                <c:pt idx="2">
                  <c:v>219.95794333333797</c:v>
                </c:pt>
                <c:pt idx="3">
                  <c:v>249.81646666666668</c:v>
                </c:pt>
                <c:pt idx="4">
                  <c:v>227.82576666666662</c:v>
                </c:pt>
                <c:pt idx="5">
                  <c:v>220.44916666666612</c:v>
                </c:pt>
                <c:pt idx="6">
                  <c:v>210.20939999999999</c:v>
                </c:pt>
              </c:numCache>
            </c:numRef>
          </c:yVal>
          <c:smooth val="0"/>
        </c:ser>
        <c:dLbls>
          <c:showLegendKey val="0"/>
          <c:showVal val="0"/>
          <c:showCatName val="0"/>
          <c:showSerName val="0"/>
          <c:showPercent val="0"/>
          <c:showBubbleSize val="0"/>
        </c:dLbls>
        <c:axId val="34149120"/>
        <c:axId val="78441856"/>
      </c:scatterChart>
      <c:valAx>
        <c:axId val="34149120"/>
        <c:scaling>
          <c:orientation val="minMax"/>
          <c:max val="10"/>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Phosphate buffer concentration </a:t>
                </a:r>
                <a:r>
                  <a:rPr lang="th-TH" sz="1000" b="1" i="0" baseline="0">
                    <a:latin typeface="Times New Roman" pitchFamily="18" charset="0"/>
                    <a:cs typeface="Angsana New" pitchFamily="18" charset="-34"/>
                  </a:rPr>
                  <a:t>(</a:t>
                </a:r>
                <a:r>
                  <a:rPr lang="en-US" sz="1000" b="1" i="0" baseline="0">
                    <a:latin typeface="Times New Roman" pitchFamily="18" charset="0"/>
                    <a:cs typeface="Times New Roman" pitchFamily="18" charset="0"/>
                  </a:rPr>
                  <a:t>mM)</a:t>
                </a:r>
                <a:endParaRPr lang="th-TH" sz="1000">
                  <a:latin typeface="Times New Roman" pitchFamily="18" charset="0"/>
                  <a:cs typeface="Angsana New" pitchFamily="18" charset="-34"/>
                </a:endParaRPr>
              </a:p>
            </c:rich>
          </c:tx>
          <c:layout>
            <c:manualLayout>
              <c:xMode val="edge"/>
              <c:yMode val="edge"/>
              <c:x val="0.24949862274282891"/>
              <c:y val="0.88756350685846175"/>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78441856"/>
        <c:crosses val="autoZero"/>
        <c:crossBetween val="midCat"/>
        <c:majorUnit val="1"/>
      </c:valAx>
      <c:valAx>
        <c:axId val="78441856"/>
        <c:scaling>
          <c:orientation val="minMax"/>
          <c:min val="15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3.4550235107537346E-2"/>
              <c:y val="7.8410172226704877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34149120"/>
        <c:crosses val="autoZero"/>
        <c:crossBetween val="midCat"/>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60128163505311"/>
          <c:y val="8.9743810202660965E-2"/>
          <c:w val="0.77929054575650225"/>
          <c:h val="0.66607558276890388"/>
        </c:manualLayout>
      </c:layout>
      <c:scatterChart>
        <c:scatterStyle val="lineMarker"/>
        <c:varyColors val="0"/>
        <c:ser>
          <c:idx val="0"/>
          <c:order val="0"/>
          <c:spPr>
            <a:ln w="25400">
              <a:solidFill>
                <a:schemeClr val="tx1"/>
              </a:solidFill>
            </a:ln>
          </c:spPr>
          <c:marker>
            <c:symbol val="diamond"/>
            <c:size val="5"/>
            <c:spPr>
              <a:solidFill>
                <a:sysClr val="windowText" lastClr="000000"/>
              </a:solidFill>
            </c:spPr>
          </c:marker>
          <c:errBars>
            <c:errDir val="y"/>
            <c:errBarType val="both"/>
            <c:errValType val="cust"/>
            <c:noEndCap val="0"/>
            <c:plus>
              <c:numRef>
                <c:f>ข้อมูล_รวม!$G$111:$G$118</c:f>
                <c:numCache>
                  <c:formatCode>General</c:formatCode>
                  <c:ptCount val="8"/>
                  <c:pt idx="0">
                    <c:v>11.660924377309374</c:v>
                  </c:pt>
                  <c:pt idx="1">
                    <c:v>17.895328245102789</c:v>
                  </c:pt>
                  <c:pt idx="2">
                    <c:v>13.395623178238004</c:v>
                  </c:pt>
                  <c:pt idx="3">
                    <c:v>16.012436791444387</c:v>
                  </c:pt>
                  <c:pt idx="4">
                    <c:v>4.9957853236509253</c:v>
                  </c:pt>
                  <c:pt idx="5">
                    <c:v>3.7807700714719839</c:v>
                  </c:pt>
                  <c:pt idx="6">
                    <c:v>10.087466926835564</c:v>
                  </c:pt>
                  <c:pt idx="7">
                    <c:v>8.3018677617351919</c:v>
                  </c:pt>
                </c:numCache>
              </c:numRef>
            </c:plus>
            <c:minus>
              <c:numRef>
                <c:f>ข้อมูล_รวม!$G$111:$G$118</c:f>
                <c:numCache>
                  <c:formatCode>General</c:formatCode>
                  <c:ptCount val="8"/>
                  <c:pt idx="0">
                    <c:v>11.660924377309374</c:v>
                  </c:pt>
                  <c:pt idx="1">
                    <c:v>17.895328245102789</c:v>
                  </c:pt>
                  <c:pt idx="2">
                    <c:v>13.395623178238004</c:v>
                  </c:pt>
                  <c:pt idx="3">
                    <c:v>16.012436791444387</c:v>
                  </c:pt>
                  <c:pt idx="4">
                    <c:v>4.9957853236509253</c:v>
                  </c:pt>
                  <c:pt idx="5">
                    <c:v>3.7807700714719839</c:v>
                  </c:pt>
                  <c:pt idx="6">
                    <c:v>10.087466926835564</c:v>
                  </c:pt>
                  <c:pt idx="7">
                    <c:v>8.3018677617351919</c:v>
                  </c:pt>
                </c:numCache>
              </c:numRef>
            </c:minus>
          </c:errBars>
          <c:xVal>
            <c:numRef>
              <c:f>ข้อมูล_รวม!$B$111:$B$118</c:f>
              <c:numCache>
                <c:formatCode>0</c:formatCode>
                <c:ptCount val="8"/>
                <c:pt idx="0">
                  <c:v>25</c:v>
                </c:pt>
                <c:pt idx="1">
                  <c:v>30</c:v>
                </c:pt>
                <c:pt idx="2">
                  <c:v>40</c:v>
                </c:pt>
                <c:pt idx="3">
                  <c:v>50</c:v>
                </c:pt>
                <c:pt idx="4">
                  <c:v>60</c:v>
                </c:pt>
                <c:pt idx="5">
                  <c:v>70</c:v>
                </c:pt>
                <c:pt idx="6">
                  <c:v>80</c:v>
                </c:pt>
                <c:pt idx="7">
                  <c:v>90</c:v>
                </c:pt>
              </c:numCache>
            </c:numRef>
          </c:xVal>
          <c:yVal>
            <c:numRef>
              <c:f>ข้อมูล_รวม!$F$111:$F$118</c:f>
              <c:numCache>
                <c:formatCode>0.0000</c:formatCode>
                <c:ptCount val="8"/>
                <c:pt idx="0">
                  <c:v>272.26040000000006</c:v>
                </c:pt>
                <c:pt idx="1">
                  <c:v>284.70456666666672</c:v>
                </c:pt>
                <c:pt idx="2">
                  <c:v>294.81620000000004</c:v>
                </c:pt>
                <c:pt idx="3">
                  <c:v>253.99276666666665</c:v>
                </c:pt>
                <c:pt idx="4">
                  <c:v>253.43130000000087</c:v>
                </c:pt>
                <c:pt idx="5">
                  <c:v>180.97586666666658</c:v>
                </c:pt>
                <c:pt idx="6">
                  <c:v>151.63186666666658</c:v>
                </c:pt>
                <c:pt idx="7">
                  <c:v>128.14766666666532</c:v>
                </c:pt>
              </c:numCache>
            </c:numRef>
          </c:yVal>
          <c:smooth val="0"/>
        </c:ser>
        <c:dLbls>
          <c:showLegendKey val="0"/>
          <c:showVal val="0"/>
          <c:showCatName val="0"/>
          <c:showSerName val="0"/>
          <c:showPercent val="0"/>
          <c:showBubbleSize val="0"/>
        </c:dLbls>
        <c:axId val="34187520"/>
        <c:axId val="34189696"/>
      </c:scatterChart>
      <c:valAx>
        <c:axId val="34187520"/>
        <c:scaling>
          <c:orientation val="minMax"/>
          <c:max val="100"/>
          <c:min val="20"/>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Reaction temperature </a:t>
                </a:r>
                <a:r>
                  <a:rPr lang="th-TH" sz="1000" b="1" i="0" baseline="0">
                    <a:latin typeface="Times New Roman" pitchFamily="18" charset="0"/>
                    <a:cs typeface="Angsana New" pitchFamily="18" charset="-34"/>
                  </a:rPr>
                  <a:t>(</a:t>
                </a:r>
                <a:r>
                  <a:rPr lang="en-US" sz="1000" b="1" i="0" baseline="0">
                    <a:latin typeface="Times New Roman" pitchFamily="18" charset="0"/>
                    <a:cs typeface="Times New Roman" pitchFamily="18" charset="0"/>
                  </a:rPr>
                  <a:t>°C</a:t>
                </a:r>
                <a:r>
                  <a:rPr lang="th-TH" sz="1000" b="1" i="0" baseline="0">
                    <a:latin typeface="Times New Roman" pitchFamily="18" charset="0"/>
                    <a:cs typeface="Angsana New" pitchFamily="18" charset="-34"/>
                  </a:rPr>
                  <a:t>)</a:t>
                </a:r>
                <a:endParaRPr lang="th-TH" sz="1000">
                  <a:latin typeface="Times New Roman" pitchFamily="18" charset="0"/>
                  <a:cs typeface="Angsana New" pitchFamily="18" charset="-34"/>
                </a:endParaRPr>
              </a:p>
            </c:rich>
          </c:tx>
          <c:layout>
            <c:manualLayout>
              <c:xMode val="edge"/>
              <c:yMode val="edge"/>
              <c:x val="0.31001718043075088"/>
              <c:y val="0.88129623106727717"/>
            </c:manualLayout>
          </c:layout>
          <c:overlay val="0"/>
        </c:title>
        <c:numFmt formatCode="0" sourceLinked="1"/>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34189696"/>
        <c:crosses val="autoZero"/>
        <c:crossBetween val="midCat"/>
        <c:majorUnit val="10"/>
      </c:valAx>
      <c:valAx>
        <c:axId val="34189696"/>
        <c:scaling>
          <c:orientation val="minMax"/>
          <c:max val="350"/>
          <c:min val="100"/>
        </c:scaling>
        <c:delete val="0"/>
        <c:axPos val="l"/>
        <c:title>
          <c:tx>
            <c:rich>
              <a:bodyPr rot="-5400000" vert="horz"/>
              <a:lstStyle/>
              <a:p>
                <a:pPr>
                  <a:defRPr lang="en-US" sz="1000">
                    <a:latin typeface="Times New Roman" pitchFamily="18" charset="0"/>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1.5507769493415103E-2"/>
              <c:y val="9.1341909726073006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34187520"/>
        <c:crosses val="autoZero"/>
        <c:crossBetween val="midCat"/>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35717524838189"/>
          <c:y val="4.5078185649329042E-2"/>
          <c:w val="0.70602977684559776"/>
          <c:h val="0.70622222345750763"/>
        </c:manualLayout>
      </c:layout>
      <c:scatterChart>
        <c:scatterStyle val="lineMarker"/>
        <c:varyColors val="0"/>
        <c:ser>
          <c:idx val="0"/>
          <c:order val="0"/>
          <c:spPr>
            <a:ln w="25400">
              <a:solidFill>
                <a:prstClr val="black"/>
              </a:solidFill>
            </a:ln>
          </c:spPr>
          <c:marker>
            <c:symbol val="diamond"/>
            <c:size val="4"/>
            <c:spPr>
              <a:solidFill>
                <a:sysClr val="windowText" lastClr="000000"/>
              </a:solidFill>
            </c:spPr>
          </c:marker>
          <c:errBars>
            <c:errDir val="y"/>
            <c:errBarType val="both"/>
            <c:errValType val="cust"/>
            <c:noEndCap val="0"/>
            <c:plus>
              <c:numRef>
                <c:f>ข้อมูล!$G$29:$G$38</c:f>
                <c:numCache>
                  <c:formatCode>General</c:formatCode>
                  <c:ptCount val="10"/>
                  <c:pt idx="0">
                    <c:v>3.28621803902245</c:v>
                  </c:pt>
                  <c:pt idx="1">
                    <c:v>3.5886392964475871</c:v>
                  </c:pt>
                  <c:pt idx="2">
                    <c:v>11.328903315559568</c:v>
                  </c:pt>
                  <c:pt idx="3">
                    <c:v>5.4810393479066324</c:v>
                  </c:pt>
                  <c:pt idx="4">
                    <c:v>11.220196448071468</c:v>
                  </c:pt>
                  <c:pt idx="5">
                    <c:v>8.3563550068202748</c:v>
                  </c:pt>
                  <c:pt idx="6">
                    <c:v>13.88555905728442</c:v>
                  </c:pt>
                  <c:pt idx="7">
                    <c:v>7.0985936870185826</c:v>
                  </c:pt>
                  <c:pt idx="8">
                    <c:v>11.61268836230335</c:v>
                  </c:pt>
                  <c:pt idx="9">
                    <c:v>11.389774931929178</c:v>
                  </c:pt>
                </c:numCache>
              </c:numRef>
            </c:plus>
            <c:minus>
              <c:numRef>
                <c:f>ข้อมูล!$G$29:$G$38</c:f>
                <c:numCache>
                  <c:formatCode>General</c:formatCode>
                  <c:ptCount val="10"/>
                  <c:pt idx="0">
                    <c:v>3.28621803902245</c:v>
                  </c:pt>
                  <c:pt idx="1">
                    <c:v>3.5886392964475871</c:v>
                  </c:pt>
                  <c:pt idx="2">
                    <c:v>11.328903315559568</c:v>
                  </c:pt>
                  <c:pt idx="3">
                    <c:v>5.4810393479066324</c:v>
                  </c:pt>
                  <c:pt idx="4">
                    <c:v>11.220196448071468</c:v>
                  </c:pt>
                  <c:pt idx="5">
                    <c:v>8.3563550068202748</c:v>
                  </c:pt>
                  <c:pt idx="6">
                    <c:v>13.88555905728442</c:v>
                  </c:pt>
                  <c:pt idx="7">
                    <c:v>7.0985936870185826</c:v>
                  </c:pt>
                  <c:pt idx="8">
                    <c:v>11.61268836230335</c:v>
                  </c:pt>
                  <c:pt idx="9">
                    <c:v>11.389774931929178</c:v>
                  </c:pt>
                </c:numCache>
              </c:numRef>
            </c:minus>
          </c:errBars>
          <c:xVal>
            <c:numRef>
              <c:f>ข้อมูล!$B$29:$B$38</c:f>
              <c:numCache>
                <c:formatCode>0</c:formatCode>
                <c:ptCount val="10"/>
                <c:pt idx="0">
                  <c:v>5</c:v>
                </c:pt>
                <c:pt idx="1">
                  <c:v>10</c:v>
                </c:pt>
                <c:pt idx="2">
                  <c:v>15</c:v>
                </c:pt>
                <c:pt idx="3">
                  <c:v>20</c:v>
                </c:pt>
                <c:pt idx="4">
                  <c:v>25</c:v>
                </c:pt>
                <c:pt idx="5">
                  <c:v>30</c:v>
                </c:pt>
                <c:pt idx="6">
                  <c:v>40</c:v>
                </c:pt>
                <c:pt idx="7">
                  <c:v>50</c:v>
                </c:pt>
                <c:pt idx="8">
                  <c:v>60</c:v>
                </c:pt>
                <c:pt idx="9">
                  <c:v>70</c:v>
                </c:pt>
              </c:numCache>
            </c:numRef>
          </c:xVal>
          <c:yVal>
            <c:numRef>
              <c:f>ข้อมูล!$F$29:$F$38</c:f>
              <c:numCache>
                <c:formatCode>0.0000</c:formatCode>
                <c:ptCount val="10"/>
                <c:pt idx="0">
                  <c:v>139.64393333333334</c:v>
                </c:pt>
                <c:pt idx="1">
                  <c:v>223.71593333333331</c:v>
                </c:pt>
                <c:pt idx="2">
                  <c:v>260.33296666666672</c:v>
                </c:pt>
                <c:pt idx="3">
                  <c:v>292.96956666666671</c:v>
                </c:pt>
                <c:pt idx="4">
                  <c:v>277.74753333333985</c:v>
                </c:pt>
                <c:pt idx="5">
                  <c:v>274.41436666666675</c:v>
                </c:pt>
                <c:pt idx="6">
                  <c:v>279.33480000000031</c:v>
                </c:pt>
                <c:pt idx="7">
                  <c:v>278.87726666666708</c:v>
                </c:pt>
                <c:pt idx="8">
                  <c:v>286.63183333333438</c:v>
                </c:pt>
                <c:pt idx="9">
                  <c:v>281.00369999999964</c:v>
                </c:pt>
              </c:numCache>
            </c:numRef>
          </c:yVal>
          <c:smooth val="0"/>
        </c:ser>
        <c:dLbls>
          <c:showLegendKey val="0"/>
          <c:showVal val="0"/>
          <c:showCatName val="0"/>
          <c:showSerName val="0"/>
          <c:showPercent val="0"/>
          <c:showBubbleSize val="0"/>
        </c:dLbls>
        <c:axId val="66593536"/>
        <c:axId val="66595456"/>
      </c:scatterChart>
      <c:valAx>
        <c:axId val="66593536"/>
        <c:scaling>
          <c:orientation val="minMax"/>
        </c:scaling>
        <c:delete val="0"/>
        <c:axPos val="b"/>
        <c:title>
          <c:tx>
            <c:rich>
              <a:bodyPr/>
              <a:lstStyle/>
              <a:p>
                <a:pPr>
                  <a:defRPr lang="en-US" sz="1000">
                    <a:latin typeface="Times New Roman" pitchFamily="18" charset="0"/>
                    <a:cs typeface="Times New Roman" pitchFamily="18" charset="0"/>
                  </a:defRPr>
                </a:pPr>
                <a:r>
                  <a:rPr lang="en-US" sz="1000" b="1" i="0" baseline="0">
                    <a:latin typeface="Times New Roman" pitchFamily="18" charset="0"/>
                    <a:cs typeface="Times New Roman" pitchFamily="18" charset="0"/>
                  </a:rPr>
                  <a:t>Reaction time </a:t>
                </a:r>
                <a:r>
                  <a:rPr lang="th-TH" sz="1000" b="1" i="0" baseline="0">
                    <a:latin typeface="Times New Roman" pitchFamily="18" charset="0"/>
                  </a:rPr>
                  <a:t>(</a:t>
                </a:r>
                <a:r>
                  <a:rPr lang="en-US" sz="1000" b="1" i="0" baseline="0">
                    <a:latin typeface="Times New Roman" pitchFamily="18" charset="0"/>
                    <a:cs typeface="Times New Roman" pitchFamily="18" charset="0"/>
                  </a:rPr>
                  <a:t>min</a:t>
                </a:r>
                <a:r>
                  <a:rPr lang="th-TH" sz="1000" b="1" i="0" baseline="0">
                    <a:latin typeface="Times New Roman" pitchFamily="18" charset="0"/>
                  </a:rPr>
                  <a:t>)</a:t>
                </a:r>
                <a:endParaRPr lang="th-TH" sz="1000">
                  <a:latin typeface="Times New Roman" pitchFamily="18" charset="0"/>
                </a:endParaRPr>
              </a:p>
            </c:rich>
          </c:tx>
          <c:layout>
            <c:manualLayout>
              <c:xMode val="edge"/>
              <c:yMode val="edge"/>
              <c:x val="0.36149420623732081"/>
              <c:y val="0.89763501588422168"/>
            </c:manualLayout>
          </c:layout>
          <c:overlay val="0"/>
        </c:title>
        <c:numFmt formatCode="0" sourceLinked="1"/>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66595456"/>
        <c:crosses val="autoZero"/>
        <c:crossBetween val="midCat"/>
        <c:majorUnit val="10"/>
      </c:valAx>
      <c:valAx>
        <c:axId val="66595456"/>
        <c:scaling>
          <c:orientation val="minMax"/>
          <c:max val="350"/>
          <c:min val="100"/>
        </c:scaling>
        <c:delete val="0"/>
        <c:axPos val="l"/>
        <c:title>
          <c:tx>
            <c:rich>
              <a:bodyPr rot="-5400000" vert="horz"/>
              <a:lstStyle/>
              <a:p>
                <a:pPr>
                  <a:defRPr lang="en-US" sz="1000">
                    <a:latin typeface="Times New Roman" pitchFamily="18" charset="0"/>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4.6437729315249289E-2"/>
              <c:y val="9.140401463901518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66593536"/>
        <c:crosses val="autoZero"/>
        <c:crossBetween val="midCat"/>
        <c:majorUnit val="30"/>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49361808538051"/>
          <c:y val="4.6104828029501256E-2"/>
          <c:w val="0.71319967060392608"/>
          <c:h val="0.67092395307275665"/>
        </c:manualLayout>
      </c:layout>
      <c:scatterChart>
        <c:scatterStyle val="lineMarker"/>
        <c:varyColors val="0"/>
        <c:ser>
          <c:idx val="0"/>
          <c:order val="0"/>
          <c:spPr>
            <a:ln w="25400">
              <a:solidFill>
                <a:prstClr val="black"/>
              </a:solidFill>
            </a:ln>
          </c:spPr>
          <c:marker>
            <c:symbol val="diamond"/>
            <c:size val="5"/>
            <c:spPr>
              <a:solidFill>
                <a:sysClr val="windowText" lastClr="000000"/>
              </a:solidFill>
            </c:spPr>
          </c:marker>
          <c:errBars>
            <c:errDir val="y"/>
            <c:errBarType val="both"/>
            <c:errValType val="cust"/>
            <c:noEndCap val="0"/>
            <c:plus>
              <c:numRef>
                <c:f>ข้อมูล!$G$29:$G$38</c:f>
                <c:numCache>
                  <c:formatCode>General</c:formatCode>
                  <c:ptCount val="10"/>
                  <c:pt idx="0">
                    <c:v>2.0647666042438027</c:v>
                  </c:pt>
                  <c:pt idx="1">
                    <c:v>12.49524094738987</c:v>
                  </c:pt>
                  <c:pt idx="2">
                    <c:v>23.532331914481468</c:v>
                  </c:pt>
                  <c:pt idx="3">
                    <c:v>28.247593685126429</c:v>
                  </c:pt>
                  <c:pt idx="4">
                    <c:v>18.401397483162452</c:v>
                  </c:pt>
                  <c:pt idx="5">
                    <c:v>8.7254533597576227</c:v>
                  </c:pt>
                  <c:pt idx="6">
                    <c:v>8.8633893253855067</c:v>
                  </c:pt>
                  <c:pt idx="7">
                    <c:v>10.344058987329417</c:v>
                  </c:pt>
                  <c:pt idx="8">
                    <c:v>10.209247425740848</c:v>
                  </c:pt>
                  <c:pt idx="9">
                    <c:v>10.24397580694669</c:v>
                  </c:pt>
                </c:numCache>
              </c:numRef>
            </c:plus>
            <c:minus>
              <c:numRef>
                <c:f>ข้อมูล!$G$29:$G$38</c:f>
                <c:numCache>
                  <c:formatCode>General</c:formatCode>
                  <c:ptCount val="10"/>
                  <c:pt idx="0">
                    <c:v>2.0647666042438027</c:v>
                  </c:pt>
                  <c:pt idx="1">
                    <c:v>12.49524094738987</c:v>
                  </c:pt>
                  <c:pt idx="2">
                    <c:v>23.532331914481468</c:v>
                  </c:pt>
                  <c:pt idx="3">
                    <c:v>28.247593685126429</c:v>
                  </c:pt>
                  <c:pt idx="4">
                    <c:v>18.401397483162452</c:v>
                  </c:pt>
                  <c:pt idx="5">
                    <c:v>8.7254533597576227</c:v>
                  </c:pt>
                  <c:pt idx="6">
                    <c:v>8.8633893253855067</c:v>
                  </c:pt>
                  <c:pt idx="7">
                    <c:v>10.344058987329417</c:v>
                  </c:pt>
                  <c:pt idx="8">
                    <c:v>10.209247425740848</c:v>
                  </c:pt>
                  <c:pt idx="9">
                    <c:v>10.24397580694669</c:v>
                  </c:pt>
                </c:numCache>
              </c:numRef>
            </c:minus>
          </c:errBars>
          <c:xVal>
            <c:numRef>
              <c:f>ข้อมูล!$B$29:$B$38</c:f>
              <c:numCache>
                <c:formatCode>0.00</c:formatCode>
                <c:ptCount val="10"/>
                <c:pt idx="0">
                  <c:v>10</c:v>
                </c:pt>
                <c:pt idx="1">
                  <c:v>30</c:v>
                </c:pt>
                <c:pt idx="2">
                  <c:v>50</c:v>
                </c:pt>
                <c:pt idx="3">
                  <c:v>70</c:v>
                </c:pt>
                <c:pt idx="4">
                  <c:v>90</c:v>
                </c:pt>
                <c:pt idx="5">
                  <c:v>100</c:v>
                </c:pt>
                <c:pt idx="6">
                  <c:v>160</c:v>
                </c:pt>
                <c:pt idx="7">
                  <c:v>200</c:v>
                </c:pt>
                <c:pt idx="8">
                  <c:v>300</c:v>
                </c:pt>
                <c:pt idx="9">
                  <c:v>400</c:v>
                </c:pt>
              </c:numCache>
            </c:numRef>
          </c:xVal>
          <c:yVal>
            <c:numRef>
              <c:f>ข้อมูล!$F$29:$F$38</c:f>
              <c:numCache>
                <c:formatCode>0.0000</c:formatCode>
                <c:ptCount val="10"/>
                <c:pt idx="0">
                  <c:v>73.006883333333278</c:v>
                </c:pt>
                <c:pt idx="1">
                  <c:v>204.73294000000001</c:v>
                </c:pt>
                <c:pt idx="2">
                  <c:v>278.13748333333928</c:v>
                </c:pt>
                <c:pt idx="3">
                  <c:v>310.56830666666673</c:v>
                </c:pt>
                <c:pt idx="4">
                  <c:v>328.93519666666663</c:v>
                </c:pt>
                <c:pt idx="5">
                  <c:v>313.38760333333818</c:v>
                </c:pt>
                <c:pt idx="6">
                  <c:v>290.9665333333333</c:v>
                </c:pt>
                <c:pt idx="7">
                  <c:v>275.25103333333402</c:v>
                </c:pt>
                <c:pt idx="8">
                  <c:v>226.91756666666652</c:v>
                </c:pt>
                <c:pt idx="9">
                  <c:v>194.71936666666537</c:v>
                </c:pt>
              </c:numCache>
            </c:numRef>
          </c:yVal>
          <c:smooth val="0"/>
        </c:ser>
        <c:dLbls>
          <c:showLegendKey val="0"/>
          <c:showVal val="0"/>
          <c:showCatName val="0"/>
          <c:showSerName val="0"/>
          <c:showPercent val="0"/>
          <c:showBubbleSize val="0"/>
        </c:dLbls>
        <c:axId val="66620032"/>
        <c:axId val="76419840"/>
      </c:scatterChart>
      <c:valAx>
        <c:axId val="66620032"/>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Concentration of DABA</a:t>
                </a:r>
                <a:r>
                  <a:rPr lang="th-TH" sz="1000" b="1" i="0" baseline="0">
                    <a:latin typeface="Times New Roman" pitchFamily="18" charset="0"/>
                    <a:cs typeface="Times New Roman" pitchFamily="18" charset="0"/>
                  </a:rPr>
                  <a:t> </a:t>
                </a:r>
                <a:r>
                  <a:rPr lang="th-TH" sz="1000" b="1" i="0" baseline="0">
                    <a:latin typeface="Times New Roman" pitchFamily="18" charset="0"/>
                  </a:rPr>
                  <a:t>(</a:t>
                </a:r>
                <a:r>
                  <a:rPr lang="en-US" sz="1000" b="1" i="0" baseline="0">
                    <a:latin typeface="Times New Roman" pitchFamily="18" charset="0"/>
                    <a:cs typeface="Times New Roman" pitchFamily="18" charset="0"/>
                  </a:rPr>
                  <a:t>µM)</a:t>
                </a:r>
                <a:endParaRPr lang="th-TH" sz="1000" b="1" i="0" baseline="0">
                  <a:latin typeface="Times New Roman" pitchFamily="18" charset="0"/>
                </a:endParaRPr>
              </a:p>
            </c:rich>
          </c:tx>
          <c:layout>
            <c:manualLayout>
              <c:xMode val="edge"/>
              <c:yMode val="edge"/>
              <c:x val="0.30226579435366657"/>
              <c:y val="0.89795918367346961"/>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76419840"/>
        <c:crosses val="autoZero"/>
        <c:crossBetween val="midCat"/>
        <c:majorUnit val="100"/>
      </c:valAx>
      <c:valAx>
        <c:axId val="76419840"/>
        <c:scaling>
          <c:orientation val="minMax"/>
          <c:min val="5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4.2093671713649201E-2"/>
              <c:y val="5.6120509566846007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66620032"/>
        <c:crosses val="autoZero"/>
        <c:crossBetween val="midCat"/>
        <c:majorUnit val="50"/>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795C5-55A8-4CA7-BF04-BAC0E814E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3036</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5</cp:revision>
  <cp:lastPrinted>2015-06-11T07:43:00Z</cp:lastPrinted>
  <dcterms:created xsi:type="dcterms:W3CDTF">2015-06-04T01:01:00Z</dcterms:created>
  <dcterms:modified xsi:type="dcterms:W3CDTF">2015-06-11T07:45:00Z</dcterms:modified>
</cp:coreProperties>
</file>