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4D6746" w:rsidRPr="005217E3" w:rsidRDefault="004D6746" w:rsidP="004D6746">
      <w:pPr>
        <w:pStyle w:val="Title1"/>
        <w:spacing w:before="0" w:after="0" w:line="240" w:lineRule="auto"/>
        <w:jc w:val="center"/>
        <w:rPr>
          <w:rFonts w:asciiTheme="majorBidi" w:hAnsiTheme="majorBidi" w:cstheme="majorBidi"/>
          <w:b w:val="0"/>
          <w:bCs/>
          <w:sz w:val="28"/>
          <w:lang w:val="en-US"/>
        </w:rPr>
      </w:pPr>
      <w:r w:rsidRPr="005217E3">
        <w:rPr>
          <w:rFonts w:asciiTheme="majorBidi" w:hAnsiTheme="majorBidi" w:cstheme="majorBidi"/>
          <w:b w:val="0"/>
          <w:bCs/>
          <w:sz w:val="28"/>
          <w:lang w:val="en-US"/>
        </w:rPr>
        <w:t>SELECTIVE SURFACE CHARACTERISTICS AND EXTRACTION PERFORMANCE OF A NITRO-GROUP EXPLOSIVE MOLECULARLY IMPRINTED POLYMER</w:t>
      </w:r>
    </w:p>
    <w:p w:rsidR="006768E9" w:rsidRPr="00F447A7" w:rsidRDefault="006768E9" w:rsidP="004D6746">
      <w:pPr>
        <w:spacing w:after="0" w:line="240" w:lineRule="auto"/>
        <w:jc w:val="center"/>
        <w:rPr>
          <w:rFonts w:ascii="Times New Roman" w:hAnsi="Times New Roman"/>
          <w:noProof/>
          <w:sz w:val="24"/>
          <w:szCs w:val="24"/>
          <w:lang w:bidi="ar-SA"/>
        </w:rPr>
      </w:pPr>
    </w:p>
    <w:p w:rsidR="004D6746" w:rsidRPr="005217E3" w:rsidRDefault="004D6746" w:rsidP="004D6746">
      <w:pPr>
        <w:spacing w:after="0" w:line="240" w:lineRule="auto"/>
        <w:jc w:val="center"/>
        <w:rPr>
          <w:rFonts w:asciiTheme="majorBidi" w:hAnsiTheme="majorBidi" w:cstheme="majorBidi"/>
          <w:sz w:val="24"/>
          <w:szCs w:val="24"/>
          <w:lang w:eastAsia="ja-JP"/>
        </w:rPr>
      </w:pPr>
      <w:r w:rsidRPr="005217E3">
        <w:rPr>
          <w:rFonts w:asciiTheme="majorBidi" w:hAnsiTheme="majorBidi" w:cstheme="majorBidi"/>
          <w:sz w:val="24"/>
          <w:szCs w:val="24"/>
          <w:lang w:eastAsia="ja-JP"/>
        </w:rPr>
        <w:t>(Karekter Permukaan yang Selektif dan Prestasi Pengekstrakan Kumpulan Nitro Peletup Polimer Molekul Tercetak)</w:t>
      </w:r>
    </w:p>
    <w:p w:rsidR="006768E9" w:rsidRPr="00F447A7" w:rsidRDefault="006768E9" w:rsidP="004D6746">
      <w:pPr>
        <w:spacing w:after="0" w:line="240" w:lineRule="auto"/>
        <w:jc w:val="center"/>
        <w:rPr>
          <w:rFonts w:ascii="Times New Roman" w:hAnsi="Times New Roman"/>
          <w:noProof/>
          <w:sz w:val="20"/>
          <w:szCs w:val="20"/>
          <w:lang w:bidi="ar-SA"/>
        </w:rPr>
      </w:pPr>
    </w:p>
    <w:p w:rsidR="004D6746" w:rsidRPr="00CC2B87" w:rsidRDefault="004D6746" w:rsidP="004D6746">
      <w:pPr>
        <w:spacing w:after="0" w:line="240" w:lineRule="auto"/>
        <w:jc w:val="center"/>
        <w:rPr>
          <w:rFonts w:asciiTheme="majorBidi" w:hAnsiTheme="majorBidi" w:cstheme="majorBidi"/>
          <w:sz w:val="20"/>
          <w:szCs w:val="20"/>
          <w:vertAlign w:val="superscript"/>
          <w:lang w:eastAsia="ja-JP"/>
        </w:rPr>
      </w:pPr>
      <w:r w:rsidRPr="00CC2B87">
        <w:rPr>
          <w:rFonts w:asciiTheme="majorBidi" w:hAnsiTheme="majorBidi" w:cstheme="majorBidi"/>
          <w:sz w:val="20"/>
          <w:szCs w:val="20"/>
          <w:lang w:eastAsia="ja-JP"/>
        </w:rPr>
        <w:t>Marinah Mohd Ariffin</w:t>
      </w:r>
      <w:r w:rsidRPr="00CC2B87">
        <w:rPr>
          <w:rFonts w:asciiTheme="majorBidi" w:hAnsiTheme="majorBidi" w:cstheme="majorBidi"/>
          <w:sz w:val="20"/>
          <w:szCs w:val="20"/>
          <w:vertAlign w:val="superscript"/>
          <w:lang w:eastAsia="ja-JP"/>
        </w:rPr>
        <w:t>1</w:t>
      </w:r>
      <w:r w:rsidRPr="004D6746">
        <w:rPr>
          <w:rFonts w:asciiTheme="majorBidi" w:hAnsiTheme="majorBidi" w:cstheme="majorBidi"/>
          <w:sz w:val="20"/>
          <w:szCs w:val="20"/>
          <w:lang w:eastAsia="ja-JP"/>
        </w:rPr>
        <w:t>*</w:t>
      </w:r>
      <w:r w:rsidRPr="00CC2B87">
        <w:rPr>
          <w:rFonts w:asciiTheme="majorBidi" w:hAnsiTheme="majorBidi" w:cstheme="majorBidi"/>
          <w:sz w:val="20"/>
          <w:szCs w:val="20"/>
          <w:lang w:eastAsia="ja-JP"/>
        </w:rPr>
        <w:t>, Norhafiza Ilyana Yatim</w:t>
      </w:r>
      <w:r w:rsidRPr="00CC2B87">
        <w:rPr>
          <w:rFonts w:asciiTheme="majorBidi" w:hAnsiTheme="majorBidi" w:cstheme="majorBidi"/>
          <w:sz w:val="20"/>
          <w:szCs w:val="20"/>
          <w:vertAlign w:val="superscript"/>
          <w:lang w:eastAsia="ja-JP"/>
        </w:rPr>
        <w:t>1</w:t>
      </w:r>
      <w:r w:rsidRPr="00CC2B87">
        <w:rPr>
          <w:rFonts w:asciiTheme="majorBidi" w:hAnsiTheme="majorBidi" w:cstheme="majorBidi"/>
          <w:sz w:val="20"/>
          <w:szCs w:val="20"/>
          <w:lang w:eastAsia="ja-JP"/>
        </w:rPr>
        <w:t>, Norhayati Mohd Tahir</w:t>
      </w:r>
      <w:r w:rsidRPr="00CC2B87">
        <w:rPr>
          <w:rFonts w:asciiTheme="majorBidi" w:hAnsiTheme="majorBidi" w:cstheme="majorBidi"/>
          <w:sz w:val="20"/>
          <w:szCs w:val="20"/>
          <w:vertAlign w:val="superscript"/>
          <w:lang w:eastAsia="ja-JP"/>
        </w:rPr>
        <w:t>1,2</w:t>
      </w:r>
    </w:p>
    <w:p w:rsidR="006768E9" w:rsidRPr="00F447A7" w:rsidRDefault="006768E9" w:rsidP="004D6746">
      <w:pPr>
        <w:spacing w:after="0" w:line="240" w:lineRule="auto"/>
        <w:jc w:val="center"/>
        <w:rPr>
          <w:rFonts w:ascii="Times New Roman" w:hAnsi="Times New Roman"/>
          <w:noProof/>
          <w:sz w:val="18"/>
          <w:szCs w:val="18"/>
          <w:lang w:bidi="ar-SA"/>
        </w:rPr>
      </w:pPr>
    </w:p>
    <w:p w:rsidR="004D6746" w:rsidRDefault="004D6746" w:rsidP="004D6746">
      <w:pPr>
        <w:spacing w:after="0" w:line="240" w:lineRule="auto"/>
        <w:jc w:val="center"/>
        <w:rPr>
          <w:rFonts w:asciiTheme="majorBidi" w:hAnsiTheme="majorBidi" w:cstheme="majorBidi"/>
          <w:i/>
          <w:iCs/>
          <w:sz w:val="18"/>
          <w:szCs w:val="18"/>
          <w:lang w:eastAsia="ja-JP"/>
        </w:rPr>
      </w:pPr>
      <w:r w:rsidRPr="00CC2BC6">
        <w:rPr>
          <w:rFonts w:asciiTheme="majorBidi" w:hAnsiTheme="majorBidi" w:cstheme="majorBidi"/>
          <w:i/>
          <w:iCs/>
          <w:sz w:val="18"/>
          <w:szCs w:val="18"/>
          <w:vertAlign w:val="superscript"/>
          <w:lang w:eastAsia="ja-JP"/>
        </w:rPr>
        <w:t>1</w:t>
      </w:r>
      <w:r w:rsidRPr="00CC2BC6">
        <w:rPr>
          <w:rFonts w:asciiTheme="majorBidi" w:hAnsiTheme="majorBidi" w:cstheme="majorBidi"/>
          <w:i/>
          <w:iCs/>
          <w:sz w:val="18"/>
          <w:szCs w:val="18"/>
          <w:lang w:eastAsia="ja-JP"/>
        </w:rPr>
        <w:t xml:space="preserve">School of Marine and Environmental Sciences, </w:t>
      </w:r>
    </w:p>
    <w:p w:rsidR="004D6746" w:rsidRDefault="004D6746" w:rsidP="004D6746">
      <w:pPr>
        <w:spacing w:after="0" w:line="240" w:lineRule="auto"/>
        <w:jc w:val="center"/>
        <w:rPr>
          <w:rFonts w:asciiTheme="majorBidi" w:hAnsiTheme="majorBidi" w:cstheme="majorBidi"/>
          <w:i/>
          <w:iCs/>
          <w:sz w:val="18"/>
          <w:szCs w:val="18"/>
          <w:lang w:eastAsia="ja-JP"/>
        </w:rPr>
      </w:pPr>
      <w:r w:rsidRPr="00CC2BC6">
        <w:rPr>
          <w:rFonts w:asciiTheme="majorBidi" w:hAnsiTheme="majorBidi" w:cstheme="majorBidi"/>
          <w:i/>
          <w:iCs/>
          <w:sz w:val="18"/>
          <w:szCs w:val="18"/>
          <w:vertAlign w:val="superscript"/>
          <w:lang w:eastAsia="ja-JP"/>
        </w:rPr>
        <w:t>2</w:t>
      </w:r>
      <w:r w:rsidRPr="00CC2BC6">
        <w:rPr>
          <w:rFonts w:asciiTheme="majorBidi" w:hAnsiTheme="majorBidi" w:cstheme="majorBidi"/>
          <w:i/>
          <w:iCs/>
          <w:sz w:val="18"/>
          <w:szCs w:val="18"/>
          <w:lang w:eastAsia="ja-JP"/>
        </w:rPr>
        <w:t xml:space="preserve">Institute of Oceanography, </w:t>
      </w:r>
    </w:p>
    <w:p w:rsidR="004D6746" w:rsidRPr="00CC2BC6" w:rsidRDefault="004D6746" w:rsidP="004D6746">
      <w:pPr>
        <w:spacing w:after="0" w:line="240" w:lineRule="auto"/>
        <w:jc w:val="center"/>
        <w:rPr>
          <w:rFonts w:asciiTheme="majorBidi" w:hAnsiTheme="majorBidi" w:cstheme="majorBidi"/>
          <w:i/>
          <w:iCs/>
          <w:sz w:val="18"/>
          <w:szCs w:val="18"/>
          <w:lang w:eastAsia="ja-JP"/>
        </w:rPr>
      </w:pPr>
      <w:r w:rsidRPr="00CC2BC6">
        <w:rPr>
          <w:rFonts w:asciiTheme="majorBidi" w:hAnsiTheme="majorBidi" w:cstheme="majorBidi"/>
          <w:i/>
          <w:iCs/>
          <w:sz w:val="18"/>
          <w:szCs w:val="18"/>
          <w:lang w:eastAsia="ja-JP"/>
        </w:rPr>
        <w:t>Universiti Malaysia Terengganu,</w:t>
      </w:r>
      <w:r>
        <w:rPr>
          <w:rFonts w:asciiTheme="majorBidi" w:hAnsiTheme="majorBidi" w:cstheme="majorBidi"/>
          <w:i/>
          <w:iCs/>
          <w:sz w:val="18"/>
          <w:szCs w:val="18"/>
          <w:lang w:eastAsia="ja-JP"/>
        </w:rPr>
        <w:t xml:space="preserve"> </w:t>
      </w:r>
      <w:r w:rsidRPr="00CC2BC6">
        <w:rPr>
          <w:rFonts w:asciiTheme="majorBidi" w:hAnsiTheme="majorBidi" w:cstheme="majorBidi"/>
          <w:i/>
          <w:iCs/>
          <w:sz w:val="18"/>
          <w:szCs w:val="18"/>
          <w:lang w:eastAsia="ja-JP"/>
        </w:rPr>
        <w:t>21300 Kuala Terengganu, Malaysia</w:t>
      </w:r>
    </w:p>
    <w:p w:rsidR="006768E9" w:rsidRPr="00F447A7" w:rsidRDefault="006768E9" w:rsidP="004D6746">
      <w:pPr>
        <w:spacing w:after="0" w:line="240" w:lineRule="auto"/>
        <w:jc w:val="center"/>
        <w:rPr>
          <w:rFonts w:ascii="Times New Roman" w:hAnsi="Times New Roman"/>
          <w:noProof/>
          <w:sz w:val="18"/>
          <w:szCs w:val="18"/>
          <w:lang w:bidi="ar-SA"/>
        </w:rPr>
      </w:pPr>
    </w:p>
    <w:p w:rsidR="006768E9" w:rsidRPr="004D6746" w:rsidRDefault="006768E9" w:rsidP="004D6746">
      <w:pPr>
        <w:spacing w:after="0" w:line="240" w:lineRule="auto"/>
        <w:jc w:val="center"/>
        <w:rPr>
          <w:rFonts w:asciiTheme="majorBidi" w:hAnsiTheme="majorBidi" w:cstheme="majorBidi"/>
          <w:bCs/>
          <w:i/>
          <w:iCs/>
          <w:sz w:val="18"/>
          <w:szCs w:val="18"/>
          <w:lang w:val="en-GB"/>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4D6746" w:rsidRPr="00376704">
        <w:rPr>
          <w:rFonts w:asciiTheme="majorBidi" w:hAnsiTheme="majorBidi" w:cstheme="majorBidi"/>
          <w:bCs/>
          <w:i/>
          <w:iCs/>
          <w:sz w:val="18"/>
          <w:szCs w:val="18"/>
          <w:lang w:val="en-GB"/>
        </w:rPr>
        <w:t xml:space="preserve"> </w:t>
      </w:r>
      <w:r w:rsidR="004D6746" w:rsidRPr="004D6746">
        <w:rPr>
          <w:rFonts w:asciiTheme="majorBidi" w:hAnsiTheme="majorBidi" w:cstheme="majorBidi"/>
          <w:bCs/>
          <w:i/>
          <w:iCs/>
          <w:sz w:val="18"/>
          <w:szCs w:val="18"/>
          <w:lang w:val="en-GB"/>
        </w:rPr>
        <w:t>erin@umt.edu.my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4681C">
        <w:rPr>
          <w:rFonts w:ascii="Times New Roman" w:hAnsi="Times New Roman"/>
          <w:noProof/>
          <w:sz w:val="18"/>
          <w:szCs w:val="18"/>
          <w:lang w:bidi="ar-SA"/>
        </w:rPr>
        <w:t>21 January 2015</w:t>
      </w:r>
      <w:r>
        <w:rPr>
          <w:rFonts w:ascii="Times New Roman" w:hAnsi="Times New Roman"/>
          <w:noProof/>
          <w:sz w:val="18"/>
          <w:szCs w:val="18"/>
          <w:lang w:bidi="ar-SA"/>
        </w:rPr>
        <w:t xml:space="preserve">; Accepted: </w:t>
      </w:r>
      <w:r w:rsidR="00A4681C">
        <w:rPr>
          <w:rFonts w:ascii="Times New Roman" w:hAnsi="Times New Roman"/>
          <w:noProof/>
          <w:sz w:val="18"/>
          <w:szCs w:val="18"/>
          <w:lang w:bidi="ar-SA"/>
        </w:rPr>
        <w:t>5 April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D6746" w:rsidRPr="00376704" w:rsidRDefault="004D6746" w:rsidP="004D6746">
      <w:pPr>
        <w:spacing w:after="0" w:line="240" w:lineRule="auto"/>
        <w:jc w:val="both"/>
        <w:rPr>
          <w:rFonts w:asciiTheme="majorBidi" w:hAnsiTheme="majorBidi" w:cstheme="majorBidi"/>
          <w:sz w:val="18"/>
          <w:szCs w:val="18"/>
        </w:rPr>
      </w:pPr>
      <w:r w:rsidRPr="00376704">
        <w:rPr>
          <w:rFonts w:asciiTheme="majorBidi" w:hAnsiTheme="majorBidi" w:cstheme="majorBidi"/>
          <w:sz w:val="18"/>
          <w:szCs w:val="18"/>
        </w:rPr>
        <w:t>A novel molecularly imprinted polymer (MIP) was synthesized as a highly selective and specific sorbent for solid phase extraction (SPE) of 2,4,6-trinitrotoluene (TNT). TNT-MIP was prepared by bulk polymerisation process using 2,4,6-trinitrotoluene (TNT) as template, methacrylic acid (MAA) as the functional monomer and ethylene glycol dimethylacrylate (EGDMA) as the cross-linker. Non-imprinted polymer (NIP) was prepared under the similar procedure but without the addition of template as a control polymer. Prior to analysis, the polymer monoliths were ground and sieved in the range of 25-38 µm before incorporated as SPE sorbent. The TNT-MIP and NIP performance validation were analysed by high performance liquid chromatography (HPLC) at 254 nm of UV detector. The limit of detection (LOD) and limit of quantitation (LOQ) range were 0.03-0.07 µg/mL and 0.05-0.11 µg/mL, respectively. The MIP showed excellent selectivity towards the template, TNT with percentage recovery and RSD value, 94.1±13.7 compared to TNT’s metabolites, 4-amino-2,6-dinitrotoluene, 4-ADNT (31.7±27.2) and 2-amino-4,6-dinitrotoluene, 2-ADNT (41.2±6.1), respectively. The physical imprinting effect of MIP and NIP was characterized by using scanning electron microscopy (SEM) and Brunauer, Emmett and Teller (BET). Evaluation performance proved that the developed TNT-MIP was good in TNT selectivity and could be applied in real samples analysis.</w:t>
      </w:r>
    </w:p>
    <w:p w:rsidR="004D6746" w:rsidRPr="00376704" w:rsidRDefault="004D6746" w:rsidP="004D6746">
      <w:pPr>
        <w:spacing w:after="0" w:line="240" w:lineRule="auto"/>
        <w:jc w:val="both"/>
        <w:rPr>
          <w:rFonts w:asciiTheme="majorBidi" w:hAnsiTheme="majorBidi" w:cstheme="majorBidi"/>
          <w:sz w:val="18"/>
          <w:szCs w:val="18"/>
        </w:rPr>
      </w:pPr>
    </w:p>
    <w:p w:rsidR="004D6746" w:rsidRPr="00376704" w:rsidRDefault="004D6746" w:rsidP="004D6746">
      <w:pPr>
        <w:spacing w:after="0" w:line="240" w:lineRule="auto"/>
        <w:jc w:val="both"/>
        <w:rPr>
          <w:rFonts w:asciiTheme="majorBidi" w:hAnsiTheme="majorBidi" w:cstheme="majorBidi"/>
          <w:sz w:val="18"/>
          <w:szCs w:val="18"/>
        </w:rPr>
      </w:pPr>
      <w:r w:rsidRPr="00376704">
        <w:rPr>
          <w:rFonts w:asciiTheme="majorBidi" w:hAnsiTheme="majorBidi" w:cstheme="majorBidi"/>
          <w:b/>
          <w:sz w:val="18"/>
          <w:szCs w:val="18"/>
        </w:rPr>
        <w:t>Keywords:</w:t>
      </w:r>
      <w:r w:rsidRPr="00376704">
        <w:rPr>
          <w:rFonts w:asciiTheme="majorBidi" w:hAnsiTheme="majorBidi" w:cstheme="majorBidi"/>
          <w:sz w:val="18"/>
          <w:szCs w:val="18"/>
        </w:rPr>
        <w:t xml:space="preserve"> molecularly imprinted polymers, solid-phase extraction, 2,4,6-trinitrotoluene</w:t>
      </w:r>
    </w:p>
    <w:p w:rsidR="004D6746" w:rsidRDefault="004D6746"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4D6746" w:rsidRPr="00376704" w:rsidRDefault="004D6746" w:rsidP="004D67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color w:val="212121"/>
          <w:sz w:val="18"/>
          <w:szCs w:val="18"/>
        </w:rPr>
      </w:pPr>
      <w:r w:rsidRPr="00376704">
        <w:rPr>
          <w:rFonts w:asciiTheme="majorBidi" w:hAnsiTheme="majorBidi" w:cstheme="majorBidi"/>
          <w:color w:val="212121"/>
          <w:sz w:val="18"/>
          <w:szCs w:val="18"/>
        </w:rPr>
        <w:t>Sebuah polimer molekul tercetak (MIP) baru telah disintesis sebagai pengerap yang sangat selektif dan khusus untuk pengekstrakan fasa pepejal (SPE) bagi</w:t>
      </w:r>
      <w:r>
        <w:rPr>
          <w:rFonts w:asciiTheme="majorBidi" w:hAnsiTheme="majorBidi" w:cstheme="majorBidi"/>
          <w:color w:val="212121"/>
          <w:sz w:val="18"/>
          <w:szCs w:val="18"/>
        </w:rPr>
        <w:t xml:space="preserve"> 2,4,6- </w:t>
      </w:r>
      <w:r w:rsidRPr="00376704">
        <w:rPr>
          <w:rFonts w:asciiTheme="majorBidi" w:hAnsiTheme="majorBidi" w:cstheme="majorBidi"/>
          <w:color w:val="212121"/>
          <w:sz w:val="18"/>
          <w:szCs w:val="18"/>
        </w:rPr>
        <w:t>trinitrotoluena (TNT). TNT-MIP telah disediakan dengan proses pempolimeran pukal me</w:t>
      </w:r>
      <w:r>
        <w:rPr>
          <w:rFonts w:asciiTheme="majorBidi" w:hAnsiTheme="majorBidi" w:cstheme="majorBidi"/>
          <w:color w:val="212121"/>
          <w:sz w:val="18"/>
          <w:szCs w:val="18"/>
        </w:rPr>
        <w:t xml:space="preserve">nggunakan 2,4,6- </w:t>
      </w:r>
      <w:r w:rsidRPr="00376704">
        <w:rPr>
          <w:rFonts w:asciiTheme="majorBidi" w:hAnsiTheme="majorBidi" w:cstheme="majorBidi"/>
          <w:color w:val="212121"/>
          <w:sz w:val="18"/>
          <w:szCs w:val="18"/>
        </w:rPr>
        <w:t>trinitrotoluena (TNT) sebagai templat, asid metakrilik (MAA ) sebagai monomer, etilena glikol</w:t>
      </w:r>
      <w:r>
        <w:rPr>
          <w:rFonts w:asciiTheme="majorBidi" w:hAnsiTheme="majorBidi" w:cstheme="majorBidi"/>
          <w:color w:val="212121"/>
          <w:sz w:val="18"/>
          <w:szCs w:val="18"/>
        </w:rPr>
        <w:t xml:space="preserve"> dimetilakrilat</w:t>
      </w:r>
      <w:r w:rsidRPr="00376704">
        <w:rPr>
          <w:rFonts w:asciiTheme="majorBidi" w:hAnsiTheme="majorBidi" w:cstheme="majorBidi"/>
          <w:color w:val="212121"/>
          <w:sz w:val="18"/>
          <w:szCs w:val="18"/>
        </w:rPr>
        <w:t xml:space="preserve"> (EGDMA) sebagai pemaut silang. Polimer molekul tidak-tercetak (NIP) telah disediakan bawah prosedur yang sama tetapi tanpa tambahan templat sebagai polimer kawalan. Sebelum analisis, polimer dihancurkan dan ditapis dalam lingkungan 25-38 μm sebelum dijadikan sebagai penjerap SPE. Pengesanan prestasi TNT-MIP dan NIP dianalisis oleh kromatografi cecair berprestasi tinggi (HPLC) pada 254 nm pengesan UV. Had pengesanan (LOD) dan had kuantitatif (LOQ) adalah, 0.03-0.07 μg/mL dan 0.05-0.11 μg/mL masing-masing . MIP menunjukkan pemilihan yang cemerlang ke arah templat, TNT dengan peratus pengembalian dan nilai RSD , 94.1 ± 13.7 berbanding metabolit TNT , 4-amina-2,6-dinitrotoluena , 4-ADNT ( 31.7 ± 27.2 ) dan 2-amina-4, 6-dinitrotoluena, 2-ADNT (41.2 ± 6.1). Kesan fizikal pencetakan MIP dan NIP dicirikan dengan menggunakan mikroskop imbasan elektron (SEM) dan Brunauer, Emmett dan Teller (BET). Penilaian prestasi membuktikan bahawa TNT-MIP yang dibangunkan bagus digunakan TNT pemilihan dan boleh digunakan dalam analisis sampel sebenar.</w:t>
      </w:r>
    </w:p>
    <w:p w:rsidR="004D6746" w:rsidRPr="00376704" w:rsidRDefault="004D6746" w:rsidP="004D67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color w:val="212121"/>
          <w:sz w:val="18"/>
          <w:szCs w:val="18"/>
        </w:rPr>
      </w:pPr>
    </w:p>
    <w:p w:rsidR="004D6746" w:rsidRPr="00376704" w:rsidRDefault="004D6746" w:rsidP="004D6746">
      <w:pPr>
        <w:spacing w:after="0" w:line="240" w:lineRule="auto"/>
        <w:jc w:val="both"/>
        <w:rPr>
          <w:rFonts w:asciiTheme="majorBidi" w:hAnsiTheme="majorBidi" w:cstheme="majorBidi"/>
          <w:sz w:val="18"/>
          <w:szCs w:val="18"/>
          <w:lang w:eastAsia="ja-JP"/>
        </w:rPr>
      </w:pPr>
      <w:r w:rsidRPr="00376704">
        <w:rPr>
          <w:rFonts w:asciiTheme="majorBidi" w:hAnsiTheme="majorBidi" w:cstheme="majorBidi"/>
          <w:b/>
          <w:bCs/>
          <w:sz w:val="18"/>
          <w:szCs w:val="18"/>
          <w:lang w:eastAsia="ja-JP"/>
        </w:rPr>
        <w:t>Kata kunci</w:t>
      </w:r>
      <w:r w:rsidRPr="00376704">
        <w:rPr>
          <w:rFonts w:asciiTheme="majorBidi" w:hAnsiTheme="majorBidi" w:cstheme="majorBidi"/>
          <w:sz w:val="18"/>
          <w:szCs w:val="18"/>
          <w:lang w:eastAsia="ja-JP"/>
        </w:rPr>
        <w:t>: polimer molekul tercetak, pengekstrakkan fasa pepejal, 2,4,6-trinitrotoluena</w:t>
      </w:r>
    </w:p>
    <w:p w:rsidR="006768E9" w:rsidRPr="00BE7C30"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D6746" w:rsidRPr="00C01DDC" w:rsidRDefault="004D6746" w:rsidP="004D6746">
      <w:pPr>
        <w:spacing w:after="0" w:line="240" w:lineRule="auto"/>
        <w:jc w:val="both"/>
        <w:rPr>
          <w:rFonts w:asciiTheme="majorBidi" w:hAnsiTheme="majorBidi" w:cstheme="majorBidi"/>
          <w:sz w:val="20"/>
          <w:szCs w:val="20"/>
          <w:lang w:val="de-DE" w:eastAsia="ja-JP"/>
        </w:rPr>
      </w:pPr>
      <w:r w:rsidRPr="00C01DDC">
        <w:rPr>
          <w:rFonts w:asciiTheme="majorBidi" w:hAnsiTheme="majorBidi" w:cstheme="majorBidi"/>
          <w:sz w:val="20"/>
          <w:szCs w:val="20"/>
          <w:lang w:val="de-DE" w:eastAsia="ja-JP"/>
        </w:rPr>
        <w:t>The detection of nitroaromatic explosives has grown rapidly due to the dire need for public security and environmental protection. In this study, focus towards the analysis of 2,4,6-trinitrotoluene (TNT) was discussed due to it extends application in military, industries, mining and agricultural activities. This compound has good chemical and thermal stability, low volatility and moderate toxicity compared to other hazardous explosives.  TNT poisoning can lead to severe and chronic diseases, such as aplastic anemia or toxic jaundice. In aplastic anemia, which is often fatal, the blood-forming organs fail to function, resulting in progressive loss of blood elements. Toxic jaundice indicates that the liver is severely damaged. Less serious diseases resulting from TNT intoxication include headache, cataract, dermatitis, gastritis, cyanosis, and disorders of the nervous system. On top of that, the EPA (Environmental Protection Agency) has determined that TNT is a possible human carcinogen [1].  TNT occurance in soil was normally due to washdown operation or explosion process.  This process will eventually lead to soil contamination as TNT is immobile once its entered the environment.</w:t>
      </w:r>
    </w:p>
    <w:p w:rsidR="004D6746" w:rsidRPr="00C01DDC" w:rsidRDefault="004D6746" w:rsidP="004D6746">
      <w:pPr>
        <w:spacing w:after="0" w:line="240" w:lineRule="auto"/>
        <w:jc w:val="both"/>
        <w:rPr>
          <w:rFonts w:asciiTheme="majorBidi" w:hAnsiTheme="majorBidi" w:cstheme="majorBidi"/>
          <w:sz w:val="20"/>
          <w:szCs w:val="20"/>
          <w:lang w:val="de-DE" w:eastAsia="ja-JP"/>
        </w:rPr>
      </w:pPr>
    </w:p>
    <w:p w:rsidR="004D6746" w:rsidRPr="00C01DDC" w:rsidRDefault="004D6746" w:rsidP="004D6746">
      <w:pPr>
        <w:spacing w:after="0" w:line="240" w:lineRule="auto"/>
        <w:jc w:val="both"/>
        <w:rPr>
          <w:rFonts w:asciiTheme="majorBidi" w:hAnsiTheme="majorBidi" w:cstheme="majorBidi"/>
          <w:sz w:val="20"/>
          <w:szCs w:val="20"/>
          <w:lang w:val="de-DE" w:eastAsia="ja-JP"/>
        </w:rPr>
      </w:pPr>
      <w:r w:rsidRPr="00C01DDC">
        <w:rPr>
          <w:rFonts w:asciiTheme="majorBidi" w:hAnsiTheme="majorBidi" w:cstheme="majorBidi"/>
          <w:sz w:val="20"/>
          <w:szCs w:val="20"/>
          <w:lang w:val="de-DE" w:eastAsia="ja-JP"/>
        </w:rPr>
        <w:t xml:space="preserve">A good analytical technique include good screening, clean-up and extraction is required for the analysis of low concentarion of TNT in environmental samples. Previous findings by Trammell </w:t>
      </w:r>
      <w:r w:rsidRPr="00C01DDC">
        <w:rPr>
          <w:rFonts w:asciiTheme="majorBidi" w:hAnsiTheme="majorBidi" w:cstheme="majorBidi"/>
          <w:i/>
          <w:sz w:val="20"/>
          <w:szCs w:val="20"/>
          <w:lang w:val="de-DE" w:eastAsia="ja-JP"/>
        </w:rPr>
        <w:t>et al,.</w:t>
      </w:r>
      <w:r w:rsidRPr="00C01DDC">
        <w:rPr>
          <w:rFonts w:asciiTheme="majorBidi" w:hAnsiTheme="majorBidi" w:cstheme="majorBidi"/>
          <w:sz w:val="20"/>
          <w:szCs w:val="20"/>
          <w:lang w:val="de-DE" w:eastAsia="ja-JP"/>
        </w:rPr>
        <w:t xml:space="preserve"> (2008) and Lordel </w:t>
      </w:r>
      <w:r w:rsidRPr="00C01DDC">
        <w:rPr>
          <w:rFonts w:asciiTheme="majorBidi" w:hAnsiTheme="majorBidi" w:cstheme="majorBidi"/>
          <w:i/>
          <w:sz w:val="20"/>
          <w:szCs w:val="20"/>
          <w:lang w:val="de-DE" w:eastAsia="ja-JP"/>
        </w:rPr>
        <w:t>et al.,</w:t>
      </w:r>
      <w:r w:rsidRPr="00C01DDC">
        <w:rPr>
          <w:rFonts w:asciiTheme="majorBidi" w:hAnsiTheme="majorBidi" w:cstheme="majorBidi"/>
          <w:sz w:val="20"/>
          <w:szCs w:val="20"/>
          <w:lang w:val="de-DE" w:eastAsia="ja-JP"/>
        </w:rPr>
        <w:t xml:space="preserve"> (2010) discussed on the succesful application of Solid-phase Extraction (SPE) technique of aromatic explosives [2,3]. In order to obtain a better selective technique of extraction, a specific SPE adsorbent should be designed towards target analytes. </w:t>
      </w:r>
    </w:p>
    <w:p w:rsidR="004D6746" w:rsidRPr="00C01DDC" w:rsidRDefault="004D6746" w:rsidP="004D6746">
      <w:pPr>
        <w:spacing w:after="0" w:line="240" w:lineRule="auto"/>
        <w:jc w:val="both"/>
        <w:rPr>
          <w:rFonts w:asciiTheme="majorBidi" w:hAnsiTheme="majorBidi" w:cstheme="majorBidi"/>
          <w:sz w:val="20"/>
          <w:szCs w:val="20"/>
          <w:lang w:val="de-DE" w:eastAsia="ja-JP"/>
        </w:rPr>
      </w:pPr>
    </w:p>
    <w:p w:rsidR="004D6746" w:rsidRPr="00CC2B87" w:rsidRDefault="004D6746" w:rsidP="004D6746">
      <w:pPr>
        <w:spacing w:after="0" w:line="240" w:lineRule="auto"/>
        <w:jc w:val="both"/>
        <w:rPr>
          <w:rFonts w:asciiTheme="majorBidi" w:hAnsiTheme="majorBidi" w:cstheme="majorBidi"/>
          <w:sz w:val="20"/>
          <w:szCs w:val="20"/>
          <w:lang w:val="de-DE" w:eastAsia="ja-JP"/>
        </w:rPr>
      </w:pPr>
      <w:r w:rsidRPr="00C01DDC">
        <w:rPr>
          <w:rFonts w:asciiTheme="majorBidi" w:hAnsiTheme="majorBidi" w:cstheme="majorBidi"/>
          <w:sz w:val="20"/>
          <w:szCs w:val="20"/>
          <w:lang w:val="de-DE" w:eastAsia="ja-JP"/>
        </w:rPr>
        <w:t>This research utilized a molecular imprinting technology in order to create specific recognition sites for the targeted TNT in synthetic polymers. In general, the imprinting effect within polymer monolith is created by three-dimensional polymeric networks involving the interaction of the template with surrounding functional monomers and the cross-linked matrix [4,5].  After the polymerization process, template was removed by appropriate treatment, which leaves behind its imprinted cavities and commonly known as binding sites. The binding sites can rebind the template from different media with appreciable selectivity [6]. The imprinted polymer then employed as an adsorbent for SPE for the extraction and quantification of 2,4,6-trinitrotoluene (TNT). The extraction performance of developed TNT-Molecularly Imprinted SPE (TNT-MISPE) was evaluated and its physical properties were characterized by SEM, BET and FTIR.</w:t>
      </w:r>
      <w:r w:rsidRPr="00CC2B87">
        <w:rPr>
          <w:rFonts w:asciiTheme="majorBidi" w:hAnsiTheme="majorBidi" w:cstheme="majorBidi"/>
          <w:sz w:val="20"/>
          <w:szCs w:val="20"/>
          <w:lang w:val="de-DE" w:eastAsia="ja-JP"/>
        </w:rPr>
        <w:t xml:space="preserve">  </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4D6746" w:rsidRPr="00DC6DF3" w:rsidRDefault="004D6746" w:rsidP="004D6746">
      <w:pPr>
        <w:spacing w:after="0" w:line="240" w:lineRule="auto"/>
        <w:jc w:val="both"/>
        <w:rPr>
          <w:rFonts w:asciiTheme="majorBidi" w:hAnsiTheme="majorBidi" w:cstheme="majorBidi"/>
          <w:b/>
          <w:bCs/>
          <w:sz w:val="20"/>
          <w:szCs w:val="20"/>
          <w:lang w:eastAsia="ja-JP"/>
        </w:rPr>
      </w:pPr>
      <w:r w:rsidRPr="00DC6DF3">
        <w:rPr>
          <w:rFonts w:asciiTheme="majorBidi" w:hAnsiTheme="majorBidi" w:cstheme="majorBidi"/>
          <w:b/>
          <w:bCs/>
          <w:sz w:val="20"/>
          <w:szCs w:val="20"/>
          <w:lang w:eastAsia="ja-JP"/>
        </w:rPr>
        <w:t>Materials and Chemicals</w:t>
      </w:r>
    </w:p>
    <w:p w:rsidR="004D6746" w:rsidRDefault="004D6746" w:rsidP="004D6746">
      <w:pPr>
        <w:spacing w:after="0" w:line="240" w:lineRule="auto"/>
        <w:jc w:val="both"/>
        <w:rPr>
          <w:rFonts w:asciiTheme="majorBidi" w:hAnsiTheme="majorBidi" w:cstheme="majorBidi"/>
          <w:bCs/>
          <w:sz w:val="20"/>
          <w:szCs w:val="20"/>
          <w:lang w:eastAsia="ja-JP"/>
        </w:rPr>
      </w:pPr>
      <w:r w:rsidRPr="00DC6DF3">
        <w:rPr>
          <w:rFonts w:asciiTheme="majorBidi" w:hAnsiTheme="majorBidi" w:cstheme="majorBidi"/>
          <w:bCs/>
          <w:sz w:val="20"/>
          <w:szCs w:val="20"/>
          <w:lang w:eastAsia="ja-JP"/>
        </w:rPr>
        <w:t>Liquid form of analytical grade 2,4,6-trinitrotoluene (TNT) was purchased from Supelco (Bellefonte, USA) and the solid form of industrial grade TNT was obtained from Science and Technology Research Institute of Defence (STRIDE) (Batu Arang, Malaysia). 2-amino-4,6-dinitrotoluene (2-ADNT) and 4-amino-2,6-dinitrotoluene (4-ADNT) were obtained from AccuStandard (New Haven, CT, USA). Synthesis grade methyl acrylic acid (MAA, ≥99%) and ethylene glycol dimethacrylate (EGDMA, ≥98%) were purchased from Merck (Darmstadt, Germany). Both these chemicals were purified prior to use by passing through a short column of alumina oxide from R&amp;M Chemical (Essex, UK) in order to remove the stabilizer (2%, hydroquinone m</w:t>
      </w:r>
      <w:r>
        <w:rPr>
          <w:rFonts w:asciiTheme="majorBidi" w:hAnsiTheme="majorBidi" w:cstheme="majorBidi"/>
          <w:bCs/>
          <w:sz w:val="20"/>
          <w:szCs w:val="20"/>
          <w:lang w:eastAsia="ja-JP"/>
        </w:rPr>
        <w:t>onomethyl ether) (EPA, 1996). 2,</w:t>
      </w:r>
      <w:r w:rsidRPr="00DC6DF3">
        <w:rPr>
          <w:rFonts w:asciiTheme="majorBidi" w:hAnsiTheme="majorBidi" w:cstheme="majorBidi"/>
          <w:bCs/>
          <w:sz w:val="20"/>
          <w:szCs w:val="20"/>
          <w:lang w:eastAsia="ja-JP"/>
        </w:rPr>
        <w:t>2‘-azobisisobutyronitrile (AIBN) was purchased from R&amp;M Chemical (Essex, UK). The following commercial chemicals o</w:t>
      </w:r>
      <w:r>
        <w:rPr>
          <w:rFonts w:asciiTheme="majorBidi" w:hAnsiTheme="majorBidi" w:cstheme="majorBidi"/>
          <w:bCs/>
          <w:sz w:val="20"/>
          <w:szCs w:val="20"/>
          <w:lang w:eastAsia="ja-JP"/>
        </w:rPr>
        <w:t xml:space="preserve">f reagent-grade were used in the </w:t>
      </w:r>
      <w:r w:rsidRPr="00DC6DF3">
        <w:rPr>
          <w:rFonts w:asciiTheme="majorBidi" w:hAnsiTheme="majorBidi" w:cstheme="majorBidi"/>
          <w:bCs/>
          <w:sz w:val="20"/>
          <w:szCs w:val="20"/>
          <w:lang w:eastAsia="ja-JP"/>
        </w:rPr>
        <w:t>synthesis- chloroform, methanol, acetonitrile, acetone and acetic acid, which were purchased from Merck (Darmstadt, Germany).</w:t>
      </w:r>
    </w:p>
    <w:p w:rsidR="004D6746" w:rsidRDefault="004D6746" w:rsidP="004D6746">
      <w:pPr>
        <w:spacing w:after="0" w:line="240" w:lineRule="auto"/>
        <w:jc w:val="both"/>
        <w:rPr>
          <w:rFonts w:asciiTheme="majorBidi" w:hAnsiTheme="majorBidi" w:cstheme="majorBidi"/>
          <w:bCs/>
          <w:sz w:val="20"/>
          <w:szCs w:val="20"/>
          <w:lang w:eastAsia="ja-JP"/>
        </w:rPr>
      </w:pPr>
    </w:p>
    <w:p w:rsidR="004D6746" w:rsidRDefault="004D6746" w:rsidP="004D6746">
      <w:pPr>
        <w:spacing w:after="0" w:line="240" w:lineRule="auto"/>
        <w:jc w:val="both"/>
        <w:rPr>
          <w:rFonts w:asciiTheme="majorBidi" w:hAnsiTheme="majorBidi" w:cstheme="majorBidi"/>
          <w:bCs/>
          <w:sz w:val="20"/>
          <w:szCs w:val="20"/>
          <w:lang w:eastAsia="ja-JP"/>
        </w:rPr>
      </w:pPr>
      <w:r w:rsidRPr="000160BB">
        <w:rPr>
          <w:rFonts w:asciiTheme="majorBidi" w:hAnsiTheme="majorBidi" w:cstheme="majorBidi"/>
          <w:bCs/>
          <w:sz w:val="20"/>
          <w:szCs w:val="20"/>
          <w:lang w:eastAsia="ja-JP"/>
        </w:rPr>
        <w:t>The SPE manifold set was purchased from Supelco (Bellefonte, USA). The empty, 1 mL polypropylene SPE cartridges and frits (20 μm mean pore size) were supplied by Phenomenex (Torrance, CA, USA</w:t>
      </w:r>
      <w:r>
        <w:rPr>
          <w:rFonts w:asciiTheme="majorBidi" w:hAnsiTheme="majorBidi" w:cstheme="majorBidi"/>
          <w:bCs/>
          <w:sz w:val="20"/>
          <w:szCs w:val="20"/>
          <w:lang w:eastAsia="ja-JP"/>
        </w:rPr>
        <w:t xml:space="preserve">). </w:t>
      </w:r>
      <w:r w:rsidRPr="000160BB">
        <w:rPr>
          <w:rFonts w:asciiTheme="majorBidi" w:hAnsiTheme="majorBidi" w:cstheme="majorBidi"/>
          <w:bCs/>
          <w:sz w:val="20"/>
          <w:szCs w:val="20"/>
          <w:lang w:eastAsia="ja-JP"/>
        </w:rPr>
        <w:t>The commercial strata-X SPE tubes (30 mg/1 mL) Phenomenex (Torrance, CA, USA) were used for analyzing samples. Sample extraction was done by using compact CF16RX11, Hitachi high-speed micro centrifuge (Chiyoda, Tokyo, Japan).</w:t>
      </w:r>
    </w:p>
    <w:p w:rsidR="004D6746" w:rsidRPr="00DC6DF3" w:rsidRDefault="004D6746" w:rsidP="004D6746">
      <w:pPr>
        <w:spacing w:after="0" w:line="240" w:lineRule="auto"/>
        <w:jc w:val="both"/>
        <w:rPr>
          <w:rFonts w:asciiTheme="majorBidi" w:hAnsiTheme="majorBidi" w:cstheme="majorBidi"/>
          <w:bCs/>
          <w:sz w:val="20"/>
          <w:szCs w:val="20"/>
          <w:lang w:eastAsia="ja-JP"/>
        </w:rPr>
      </w:pPr>
    </w:p>
    <w:p w:rsidR="004D6746" w:rsidRPr="00CC2B87" w:rsidRDefault="004D6746" w:rsidP="004D6746">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Synthesization of Molecularly Imprinted Polymers</w:t>
      </w:r>
    </w:p>
    <w:p w:rsidR="004D6746" w:rsidRDefault="004D6746" w:rsidP="004D6746">
      <w:pPr>
        <w:spacing w:after="0" w:line="240" w:lineRule="auto"/>
        <w:jc w:val="both"/>
        <w:rPr>
          <w:rFonts w:asciiTheme="majorBidi" w:hAnsiTheme="majorBidi" w:cstheme="majorBidi"/>
          <w:sz w:val="20"/>
          <w:szCs w:val="20"/>
          <w:lang w:val="de-DE" w:eastAsia="ja-JP"/>
        </w:rPr>
      </w:pPr>
      <w:r w:rsidRPr="00CC2B87">
        <w:rPr>
          <w:rFonts w:asciiTheme="majorBidi" w:hAnsiTheme="majorBidi" w:cstheme="majorBidi"/>
          <w:sz w:val="20"/>
          <w:szCs w:val="20"/>
          <w:lang w:val="de-DE" w:eastAsia="ja-JP"/>
        </w:rPr>
        <w:t>The molecular imprinted polymer, MIP was synthesized by dissolving 1 mmol (0.1318 g) of template, 2,4,6-trinitrotoluene, TNT, 4 mmol (0.1968 mL) of monomer, methylacrylic acid, MAA in 4.9 mL chloroform as a porogen in a thick walled glass tube. After standing the mixture for 5 minute, 20 mmol (2.2662 mL) of the cross-linker, ethylene glycol dimethylacrylate, EGDMA</w:t>
      </w:r>
      <w:r>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 xml:space="preserve">was added, followed by addition 0.1258 g of </w:t>
      </w:r>
      <w:r w:rsidRPr="00CC2B87">
        <w:rPr>
          <w:rFonts w:asciiTheme="majorBidi" w:hAnsiTheme="majorBidi" w:cstheme="majorBidi"/>
          <w:sz w:val="20"/>
          <w:szCs w:val="20"/>
        </w:rPr>
        <w:t>2,2‘-</w:t>
      </w:r>
      <w:r w:rsidRPr="00CC2B87">
        <w:rPr>
          <w:rFonts w:asciiTheme="majorBidi" w:hAnsiTheme="majorBidi" w:cstheme="majorBidi"/>
          <w:sz w:val="20"/>
          <w:szCs w:val="20"/>
        </w:rPr>
        <w:lastRenderedPageBreak/>
        <w:t xml:space="preserve">azobisisobutyronitrile, </w:t>
      </w:r>
      <w:r w:rsidRPr="00CC2B87">
        <w:rPr>
          <w:rFonts w:asciiTheme="majorBidi" w:hAnsiTheme="majorBidi" w:cstheme="majorBidi"/>
          <w:sz w:val="20"/>
          <w:szCs w:val="20"/>
          <w:lang w:val="de-DE" w:eastAsia="ja-JP"/>
        </w:rPr>
        <w:t>AIBN</w:t>
      </w:r>
      <w:r>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to initiate the polymerization process. The mixture was then sparged with oxygen-free nitrogen while cooling in an ice bath for a few minutes to remove the oxygen. This sealed glass tube was transferred into a water bath at a temperature of 60 ºC for 24 hours to cure the polymer. The non-imprinted polymer (NIP) was also prepared in the same procedure but without the addition of template. Then, MIP and NIP monoliths were crushed by mechanically grounding and wet-sieved using acetone to deliver polymers in varying size (in a range of 25-38 µm). After 24 hours of extensive washing through Soxhlet extraction with chloroform to discard the template from the MIP, the polymer particles were then dried in a vacuum oven at temperature of 60ºC for 24 hours prior to use.</w:t>
      </w:r>
    </w:p>
    <w:p w:rsidR="004D6746" w:rsidRDefault="004D6746" w:rsidP="004D6746">
      <w:pPr>
        <w:spacing w:after="0" w:line="240" w:lineRule="auto"/>
        <w:jc w:val="both"/>
        <w:rPr>
          <w:rFonts w:asciiTheme="majorBidi" w:hAnsiTheme="majorBidi" w:cstheme="majorBidi"/>
          <w:sz w:val="20"/>
          <w:szCs w:val="20"/>
          <w:lang w:val="de-DE" w:eastAsia="ja-JP"/>
        </w:rPr>
      </w:pPr>
    </w:p>
    <w:p w:rsidR="004D6746" w:rsidRPr="00CC2B87" w:rsidRDefault="004D6746" w:rsidP="004D6746">
      <w:pPr>
        <w:spacing w:after="0" w:line="240" w:lineRule="auto"/>
        <w:jc w:val="both"/>
        <w:rPr>
          <w:rFonts w:asciiTheme="majorBidi" w:hAnsiTheme="majorBidi" w:cstheme="majorBidi"/>
          <w:sz w:val="20"/>
          <w:szCs w:val="20"/>
          <w:lang w:val="de-DE" w:eastAsia="ja-JP"/>
        </w:rPr>
      </w:pPr>
      <w:r w:rsidRPr="00DC6DF3">
        <w:rPr>
          <w:rFonts w:asciiTheme="majorBidi" w:hAnsiTheme="majorBidi" w:cstheme="majorBidi"/>
          <w:sz w:val="20"/>
          <w:szCs w:val="20"/>
          <w:lang w:val="de-DE" w:eastAsia="ja-JP"/>
        </w:rPr>
        <w:t>In this study, MAA was preferred as functional monomer compared to other carboxylic acid according to its special chemical properties such as compact and structure is stabilized by hydrogen bonding which formed from poly-MAA. Subsequently the methyl group of MAA is prevale</w:t>
      </w:r>
      <w:r>
        <w:rPr>
          <w:rFonts w:asciiTheme="majorBidi" w:hAnsiTheme="majorBidi" w:cstheme="majorBidi"/>
          <w:sz w:val="20"/>
          <w:szCs w:val="20"/>
          <w:lang w:val="de-DE" w:eastAsia="ja-JP"/>
        </w:rPr>
        <w:t>nt produces hydrophobic effect [7]</w:t>
      </w:r>
      <w:r w:rsidRPr="00DC6DF3">
        <w:rPr>
          <w:rFonts w:asciiTheme="majorBidi" w:hAnsiTheme="majorBidi" w:cstheme="majorBidi"/>
          <w:sz w:val="20"/>
          <w:szCs w:val="20"/>
          <w:lang w:val="de-DE" w:eastAsia="ja-JP"/>
        </w:rPr>
        <w:t xml:space="preserve">. Based on the previous finding, the nature of MAA can stabilize the conformational behavior of PMAA as it were ionized in aqueous solution </w:t>
      </w:r>
      <w:r>
        <w:rPr>
          <w:rFonts w:asciiTheme="majorBidi" w:hAnsiTheme="majorBidi" w:cstheme="majorBidi"/>
          <w:sz w:val="20"/>
          <w:szCs w:val="20"/>
          <w:lang w:val="de-DE" w:eastAsia="ja-JP"/>
        </w:rPr>
        <w:t>[8]</w:t>
      </w:r>
      <w:r w:rsidRPr="00DC6DF3">
        <w:rPr>
          <w:rFonts w:asciiTheme="majorBidi" w:hAnsiTheme="majorBidi" w:cstheme="majorBidi"/>
          <w:sz w:val="20"/>
          <w:szCs w:val="20"/>
          <w:lang w:val="de-DE" w:eastAsia="ja-JP"/>
        </w:rPr>
        <w:t>. Therefore, in poor solvents, the poly-MAA and the cross-linker, EGDMA can assemble networks strongly.</w:t>
      </w:r>
    </w:p>
    <w:p w:rsidR="004D6746" w:rsidRDefault="004D6746" w:rsidP="004D6746">
      <w:pPr>
        <w:spacing w:after="0" w:line="240" w:lineRule="auto"/>
        <w:rPr>
          <w:rFonts w:asciiTheme="majorBidi" w:hAnsiTheme="majorBidi" w:cstheme="majorBidi"/>
          <w:b/>
          <w:bCs/>
          <w:sz w:val="20"/>
          <w:szCs w:val="20"/>
        </w:rPr>
      </w:pPr>
    </w:p>
    <w:p w:rsidR="004D6746" w:rsidRPr="00CC2B87" w:rsidRDefault="004D6746" w:rsidP="004D6746">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rPr>
        <w:t>Molecularly Imprinted Polymer Solid Phase Extraction</w:t>
      </w:r>
      <w:r w:rsidRPr="00CC2B87">
        <w:rPr>
          <w:rFonts w:asciiTheme="majorBidi" w:hAnsiTheme="majorBidi" w:cstheme="majorBidi"/>
          <w:b/>
          <w:bCs/>
          <w:sz w:val="20"/>
          <w:szCs w:val="20"/>
          <w:lang w:val="de-DE" w:eastAsia="ja-JP"/>
        </w:rPr>
        <w:t xml:space="preserve"> Protocols</w:t>
      </w:r>
    </w:p>
    <w:p w:rsidR="004D6746" w:rsidRPr="00CC2B87" w:rsidRDefault="004D6746" w:rsidP="004D6746">
      <w:pPr>
        <w:spacing w:after="0" w:line="240" w:lineRule="auto"/>
        <w:jc w:val="both"/>
        <w:rPr>
          <w:rFonts w:asciiTheme="majorBidi" w:hAnsiTheme="majorBidi" w:cstheme="majorBidi"/>
          <w:sz w:val="20"/>
          <w:szCs w:val="20"/>
          <w:lang w:val="de-DE" w:eastAsia="ja-JP"/>
        </w:rPr>
      </w:pPr>
      <w:r w:rsidRPr="00CC2B87">
        <w:rPr>
          <w:rFonts w:asciiTheme="majorBidi" w:hAnsiTheme="majorBidi" w:cstheme="majorBidi"/>
          <w:sz w:val="20"/>
          <w:szCs w:val="20"/>
          <w:lang w:val="de-DE" w:eastAsia="ja-JP"/>
        </w:rPr>
        <w:t>MISPE and NISPE catridges were separately packed with 20 mg of MIP and NIP particles (25-38 µm) in empty 1 mL polypropylene SPE cartridges. First, a 20 µm polyethylene frit was inserted into an empty 1 mL polypropylene SPE cartridge. Then, 20 mg of MIP was slurried with acetone into the cartridge. The cartridge was subjected to vacuum for ~30 s before inserting the second frit on top of the sorbent. The MISPE-cartridges were treated by washing it with 1 ml of methanol–acetic acid (70:30, v/v) for few times to remove the bound and unbound of template before applying the cartridge in accordance with MISPE protocols. Each washing eluent was collected, evaporated to dryness by gentle blowing nitrogen gas at room temperature and reconstituted with 0.3 mL of the mobile phase prior to analysis by HPLC. In between the treatment series, the MIP sorbent was allowed to dry.</w:t>
      </w:r>
    </w:p>
    <w:p w:rsidR="004D6746" w:rsidRDefault="004D6746" w:rsidP="004D6746">
      <w:pPr>
        <w:spacing w:after="0" w:line="240" w:lineRule="auto"/>
        <w:rPr>
          <w:rFonts w:asciiTheme="majorBidi" w:hAnsiTheme="majorBidi" w:cstheme="majorBidi"/>
          <w:b/>
          <w:bCs/>
          <w:sz w:val="20"/>
          <w:szCs w:val="20"/>
          <w:lang w:val="de-DE" w:eastAsia="ja-JP"/>
        </w:rPr>
      </w:pPr>
    </w:p>
    <w:p w:rsidR="004D6746" w:rsidRPr="00CC2B87" w:rsidRDefault="004D6746" w:rsidP="004D6746">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MISPE Performance Validation</w:t>
      </w:r>
    </w:p>
    <w:p w:rsidR="004D6746" w:rsidRPr="00CC2B87" w:rsidRDefault="004D6746" w:rsidP="004D6746">
      <w:pPr>
        <w:spacing w:after="0" w:line="240" w:lineRule="auto"/>
        <w:jc w:val="both"/>
        <w:rPr>
          <w:rFonts w:asciiTheme="majorBidi" w:hAnsiTheme="majorBidi" w:cstheme="majorBidi"/>
          <w:sz w:val="20"/>
          <w:szCs w:val="20"/>
          <w:lang w:val="de-DE" w:eastAsia="ja-JP"/>
        </w:rPr>
      </w:pPr>
      <w:r w:rsidRPr="00CC2B87">
        <w:rPr>
          <w:rFonts w:asciiTheme="majorBidi" w:hAnsiTheme="majorBidi" w:cstheme="majorBidi"/>
          <w:sz w:val="20"/>
          <w:szCs w:val="20"/>
          <w:lang w:val="de-DE" w:eastAsia="ja-JP"/>
        </w:rPr>
        <w:t xml:space="preserve">The linearity and determination of the LOD and LOQ of MISPE and NISPE are performed by preparing a standard stock solution of TNT and its metabolites at a concentration of 100 μg/mL in methanol. Standard 2,4,6-trinitrotoluene, TNT, </w:t>
      </w:r>
      <w:r w:rsidRPr="00CC2B87">
        <w:rPr>
          <w:rFonts w:asciiTheme="majorBidi" w:hAnsiTheme="majorBidi" w:cstheme="majorBidi"/>
          <w:sz w:val="20"/>
          <w:szCs w:val="20"/>
        </w:rPr>
        <w:t xml:space="preserve">2-amino-4,6-dinitrotoluene, </w:t>
      </w:r>
      <w:r w:rsidRPr="00CC2B87">
        <w:rPr>
          <w:rFonts w:asciiTheme="majorBidi" w:hAnsiTheme="majorBidi" w:cstheme="majorBidi"/>
          <w:sz w:val="20"/>
          <w:szCs w:val="20"/>
          <w:lang w:val="de-DE" w:eastAsia="ja-JP"/>
        </w:rPr>
        <w:t>2-ADNT</w:t>
      </w:r>
      <w:r>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 xml:space="preserve">and </w:t>
      </w:r>
      <w:r w:rsidRPr="00CC2B87">
        <w:rPr>
          <w:rFonts w:asciiTheme="majorBidi" w:hAnsiTheme="majorBidi" w:cstheme="majorBidi"/>
          <w:sz w:val="20"/>
          <w:szCs w:val="20"/>
        </w:rPr>
        <w:t xml:space="preserve">4-amino-2,6-dinitrotoluene, </w:t>
      </w:r>
      <w:r w:rsidRPr="00CC2B87">
        <w:rPr>
          <w:rFonts w:asciiTheme="majorBidi" w:hAnsiTheme="majorBidi" w:cstheme="majorBidi"/>
          <w:sz w:val="20"/>
          <w:szCs w:val="20"/>
          <w:lang w:val="de-DE" w:eastAsia="ja-JP"/>
        </w:rPr>
        <w:t>4-ADNT</w:t>
      </w:r>
      <w:r>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spiking at concentrations of 0.5, 0.25, 0.125, 0.0625, 0.0313, 0.0156, and 0.0078 µg/mL were extracted by MISPE protocols and analyzed by HPLC-UV at 254 nm. Calibration curves with linear regressions were prepared by plotting the peak area value of standards against the</w:t>
      </w:r>
      <w:r>
        <w:rPr>
          <w:rFonts w:asciiTheme="majorBidi" w:hAnsiTheme="majorBidi" w:cstheme="majorBidi"/>
          <w:sz w:val="20"/>
          <w:szCs w:val="20"/>
          <w:lang w:val="de-DE" w:eastAsia="ja-JP"/>
        </w:rPr>
        <w:t xml:space="preserve"> spiked analyte concentrations. </w:t>
      </w:r>
      <w:r w:rsidRPr="00CC2B87">
        <w:rPr>
          <w:rFonts w:asciiTheme="majorBidi" w:hAnsiTheme="majorBidi" w:cstheme="majorBidi"/>
          <w:sz w:val="20"/>
          <w:szCs w:val="20"/>
          <w:lang w:val="de-DE" w:eastAsia="ja-JP"/>
        </w:rPr>
        <w:t>LOD and</w:t>
      </w:r>
      <w:r>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 xml:space="preserve">LOQ were experimentally estimated for every single analyte of TNT and its metabolites from the injection of standard solutions serially diluted </w:t>
      </w:r>
      <w:r>
        <w:rPr>
          <w:rFonts w:asciiTheme="majorBidi" w:hAnsiTheme="majorBidi" w:cstheme="majorBidi"/>
          <w:sz w:val="20"/>
          <w:szCs w:val="20"/>
          <w:lang w:val="de-DE" w:eastAsia="ja-JP"/>
        </w:rPr>
        <w:t xml:space="preserve">until the signal-to-noise ratio </w:t>
      </w:r>
      <w:r w:rsidRPr="0071484A">
        <w:rPr>
          <w:rFonts w:asciiTheme="majorBidi" w:hAnsiTheme="majorBidi" w:cstheme="majorBidi"/>
          <w:sz w:val="20"/>
          <w:szCs w:val="20"/>
          <w:lang w:val="de-DE" w:eastAsia="ja-JP"/>
        </w:rPr>
        <w:t>[</w:t>
      </w:r>
      <w:r>
        <w:rPr>
          <w:rFonts w:asciiTheme="majorBidi" w:hAnsiTheme="majorBidi" w:cstheme="majorBidi"/>
          <w:sz w:val="20"/>
          <w:szCs w:val="20"/>
          <w:lang w:val="de-DE" w:eastAsia="ja-JP"/>
        </w:rPr>
        <w:t>9</w:t>
      </w:r>
      <w:r w:rsidRPr="00CC2B87">
        <w:rPr>
          <w:rFonts w:asciiTheme="majorBidi" w:hAnsiTheme="majorBidi" w:cstheme="majorBidi"/>
          <w:sz w:val="20"/>
          <w:szCs w:val="20"/>
          <w:lang w:val="de-DE" w:eastAsia="ja-JP"/>
        </w:rPr>
        <w:t>].</w:t>
      </w:r>
    </w:p>
    <w:p w:rsidR="004D6746" w:rsidRDefault="004D6746" w:rsidP="004D6746">
      <w:pPr>
        <w:spacing w:after="0" w:line="240" w:lineRule="auto"/>
        <w:rPr>
          <w:rFonts w:asciiTheme="majorBidi" w:hAnsiTheme="majorBidi" w:cstheme="majorBidi"/>
          <w:b/>
          <w:bCs/>
          <w:sz w:val="20"/>
          <w:szCs w:val="20"/>
          <w:lang w:val="de-DE" w:eastAsia="ja-JP"/>
        </w:rPr>
      </w:pPr>
    </w:p>
    <w:p w:rsidR="004D6746" w:rsidRPr="00CC2B87" w:rsidRDefault="004D6746" w:rsidP="004D6746">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Recovery Study</w:t>
      </w:r>
    </w:p>
    <w:p w:rsidR="004D6746" w:rsidRPr="00CC2B87" w:rsidRDefault="004D6746" w:rsidP="004D6746">
      <w:pPr>
        <w:spacing w:after="0" w:line="240" w:lineRule="auto"/>
        <w:jc w:val="both"/>
        <w:rPr>
          <w:rFonts w:asciiTheme="majorBidi" w:hAnsiTheme="majorBidi" w:cstheme="majorBidi"/>
          <w:sz w:val="20"/>
          <w:szCs w:val="20"/>
          <w:lang w:val="de-DE" w:eastAsia="ja-JP"/>
        </w:rPr>
      </w:pPr>
      <w:r w:rsidRPr="00CC2B87">
        <w:rPr>
          <w:rFonts w:asciiTheme="majorBidi" w:hAnsiTheme="majorBidi" w:cstheme="majorBidi"/>
          <w:sz w:val="20"/>
          <w:szCs w:val="20"/>
          <w:lang w:val="de-DE" w:eastAsia="ja-JP"/>
        </w:rPr>
        <w:t xml:space="preserve">For recovery study, the mixture of nitroaromatic compounds are passed through the optimized MISPE protocols and the percent mean recovery and percent relative standard deviation (RSD) were calculated for the each compound. The extraction method for both </w:t>
      </w:r>
      <w:r>
        <w:rPr>
          <w:rFonts w:asciiTheme="majorBidi" w:hAnsiTheme="majorBidi" w:cstheme="majorBidi"/>
          <w:sz w:val="20"/>
          <w:szCs w:val="20"/>
          <w:lang w:val="de-DE" w:eastAsia="ja-JP"/>
        </w:rPr>
        <w:t>MISPE and NISPE were carried out according to the previously established protocol. First</w:t>
      </w:r>
      <w:r w:rsidRPr="00CC2B87">
        <w:rPr>
          <w:rFonts w:asciiTheme="majorBidi" w:hAnsiTheme="majorBidi" w:cstheme="majorBidi"/>
          <w:sz w:val="20"/>
          <w:szCs w:val="20"/>
          <w:lang w:val="de-DE" w:eastAsia="ja-JP"/>
        </w:rPr>
        <w:t>, the cartridges were conditioned with 1 mL of methanol</w:t>
      </w:r>
      <w:r>
        <w:rPr>
          <w:rFonts w:asciiTheme="majorBidi" w:hAnsiTheme="majorBidi" w:cstheme="majorBidi"/>
          <w:sz w:val="20"/>
          <w:szCs w:val="20"/>
          <w:lang w:val="de-DE" w:eastAsia="ja-JP"/>
        </w:rPr>
        <w:t xml:space="preserve"> followed with loading of </w:t>
      </w:r>
      <w:r w:rsidRPr="00CC2B87">
        <w:rPr>
          <w:rFonts w:asciiTheme="majorBidi" w:hAnsiTheme="majorBidi" w:cstheme="majorBidi"/>
          <w:sz w:val="20"/>
          <w:szCs w:val="20"/>
          <w:lang w:val="de-DE" w:eastAsia="ja-JP"/>
        </w:rPr>
        <w:t xml:space="preserve">300 µL, of 0.05 µg/mL of mix standard </w:t>
      </w:r>
      <w:r>
        <w:rPr>
          <w:rFonts w:asciiTheme="majorBidi" w:hAnsiTheme="majorBidi" w:cstheme="majorBidi"/>
          <w:sz w:val="20"/>
          <w:szCs w:val="20"/>
          <w:lang w:val="de-DE" w:eastAsia="ja-JP"/>
        </w:rPr>
        <w:t xml:space="preserve">which </w:t>
      </w:r>
      <w:r w:rsidRPr="00CC2B87">
        <w:rPr>
          <w:rFonts w:asciiTheme="majorBidi" w:hAnsiTheme="majorBidi" w:cstheme="majorBidi"/>
          <w:sz w:val="20"/>
          <w:szCs w:val="20"/>
          <w:lang w:val="de-DE" w:eastAsia="ja-JP"/>
        </w:rPr>
        <w:t>composed of TNT, 2-ADNT and 4-ADNT. Then the cartridges were washed with 300 µL of deionised water:methanol (80:20, v/v) to discard unbound analytes. The retained analytes in the cartridge were eluted with 500 µL of acetonitrile for twice to extract all the analytes. The eluent was blown dry by stream of nitrogen gas at room temperature. It was then reconstituted with 0.3 mL of methanol for HPLC analysis. The recovery was calculated by comparing the ratio of peak obtained from extracted samples to the peak area of the same concentration of pure standards directly analyzed by HPLC.</w:t>
      </w:r>
    </w:p>
    <w:p w:rsidR="004D6746" w:rsidRDefault="004D6746" w:rsidP="004D6746">
      <w:pPr>
        <w:spacing w:after="0" w:line="240" w:lineRule="auto"/>
        <w:rPr>
          <w:rFonts w:asciiTheme="majorBidi" w:hAnsiTheme="majorBidi" w:cstheme="majorBidi"/>
          <w:b/>
          <w:bCs/>
          <w:sz w:val="20"/>
          <w:szCs w:val="20"/>
          <w:lang w:val="de-DE" w:eastAsia="ja-JP"/>
        </w:rPr>
      </w:pPr>
    </w:p>
    <w:p w:rsidR="004D6746" w:rsidRDefault="004D6746" w:rsidP="004D6746">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Real Sample Analysis</w:t>
      </w:r>
    </w:p>
    <w:p w:rsidR="004D6746" w:rsidRPr="00CC2B87" w:rsidRDefault="004D6746" w:rsidP="004D6746">
      <w:pPr>
        <w:spacing w:after="0" w:line="240" w:lineRule="auto"/>
        <w:jc w:val="both"/>
        <w:rPr>
          <w:rFonts w:asciiTheme="majorBidi" w:hAnsiTheme="majorBidi" w:cstheme="majorBidi"/>
          <w:b/>
          <w:bCs/>
          <w:sz w:val="20"/>
          <w:szCs w:val="20"/>
          <w:lang w:val="de-DE" w:eastAsia="ja-JP"/>
        </w:rPr>
      </w:pPr>
      <w:r w:rsidRPr="00CC2B87">
        <w:rPr>
          <w:rFonts w:asciiTheme="majorBidi" w:hAnsiTheme="majorBidi" w:cstheme="majorBidi"/>
          <w:sz w:val="20"/>
          <w:szCs w:val="20"/>
          <w:lang w:val="de-DE" w:eastAsia="ja-JP"/>
        </w:rPr>
        <w:t xml:space="preserve">1 mL of the extracted soil sample was passed through the MISPE and NISPE cartridge using the optimized MISPE protocols. For commercial SPE (STRATA-X), the sample extraction followed SPE protocol provided by the supplier. For conditioning, 0.5 mL of methanol was used, followed by 0.5 mL of water to equilibrate the SPE. Then, after loading the sample, SPE was washed with 0.5 ml of methanol:water (10:90, v/v) and dried under full vacuum </w:t>
      </w:r>
      <w:r w:rsidRPr="00CC2B87">
        <w:rPr>
          <w:rFonts w:asciiTheme="majorBidi" w:hAnsiTheme="majorBidi" w:cstheme="majorBidi"/>
          <w:sz w:val="20"/>
          <w:szCs w:val="20"/>
          <w:lang w:val="de-DE" w:eastAsia="ja-JP"/>
        </w:rPr>
        <w:lastRenderedPageBreak/>
        <w:t>for 10 minutes before eluting the sample with 0.5 ml of methanol. All the samples eluted from MISPE, NISPE and Strata-X SPE were evaporated to dryness with nitrogen gas and reconstituted with 0.5 mL of methanol prior to HPLC analysis. The nitroaromatic compounds detected were calculated based on the plotted calibration curve of known concentration of analytes</w:t>
      </w:r>
      <w:r>
        <w:rPr>
          <w:rFonts w:asciiTheme="majorBidi" w:hAnsiTheme="majorBidi" w:cstheme="majorBidi"/>
          <w:sz w:val="20"/>
          <w:szCs w:val="20"/>
          <w:lang w:val="de-DE" w:eastAsia="ja-JP"/>
        </w:rPr>
        <w:t>.</w:t>
      </w:r>
    </w:p>
    <w:p w:rsidR="004D6746" w:rsidRDefault="004D6746" w:rsidP="004D6746">
      <w:pPr>
        <w:spacing w:after="0" w:line="240" w:lineRule="auto"/>
        <w:rPr>
          <w:rFonts w:asciiTheme="majorBidi" w:hAnsiTheme="majorBidi" w:cstheme="majorBidi"/>
          <w:b/>
          <w:bCs/>
          <w:sz w:val="20"/>
          <w:szCs w:val="20"/>
          <w:lang w:val="de-DE" w:eastAsia="ja-JP"/>
        </w:rPr>
      </w:pPr>
    </w:p>
    <w:p w:rsidR="004D6746" w:rsidRPr="00CC2B87" w:rsidRDefault="004D6746" w:rsidP="004D6746">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 xml:space="preserve">Physical </w:t>
      </w:r>
      <w:r>
        <w:rPr>
          <w:rFonts w:asciiTheme="majorBidi" w:hAnsiTheme="majorBidi" w:cstheme="majorBidi"/>
          <w:b/>
          <w:bCs/>
          <w:sz w:val="20"/>
          <w:szCs w:val="20"/>
          <w:lang w:val="de-DE" w:eastAsia="ja-JP"/>
        </w:rPr>
        <w:t>Characterization o</w:t>
      </w:r>
      <w:r w:rsidRPr="00CC2B87">
        <w:rPr>
          <w:rFonts w:asciiTheme="majorBidi" w:hAnsiTheme="majorBidi" w:cstheme="majorBidi"/>
          <w:b/>
          <w:bCs/>
          <w:sz w:val="20"/>
          <w:szCs w:val="20"/>
          <w:lang w:val="de-DE" w:eastAsia="ja-JP"/>
        </w:rPr>
        <w:t>f Polymers</w:t>
      </w:r>
    </w:p>
    <w:p w:rsidR="004D6746" w:rsidRPr="00CC2B87" w:rsidRDefault="004D6746" w:rsidP="004D6746">
      <w:pPr>
        <w:spacing w:after="0" w:line="240" w:lineRule="auto"/>
        <w:jc w:val="both"/>
        <w:rPr>
          <w:rFonts w:asciiTheme="majorBidi" w:hAnsiTheme="majorBidi" w:cstheme="majorBidi"/>
          <w:sz w:val="20"/>
          <w:szCs w:val="20"/>
          <w:lang w:val="de-DE" w:eastAsia="ja-JP"/>
        </w:rPr>
      </w:pPr>
      <w:r w:rsidRPr="00CC2B87">
        <w:rPr>
          <w:rFonts w:asciiTheme="majorBidi" w:hAnsiTheme="majorBidi" w:cstheme="majorBidi"/>
          <w:sz w:val="20"/>
          <w:szCs w:val="20"/>
          <w:lang w:val="de-DE" w:eastAsia="ja-JP"/>
        </w:rPr>
        <w:t>Physical characterizations of the polymers were carried out using scanning electron microscopy (SEM) (JEOL model JSM-6360 LA) and Brunauer, Emmett and Teller (BET) Autosorb 1-C instrume</w:t>
      </w:r>
      <w:r>
        <w:rPr>
          <w:rFonts w:asciiTheme="majorBidi" w:hAnsiTheme="majorBidi" w:cstheme="majorBidi"/>
          <w:sz w:val="20"/>
          <w:szCs w:val="20"/>
          <w:lang w:val="de-DE" w:eastAsia="ja-JP"/>
        </w:rPr>
        <w:t xml:space="preserve">nt from Quantachrome (Florida). </w:t>
      </w:r>
      <w:r w:rsidRPr="00CC2B87">
        <w:rPr>
          <w:rFonts w:asciiTheme="majorBidi" w:hAnsiTheme="majorBidi" w:cstheme="majorBidi"/>
          <w:sz w:val="20"/>
          <w:szCs w:val="20"/>
          <w:lang w:val="de-DE" w:eastAsia="ja-JP"/>
        </w:rPr>
        <w:t>The surface morphology of MIPs and NIPs polymer monolith were observed under the JSM-6360 LA JEOL SEM. Thin layer of these polymer were coated with gold (Au) prior to being observed by the SEM. Gold coating produced fine images depicting the polymer surfaces at high magnification and protects the polymer surface from the electron’s beam with kinetic energies of about 1-25 kV.</w:t>
      </w:r>
      <w:r>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The surface area analysis was performed by using the Autosorb 1</w:t>
      </w:r>
      <w:r>
        <w:rPr>
          <w:rFonts w:asciiTheme="majorBidi" w:hAnsiTheme="majorBidi" w:cstheme="majorBidi"/>
          <w:sz w:val="20"/>
          <w:szCs w:val="20"/>
          <w:lang w:val="de-DE" w:eastAsia="ja-JP"/>
        </w:rPr>
        <w:t>-C instrument from Quantochrome</w:t>
      </w:r>
      <w:r w:rsidRPr="00CC2B87">
        <w:rPr>
          <w:rFonts w:asciiTheme="majorBidi" w:hAnsiTheme="majorBidi" w:cstheme="majorBidi"/>
          <w:sz w:val="20"/>
          <w:szCs w:val="20"/>
          <w:lang w:val="de-DE" w:eastAsia="ja-JP"/>
        </w:rPr>
        <w:t>. The nitrogen adsorption and desorption process was measured at 77 K and the samples were out-gassed in a vacuum at 110°C for 10 h prior to analysis. The BET area of the polymer materials (SBET) was calculated from the adsorption data using 0.162 nm</w:t>
      </w:r>
      <w:r w:rsidRPr="00CC2B87">
        <w:rPr>
          <w:rFonts w:asciiTheme="majorBidi" w:hAnsiTheme="majorBidi" w:cstheme="majorBidi"/>
          <w:sz w:val="20"/>
          <w:szCs w:val="20"/>
          <w:vertAlign w:val="superscript"/>
          <w:lang w:val="de-DE" w:eastAsia="ja-JP"/>
        </w:rPr>
        <w:t>2</w:t>
      </w:r>
      <w:r w:rsidRPr="00CC2B87">
        <w:rPr>
          <w:rFonts w:asciiTheme="majorBidi" w:hAnsiTheme="majorBidi" w:cstheme="majorBidi"/>
          <w:sz w:val="20"/>
          <w:szCs w:val="20"/>
          <w:lang w:val="de-DE" w:eastAsia="ja-JP"/>
        </w:rPr>
        <w:t xml:space="preserve"> as the molecular cross-sectional area for adsorbed nitrogen molecules. The Barret–Joyner–Halenda (BJH) method was used to calculate the pore size distribution by applying the Kelvin equation under assumption of cylindrical pores.</w:t>
      </w:r>
      <w:r>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The infrared spectrum of polymer monoliths were done by using the potassium bromide (KBr) pellet technique and recorded in the range of 400–4000 cm</w:t>
      </w:r>
      <w:r w:rsidRPr="00CC2B87">
        <w:rPr>
          <w:rFonts w:asciiTheme="majorBidi" w:hAnsiTheme="majorBidi" w:cstheme="majorBidi"/>
          <w:sz w:val="20"/>
          <w:szCs w:val="20"/>
          <w:vertAlign w:val="superscript"/>
          <w:lang w:val="de-DE" w:eastAsia="ja-JP"/>
        </w:rPr>
        <w:t>-1</w:t>
      </w:r>
      <w:r w:rsidRPr="00CC2B87">
        <w:rPr>
          <w:rFonts w:asciiTheme="majorBidi" w:hAnsiTheme="majorBidi" w:cstheme="majorBidi"/>
          <w:sz w:val="20"/>
          <w:szCs w:val="20"/>
          <w:lang w:val="de-DE" w:eastAsia="ja-JP"/>
        </w:rPr>
        <w:t>.</w:t>
      </w:r>
      <w:r>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Gaussian 09 software package was adapted to theoretically estimate the total radius of the template and hydrogen bonds in developed TNT-MIP. These data were then compared to the experimental data obtained in the latter stage. This software employed the basic set (B3LYP 6-31G) with Monte-Carlo calculations to study the optimized structures of TNT, 2-ADNT and 4-ADNT [</w:t>
      </w:r>
      <w:r>
        <w:rPr>
          <w:rFonts w:asciiTheme="majorBidi" w:hAnsiTheme="majorBidi" w:cstheme="majorBidi"/>
          <w:sz w:val="20"/>
          <w:szCs w:val="20"/>
          <w:lang w:val="de-DE" w:eastAsia="ja-JP"/>
        </w:rPr>
        <w:t>10</w:t>
      </w:r>
      <w:r w:rsidRPr="00CC2B87">
        <w:rPr>
          <w:rFonts w:asciiTheme="majorBidi" w:hAnsiTheme="majorBidi" w:cstheme="majorBidi"/>
          <w:sz w:val="20"/>
          <w:szCs w:val="20"/>
          <w:lang w:val="de-DE" w:eastAsia="ja-JP"/>
        </w:rPr>
        <w:t>].</w:t>
      </w:r>
      <w:r>
        <w:rPr>
          <w:rFonts w:asciiTheme="majorBidi" w:hAnsiTheme="majorBidi" w:cstheme="majorBidi"/>
          <w:sz w:val="20"/>
          <w:szCs w:val="20"/>
          <w:lang w:val="de-DE" w:eastAsia="ja-JP"/>
        </w:rPr>
        <w:t xml:space="preserve"> </w:t>
      </w:r>
      <w:r w:rsidRPr="00CC2B87">
        <w:rPr>
          <w:rFonts w:asciiTheme="majorBidi" w:hAnsiTheme="majorBidi" w:cstheme="majorBidi"/>
          <w:sz w:val="20"/>
          <w:szCs w:val="20"/>
          <w:lang w:val="de-DE" w:eastAsia="ja-JP"/>
        </w:rPr>
        <w:t xml:space="preserve">Chromatographic investigation was performed on HPLC-UV Shimadzu equipped with SCL autosampler and variable-wavelength UV as detector. 254 nm was selected as the maximum absorption wavelength of TNT.  C18 Synergy Hydro-RP HPLC column supplied by Phenomenex (250 mm L x 4.6 mm i.d, 4 µm particle size) was employed for chromatographic separation of TNT and its metabolites. The mobile phase used in the chromatographic separation consists of a binary mixture of solvents A (water) and B (methanol) at a constant flow rate of 1.0 mL min-1. Mobile phase gradient program was used with the elution start with 55% (B) which was maintained for 2 minute, followed by a 20 minute of linear gradient to 65% (B) and 2 minute linear gradient back to 55% (B). </w:t>
      </w:r>
    </w:p>
    <w:p w:rsidR="006768E9" w:rsidRPr="00F447A7" w:rsidRDefault="006768E9" w:rsidP="004D674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4D6746" w:rsidRPr="00CC2B87" w:rsidRDefault="004D6746" w:rsidP="004D6746">
      <w:pPr>
        <w:spacing w:after="0" w:line="240" w:lineRule="auto"/>
        <w:rPr>
          <w:rFonts w:asciiTheme="majorBidi" w:hAnsiTheme="majorBidi" w:cstheme="majorBidi"/>
          <w:b/>
          <w:bCs/>
          <w:sz w:val="20"/>
          <w:szCs w:val="20"/>
          <w:lang w:val="de-DE" w:eastAsia="ja-JP"/>
        </w:rPr>
      </w:pPr>
      <w:r w:rsidRPr="00CC2B87">
        <w:rPr>
          <w:rFonts w:asciiTheme="majorBidi" w:hAnsiTheme="majorBidi" w:cstheme="majorBidi"/>
          <w:b/>
          <w:bCs/>
          <w:sz w:val="20"/>
          <w:szCs w:val="20"/>
          <w:lang w:val="de-DE" w:eastAsia="ja-JP"/>
        </w:rPr>
        <w:t>MISPE performance validation</w:t>
      </w:r>
    </w:p>
    <w:p w:rsidR="004D6746" w:rsidRDefault="004D6746" w:rsidP="004D6746">
      <w:pPr>
        <w:pStyle w:val="P1"/>
        <w:ind w:firstLine="0"/>
        <w:rPr>
          <w:rFonts w:asciiTheme="majorBidi" w:hAnsiTheme="majorBidi" w:cstheme="majorBidi"/>
        </w:rPr>
      </w:pPr>
      <w:r w:rsidRPr="00CC2B87">
        <w:rPr>
          <w:rFonts w:asciiTheme="majorBidi" w:hAnsiTheme="majorBidi" w:cstheme="majorBidi"/>
        </w:rPr>
        <w:t>LOD and</w:t>
      </w:r>
      <w:r>
        <w:rPr>
          <w:rFonts w:asciiTheme="majorBidi" w:hAnsiTheme="majorBidi" w:cstheme="majorBidi"/>
        </w:rPr>
        <w:t xml:space="preserve"> </w:t>
      </w:r>
      <w:r w:rsidRPr="00CC2B87">
        <w:rPr>
          <w:rFonts w:asciiTheme="majorBidi" w:hAnsiTheme="majorBidi" w:cstheme="majorBidi"/>
        </w:rPr>
        <w:t xml:space="preserve">LOQ of MISPE </w:t>
      </w:r>
      <w:r>
        <w:rPr>
          <w:rFonts w:asciiTheme="majorBidi" w:hAnsiTheme="majorBidi" w:cstheme="majorBidi"/>
        </w:rPr>
        <w:t>we</w:t>
      </w:r>
      <w:r w:rsidRPr="00CC2B87">
        <w:rPr>
          <w:rFonts w:asciiTheme="majorBidi" w:hAnsiTheme="majorBidi" w:cstheme="majorBidi"/>
        </w:rPr>
        <w:t>re summarized in Table 1. The correlation coefficients (r) of the method calibration curves were ≥ 0.993 for all analytes.The regression analysis between peak areas of nitroaromatic compounds versus concentration showed satisfactory linearity in the range of 0.0078-0.5 µg/mL. Th</w:t>
      </w:r>
      <w:r>
        <w:rPr>
          <w:rFonts w:asciiTheme="majorBidi" w:hAnsiTheme="majorBidi" w:cstheme="majorBidi"/>
        </w:rPr>
        <w:t>e</w:t>
      </w:r>
      <w:r w:rsidRPr="00CC2B87">
        <w:rPr>
          <w:rFonts w:asciiTheme="majorBidi" w:hAnsiTheme="majorBidi" w:cstheme="majorBidi"/>
        </w:rPr>
        <w:t xml:space="preserve"> proposed MISPE protocol p</w:t>
      </w:r>
      <w:r>
        <w:rPr>
          <w:rFonts w:asciiTheme="majorBidi" w:hAnsiTheme="majorBidi" w:cstheme="majorBidi"/>
        </w:rPr>
        <w:t xml:space="preserve">rovides a satisfactory and good </w:t>
      </w:r>
      <w:r w:rsidRPr="00CC2B87">
        <w:rPr>
          <w:rFonts w:asciiTheme="majorBidi" w:hAnsiTheme="majorBidi" w:cstheme="majorBidi"/>
        </w:rPr>
        <w:t>LOD</w:t>
      </w:r>
      <w:r>
        <w:rPr>
          <w:rFonts w:asciiTheme="majorBidi" w:hAnsiTheme="majorBidi" w:cstheme="majorBidi"/>
        </w:rPr>
        <w:t xml:space="preserve"> and </w:t>
      </w:r>
      <w:r w:rsidRPr="00CC2B87">
        <w:rPr>
          <w:rFonts w:asciiTheme="majorBidi" w:hAnsiTheme="majorBidi" w:cstheme="majorBidi"/>
        </w:rPr>
        <w:t>LOQ for the simultaneous detection of TNT and its metabolites in the soil sample. Figure 1 shows</w:t>
      </w:r>
      <w:r>
        <w:rPr>
          <w:rFonts w:asciiTheme="majorBidi" w:hAnsiTheme="majorBidi" w:cstheme="majorBidi"/>
        </w:rPr>
        <w:t xml:space="preserve"> </w:t>
      </w:r>
      <w:r w:rsidRPr="00CC2B87">
        <w:rPr>
          <w:rFonts w:asciiTheme="majorBidi" w:hAnsiTheme="majorBidi" w:cstheme="majorBidi"/>
        </w:rPr>
        <w:t>these mix compounds was successfully separated by using the Phenomenex HPLC column and detection at a wavelength of 254 nm by UV detector.</w:t>
      </w:r>
    </w:p>
    <w:p w:rsidR="004D6746" w:rsidRDefault="004D6746" w:rsidP="004D6746">
      <w:pPr>
        <w:pStyle w:val="P1"/>
        <w:ind w:firstLine="0"/>
        <w:rPr>
          <w:rFonts w:asciiTheme="majorBidi" w:hAnsiTheme="majorBidi" w:cstheme="majorBidi"/>
        </w:rPr>
      </w:pPr>
    </w:p>
    <w:p w:rsidR="004D6746" w:rsidRPr="00CC2B87" w:rsidRDefault="004D6746" w:rsidP="004D6746">
      <w:pPr>
        <w:pStyle w:val="P1"/>
        <w:ind w:firstLine="0"/>
        <w:rPr>
          <w:rFonts w:asciiTheme="majorBidi" w:hAnsiTheme="majorBidi" w:cstheme="majorBidi"/>
        </w:rPr>
      </w:pPr>
    </w:p>
    <w:p w:rsidR="004D6746" w:rsidRPr="004D6746" w:rsidRDefault="004D6746" w:rsidP="00401741">
      <w:pPr>
        <w:pStyle w:val="TableCaption"/>
        <w:spacing w:before="0"/>
        <w:jc w:val="center"/>
        <w:rPr>
          <w:rFonts w:asciiTheme="majorBidi" w:hAnsiTheme="majorBidi" w:cstheme="majorBidi"/>
          <w:bCs/>
          <w:color w:val="auto"/>
          <w:lang w:val="en-US"/>
        </w:rPr>
      </w:pPr>
      <w:r w:rsidRPr="00376704">
        <w:rPr>
          <w:rFonts w:asciiTheme="majorBidi" w:hAnsiTheme="majorBidi" w:cstheme="majorBidi"/>
          <w:bCs/>
          <w:color w:val="auto"/>
        </w:rPr>
        <w:t xml:space="preserve">Table 1. </w:t>
      </w:r>
      <w:bookmarkStart w:id="1" w:name="_Toc160254095"/>
      <w:r>
        <w:rPr>
          <w:rFonts w:asciiTheme="majorBidi" w:hAnsiTheme="majorBidi" w:cstheme="majorBidi"/>
          <w:bCs/>
          <w:color w:val="auto"/>
        </w:rPr>
        <w:t xml:space="preserve"> </w:t>
      </w:r>
      <w:r w:rsidRPr="00376704">
        <w:rPr>
          <w:rFonts w:asciiTheme="majorBidi" w:hAnsiTheme="majorBidi" w:cstheme="majorBidi"/>
          <w:bCs/>
          <w:color w:val="auto"/>
          <w:lang w:val="en-US"/>
        </w:rPr>
        <w:t>The LOD and LOQ values of the TNT and its metabolites using MISP</w:t>
      </w:r>
      <w:bookmarkEnd w:id="1"/>
      <w:r w:rsidRPr="00376704">
        <w:rPr>
          <w:rFonts w:asciiTheme="majorBidi" w:hAnsiTheme="majorBidi" w:cstheme="majorBidi"/>
          <w:bCs/>
          <w:color w:val="auto"/>
          <w:lang w:val="en-US"/>
        </w:rPr>
        <w:t>E</w:t>
      </w:r>
    </w:p>
    <w:tbl>
      <w:tblPr>
        <w:tblW w:w="7226" w:type="dxa"/>
        <w:jc w:val="center"/>
        <w:tblLook w:val="01E0" w:firstRow="1" w:lastRow="1" w:firstColumn="1" w:lastColumn="1" w:noHBand="0" w:noVBand="0"/>
      </w:tblPr>
      <w:tblGrid>
        <w:gridCol w:w="3500"/>
        <w:gridCol w:w="1539"/>
        <w:gridCol w:w="1560"/>
        <w:gridCol w:w="627"/>
      </w:tblGrid>
      <w:tr w:rsidR="004D6746" w:rsidRPr="008E4848" w:rsidTr="00401741">
        <w:trPr>
          <w:trHeight w:hRule="exact" w:val="532"/>
          <w:jc w:val="center"/>
        </w:trPr>
        <w:tc>
          <w:tcPr>
            <w:tcW w:w="0" w:type="auto"/>
            <w:tcBorders>
              <w:top w:val="single" w:sz="4" w:space="0" w:color="000000"/>
              <w:bottom w:val="single" w:sz="4" w:space="0" w:color="000000"/>
            </w:tcBorders>
            <w:shd w:val="clear" w:color="auto" w:fill="auto"/>
            <w:tcMar>
              <w:left w:w="0" w:type="dxa"/>
              <w:right w:w="0" w:type="dxa"/>
            </w:tcMar>
            <w:vAlign w:val="center"/>
          </w:tcPr>
          <w:p w:rsidR="004D6746" w:rsidRPr="00376704" w:rsidRDefault="004D6746" w:rsidP="00401741">
            <w:pPr>
              <w:pStyle w:val="TableHead"/>
              <w:spacing w:before="60"/>
              <w:rPr>
                <w:rFonts w:asciiTheme="majorBidi" w:hAnsiTheme="majorBidi" w:cstheme="majorBidi"/>
                <w:b/>
                <w:bCs/>
                <w:color w:val="auto"/>
                <w:sz w:val="20"/>
                <w:szCs w:val="20"/>
              </w:rPr>
            </w:pPr>
            <w:r w:rsidRPr="00376704">
              <w:rPr>
                <w:rFonts w:asciiTheme="majorBidi" w:hAnsiTheme="majorBidi" w:cstheme="majorBidi"/>
                <w:b/>
                <w:bCs/>
                <w:color w:val="auto"/>
                <w:sz w:val="20"/>
                <w:szCs w:val="20"/>
                <w:lang w:val="en-US"/>
              </w:rPr>
              <w:t>Analyte</w:t>
            </w:r>
          </w:p>
        </w:tc>
        <w:tc>
          <w:tcPr>
            <w:tcW w:w="0" w:type="auto"/>
            <w:tcBorders>
              <w:top w:val="single" w:sz="4" w:space="0" w:color="000000"/>
              <w:bottom w:val="single" w:sz="4" w:space="0" w:color="000000"/>
            </w:tcBorders>
            <w:shd w:val="clear" w:color="auto" w:fill="auto"/>
            <w:tcMar>
              <w:left w:w="0" w:type="dxa"/>
              <w:right w:w="0" w:type="dxa"/>
            </w:tcMar>
            <w:vAlign w:val="center"/>
          </w:tcPr>
          <w:p w:rsidR="004D6746" w:rsidRPr="00376704" w:rsidRDefault="004D6746" w:rsidP="00401741">
            <w:pPr>
              <w:pStyle w:val="TableHead"/>
              <w:spacing w:before="60"/>
              <w:jc w:val="center"/>
              <w:rPr>
                <w:rFonts w:asciiTheme="majorBidi" w:hAnsiTheme="majorBidi" w:cstheme="majorBidi"/>
                <w:b/>
                <w:bCs/>
                <w:color w:val="auto"/>
                <w:sz w:val="20"/>
                <w:szCs w:val="20"/>
              </w:rPr>
            </w:pPr>
            <w:r w:rsidRPr="00376704">
              <w:rPr>
                <w:rFonts w:asciiTheme="majorBidi" w:hAnsiTheme="majorBidi" w:cstheme="majorBidi"/>
                <w:b/>
                <w:bCs/>
                <w:color w:val="auto"/>
                <w:sz w:val="20"/>
                <w:szCs w:val="20"/>
              </w:rPr>
              <w:t>LOD</w:t>
            </w:r>
            <w:r w:rsidRPr="00376704">
              <w:rPr>
                <w:rFonts w:asciiTheme="majorBidi" w:hAnsiTheme="majorBidi" w:cstheme="majorBidi"/>
                <w:b/>
                <w:bCs/>
                <w:color w:val="auto"/>
                <w:sz w:val="20"/>
                <w:szCs w:val="20"/>
                <w:vertAlign w:val="superscript"/>
              </w:rPr>
              <w:t>a</w:t>
            </w:r>
            <w:r>
              <w:rPr>
                <w:rFonts w:asciiTheme="majorBidi" w:hAnsiTheme="majorBidi" w:cstheme="majorBidi"/>
                <w:b/>
                <w:bCs/>
                <w:color w:val="auto"/>
                <w:sz w:val="20"/>
                <w:szCs w:val="20"/>
              </w:rPr>
              <w:t xml:space="preserve"> (</w:t>
            </w:r>
            <w:r w:rsidRPr="00376704">
              <w:rPr>
                <w:rFonts w:asciiTheme="majorBidi" w:hAnsiTheme="majorBidi" w:cstheme="majorBidi"/>
                <w:b/>
                <w:bCs/>
                <w:color w:val="auto"/>
                <w:sz w:val="20"/>
                <w:szCs w:val="20"/>
              </w:rPr>
              <w:t>µg mL</w:t>
            </w:r>
            <w:r w:rsidRPr="00376704">
              <w:rPr>
                <w:rFonts w:asciiTheme="majorBidi" w:hAnsiTheme="majorBidi" w:cstheme="majorBidi"/>
                <w:b/>
                <w:bCs/>
                <w:color w:val="auto"/>
                <w:sz w:val="20"/>
                <w:szCs w:val="20"/>
                <w:vertAlign w:val="superscript"/>
              </w:rPr>
              <w:t>-1</w:t>
            </w:r>
            <w:r>
              <w:rPr>
                <w:rFonts w:asciiTheme="majorBidi" w:hAnsiTheme="majorBidi" w:cstheme="majorBidi"/>
                <w:b/>
                <w:bCs/>
                <w:color w:val="auto"/>
                <w:sz w:val="20"/>
                <w:szCs w:val="20"/>
              </w:rPr>
              <w:t>)</w:t>
            </w:r>
          </w:p>
        </w:tc>
        <w:tc>
          <w:tcPr>
            <w:tcW w:w="0" w:type="auto"/>
            <w:tcBorders>
              <w:top w:val="single" w:sz="4" w:space="0" w:color="000000"/>
              <w:bottom w:val="single" w:sz="4" w:space="0" w:color="000000"/>
            </w:tcBorders>
            <w:shd w:val="clear" w:color="auto" w:fill="auto"/>
            <w:tcMar>
              <w:left w:w="0" w:type="dxa"/>
              <w:right w:w="0" w:type="dxa"/>
            </w:tcMar>
            <w:vAlign w:val="center"/>
          </w:tcPr>
          <w:p w:rsidR="004D6746" w:rsidRPr="00376704" w:rsidRDefault="004D6746" w:rsidP="00401741">
            <w:pPr>
              <w:pStyle w:val="TableHead"/>
              <w:spacing w:before="60"/>
              <w:jc w:val="center"/>
              <w:rPr>
                <w:rFonts w:asciiTheme="majorBidi" w:hAnsiTheme="majorBidi" w:cstheme="majorBidi"/>
                <w:b/>
                <w:bCs/>
                <w:color w:val="auto"/>
                <w:sz w:val="20"/>
                <w:szCs w:val="20"/>
              </w:rPr>
            </w:pPr>
            <w:r w:rsidRPr="00376704">
              <w:rPr>
                <w:rFonts w:asciiTheme="majorBidi" w:hAnsiTheme="majorBidi" w:cstheme="majorBidi"/>
                <w:b/>
                <w:bCs/>
                <w:color w:val="auto"/>
                <w:sz w:val="20"/>
                <w:szCs w:val="20"/>
              </w:rPr>
              <w:t>LOQ</w:t>
            </w:r>
            <w:r w:rsidRPr="00376704">
              <w:rPr>
                <w:rFonts w:asciiTheme="majorBidi" w:hAnsiTheme="majorBidi" w:cstheme="majorBidi"/>
                <w:b/>
                <w:bCs/>
                <w:color w:val="auto"/>
                <w:sz w:val="20"/>
                <w:szCs w:val="20"/>
                <w:vertAlign w:val="superscript"/>
              </w:rPr>
              <w:t>b</w:t>
            </w:r>
            <w:r>
              <w:rPr>
                <w:rFonts w:asciiTheme="majorBidi" w:hAnsiTheme="majorBidi" w:cstheme="majorBidi"/>
                <w:b/>
                <w:bCs/>
                <w:color w:val="auto"/>
                <w:sz w:val="20"/>
                <w:szCs w:val="20"/>
              </w:rPr>
              <w:t xml:space="preserve"> (</w:t>
            </w:r>
            <w:r w:rsidRPr="00376704">
              <w:rPr>
                <w:rFonts w:asciiTheme="majorBidi" w:hAnsiTheme="majorBidi" w:cstheme="majorBidi"/>
                <w:b/>
                <w:bCs/>
                <w:color w:val="auto"/>
                <w:sz w:val="20"/>
                <w:szCs w:val="20"/>
              </w:rPr>
              <w:t>µg mL</w:t>
            </w:r>
            <w:r w:rsidRPr="00376704">
              <w:rPr>
                <w:rFonts w:asciiTheme="majorBidi" w:hAnsiTheme="majorBidi" w:cstheme="majorBidi"/>
                <w:b/>
                <w:bCs/>
                <w:color w:val="auto"/>
                <w:sz w:val="20"/>
                <w:szCs w:val="20"/>
                <w:vertAlign w:val="superscript"/>
              </w:rPr>
              <w:t>-1</w:t>
            </w:r>
            <w:r>
              <w:rPr>
                <w:rFonts w:asciiTheme="majorBidi" w:hAnsiTheme="majorBidi" w:cstheme="majorBidi"/>
                <w:b/>
                <w:bCs/>
                <w:color w:val="auto"/>
                <w:sz w:val="20"/>
                <w:szCs w:val="20"/>
              </w:rPr>
              <w:t>)</w:t>
            </w:r>
          </w:p>
        </w:tc>
        <w:tc>
          <w:tcPr>
            <w:tcW w:w="627" w:type="dxa"/>
            <w:tcBorders>
              <w:top w:val="single" w:sz="4" w:space="0" w:color="000000"/>
              <w:bottom w:val="single" w:sz="4" w:space="0" w:color="000000"/>
            </w:tcBorders>
            <w:shd w:val="clear" w:color="auto" w:fill="auto"/>
            <w:tcMar>
              <w:left w:w="0" w:type="dxa"/>
              <w:right w:w="0" w:type="dxa"/>
            </w:tcMar>
            <w:vAlign w:val="center"/>
          </w:tcPr>
          <w:p w:rsidR="004D6746" w:rsidRPr="00376704" w:rsidRDefault="004D6746" w:rsidP="00401741">
            <w:pPr>
              <w:pStyle w:val="TableHead"/>
              <w:spacing w:before="60"/>
              <w:jc w:val="center"/>
              <w:rPr>
                <w:rFonts w:asciiTheme="majorBidi" w:hAnsiTheme="majorBidi" w:cstheme="majorBidi"/>
                <w:b/>
                <w:bCs/>
                <w:color w:val="auto"/>
                <w:sz w:val="20"/>
                <w:szCs w:val="20"/>
              </w:rPr>
            </w:pPr>
            <w:r w:rsidRPr="00376704">
              <w:rPr>
                <w:rFonts w:asciiTheme="majorBidi" w:hAnsiTheme="majorBidi" w:cstheme="majorBidi"/>
                <w:b/>
                <w:bCs/>
                <w:color w:val="auto"/>
                <w:sz w:val="20"/>
                <w:szCs w:val="20"/>
              </w:rPr>
              <w:t>r</w:t>
            </w:r>
          </w:p>
        </w:tc>
      </w:tr>
      <w:tr w:rsidR="004D6746" w:rsidRPr="008E4848" w:rsidTr="00401741">
        <w:trPr>
          <w:trHeight w:hRule="exact" w:val="460"/>
          <w:jc w:val="center"/>
        </w:trPr>
        <w:tc>
          <w:tcPr>
            <w:tcW w:w="0" w:type="auto"/>
            <w:tcBorders>
              <w:top w:val="single" w:sz="4" w:space="0" w:color="000000"/>
            </w:tcBorders>
            <w:shd w:val="clear" w:color="auto" w:fill="auto"/>
            <w:tcMar>
              <w:left w:w="0" w:type="dxa"/>
              <w:right w:w="0" w:type="dxa"/>
            </w:tcMar>
            <w:vAlign w:val="center"/>
          </w:tcPr>
          <w:p w:rsidR="004D6746" w:rsidRPr="008E4848" w:rsidRDefault="004D6746" w:rsidP="00401741">
            <w:pPr>
              <w:pStyle w:val="P2"/>
              <w:spacing w:before="120"/>
              <w:jc w:val="left"/>
              <w:rPr>
                <w:rFonts w:asciiTheme="majorBidi" w:hAnsiTheme="majorBidi" w:cstheme="majorBidi"/>
                <w:sz w:val="20"/>
              </w:rPr>
            </w:pPr>
            <w:r w:rsidRPr="008E4848">
              <w:rPr>
                <w:rFonts w:asciiTheme="majorBidi" w:hAnsiTheme="majorBidi" w:cstheme="majorBidi"/>
                <w:sz w:val="20"/>
              </w:rPr>
              <w:t>2,4,6-trinitrotoluene (TNT)</w:t>
            </w:r>
          </w:p>
        </w:tc>
        <w:tc>
          <w:tcPr>
            <w:tcW w:w="0" w:type="auto"/>
            <w:tcBorders>
              <w:top w:val="single" w:sz="4" w:space="0" w:color="000000"/>
            </w:tcBorders>
            <w:shd w:val="clear" w:color="auto" w:fill="auto"/>
            <w:tcMar>
              <w:left w:w="0" w:type="dxa"/>
              <w:right w:w="0" w:type="dxa"/>
            </w:tcMar>
            <w:vAlign w:val="center"/>
          </w:tcPr>
          <w:p w:rsidR="004D6746" w:rsidRPr="008E4848" w:rsidRDefault="004D6746" w:rsidP="00401741">
            <w:pPr>
              <w:pStyle w:val="P2"/>
              <w:spacing w:before="120"/>
              <w:jc w:val="center"/>
              <w:rPr>
                <w:rFonts w:asciiTheme="majorBidi" w:hAnsiTheme="majorBidi" w:cstheme="majorBidi"/>
                <w:sz w:val="20"/>
              </w:rPr>
            </w:pPr>
            <w:r w:rsidRPr="008E4848">
              <w:rPr>
                <w:rFonts w:asciiTheme="majorBidi" w:hAnsiTheme="majorBidi" w:cstheme="majorBidi"/>
                <w:sz w:val="20"/>
              </w:rPr>
              <w:t>0.028</w:t>
            </w:r>
          </w:p>
        </w:tc>
        <w:tc>
          <w:tcPr>
            <w:tcW w:w="0" w:type="auto"/>
            <w:tcBorders>
              <w:top w:val="single" w:sz="4" w:space="0" w:color="000000"/>
            </w:tcBorders>
            <w:shd w:val="clear" w:color="auto" w:fill="auto"/>
            <w:tcMar>
              <w:left w:w="0" w:type="dxa"/>
              <w:right w:w="0" w:type="dxa"/>
            </w:tcMar>
            <w:vAlign w:val="center"/>
          </w:tcPr>
          <w:p w:rsidR="004D6746" w:rsidRPr="008E4848" w:rsidRDefault="004D6746" w:rsidP="00401741">
            <w:pPr>
              <w:pStyle w:val="P2"/>
              <w:spacing w:before="120"/>
              <w:jc w:val="center"/>
              <w:rPr>
                <w:rFonts w:asciiTheme="majorBidi" w:hAnsiTheme="majorBidi" w:cstheme="majorBidi"/>
                <w:sz w:val="20"/>
              </w:rPr>
            </w:pPr>
            <w:r w:rsidRPr="008E4848">
              <w:rPr>
                <w:rFonts w:asciiTheme="majorBidi" w:hAnsiTheme="majorBidi" w:cstheme="majorBidi"/>
                <w:sz w:val="20"/>
              </w:rPr>
              <w:t>0.047</w:t>
            </w:r>
          </w:p>
        </w:tc>
        <w:tc>
          <w:tcPr>
            <w:tcW w:w="627" w:type="dxa"/>
            <w:tcBorders>
              <w:top w:val="single" w:sz="4" w:space="0" w:color="000000"/>
            </w:tcBorders>
            <w:shd w:val="clear" w:color="auto" w:fill="auto"/>
            <w:tcMar>
              <w:left w:w="0" w:type="dxa"/>
              <w:right w:w="0" w:type="dxa"/>
            </w:tcMar>
            <w:vAlign w:val="center"/>
          </w:tcPr>
          <w:p w:rsidR="004D6746" w:rsidRPr="008E4848" w:rsidRDefault="004D6746" w:rsidP="00401741">
            <w:pPr>
              <w:pStyle w:val="P2"/>
              <w:spacing w:before="120"/>
              <w:jc w:val="center"/>
              <w:rPr>
                <w:rFonts w:asciiTheme="majorBidi" w:hAnsiTheme="majorBidi" w:cstheme="majorBidi"/>
                <w:sz w:val="20"/>
              </w:rPr>
            </w:pPr>
            <w:r w:rsidRPr="008E4848">
              <w:rPr>
                <w:rFonts w:asciiTheme="majorBidi" w:hAnsiTheme="majorBidi" w:cstheme="majorBidi"/>
                <w:sz w:val="20"/>
              </w:rPr>
              <w:t>0.9979</w:t>
            </w:r>
          </w:p>
        </w:tc>
      </w:tr>
      <w:tr w:rsidR="004D6746" w:rsidRPr="008E4848" w:rsidTr="00401741">
        <w:trPr>
          <w:trHeight w:hRule="exact" w:val="342"/>
          <w:jc w:val="center"/>
        </w:trPr>
        <w:tc>
          <w:tcPr>
            <w:tcW w:w="0" w:type="auto"/>
            <w:shd w:val="clear" w:color="auto" w:fill="auto"/>
            <w:tcMar>
              <w:left w:w="0" w:type="dxa"/>
              <w:right w:w="0" w:type="dxa"/>
            </w:tcMar>
            <w:vAlign w:val="center"/>
          </w:tcPr>
          <w:p w:rsidR="004D6746" w:rsidRPr="008E4848" w:rsidRDefault="004D6746" w:rsidP="00401741">
            <w:pPr>
              <w:pStyle w:val="P2"/>
              <w:jc w:val="left"/>
              <w:rPr>
                <w:rFonts w:asciiTheme="majorBidi" w:hAnsiTheme="majorBidi" w:cstheme="majorBidi"/>
                <w:sz w:val="20"/>
              </w:rPr>
            </w:pPr>
            <w:r w:rsidRPr="008E4848">
              <w:rPr>
                <w:rFonts w:asciiTheme="majorBidi" w:hAnsiTheme="majorBidi" w:cstheme="majorBidi"/>
                <w:sz w:val="20"/>
              </w:rPr>
              <w:t>4-Amino-2,6-dinitrotoluene(4-ADNT)</w:t>
            </w:r>
          </w:p>
        </w:tc>
        <w:tc>
          <w:tcPr>
            <w:tcW w:w="0" w:type="auto"/>
            <w:shd w:val="clear" w:color="auto" w:fill="auto"/>
            <w:tcMar>
              <w:left w:w="0" w:type="dxa"/>
              <w:right w:w="0" w:type="dxa"/>
            </w:tcMar>
            <w:vAlign w:val="center"/>
          </w:tcPr>
          <w:p w:rsidR="004D6746" w:rsidRPr="008E4848" w:rsidRDefault="004D6746" w:rsidP="00401741">
            <w:pPr>
              <w:pStyle w:val="P2"/>
              <w:jc w:val="center"/>
              <w:rPr>
                <w:rFonts w:asciiTheme="majorBidi" w:hAnsiTheme="majorBidi" w:cstheme="majorBidi"/>
                <w:sz w:val="20"/>
              </w:rPr>
            </w:pPr>
            <w:r w:rsidRPr="008E4848">
              <w:rPr>
                <w:rFonts w:asciiTheme="majorBidi" w:hAnsiTheme="majorBidi" w:cstheme="majorBidi"/>
                <w:sz w:val="20"/>
              </w:rPr>
              <w:t>0.034</w:t>
            </w:r>
          </w:p>
        </w:tc>
        <w:tc>
          <w:tcPr>
            <w:tcW w:w="0" w:type="auto"/>
            <w:shd w:val="clear" w:color="auto" w:fill="auto"/>
            <w:tcMar>
              <w:left w:w="0" w:type="dxa"/>
              <w:right w:w="0" w:type="dxa"/>
            </w:tcMar>
            <w:vAlign w:val="center"/>
          </w:tcPr>
          <w:p w:rsidR="004D6746" w:rsidRPr="008E4848" w:rsidRDefault="004D6746" w:rsidP="00401741">
            <w:pPr>
              <w:pStyle w:val="P2"/>
              <w:jc w:val="center"/>
              <w:rPr>
                <w:rFonts w:asciiTheme="majorBidi" w:hAnsiTheme="majorBidi" w:cstheme="majorBidi"/>
                <w:sz w:val="20"/>
              </w:rPr>
            </w:pPr>
            <w:r w:rsidRPr="008E4848">
              <w:rPr>
                <w:rFonts w:asciiTheme="majorBidi" w:hAnsiTheme="majorBidi" w:cstheme="majorBidi"/>
                <w:sz w:val="20"/>
              </w:rPr>
              <w:t>0.057</w:t>
            </w:r>
          </w:p>
        </w:tc>
        <w:tc>
          <w:tcPr>
            <w:tcW w:w="627" w:type="dxa"/>
            <w:shd w:val="clear" w:color="auto" w:fill="auto"/>
            <w:tcMar>
              <w:left w:w="0" w:type="dxa"/>
              <w:right w:w="0" w:type="dxa"/>
            </w:tcMar>
            <w:vAlign w:val="center"/>
          </w:tcPr>
          <w:p w:rsidR="004D6746" w:rsidRPr="008E4848" w:rsidRDefault="004D6746" w:rsidP="00401741">
            <w:pPr>
              <w:pStyle w:val="P2"/>
              <w:jc w:val="center"/>
              <w:rPr>
                <w:rFonts w:asciiTheme="majorBidi" w:hAnsiTheme="majorBidi" w:cstheme="majorBidi"/>
                <w:sz w:val="20"/>
              </w:rPr>
            </w:pPr>
            <w:r w:rsidRPr="008E4848">
              <w:rPr>
                <w:rFonts w:asciiTheme="majorBidi" w:hAnsiTheme="majorBidi" w:cstheme="majorBidi"/>
                <w:sz w:val="20"/>
              </w:rPr>
              <w:t>0.9976</w:t>
            </w:r>
          </w:p>
        </w:tc>
      </w:tr>
      <w:tr w:rsidR="004D6746" w:rsidRPr="008E4848" w:rsidTr="00401741">
        <w:trPr>
          <w:trHeight w:hRule="exact" w:val="360"/>
          <w:jc w:val="center"/>
        </w:trPr>
        <w:tc>
          <w:tcPr>
            <w:tcW w:w="0" w:type="auto"/>
            <w:tcBorders>
              <w:bottom w:val="single" w:sz="4" w:space="0" w:color="000000"/>
            </w:tcBorders>
            <w:shd w:val="clear" w:color="auto" w:fill="auto"/>
            <w:tcMar>
              <w:left w:w="0" w:type="dxa"/>
              <w:right w:w="0" w:type="dxa"/>
            </w:tcMar>
            <w:vAlign w:val="center"/>
          </w:tcPr>
          <w:p w:rsidR="004D6746" w:rsidRPr="008E4848" w:rsidRDefault="004D6746" w:rsidP="00401741">
            <w:pPr>
              <w:pStyle w:val="P2"/>
              <w:spacing w:after="120"/>
              <w:jc w:val="left"/>
              <w:rPr>
                <w:rFonts w:asciiTheme="majorBidi" w:hAnsiTheme="majorBidi" w:cstheme="majorBidi"/>
                <w:sz w:val="20"/>
              </w:rPr>
            </w:pPr>
            <w:r w:rsidRPr="008E4848">
              <w:rPr>
                <w:rFonts w:asciiTheme="majorBidi" w:hAnsiTheme="majorBidi" w:cstheme="majorBidi"/>
                <w:sz w:val="20"/>
              </w:rPr>
              <w:t>2-Amino-4,6-dinitrotoluene(2-ADNT)</w:t>
            </w:r>
          </w:p>
        </w:tc>
        <w:tc>
          <w:tcPr>
            <w:tcW w:w="0" w:type="auto"/>
            <w:tcBorders>
              <w:bottom w:val="single" w:sz="4" w:space="0" w:color="000000"/>
            </w:tcBorders>
            <w:shd w:val="clear" w:color="auto" w:fill="auto"/>
            <w:tcMar>
              <w:left w:w="0" w:type="dxa"/>
              <w:right w:w="0" w:type="dxa"/>
            </w:tcMar>
            <w:vAlign w:val="center"/>
          </w:tcPr>
          <w:p w:rsidR="004D6746" w:rsidRPr="008E4848" w:rsidRDefault="004D6746" w:rsidP="00401741">
            <w:pPr>
              <w:pStyle w:val="P2"/>
              <w:spacing w:after="120"/>
              <w:jc w:val="center"/>
              <w:rPr>
                <w:rFonts w:asciiTheme="majorBidi" w:hAnsiTheme="majorBidi" w:cstheme="majorBidi"/>
                <w:sz w:val="20"/>
              </w:rPr>
            </w:pPr>
            <w:r w:rsidRPr="008E4848">
              <w:rPr>
                <w:rFonts w:asciiTheme="majorBidi" w:hAnsiTheme="majorBidi" w:cstheme="majorBidi"/>
                <w:sz w:val="20"/>
              </w:rPr>
              <w:t>0.066</w:t>
            </w:r>
          </w:p>
        </w:tc>
        <w:tc>
          <w:tcPr>
            <w:tcW w:w="0" w:type="auto"/>
            <w:tcBorders>
              <w:bottom w:val="single" w:sz="4" w:space="0" w:color="000000"/>
            </w:tcBorders>
            <w:shd w:val="clear" w:color="auto" w:fill="auto"/>
            <w:tcMar>
              <w:left w:w="0" w:type="dxa"/>
              <w:right w:w="0" w:type="dxa"/>
            </w:tcMar>
            <w:vAlign w:val="center"/>
          </w:tcPr>
          <w:p w:rsidR="004D6746" w:rsidRPr="008E4848" w:rsidRDefault="004D6746" w:rsidP="00401741">
            <w:pPr>
              <w:pStyle w:val="P2"/>
              <w:spacing w:after="120"/>
              <w:jc w:val="center"/>
              <w:rPr>
                <w:rFonts w:asciiTheme="majorBidi" w:hAnsiTheme="majorBidi" w:cstheme="majorBidi"/>
                <w:sz w:val="20"/>
              </w:rPr>
            </w:pPr>
            <w:r w:rsidRPr="008E4848">
              <w:rPr>
                <w:rFonts w:asciiTheme="majorBidi" w:hAnsiTheme="majorBidi" w:cstheme="majorBidi"/>
                <w:sz w:val="20"/>
              </w:rPr>
              <w:t>0.110</w:t>
            </w:r>
          </w:p>
        </w:tc>
        <w:tc>
          <w:tcPr>
            <w:tcW w:w="627" w:type="dxa"/>
            <w:tcBorders>
              <w:bottom w:val="single" w:sz="4" w:space="0" w:color="000000"/>
            </w:tcBorders>
            <w:shd w:val="clear" w:color="auto" w:fill="auto"/>
            <w:tcMar>
              <w:left w:w="0" w:type="dxa"/>
              <w:right w:w="0" w:type="dxa"/>
            </w:tcMar>
            <w:vAlign w:val="center"/>
          </w:tcPr>
          <w:p w:rsidR="004D6746" w:rsidRPr="008E4848" w:rsidRDefault="004D6746" w:rsidP="00401741">
            <w:pPr>
              <w:pStyle w:val="P2"/>
              <w:spacing w:after="120"/>
              <w:jc w:val="center"/>
              <w:rPr>
                <w:rFonts w:asciiTheme="majorBidi" w:hAnsiTheme="majorBidi" w:cstheme="majorBidi"/>
                <w:sz w:val="20"/>
              </w:rPr>
            </w:pPr>
            <w:r w:rsidRPr="008E4848">
              <w:rPr>
                <w:rFonts w:asciiTheme="majorBidi" w:hAnsiTheme="majorBidi" w:cstheme="majorBidi"/>
                <w:sz w:val="20"/>
              </w:rPr>
              <w:t>0.9932</w:t>
            </w:r>
          </w:p>
        </w:tc>
      </w:tr>
    </w:tbl>
    <w:p w:rsidR="004D6746" w:rsidRPr="00401741" w:rsidRDefault="00401741" w:rsidP="00401741">
      <w:pPr>
        <w:pStyle w:val="TableFoot"/>
        <w:spacing w:before="120"/>
        <w:ind w:firstLine="720"/>
        <w:rPr>
          <w:rFonts w:asciiTheme="majorBidi" w:hAnsiTheme="majorBidi" w:cstheme="majorBidi"/>
          <w:sz w:val="18"/>
          <w:szCs w:val="18"/>
        </w:rPr>
      </w:pPr>
      <w:r>
        <w:rPr>
          <w:rFonts w:asciiTheme="majorBidi" w:hAnsiTheme="majorBidi" w:cstheme="majorBidi"/>
          <w:sz w:val="18"/>
          <w:szCs w:val="18"/>
          <w:vertAlign w:val="superscript"/>
        </w:rPr>
        <w:t xml:space="preserve">          </w:t>
      </w:r>
      <w:r w:rsidR="004D6746" w:rsidRPr="00401741">
        <w:rPr>
          <w:rFonts w:asciiTheme="majorBidi" w:hAnsiTheme="majorBidi" w:cstheme="majorBidi"/>
          <w:sz w:val="18"/>
          <w:szCs w:val="18"/>
          <w:vertAlign w:val="superscript"/>
        </w:rPr>
        <w:t>a</w:t>
      </w:r>
      <w:r w:rsidR="004D6746" w:rsidRPr="00401741">
        <w:rPr>
          <w:rFonts w:asciiTheme="majorBidi" w:hAnsiTheme="majorBidi" w:cstheme="majorBidi"/>
          <w:sz w:val="18"/>
          <w:szCs w:val="18"/>
        </w:rPr>
        <w:t xml:space="preserve"> Limit of detection . </w:t>
      </w:r>
      <w:r w:rsidR="004D6746" w:rsidRPr="00401741">
        <w:rPr>
          <w:rFonts w:asciiTheme="majorBidi" w:hAnsiTheme="majorBidi" w:cstheme="majorBidi"/>
          <w:sz w:val="18"/>
          <w:szCs w:val="18"/>
          <w:vertAlign w:val="superscript"/>
        </w:rPr>
        <w:t>b</w:t>
      </w:r>
      <w:r w:rsidR="004D6746" w:rsidRPr="00401741">
        <w:rPr>
          <w:rFonts w:asciiTheme="majorBidi" w:hAnsiTheme="majorBidi" w:cstheme="majorBidi"/>
          <w:sz w:val="18"/>
          <w:szCs w:val="18"/>
        </w:rPr>
        <w:t xml:space="preserve"> Limit of Quantitation</w:t>
      </w:r>
    </w:p>
    <w:p w:rsidR="004D6746" w:rsidRPr="00401741" w:rsidRDefault="004D6746" w:rsidP="004D6746">
      <w:pPr>
        <w:pStyle w:val="TableFoot"/>
        <w:ind w:firstLine="720"/>
        <w:rPr>
          <w:rFonts w:asciiTheme="majorBidi" w:hAnsiTheme="majorBidi" w:cstheme="majorBidi"/>
        </w:rPr>
      </w:pPr>
    </w:p>
    <w:p w:rsidR="004D6746" w:rsidRPr="00401741" w:rsidRDefault="004D6746" w:rsidP="004D6746">
      <w:pPr>
        <w:pStyle w:val="TableFoot"/>
        <w:jc w:val="center"/>
        <w:rPr>
          <w:rFonts w:asciiTheme="majorBidi" w:hAnsiTheme="majorBidi" w:cstheme="majorBidi"/>
        </w:rPr>
      </w:pPr>
    </w:p>
    <w:p w:rsidR="004D6746" w:rsidRPr="00241827" w:rsidRDefault="004D6746" w:rsidP="004D6746">
      <w:pPr>
        <w:pStyle w:val="TableFoot"/>
        <w:jc w:val="center"/>
        <w:rPr>
          <w:rFonts w:asciiTheme="majorBidi" w:hAnsiTheme="majorBidi" w:cstheme="majorBidi"/>
          <w:b/>
          <w:bCs/>
          <w:sz w:val="18"/>
          <w:szCs w:val="18"/>
        </w:rPr>
      </w:pPr>
      <w:r w:rsidRPr="00241827">
        <w:rPr>
          <w:rFonts w:asciiTheme="majorBidi" w:hAnsiTheme="majorBidi" w:cstheme="majorBidi"/>
          <w:b/>
          <w:bCs/>
          <w:noProof/>
          <w:sz w:val="18"/>
          <w:szCs w:val="18"/>
          <w:lang w:val="en-US" w:eastAsia="en-US"/>
        </w:rPr>
        <w:lastRenderedPageBreak/>
        <w:drawing>
          <wp:inline distT="0" distB="0" distL="0" distR="0" wp14:anchorId="290742E5" wp14:editId="169E1406">
            <wp:extent cx="4630420" cy="2560320"/>
            <wp:effectExtent l="0" t="0" r="0" b="0"/>
            <wp:docPr id="3" name="Picture 3" descr="STD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D MIX"/>
                    <pic:cNvPicPr>
                      <a:picLocks noChangeAspect="1" noChangeArrowheads="1"/>
                    </pic:cNvPicPr>
                  </pic:nvPicPr>
                  <pic:blipFill rotWithShape="1">
                    <a:blip r:embed="rId10" cstate="print">
                      <a:lum bright="-20000" contrast="40000"/>
                      <a:grayscl/>
                    </a:blip>
                    <a:srcRect t="11639"/>
                    <a:stretch/>
                  </pic:blipFill>
                  <pic:spPr bwMode="auto">
                    <a:xfrm>
                      <a:off x="0" y="0"/>
                      <a:ext cx="4688776" cy="2592587"/>
                    </a:xfrm>
                    <a:prstGeom prst="rect">
                      <a:avLst/>
                    </a:prstGeom>
                    <a:noFill/>
                    <a:ln>
                      <a:noFill/>
                    </a:ln>
                    <a:extLst>
                      <a:ext uri="{53640926-AAD7-44D8-BBD7-CCE9431645EC}">
                        <a14:shadowObscured xmlns:a14="http://schemas.microsoft.com/office/drawing/2010/main"/>
                      </a:ext>
                    </a:extLst>
                  </pic:spPr>
                </pic:pic>
              </a:graphicData>
            </a:graphic>
          </wp:inline>
        </w:drawing>
      </w:r>
    </w:p>
    <w:p w:rsidR="004D6746" w:rsidRDefault="004D6746" w:rsidP="004D6746">
      <w:pPr>
        <w:pStyle w:val="TableFoot"/>
        <w:jc w:val="center"/>
        <w:rPr>
          <w:rFonts w:asciiTheme="majorBidi" w:hAnsiTheme="majorBidi" w:cstheme="majorBidi"/>
          <w:b/>
          <w:bCs/>
        </w:rPr>
      </w:pPr>
    </w:p>
    <w:p w:rsidR="004D6746" w:rsidRPr="008363D9" w:rsidRDefault="004D6746" w:rsidP="00401741">
      <w:pPr>
        <w:pStyle w:val="TableFoot"/>
        <w:ind w:left="907" w:hanging="907"/>
        <w:jc w:val="both"/>
        <w:rPr>
          <w:rFonts w:asciiTheme="majorBidi" w:hAnsiTheme="majorBidi" w:cstheme="majorBidi"/>
        </w:rPr>
      </w:pPr>
      <w:r w:rsidRPr="008363D9">
        <w:rPr>
          <w:rFonts w:asciiTheme="majorBidi" w:hAnsiTheme="majorBidi" w:cstheme="majorBidi"/>
        </w:rPr>
        <w:t>Figure 1. Chromatogram of the selected nitroaromatic compounds standard mixture at 0.1 µg/mL (ppm). Conditions: C18 Synergy Hydro-RP HPLC column (250 mm × 4.6 mm i.d, 4 µm particle size), methanol:deionised water, gradient elution 55:45 solvent for 2 minutes, gradient elution 55:45 to 75:25 in 20 minutes and gradient elution dropped to 55:45 in 3 minutes and maintained for 1 minute.</w:t>
      </w:r>
    </w:p>
    <w:p w:rsidR="004D6746" w:rsidRDefault="004D6746" w:rsidP="004D6746">
      <w:pPr>
        <w:pStyle w:val="TableFoot"/>
        <w:rPr>
          <w:rFonts w:asciiTheme="majorBidi" w:hAnsiTheme="majorBidi" w:cstheme="majorBidi"/>
          <w:lang w:val="en-GB"/>
        </w:rPr>
      </w:pPr>
      <w:r w:rsidRPr="008363D9">
        <w:rPr>
          <w:rFonts w:asciiTheme="majorBidi" w:hAnsiTheme="majorBidi" w:cstheme="majorBidi"/>
          <w:lang w:val="en-GB"/>
        </w:rPr>
        <w:t xml:space="preserve"> </w:t>
      </w:r>
    </w:p>
    <w:p w:rsidR="00401741" w:rsidRPr="008363D9" w:rsidRDefault="00401741" w:rsidP="004D6746">
      <w:pPr>
        <w:pStyle w:val="TableFoot"/>
        <w:rPr>
          <w:rFonts w:asciiTheme="majorBidi" w:hAnsiTheme="majorBidi" w:cstheme="majorBidi"/>
          <w:lang w:val="en-GB"/>
        </w:rPr>
      </w:pPr>
    </w:p>
    <w:p w:rsidR="004D6746" w:rsidRPr="00CC2B87" w:rsidRDefault="004D6746" w:rsidP="004D6746">
      <w:pPr>
        <w:pStyle w:val="P1"/>
        <w:ind w:firstLine="0"/>
        <w:rPr>
          <w:rFonts w:asciiTheme="majorBidi" w:hAnsiTheme="majorBidi" w:cstheme="majorBidi"/>
          <w:b/>
          <w:bCs/>
        </w:rPr>
      </w:pPr>
      <w:r w:rsidRPr="00CC2B87">
        <w:rPr>
          <w:rFonts w:asciiTheme="majorBidi" w:hAnsiTheme="majorBidi" w:cstheme="majorBidi"/>
          <w:b/>
          <w:bCs/>
        </w:rPr>
        <w:t>Recovery study</w:t>
      </w:r>
    </w:p>
    <w:p w:rsidR="004D6746" w:rsidRDefault="004D6746" w:rsidP="004D6746">
      <w:pPr>
        <w:pStyle w:val="TableFoot"/>
        <w:jc w:val="both"/>
        <w:rPr>
          <w:rFonts w:asciiTheme="majorBidi" w:hAnsiTheme="majorBidi" w:cstheme="majorBidi"/>
          <w:lang w:val="en-GB"/>
        </w:rPr>
      </w:pPr>
      <w:r w:rsidRPr="00CC2B87">
        <w:rPr>
          <w:rFonts w:asciiTheme="majorBidi" w:hAnsiTheme="majorBidi" w:cstheme="majorBidi"/>
          <w:lang w:val="en-GB"/>
        </w:rPr>
        <w:t xml:space="preserve">Recovery study has been performed for selected nitroaromatic compounds and the result obtain has tabulated in Table 2. Table 2 shows the MIP recovered a high percentage of TNT, followed by 2-ADNT and 4-ADNT. The extraction recoveries obtained were approximately 31.7% and 41.2% for the 4-ADNT and the 2-ADNT, respectively. </w:t>
      </w:r>
    </w:p>
    <w:p w:rsidR="004D6746" w:rsidRPr="00CC2B87" w:rsidRDefault="004D6746" w:rsidP="004D6746">
      <w:pPr>
        <w:pStyle w:val="TableFoot"/>
        <w:jc w:val="both"/>
        <w:rPr>
          <w:rFonts w:asciiTheme="majorBidi" w:hAnsiTheme="majorBidi" w:cstheme="majorBidi"/>
          <w:lang w:val="en-GB"/>
        </w:rPr>
      </w:pPr>
    </w:p>
    <w:p w:rsidR="004D6746" w:rsidRDefault="004D6746" w:rsidP="00401741">
      <w:pPr>
        <w:pStyle w:val="TableCaption"/>
        <w:spacing w:before="0" w:after="0"/>
        <w:jc w:val="both"/>
        <w:rPr>
          <w:rFonts w:asciiTheme="majorBidi" w:hAnsiTheme="majorBidi" w:cstheme="majorBidi"/>
          <w:b/>
          <w:color w:val="auto"/>
          <w:sz w:val="18"/>
          <w:szCs w:val="18"/>
        </w:rPr>
      </w:pPr>
    </w:p>
    <w:p w:rsidR="004D6746" w:rsidRPr="008363D9" w:rsidRDefault="004D6746" w:rsidP="00401741">
      <w:pPr>
        <w:pStyle w:val="TableCaption"/>
        <w:spacing w:before="0"/>
        <w:jc w:val="center"/>
        <w:rPr>
          <w:rFonts w:asciiTheme="majorBidi" w:hAnsiTheme="majorBidi" w:cstheme="majorBidi"/>
          <w:bCs/>
          <w:color w:val="auto"/>
          <w:lang w:val="en-US"/>
        </w:rPr>
      </w:pPr>
      <w:r w:rsidRPr="008363D9">
        <w:rPr>
          <w:rFonts w:asciiTheme="majorBidi" w:hAnsiTheme="majorBidi" w:cstheme="majorBidi"/>
          <w:bCs/>
          <w:color w:val="auto"/>
        </w:rPr>
        <w:t xml:space="preserve">Table 2. </w:t>
      </w:r>
      <w:r w:rsidR="00401741">
        <w:rPr>
          <w:rFonts w:asciiTheme="majorBidi" w:hAnsiTheme="majorBidi" w:cstheme="majorBidi"/>
          <w:bCs/>
          <w:color w:val="auto"/>
        </w:rPr>
        <w:t xml:space="preserve"> </w:t>
      </w:r>
      <w:r w:rsidRPr="008363D9">
        <w:rPr>
          <w:rFonts w:asciiTheme="majorBidi" w:hAnsiTheme="majorBidi" w:cstheme="majorBidi"/>
          <w:bCs/>
          <w:color w:val="auto"/>
          <w:lang w:val="en-US"/>
        </w:rPr>
        <w:t>Mean (%) recovery and (%) RSD of MISPE and NISPE for nitroaromatic compounds (n=4)</w:t>
      </w:r>
    </w:p>
    <w:tbl>
      <w:tblPr>
        <w:tblW w:w="4182" w:type="pct"/>
        <w:jc w:val="center"/>
        <w:tblLook w:val="04A0" w:firstRow="1" w:lastRow="0" w:firstColumn="1" w:lastColumn="0" w:noHBand="0" w:noVBand="1"/>
      </w:tblPr>
      <w:tblGrid>
        <w:gridCol w:w="2664"/>
        <w:gridCol w:w="2662"/>
        <w:gridCol w:w="2659"/>
      </w:tblGrid>
      <w:tr w:rsidR="004D6746" w:rsidRPr="008E4848" w:rsidTr="0065339C">
        <w:trPr>
          <w:trHeight w:val="323"/>
          <w:jc w:val="center"/>
        </w:trPr>
        <w:tc>
          <w:tcPr>
            <w:tcW w:w="1668" w:type="pct"/>
            <w:vMerge w:val="restart"/>
            <w:tcBorders>
              <w:top w:val="single" w:sz="8" w:space="0" w:color="000000"/>
              <w:left w:val="nil"/>
              <w:bottom w:val="single" w:sz="8" w:space="0" w:color="000000"/>
              <w:right w:val="nil"/>
            </w:tcBorders>
            <w:shd w:val="clear" w:color="auto" w:fill="auto"/>
            <w:vAlign w:val="center"/>
            <w:hideMark/>
          </w:tcPr>
          <w:p w:rsidR="004D6746" w:rsidRPr="008363D9" w:rsidRDefault="004D6746" w:rsidP="0065339C">
            <w:pPr>
              <w:spacing w:after="0" w:line="240" w:lineRule="auto"/>
              <w:jc w:val="center"/>
              <w:rPr>
                <w:rFonts w:ascii="Times New Roman" w:hAnsi="Times New Roman"/>
                <w:b/>
                <w:bCs/>
                <w:color w:val="000000"/>
                <w:sz w:val="20"/>
                <w:szCs w:val="20"/>
              </w:rPr>
            </w:pPr>
            <w:r w:rsidRPr="008363D9">
              <w:rPr>
                <w:rFonts w:ascii="Times New Roman" w:hAnsi="Times New Roman"/>
                <w:b/>
                <w:bCs/>
                <w:color w:val="000000"/>
                <w:sz w:val="20"/>
                <w:szCs w:val="20"/>
              </w:rPr>
              <w:t>Analyte</w:t>
            </w:r>
          </w:p>
        </w:tc>
        <w:tc>
          <w:tcPr>
            <w:tcW w:w="3332" w:type="pct"/>
            <w:gridSpan w:val="2"/>
            <w:tcBorders>
              <w:top w:val="single" w:sz="8" w:space="0" w:color="000000"/>
              <w:left w:val="nil"/>
              <w:bottom w:val="single" w:sz="8" w:space="0" w:color="auto"/>
              <w:right w:val="nil"/>
            </w:tcBorders>
            <w:shd w:val="clear" w:color="auto" w:fill="auto"/>
            <w:vAlign w:val="center"/>
            <w:hideMark/>
          </w:tcPr>
          <w:p w:rsidR="004D6746" w:rsidRPr="008363D9" w:rsidRDefault="004D6746" w:rsidP="00401741">
            <w:pPr>
              <w:spacing w:before="60" w:after="0" w:line="240" w:lineRule="auto"/>
              <w:jc w:val="center"/>
              <w:rPr>
                <w:rFonts w:ascii="Times New Roman" w:hAnsi="Times New Roman"/>
                <w:b/>
                <w:bCs/>
                <w:color w:val="000000"/>
                <w:sz w:val="20"/>
                <w:szCs w:val="20"/>
              </w:rPr>
            </w:pPr>
            <w:r w:rsidRPr="008363D9">
              <w:rPr>
                <w:rFonts w:ascii="Times New Roman" w:hAnsi="Times New Roman"/>
                <w:b/>
                <w:bCs/>
                <w:color w:val="000000"/>
                <w:sz w:val="20"/>
                <w:szCs w:val="20"/>
              </w:rPr>
              <w:t>% Recovery (% RSD)</w:t>
            </w:r>
          </w:p>
        </w:tc>
      </w:tr>
      <w:tr w:rsidR="004D6746" w:rsidRPr="008E4848" w:rsidTr="0065339C">
        <w:trPr>
          <w:trHeight w:val="236"/>
          <w:jc w:val="center"/>
        </w:trPr>
        <w:tc>
          <w:tcPr>
            <w:tcW w:w="1668" w:type="pct"/>
            <w:vMerge/>
            <w:tcBorders>
              <w:top w:val="single" w:sz="8" w:space="0" w:color="000000"/>
              <w:left w:val="nil"/>
              <w:bottom w:val="single" w:sz="8" w:space="0" w:color="000000"/>
              <w:right w:val="nil"/>
            </w:tcBorders>
            <w:vAlign w:val="center"/>
            <w:hideMark/>
          </w:tcPr>
          <w:p w:rsidR="004D6746" w:rsidRPr="008363D9" w:rsidRDefault="004D6746" w:rsidP="0065339C">
            <w:pPr>
              <w:spacing w:after="0" w:line="240" w:lineRule="auto"/>
              <w:jc w:val="center"/>
              <w:rPr>
                <w:rFonts w:ascii="Times New Roman" w:hAnsi="Times New Roman"/>
                <w:b/>
                <w:bCs/>
                <w:color w:val="000000"/>
                <w:sz w:val="20"/>
                <w:szCs w:val="20"/>
              </w:rPr>
            </w:pPr>
          </w:p>
        </w:tc>
        <w:tc>
          <w:tcPr>
            <w:tcW w:w="1667" w:type="pct"/>
            <w:tcBorders>
              <w:top w:val="nil"/>
              <w:left w:val="nil"/>
              <w:bottom w:val="single" w:sz="8" w:space="0" w:color="auto"/>
              <w:right w:val="nil"/>
            </w:tcBorders>
            <w:shd w:val="clear" w:color="auto" w:fill="auto"/>
            <w:vAlign w:val="center"/>
            <w:hideMark/>
          </w:tcPr>
          <w:p w:rsidR="004D6746" w:rsidRPr="008363D9" w:rsidRDefault="004D6746" w:rsidP="00401741">
            <w:pPr>
              <w:spacing w:after="60" w:line="240" w:lineRule="auto"/>
              <w:jc w:val="center"/>
              <w:rPr>
                <w:rFonts w:ascii="Times New Roman" w:hAnsi="Times New Roman"/>
                <w:b/>
                <w:bCs/>
                <w:color w:val="000000"/>
                <w:sz w:val="20"/>
                <w:szCs w:val="20"/>
              </w:rPr>
            </w:pPr>
            <w:r w:rsidRPr="008363D9">
              <w:rPr>
                <w:rFonts w:ascii="Times New Roman" w:hAnsi="Times New Roman"/>
                <w:b/>
                <w:bCs/>
                <w:color w:val="000000"/>
                <w:sz w:val="20"/>
                <w:szCs w:val="20"/>
              </w:rPr>
              <w:t>MISPE</w:t>
            </w:r>
          </w:p>
        </w:tc>
        <w:tc>
          <w:tcPr>
            <w:tcW w:w="1665" w:type="pct"/>
            <w:tcBorders>
              <w:top w:val="nil"/>
              <w:left w:val="nil"/>
              <w:bottom w:val="single" w:sz="8" w:space="0" w:color="auto"/>
              <w:right w:val="nil"/>
            </w:tcBorders>
            <w:shd w:val="clear" w:color="auto" w:fill="auto"/>
            <w:vAlign w:val="center"/>
            <w:hideMark/>
          </w:tcPr>
          <w:p w:rsidR="004D6746" w:rsidRPr="008363D9" w:rsidRDefault="004D6746" w:rsidP="00401741">
            <w:pPr>
              <w:spacing w:after="60" w:line="240" w:lineRule="auto"/>
              <w:jc w:val="center"/>
              <w:rPr>
                <w:rFonts w:ascii="Times New Roman" w:hAnsi="Times New Roman"/>
                <w:b/>
                <w:bCs/>
                <w:color w:val="000000"/>
                <w:sz w:val="20"/>
                <w:szCs w:val="20"/>
              </w:rPr>
            </w:pPr>
            <w:r w:rsidRPr="008363D9">
              <w:rPr>
                <w:rFonts w:ascii="Times New Roman" w:hAnsi="Times New Roman"/>
                <w:b/>
                <w:bCs/>
                <w:color w:val="000000"/>
                <w:sz w:val="20"/>
                <w:szCs w:val="20"/>
              </w:rPr>
              <w:t>NISPE</w:t>
            </w:r>
          </w:p>
        </w:tc>
      </w:tr>
      <w:tr w:rsidR="004D6746" w:rsidRPr="008E4848" w:rsidTr="0065339C">
        <w:trPr>
          <w:trHeight w:val="308"/>
          <w:jc w:val="center"/>
        </w:trPr>
        <w:tc>
          <w:tcPr>
            <w:tcW w:w="1668" w:type="pct"/>
            <w:tcBorders>
              <w:top w:val="nil"/>
              <w:left w:val="nil"/>
              <w:bottom w:val="nil"/>
              <w:right w:val="nil"/>
            </w:tcBorders>
            <w:shd w:val="clear" w:color="auto" w:fill="auto"/>
            <w:vAlign w:val="center"/>
            <w:hideMark/>
          </w:tcPr>
          <w:p w:rsidR="004D6746" w:rsidRPr="008E4848" w:rsidRDefault="004D6746" w:rsidP="00401741">
            <w:pPr>
              <w:spacing w:before="120"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TNT</w:t>
            </w:r>
          </w:p>
        </w:tc>
        <w:tc>
          <w:tcPr>
            <w:tcW w:w="1667" w:type="pct"/>
            <w:tcBorders>
              <w:top w:val="nil"/>
              <w:left w:val="nil"/>
              <w:bottom w:val="nil"/>
              <w:right w:val="nil"/>
            </w:tcBorders>
            <w:shd w:val="clear" w:color="auto" w:fill="auto"/>
            <w:vAlign w:val="center"/>
            <w:hideMark/>
          </w:tcPr>
          <w:p w:rsidR="004D6746" w:rsidRPr="008E4848" w:rsidRDefault="004D6746" w:rsidP="00401741">
            <w:pPr>
              <w:spacing w:before="120"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94.1 (13.7)</w:t>
            </w:r>
          </w:p>
        </w:tc>
        <w:tc>
          <w:tcPr>
            <w:tcW w:w="1665" w:type="pct"/>
            <w:tcBorders>
              <w:top w:val="nil"/>
              <w:left w:val="nil"/>
              <w:bottom w:val="nil"/>
              <w:right w:val="nil"/>
            </w:tcBorders>
            <w:shd w:val="clear" w:color="auto" w:fill="auto"/>
            <w:vAlign w:val="center"/>
            <w:hideMark/>
          </w:tcPr>
          <w:p w:rsidR="004D6746" w:rsidRPr="008E4848" w:rsidRDefault="004D6746" w:rsidP="00401741">
            <w:pPr>
              <w:spacing w:before="120"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72.1 (7.3)</w:t>
            </w:r>
          </w:p>
        </w:tc>
      </w:tr>
      <w:tr w:rsidR="004D6746" w:rsidRPr="008E4848" w:rsidTr="0065339C">
        <w:trPr>
          <w:trHeight w:val="308"/>
          <w:jc w:val="center"/>
        </w:trPr>
        <w:tc>
          <w:tcPr>
            <w:tcW w:w="1668" w:type="pct"/>
            <w:tcBorders>
              <w:top w:val="nil"/>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4-ADNT</w:t>
            </w:r>
          </w:p>
        </w:tc>
        <w:tc>
          <w:tcPr>
            <w:tcW w:w="1667" w:type="pct"/>
            <w:tcBorders>
              <w:top w:val="nil"/>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31.7 (27.2)</w:t>
            </w:r>
          </w:p>
        </w:tc>
        <w:tc>
          <w:tcPr>
            <w:tcW w:w="1665" w:type="pct"/>
            <w:tcBorders>
              <w:top w:val="nil"/>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36.1 (31.8)</w:t>
            </w:r>
          </w:p>
        </w:tc>
      </w:tr>
      <w:tr w:rsidR="004D6746" w:rsidRPr="008E4848" w:rsidTr="00401741">
        <w:trPr>
          <w:trHeight w:val="270"/>
          <w:jc w:val="center"/>
        </w:trPr>
        <w:tc>
          <w:tcPr>
            <w:tcW w:w="1668" w:type="pct"/>
            <w:tcBorders>
              <w:top w:val="nil"/>
              <w:left w:val="nil"/>
              <w:bottom w:val="single" w:sz="8" w:space="0" w:color="000000"/>
              <w:right w:val="nil"/>
            </w:tcBorders>
            <w:shd w:val="clear" w:color="auto" w:fill="auto"/>
            <w:vAlign w:val="center"/>
            <w:hideMark/>
          </w:tcPr>
          <w:p w:rsidR="004D6746" w:rsidRPr="008E4848" w:rsidRDefault="004D6746" w:rsidP="00401741">
            <w:pPr>
              <w:spacing w:after="120" w:line="240" w:lineRule="auto"/>
              <w:jc w:val="center"/>
              <w:rPr>
                <w:rFonts w:ascii="Times New Roman" w:hAnsi="Times New Roman"/>
                <w:color w:val="000000"/>
                <w:sz w:val="20"/>
                <w:szCs w:val="20"/>
              </w:rPr>
            </w:pPr>
            <w:r w:rsidRPr="008E4848">
              <w:rPr>
                <w:rFonts w:ascii="Times New Roman" w:hAnsi="Times New Roman"/>
                <w:color w:val="000000"/>
                <w:sz w:val="20"/>
                <w:szCs w:val="20"/>
              </w:rPr>
              <w:t>2-ADNT</w:t>
            </w:r>
          </w:p>
        </w:tc>
        <w:tc>
          <w:tcPr>
            <w:tcW w:w="1667" w:type="pct"/>
            <w:tcBorders>
              <w:top w:val="nil"/>
              <w:left w:val="nil"/>
              <w:bottom w:val="single" w:sz="8" w:space="0" w:color="000000"/>
              <w:right w:val="nil"/>
            </w:tcBorders>
            <w:shd w:val="clear" w:color="auto" w:fill="auto"/>
            <w:vAlign w:val="center"/>
            <w:hideMark/>
          </w:tcPr>
          <w:p w:rsidR="004D6746" w:rsidRPr="008E4848" w:rsidRDefault="004D6746" w:rsidP="00401741">
            <w:pPr>
              <w:spacing w:after="120" w:line="240" w:lineRule="auto"/>
              <w:jc w:val="center"/>
              <w:rPr>
                <w:rFonts w:ascii="Times New Roman" w:hAnsi="Times New Roman"/>
                <w:color w:val="000000"/>
                <w:sz w:val="20"/>
                <w:szCs w:val="20"/>
              </w:rPr>
            </w:pPr>
            <w:r w:rsidRPr="008E4848">
              <w:rPr>
                <w:rFonts w:ascii="Times New Roman" w:hAnsi="Times New Roman"/>
                <w:color w:val="000000"/>
                <w:sz w:val="20"/>
                <w:szCs w:val="20"/>
              </w:rPr>
              <w:t>41.2 (6.1)</w:t>
            </w:r>
          </w:p>
        </w:tc>
        <w:tc>
          <w:tcPr>
            <w:tcW w:w="1665" w:type="pct"/>
            <w:tcBorders>
              <w:top w:val="nil"/>
              <w:left w:val="nil"/>
              <w:bottom w:val="single" w:sz="8" w:space="0" w:color="000000"/>
              <w:right w:val="nil"/>
            </w:tcBorders>
            <w:shd w:val="clear" w:color="auto" w:fill="auto"/>
            <w:vAlign w:val="center"/>
            <w:hideMark/>
          </w:tcPr>
          <w:p w:rsidR="004D6746" w:rsidRPr="008E4848" w:rsidRDefault="004D6746" w:rsidP="00401741">
            <w:pPr>
              <w:spacing w:after="120" w:line="240" w:lineRule="auto"/>
              <w:jc w:val="center"/>
              <w:rPr>
                <w:rFonts w:ascii="Times New Roman" w:hAnsi="Times New Roman"/>
                <w:color w:val="000000"/>
                <w:sz w:val="20"/>
                <w:szCs w:val="20"/>
              </w:rPr>
            </w:pPr>
            <w:r w:rsidRPr="008E4848">
              <w:rPr>
                <w:rFonts w:ascii="Times New Roman" w:hAnsi="Times New Roman"/>
                <w:color w:val="000000"/>
                <w:sz w:val="20"/>
                <w:szCs w:val="20"/>
              </w:rPr>
              <w:t>43.8 (12.9)</w:t>
            </w:r>
          </w:p>
        </w:tc>
      </w:tr>
    </w:tbl>
    <w:p w:rsidR="004D6746" w:rsidRDefault="004D6746" w:rsidP="00401741">
      <w:pPr>
        <w:pStyle w:val="TableFoot"/>
        <w:jc w:val="both"/>
        <w:rPr>
          <w:rFonts w:asciiTheme="majorBidi" w:hAnsiTheme="majorBidi" w:cstheme="majorBidi"/>
          <w:noProof/>
        </w:rPr>
      </w:pPr>
    </w:p>
    <w:p w:rsidR="00401741" w:rsidRPr="008E4848" w:rsidRDefault="00401741" w:rsidP="00401741">
      <w:pPr>
        <w:pStyle w:val="TableFoot"/>
        <w:jc w:val="both"/>
        <w:rPr>
          <w:rFonts w:asciiTheme="majorBidi" w:hAnsiTheme="majorBidi" w:cstheme="majorBidi"/>
          <w:noProof/>
        </w:rPr>
      </w:pPr>
    </w:p>
    <w:p w:rsidR="004D6746" w:rsidRPr="00CC2B87" w:rsidRDefault="004D6746" w:rsidP="004D6746">
      <w:pPr>
        <w:pStyle w:val="TableFoot"/>
        <w:jc w:val="both"/>
        <w:rPr>
          <w:rFonts w:asciiTheme="majorBidi" w:hAnsiTheme="majorBidi" w:cstheme="majorBidi"/>
          <w:lang w:val="en-GB"/>
        </w:rPr>
      </w:pPr>
      <w:r w:rsidRPr="00CC2B87">
        <w:rPr>
          <w:rFonts w:asciiTheme="majorBidi" w:hAnsiTheme="majorBidi" w:cstheme="majorBidi"/>
          <w:lang w:val="en-GB"/>
        </w:rPr>
        <w:t xml:space="preserve">High RSD values of 4-ADNT for MISPE and NISPE indicated less interaction between this analyte towards the polymer sorbent. Its recovery also displayed the worst performance of detection in MISPE (31.7%) and NISPE (36.1%). Low RSD value of other TNT metabolites (2-ADNT) for MISPE and NISPE showed that this analyte is a competitor to TNT as similarity in structure. The TNT recovery of MISPE showed satisfactory (94.1%) value compared to its metabolites. This proves that the recognition properties of MISPE had successfully extracted towards to the target analyte, TNT. NISPE also presented the bounded nitroaromatic compounds to the surface of non-imprinted polymer related to the excess free functional monomers in synthesizing polymers process that might lead to strong interactions to non-specific </w:t>
      </w:r>
      <w:r w:rsidRPr="00A476F2">
        <w:rPr>
          <w:rFonts w:asciiTheme="majorBidi" w:hAnsiTheme="majorBidi" w:cstheme="majorBidi"/>
          <w:lang w:val="en-GB"/>
        </w:rPr>
        <w:t>sites [1</w:t>
      </w:r>
      <w:r>
        <w:rPr>
          <w:rFonts w:asciiTheme="majorBidi" w:hAnsiTheme="majorBidi" w:cstheme="majorBidi"/>
          <w:lang w:val="en-GB"/>
        </w:rPr>
        <w:t>1</w:t>
      </w:r>
      <w:r w:rsidRPr="00CC2B87">
        <w:rPr>
          <w:rFonts w:asciiTheme="majorBidi" w:hAnsiTheme="majorBidi" w:cstheme="majorBidi"/>
          <w:lang w:val="en-GB"/>
        </w:rPr>
        <w:t>].</w:t>
      </w:r>
    </w:p>
    <w:p w:rsidR="004D6746" w:rsidRDefault="004D6746" w:rsidP="004D6746">
      <w:pPr>
        <w:pStyle w:val="H2"/>
        <w:spacing w:before="0" w:after="0"/>
        <w:rPr>
          <w:rFonts w:asciiTheme="majorBidi" w:hAnsiTheme="majorBidi" w:cstheme="majorBidi"/>
          <w:color w:val="auto"/>
          <w:sz w:val="20"/>
        </w:rPr>
      </w:pPr>
    </w:p>
    <w:p w:rsidR="004D6746" w:rsidRPr="00CC2B87" w:rsidRDefault="004D6746" w:rsidP="004D6746">
      <w:pPr>
        <w:pStyle w:val="H2"/>
        <w:spacing w:before="0" w:after="0"/>
        <w:rPr>
          <w:rFonts w:asciiTheme="majorBidi" w:hAnsiTheme="majorBidi" w:cstheme="majorBidi"/>
          <w:color w:val="auto"/>
          <w:sz w:val="20"/>
          <w:lang w:val="en-GB"/>
        </w:rPr>
      </w:pPr>
      <w:r w:rsidRPr="00CC2B87">
        <w:rPr>
          <w:rFonts w:asciiTheme="majorBidi" w:hAnsiTheme="majorBidi" w:cstheme="majorBidi"/>
          <w:color w:val="auto"/>
          <w:sz w:val="20"/>
        </w:rPr>
        <w:t>Real sample analysis</w:t>
      </w:r>
    </w:p>
    <w:p w:rsidR="004D6746" w:rsidRPr="00CC2B87" w:rsidRDefault="004D6746" w:rsidP="004D6746">
      <w:pPr>
        <w:spacing w:after="0" w:line="240" w:lineRule="auto"/>
        <w:jc w:val="both"/>
        <w:rPr>
          <w:rFonts w:asciiTheme="majorBidi" w:hAnsiTheme="majorBidi" w:cstheme="majorBidi"/>
          <w:sz w:val="20"/>
          <w:szCs w:val="20"/>
        </w:rPr>
      </w:pPr>
      <w:r w:rsidRPr="00CC2B87">
        <w:rPr>
          <w:rFonts w:asciiTheme="majorBidi" w:hAnsiTheme="majorBidi" w:cstheme="majorBidi"/>
          <w:sz w:val="20"/>
          <w:szCs w:val="20"/>
          <w:lang w:eastAsia="de-DE"/>
        </w:rPr>
        <w:t>In this study, the real sample analysis has been performed using quarry sample</w:t>
      </w:r>
      <w:r>
        <w:rPr>
          <w:rFonts w:asciiTheme="majorBidi" w:hAnsiTheme="majorBidi" w:cstheme="majorBidi"/>
          <w:sz w:val="20"/>
          <w:szCs w:val="20"/>
          <w:lang w:eastAsia="de-DE"/>
        </w:rPr>
        <w:t xml:space="preserve"> and control sample from Kenyir area</w:t>
      </w:r>
      <w:r w:rsidRPr="00CC2B87">
        <w:rPr>
          <w:rFonts w:asciiTheme="majorBidi" w:hAnsiTheme="majorBidi" w:cstheme="majorBidi"/>
          <w:sz w:val="20"/>
          <w:szCs w:val="20"/>
          <w:lang w:eastAsia="de-DE"/>
        </w:rPr>
        <w:t xml:space="preserve">. From the analysis of 1 g of quarry soil sample the concentration of TNT found was 0.06 µg/mL and 0.07 µg/mL when extracted using imprinted polymer (MISPE) and STRATA-X commercial SPE, respectively. </w:t>
      </w:r>
      <w:r w:rsidRPr="00CC2B87">
        <w:rPr>
          <w:rFonts w:asciiTheme="majorBidi" w:hAnsiTheme="majorBidi" w:cstheme="majorBidi"/>
          <w:bCs/>
          <w:sz w:val="20"/>
          <w:szCs w:val="20"/>
        </w:rPr>
        <w:t xml:space="preserve">Table 3 shows the summary of the sample extractions for TNT and its two metabolites. </w:t>
      </w:r>
    </w:p>
    <w:p w:rsidR="004D6746" w:rsidRDefault="004D6746" w:rsidP="00401741">
      <w:pPr>
        <w:tabs>
          <w:tab w:val="left" w:pos="1530"/>
          <w:tab w:val="left" w:pos="1800"/>
        </w:tabs>
        <w:spacing w:after="0" w:line="240" w:lineRule="auto"/>
        <w:jc w:val="both"/>
        <w:rPr>
          <w:rFonts w:asciiTheme="majorBidi" w:hAnsiTheme="majorBidi" w:cstheme="majorBidi"/>
          <w:b/>
          <w:sz w:val="18"/>
          <w:szCs w:val="18"/>
        </w:rPr>
      </w:pPr>
    </w:p>
    <w:p w:rsidR="00401741" w:rsidRDefault="00401741" w:rsidP="00401741">
      <w:pPr>
        <w:tabs>
          <w:tab w:val="left" w:pos="1530"/>
          <w:tab w:val="left" w:pos="1800"/>
        </w:tabs>
        <w:spacing w:after="0" w:line="240" w:lineRule="auto"/>
        <w:jc w:val="both"/>
        <w:rPr>
          <w:rFonts w:asciiTheme="majorBidi" w:hAnsiTheme="majorBidi" w:cstheme="majorBidi"/>
          <w:b/>
          <w:sz w:val="18"/>
          <w:szCs w:val="18"/>
        </w:rPr>
      </w:pPr>
    </w:p>
    <w:p w:rsidR="00401741" w:rsidRDefault="004D6746" w:rsidP="004D6746">
      <w:pPr>
        <w:tabs>
          <w:tab w:val="left" w:pos="1530"/>
          <w:tab w:val="left" w:pos="1800"/>
        </w:tabs>
        <w:spacing w:after="0" w:line="240" w:lineRule="auto"/>
        <w:jc w:val="center"/>
        <w:rPr>
          <w:rFonts w:asciiTheme="majorBidi" w:hAnsiTheme="majorBidi" w:cstheme="majorBidi"/>
          <w:bCs/>
          <w:sz w:val="20"/>
          <w:szCs w:val="20"/>
        </w:rPr>
      </w:pPr>
      <w:r w:rsidRPr="008363D9">
        <w:rPr>
          <w:rFonts w:asciiTheme="majorBidi" w:hAnsiTheme="majorBidi" w:cstheme="majorBidi"/>
          <w:bCs/>
          <w:sz w:val="20"/>
          <w:szCs w:val="20"/>
        </w:rPr>
        <w:t xml:space="preserve">Table 3. </w:t>
      </w:r>
      <w:r w:rsidR="00401741">
        <w:rPr>
          <w:rFonts w:asciiTheme="majorBidi" w:hAnsiTheme="majorBidi" w:cstheme="majorBidi"/>
          <w:bCs/>
          <w:sz w:val="20"/>
          <w:szCs w:val="20"/>
        </w:rPr>
        <w:t xml:space="preserve"> </w:t>
      </w:r>
      <w:r w:rsidRPr="008363D9">
        <w:rPr>
          <w:rFonts w:asciiTheme="majorBidi" w:hAnsiTheme="majorBidi" w:cstheme="majorBidi"/>
          <w:bCs/>
          <w:sz w:val="20"/>
          <w:szCs w:val="20"/>
        </w:rPr>
        <w:t xml:space="preserve">Real sample analysis of soil from polluted (quarry) and unpolluted site (Kenyir) by using </w:t>
      </w:r>
    </w:p>
    <w:p w:rsidR="004D6746" w:rsidRPr="008363D9" w:rsidRDefault="004D6746" w:rsidP="00401741">
      <w:pPr>
        <w:tabs>
          <w:tab w:val="left" w:pos="1530"/>
          <w:tab w:val="left" w:pos="1800"/>
        </w:tabs>
        <w:spacing w:after="120" w:line="240" w:lineRule="auto"/>
        <w:jc w:val="center"/>
        <w:rPr>
          <w:rFonts w:asciiTheme="majorBidi" w:hAnsiTheme="majorBidi" w:cstheme="majorBidi"/>
          <w:bCs/>
          <w:sz w:val="20"/>
          <w:szCs w:val="20"/>
        </w:rPr>
      </w:pPr>
      <w:r w:rsidRPr="008363D9">
        <w:rPr>
          <w:rFonts w:asciiTheme="majorBidi" w:hAnsiTheme="majorBidi" w:cstheme="majorBidi"/>
          <w:bCs/>
          <w:sz w:val="20"/>
          <w:szCs w:val="20"/>
        </w:rPr>
        <w:t>MISPE, NISPE and STRATA-X SPE</w:t>
      </w:r>
    </w:p>
    <w:tbl>
      <w:tblPr>
        <w:tblW w:w="4982" w:type="pct"/>
        <w:jc w:val="center"/>
        <w:tblBorders>
          <w:top w:val="single" w:sz="8" w:space="0" w:color="000000"/>
          <w:bottom w:val="single" w:sz="8" w:space="0" w:color="000000"/>
        </w:tblBorders>
        <w:tblLook w:val="04A0" w:firstRow="1" w:lastRow="0" w:firstColumn="1" w:lastColumn="0" w:noHBand="0" w:noVBand="1"/>
      </w:tblPr>
      <w:tblGrid>
        <w:gridCol w:w="1834"/>
        <w:gridCol w:w="1117"/>
        <w:gridCol w:w="1073"/>
        <w:gridCol w:w="1653"/>
        <w:gridCol w:w="1117"/>
        <w:gridCol w:w="1073"/>
        <w:gridCol w:w="1646"/>
      </w:tblGrid>
      <w:tr w:rsidR="004D6746" w:rsidRPr="008E4848" w:rsidTr="0065339C">
        <w:trPr>
          <w:trHeight w:val="248"/>
          <w:jc w:val="center"/>
        </w:trPr>
        <w:tc>
          <w:tcPr>
            <w:tcW w:w="964" w:type="pct"/>
            <w:vMerge w:val="restart"/>
            <w:tcBorders>
              <w:top w:val="single" w:sz="2" w:space="0" w:color="auto"/>
              <w:left w:val="nil"/>
              <w:bottom w:val="single" w:sz="4" w:space="0" w:color="auto"/>
              <w:right w:val="nil"/>
            </w:tcBorders>
            <w:shd w:val="clear" w:color="auto" w:fill="auto"/>
            <w:vAlign w:val="center"/>
            <w:hideMark/>
          </w:tcPr>
          <w:p w:rsidR="004D6746" w:rsidRPr="008363D9" w:rsidRDefault="004D6746" w:rsidP="0065339C">
            <w:pPr>
              <w:spacing w:after="0" w:line="240" w:lineRule="auto"/>
              <w:jc w:val="center"/>
              <w:rPr>
                <w:rFonts w:asciiTheme="majorBidi" w:hAnsiTheme="majorBidi" w:cstheme="majorBidi"/>
                <w:b/>
                <w:bCs/>
                <w:sz w:val="20"/>
                <w:szCs w:val="20"/>
              </w:rPr>
            </w:pPr>
            <w:r w:rsidRPr="008363D9">
              <w:rPr>
                <w:rFonts w:asciiTheme="majorBidi" w:hAnsiTheme="majorBidi" w:cstheme="majorBidi"/>
                <w:b/>
                <w:bCs/>
                <w:sz w:val="20"/>
                <w:szCs w:val="20"/>
              </w:rPr>
              <w:t>Nitroaromatic compounds</w:t>
            </w:r>
          </w:p>
          <w:p w:rsidR="004D6746" w:rsidRPr="008363D9" w:rsidRDefault="004D6746" w:rsidP="0065339C">
            <w:pPr>
              <w:spacing w:after="0" w:line="240" w:lineRule="auto"/>
              <w:jc w:val="center"/>
              <w:rPr>
                <w:rFonts w:asciiTheme="majorBidi" w:hAnsiTheme="majorBidi" w:cstheme="majorBidi"/>
                <w:b/>
                <w:bCs/>
                <w:sz w:val="20"/>
                <w:szCs w:val="20"/>
              </w:rPr>
            </w:pPr>
            <w:r w:rsidRPr="008363D9">
              <w:rPr>
                <w:rFonts w:asciiTheme="majorBidi" w:hAnsiTheme="majorBidi" w:cstheme="majorBidi"/>
                <w:b/>
                <w:bCs/>
                <w:sz w:val="20"/>
                <w:szCs w:val="20"/>
              </w:rPr>
              <w:t>(µg/ml)</w:t>
            </w:r>
          </w:p>
        </w:tc>
        <w:tc>
          <w:tcPr>
            <w:tcW w:w="2020" w:type="pct"/>
            <w:gridSpan w:val="3"/>
            <w:tcBorders>
              <w:top w:val="single" w:sz="2" w:space="0" w:color="auto"/>
              <w:left w:val="nil"/>
              <w:bottom w:val="single" w:sz="2" w:space="0" w:color="auto"/>
              <w:right w:val="nil"/>
            </w:tcBorders>
            <w:shd w:val="clear" w:color="auto" w:fill="auto"/>
            <w:noWrap/>
            <w:vAlign w:val="center"/>
            <w:hideMark/>
          </w:tcPr>
          <w:p w:rsidR="004D6746" w:rsidRPr="008363D9" w:rsidRDefault="004D6746" w:rsidP="0065339C">
            <w:pPr>
              <w:spacing w:after="0" w:line="240" w:lineRule="auto"/>
              <w:jc w:val="center"/>
              <w:rPr>
                <w:rFonts w:asciiTheme="majorBidi" w:hAnsiTheme="majorBidi" w:cstheme="majorBidi"/>
                <w:b/>
                <w:bCs/>
                <w:sz w:val="20"/>
                <w:szCs w:val="20"/>
              </w:rPr>
            </w:pPr>
            <w:r w:rsidRPr="008363D9">
              <w:rPr>
                <w:rFonts w:asciiTheme="majorBidi" w:hAnsiTheme="majorBidi" w:cstheme="majorBidi"/>
                <w:b/>
                <w:bCs/>
                <w:sz w:val="20"/>
                <w:szCs w:val="20"/>
              </w:rPr>
              <w:t>Soil (Quarry)</w:t>
            </w:r>
          </w:p>
        </w:tc>
        <w:tc>
          <w:tcPr>
            <w:tcW w:w="2016" w:type="pct"/>
            <w:gridSpan w:val="3"/>
            <w:tcBorders>
              <w:top w:val="single" w:sz="2" w:space="0" w:color="auto"/>
              <w:left w:val="nil"/>
              <w:bottom w:val="single" w:sz="2" w:space="0" w:color="auto"/>
              <w:right w:val="nil"/>
            </w:tcBorders>
            <w:shd w:val="clear" w:color="auto" w:fill="auto"/>
            <w:noWrap/>
            <w:vAlign w:val="center"/>
            <w:hideMark/>
          </w:tcPr>
          <w:p w:rsidR="004D6746" w:rsidRPr="008363D9" w:rsidRDefault="004D6746" w:rsidP="0065339C">
            <w:pPr>
              <w:spacing w:after="0" w:line="240" w:lineRule="auto"/>
              <w:jc w:val="center"/>
              <w:rPr>
                <w:rFonts w:asciiTheme="majorBidi" w:hAnsiTheme="majorBidi" w:cstheme="majorBidi"/>
                <w:b/>
                <w:bCs/>
                <w:sz w:val="20"/>
                <w:szCs w:val="20"/>
              </w:rPr>
            </w:pPr>
            <w:r w:rsidRPr="008363D9">
              <w:rPr>
                <w:rFonts w:asciiTheme="majorBidi" w:hAnsiTheme="majorBidi" w:cstheme="majorBidi"/>
                <w:b/>
                <w:bCs/>
                <w:sz w:val="20"/>
                <w:szCs w:val="20"/>
              </w:rPr>
              <w:t>Soil (Kenyir)</w:t>
            </w:r>
          </w:p>
        </w:tc>
      </w:tr>
      <w:tr w:rsidR="004D6746" w:rsidRPr="008E4848" w:rsidTr="0065339C">
        <w:trPr>
          <w:trHeight w:val="152"/>
          <w:jc w:val="center"/>
        </w:trPr>
        <w:tc>
          <w:tcPr>
            <w:tcW w:w="964" w:type="pct"/>
            <w:vMerge/>
            <w:tcBorders>
              <w:top w:val="single" w:sz="8" w:space="0" w:color="000000"/>
              <w:left w:val="nil"/>
              <w:bottom w:val="single" w:sz="2" w:space="0" w:color="auto"/>
              <w:right w:val="nil"/>
            </w:tcBorders>
            <w:shd w:val="clear" w:color="auto" w:fill="auto"/>
            <w:vAlign w:val="center"/>
            <w:hideMark/>
          </w:tcPr>
          <w:p w:rsidR="004D6746" w:rsidRPr="008363D9" w:rsidRDefault="004D6746" w:rsidP="0065339C">
            <w:pPr>
              <w:spacing w:after="0" w:line="240" w:lineRule="auto"/>
              <w:jc w:val="center"/>
              <w:rPr>
                <w:rFonts w:asciiTheme="majorBidi" w:hAnsiTheme="majorBidi" w:cstheme="majorBidi"/>
                <w:b/>
                <w:bCs/>
                <w:sz w:val="20"/>
                <w:szCs w:val="20"/>
              </w:rPr>
            </w:pPr>
          </w:p>
        </w:tc>
        <w:tc>
          <w:tcPr>
            <w:tcW w:w="587" w:type="pct"/>
            <w:tcBorders>
              <w:top w:val="single" w:sz="2" w:space="0" w:color="auto"/>
              <w:left w:val="nil"/>
              <w:bottom w:val="single" w:sz="2" w:space="0" w:color="auto"/>
              <w:right w:val="nil"/>
            </w:tcBorders>
            <w:shd w:val="clear" w:color="auto" w:fill="auto"/>
            <w:vAlign w:val="center"/>
            <w:hideMark/>
          </w:tcPr>
          <w:p w:rsidR="004D6746" w:rsidRPr="008363D9" w:rsidRDefault="004D6746" w:rsidP="0065339C">
            <w:pPr>
              <w:spacing w:after="0" w:line="240" w:lineRule="auto"/>
              <w:jc w:val="center"/>
              <w:rPr>
                <w:rFonts w:asciiTheme="majorBidi" w:hAnsiTheme="majorBidi" w:cstheme="majorBidi"/>
                <w:b/>
                <w:bCs/>
                <w:sz w:val="20"/>
                <w:szCs w:val="20"/>
              </w:rPr>
            </w:pPr>
            <w:r w:rsidRPr="008363D9">
              <w:rPr>
                <w:rFonts w:asciiTheme="majorBidi" w:hAnsiTheme="majorBidi" w:cstheme="majorBidi"/>
                <w:b/>
                <w:bCs/>
                <w:sz w:val="20"/>
                <w:szCs w:val="20"/>
              </w:rPr>
              <w:t>MISPE</w:t>
            </w:r>
          </w:p>
        </w:tc>
        <w:tc>
          <w:tcPr>
            <w:tcW w:w="564" w:type="pct"/>
            <w:tcBorders>
              <w:top w:val="single" w:sz="2" w:space="0" w:color="auto"/>
              <w:left w:val="nil"/>
              <w:bottom w:val="single" w:sz="2" w:space="0" w:color="auto"/>
              <w:right w:val="nil"/>
            </w:tcBorders>
            <w:shd w:val="clear" w:color="auto" w:fill="auto"/>
            <w:noWrap/>
            <w:vAlign w:val="center"/>
            <w:hideMark/>
          </w:tcPr>
          <w:p w:rsidR="004D6746" w:rsidRPr="008363D9" w:rsidRDefault="004D6746" w:rsidP="0065339C">
            <w:pPr>
              <w:spacing w:after="0" w:line="240" w:lineRule="auto"/>
              <w:jc w:val="center"/>
              <w:rPr>
                <w:rFonts w:asciiTheme="majorBidi" w:hAnsiTheme="majorBidi" w:cstheme="majorBidi"/>
                <w:b/>
                <w:bCs/>
                <w:sz w:val="20"/>
                <w:szCs w:val="20"/>
              </w:rPr>
            </w:pPr>
            <w:r w:rsidRPr="008363D9">
              <w:rPr>
                <w:rFonts w:asciiTheme="majorBidi" w:hAnsiTheme="majorBidi" w:cstheme="majorBidi"/>
                <w:b/>
                <w:bCs/>
                <w:sz w:val="20"/>
                <w:szCs w:val="20"/>
              </w:rPr>
              <w:t>NISPE</w:t>
            </w:r>
          </w:p>
        </w:tc>
        <w:tc>
          <w:tcPr>
            <w:tcW w:w="868" w:type="pct"/>
            <w:tcBorders>
              <w:top w:val="single" w:sz="2" w:space="0" w:color="auto"/>
              <w:left w:val="nil"/>
              <w:bottom w:val="single" w:sz="2" w:space="0" w:color="auto"/>
              <w:right w:val="nil"/>
            </w:tcBorders>
            <w:shd w:val="clear" w:color="auto" w:fill="auto"/>
            <w:noWrap/>
            <w:vAlign w:val="center"/>
            <w:hideMark/>
          </w:tcPr>
          <w:p w:rsidR="004D6746" w:rsidRPr="008363D9" w:rsidRDefault="004D6746" w:rsidP="0065339C">
            <w:pPr>
              <w:spacing w:after="0" w:line="240" w:lineRule="auto"/>
              <w:jc w:val="center"/>
              <w:rPr>
                <w:rFonts w:asciiTheme="majorBidi" w:hAnsiTheme="majorBidi" w:cstheme="majorBidi"/>
                <w:b/>
                <w:bCs/>
                <w:sz w:val="20"/>
                <w:szCs w:val="20"/>
              </w:rPr>
            </w:pPr>
            <w:r w:rsidRPr="008363D9">
              <w:rPr>
                <w:rFonts w:asciiTheme="majorBidi" w:hAnsiTheme="majorBidi" w:cstheme="majorBidi"/>
                <w:b/>
                <w:bCs/>
                <w:sz w:val="20"/>
                <w:szCs w:val="20"/>
              </w:rPr>
              <w:t>STRATA-X</w:t>
            </w:r>
          </w:p>
        </w:tc>
        <w:tc>
          <w:tcPr>
            <w:tcW w:w="587" w:type="pct"/>
            <w:tcBorders>
              <w:top w:val="single" w:sz="2" w:space="0" w:color="auto"/>
              <w:left w:val="nil"/>
              <w:bottom w:val="single" w:sz="2" w:space="0" w:color="auto"/>
              <w:right w:val="nil"/>
            </w:tcBorders>
            <w:shd w:val="clear" w:color="auto" w:fill="auto"/>
            <w:vAlign w:val="center"/>
            <w:hideMark/>
          </w:tcPr>
          <w:p w:rsidR="004D6746" w:rsidRPr="008363D9" w:rsidRDefault="004D6746" w:rsidP="0065339C">
            <w:pPr>
              <w:spacing w:after="0" w:line="240" w:lineRule="auto"/>
              <w:jc w:val="center"/>
              <w:rPr>
                <w:rFonts w:asciiTheme="majorBidi" w:hAnsiTheme="majorBidi" w:cstheme="majorBidi"/>
                <w:b/>
                <w:bCs/>
                <w:sz w:val="20"/>
                <w:szCs w:val="20"/>
              </w:rPr>
            </w:pPr>
            <w:r w:rsidRPr="008363D9">
              <w:rPr>
                <w:rFonts w:asciiTheme="majorBidi" w:hAnsiTheme="majorBidi" w:cstheme="majorBidi"/>
                <w:b/>
                <w:bCs/>
                <w:sz w:val="20"/>
                <w:szCs w:val="20"/>
              </w:rPr>
              <w:t>MISPE</w:t>
            </w:r>
          </w:p>
        </w:tc>
        <w:tc>
          <w:tcPr>
            <w:tcW w:w="564" w:type="pct"/>
            <w:tcBorders>
              <w:top w:val="single" w:sz="2" w:space="0" w:color="auto"/>
              <w:left w:val="nil"/>
              <w:bottom w:val="single" w:sz="2" w:space="0" w:color="auto"/>
              <w:right w:val="nil"/>
            </w:tcBorders>
            <w:shd w:val="clear" w:color="auto" w:fill="auto"/>
            <w:noWrap/>
            <w:vAlign w:val="center"/>
            <w:hideMark/>
          </w:tcPr>
          <w:p w:rsidR="004D6746" w:rsidRPr="008363D9" w:rsidRDefault="004D6746" w:rsidP="0065339C">
            <w:pPr>
              <w:spacing w:after="0" w:line="240" w:lineRule="auto"/>
              <w:jc w:val="center"/>
              <w:rPr>
                <w:rFonts w:asciiTheme="majorBidi" w:hAnsiTheme="majorBidi" w:cstheme="majorBidi"/>
                <w:b/>
                <w:bCs/>
                <w:sz w:val="20"/>
                <w:szCs w:val="20"/>
              </w:rPr>
            </w:pPr>
            <w:r w:rsidRPr="008363D9">
              <w:rPr>
                <w:rFonts w:asciiTheme="majorBidi" w:hAnsiTheme="majorBidi" w:cstheme="majorBidi"/>
                <w:b/>
                <w:bCs/>
                <w:sz w:val="20"/>
                <w:szCs w:val="20"/>
              </w:rPr>
              <w:t>NISPE</w:t>
            </w:r>
          </w:p>
        </w:tc>
        <w:tc>
          <w:tcPr>
            <w:tcW w:w="865" w:type="pct"/>
            <w:tcBorders>
              <w:top w:val="single" w:sz="2" w:space="0" w:color="auto"/>
              <w:left w:val="nil"/>
              <w:bottom w:val="single" w:sz="2" w:space="0" w:color="auto"/>
              <w:right w:val="nil"/>
            </w:tcBorders>
            <w:shd w:val="clear" w:color="auto" w:fill="auto"/>
            <w:noWrap/>
            <w:vAlign w:val="center"/>
            <w:hideMark/>
          </w:tcPr>
          <w:p w:rsidR="004D6746" w:rsidRPr="008363D9" w:rsidRDefault="004D6746" w:rsidP="0065339C">
            <w:pPr>
              <w:spacing w:after="0" w:line="240" w:lineRule="auto"/>
              <w:jc w:val="center"/>
              <w:rPr>
                <w:rFonts w:asciiTheme="majorBidi" w:hAnsiTheme="majorBidi" w:cstheme="majorBidi"/>
                <w:b/>
                <w:bCs/>
                <w:sz w:val="20"/>
                <w:szCs w:val="20"/>
              </w:rPr>
            </w:pPr>
            <w:r w:rsidRPr="008363D9">
              <w:rPr>
                <w:rFonts w:asciiTheme="majorBidi" w:hAnsiTheme="majorBidi" w:cstheme="majorBidi"/>
                <w:b/>
                <w:bCs/>
                <w:sz w:val="20"/>
                <w:szCs w:val="20"/>
              </w:rPr>
              <w:t>STRATA-X</w:t>
            </w:r>
          </w:p>
        </w:tc>
      </w:tr>
      <w:tr w:rsidR="004D6746" w:rsidRPr="008E4848" w:rsidTr="0065339C">
        <w:trPr>
          <w:trHeight w:val="246"/>
          <w:jc w:val="center"/>
        </w:trPr>
        <w:tc>
          <w:tcPr>
            <w:tcW w:w="964" w:type="pct"/>
            <w:tcBorders>
              <w:top w:val="single" w:sz="2" w:space="0" w:color="auto"/>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TNT</w:t>
            </w:r>
          </w:p>
        </w:tc>
        <w:tc>
          <w:tcPr>
            <w:tcW w:w="587" w:type="pct"/>
            <w:tcBorders>
              <w:top w:val="single" w:sz="2" w:space="0" w:color="auto"/>
            </w:tcBorders>
            <w:shd w:val="clear" w:color="auto" w:fill="auto"/>
            <w:noWrap/>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0.060</w:t>
            </w:r>
          </w:p>
        </w:tc>
        <w:tc>
          <w:tcPr>
            <w:tcW w:w="564" w:type="pct"/>
            <w:tcBorders>
              <w:top w:val="single" w:sz="2" w:space="0" w:color="auto"/>
            </w:tcBorders>
            <w:shd w:val="clear" w:color="auto" w:fill="auto"/>
            <w:noWrap/>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0.041</w:t>
            </w:r>
          </w:p>
        </w:tc>
        <w:tc>
          <w:tcPr>
            <w:tcW w:w="868" w:type="pct"/>
            <w:tcBorders>
              <w:top w:val="single" w:sz="2" w:space="0" w:color="auto"/>
            </w:tcBorders>
            <w:shd w:val="clear" w:color="auto" w:fill="auto"/>
            <w:noWrap/>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0.074</w:t>
            </w:r>
          </w:p>
        </w:tc>
        <w:tc>
          <w:tcPr>
            <w:tcW w:w="587" w:type="pct"/>
            <w:tcBorders>
              <w:top w:val="single" w:sz="2" w:space="0" w:color="auto"/>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564" w:type="pct"/>
            <w:tcBorders>
              <w:top w:val="single" w:sz="2" w:space="0" w:color="auto"/>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865" w:type="pct"/>
            <w:tcBorders>
              <w:top w:val="single" w:sz="2" w:space="0" w:color="auto"/>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r>
      <w:tr w:rsidR="004D6746" w:rsidRPr="008E4848" w:rsidTr="0065339C">
        <w:trPr>
          <w:trHeight w:val="234"/>
          <w:jc w:val="center"/>
        </w:trPr>
        <w:tc>
          <w:tcPr>
            <w:tcW w:w="964" w:type="pct"/>
            <w:tcBorders>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4-ADNT</w:t>
            </w:r>
          </w:p>
        </w:tc>
        <w:tc>
          <w:tcPr>
            <w:tcW w:w="587" w:type="pct"/>
            <w:tcBorders>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564" w:type="pct"/>
            <w:tcBorders>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868" w:type="pct"/>
            <w:tcBorders>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587" w:type="pct"/>
            <w:tcBorders>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564" w:type="pct"/>
            <w:tcBorders>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865" w:type="pct"/>
            <w:tcBorders>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r>
      <w:tr w:rsidR="004D6746" w:rsidRPr="008E4848" w:rsidTr="0065339C">
        <w:trPr>
          <w:trHeight w:val="344"/>
          <w:jc w:val="center"/>
        </w:trPr>
        <w:tc>
          <w:tcPr>
            <w:tcW w:w="964" w:type="pct"/>
            <w:tcBorders>
              <w:top w:val="nil"/>
              <w:bottom w:val="single" w:sz="2" w:space="0" w:color="auto"/>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2-ADNT</w:t>
            </w:r>
          </w:p>
        </w:tc>
        <w:tc>
          <w:tcPr>
            <w:tcW w:w="587" w:type="pct"/>
            <w:tcBorders>
              <w:top w:val="nil"/>
              <w:bottom w:val="single" w:sz="2" w:space="0" w:color="auto"/>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564" w:type="pct"/>
            <w:tcBorders>
              <w:top w:val="nil"/>
              <w:bottom w:val="single" w:sz="2" w:space="0" w:color="auto"/>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868" w:type="pct"/>
            <w:tcBorders>
              <w:top w:val="nil"/>
              <w:bottom w:val="single" w:sz="2" w:space="0" w:color="auto"/>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587" w:type="pct"/>
            <w:tcBorders>
              <w:top w:val="nil"/>
              <w:bottom w:val="single" w:sz="2" w:space="0" w:color="auto"/>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564" w:type="pct"/>
            <w:tcBorders>
              <w:top w:val="nil"/>
              <w:bottom w:val="single" w:sz="2" w:space="0" w:color="auto"/>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c>
          <w:tcPr>
            <w:tcW w:w="865" w:type="pct"/>
            <w:tcBorders>
              <w:top w:val="nil"/>
              <w:bottom w:val="single" w:sz="2" w:space="0" w:color="auto"/>
            </w:tcBorders>
            <w:shd w:val="clear" w:color="auto" w:fill="auto"/>
            <w:vAlign w:val="center"/>
            <w:hideMark/>
          </w:tcPr>
          <w:p w:rsidR="004D6746" w:rsidRPr="008E4848" w:rsidRDefault="004D6746" w:rsidP="0065339C">
            <w:pPr>
              <w:spacing w:after="0" w:line="240" w:lineRule="auto"/>
              <w:jc w:val="center"/>
              <w:rPr>
                <w:rFonts w:asciiTheme="majorBidi" w:hAnsiTheme="majorBidi" w:cstheme="majorBidi"/>
                <w:sz w:val="20"/>
                <w:szCs w:val="20"/>
              </w:rPr>
            </w:pPr>
            <w:r w:rsidRPr="008E4848">
              <w:rPr>
                <w:rFonts w:asciiTheme="majorBidi" w:hAnsiTheme="majorBidi" w:cstheme="majorBidi"/>
                <w:sz w:val="20"/>
                <w:szCs w:val="20"/>
              </w:rPr>
              <w:t>ND</w:t>
            </w:r>
          </w:p>
        </w:tc>
      </w:tr>
    </w:tbl>
    <w:p w:rsidR="004D6746" w:rsidRPr="00401741" w:rsidRDefault="004D6746" w:rsidP="00401741">
      <w:pPr>
        <w:tabs>
          <w:tab w:val="left" w:pos="1530"/>
          <w:tab w:val="left" w:pos="1800"/>
        </w:tabs>
        <w:spacing w:before="120" w:after="0" w:line="240" w:lineRule="auto"/>
        <w:rPr>
          <w:rFonts w:asciiTheme="majorBidi" w:hAnsiTheme="majorBidi" w:cstheme="majorBidi"/>
          <w:i/>
          <w:iCs/>
          <w:sz w:val="18"/>
          <w:szCs w:val="18"/>
          <w:lang w:val="en-GB"/>
        </w:rPr>
      </w:pPr>
      <w:r w:rsidRPr="00401741">
        <w:rPr>
          <w:rFonts w:asciiTheme="majorBidi" w:hAnsiTheme="majorBidi" w:cstheme="majorBidi"/>
          <w:bCs/>
          <w:i/>
          <w:iCs/>
          <w:sz w:val="18"/>
          <w:szCs w:val="18"/>
        </w:rPr>
        <w:t>*M=MISPE, N=NISPE, S=SRATA-X, ND=not detected</w:t>
      </w:r>
    </w:p>
    <w:p w:rsidR="004D6746" w:rsidRDefault="004D6746" w:rsidP="004D6746">
      <w:pPr>
        <w:pStyle w:val="H2"/>
        <w:spacing w:before="0" w:after="0"/>
        <w:jc w:val="both"/>
        <w:rPr>
          <w:rFonts w:asciiTheme="majorBidi" w:hAnsiTheme="majorBidi" w:cstheme="majorBidi"/>
          <w:b w:val="0"/>
          <w:bCs/>
          <w:color w:val="auto"/>
          <w:sz w:val="20"/>
          <w:lang w:val="en-US"/>
        </w:rPr>
      </w:pPr>
    </w:p>
    <w:p w:rsidR="00401741" w:rsidRPr="00401741" w:rsidRDefault="00401741" w:rsidP="00401741">
      <w:pPr>
        <w:spacing w:after="0" w:line="240" w:lineRule="auto"/>
        <w:rPr>
          <w:lang w:eastAsia="de-DE" w:bidi="ar-SA"/>
        </w:rPr>
      </w:pPr>
    </w:p>
    <w:p w:rsidR="004D6746" w:rsidRPr="00CC2B87" w:rsidRDefault="004D6746" w:rsidP="004D6746">
      <w:pPr>
        <w:pStyle w:val="H2"/>
        <w:spacing w:before="0" w:after="0"/>
        <w:jc w:val="both"/>
        <w:rPr>
          <w:rFonts w:asciiTheme="majorBidi" w:hAnsiTheme="majorBidi" w:cstheme="majorBidi"/>
          <w:b w:val="0"/>
          <w:bCs/>
          <w:color w:val="auto"/>
          <w:sz w:val="20"/>
          <w:lang w:val="en-US"/>
        </w:rPr>
      </w:pPr>
      <w:r w:rsidRPr="008E4848">
        <w:rPr>
          <w:rFonts w:asciiTheme="majorBidi" w:hAnsiTheme="majorBidi" w:cstheme="majorBidi"/>
          <w:b w:val="0"/>
          <w:bCs/>
          <w:color w:val="auto"/>
          <w:sz w:val="20"/>
          <w:lang w:val="en-US"/>
        </w:rPr>
        <w:t>Even the commercial SPE performed better sensitivity towards TNT, the developed MISPE was more convenient due to its reusability, cost-effectiveness</w:t>
      </w:r>
      <w:r w:rsidRPr="00CC2B87">
        <w:rPr>
          <w:rFonts w:asciiTheme="majorBidi" w:hAnsiTheme="majorBidi" w:cstheme="majorBidi"/>
          <w:b w:val="0"/>
          <w:bCs/>
          <w:color w:val="auto"/>
          <w:sz w:val="20"/>
          <w:lang w:val="en-US"/>
        </w:rPr>
        <w:t>, less solvent usage and less time consumed for the analysis procedure. Interestingly, this selective and economical technique can be utilized for monitoring TNT levels in related fields, in order to ensure the welfare of health workers and local residents.</w:t>
      </w:r>
    </w:p>
    <w:p w:rsidR="004D6746" w:rsidRPr="00CC2B87" w:rsidRDefault="004D6746" w:rsidP="004D6746">
      <w:pPr>
        <w:spacing w:after="0" w:line="240" w:lineRule="auto"/>
        <w:rPr>
          <w:rFonts w:asciiTheme="majorBidi" w:hAnsiTheme="majorBidi" w:cstheme="majorBidi"/>
          <w:sz w:val="20"/>
          <w:szCs w:val="20"/>
          <w:lang w:eastAsia="de-DE"/>
        </w:rPr>
      </w:pPr>
    </w:p>
    <w:p w:rsidR="004D6746" w:rsidRPr="00CC2B87" w:rsidRDefault="004D6746" w:rsidP="004D6746">
      <w:pPr>
        <w:pStyle w:val="H2"/>
        <w:spacing w:before="0" w:after="0"/>
        <w:rPr>
          <w:rFonts w:asciiTheme="majorBidi" w:hAnsiTheme="majorBidi" w:cstheme="majorBidi"/>
          <w:color w:val="auto"/>
          <w:sz w:val="20"/>
          <w:lang w:val="en-US"/>
        </w:rPr>
      </w:pPr>
      <w:r w:rsidRPr="00CC2B87">
        <w:rPr>
          <w:rFonts w:asciiTheme="majorBidi" w:hAnsiTheme="majorBidi" w:cstheme="majorBidi"/>
          <w:color w:val="auto"/>
          <w:sz w:val="20"/>
          <w:lang w:val="en-US"/>
        </w:rPr>
        <w:t>Physical Characterizations by of molecularly imprinted polymer</w:t>
      </w:r>
    </w:p>
    <w:p w:rsidR="004D6746" w:rsidRPr="00CC2B87" w:rsidRDefault="004D6746" w:rsidP="004D6746">
      <w:pPr>
        <w:pStyle w:val="P3"/>
        <w:rPr>
          <w:rFonts w:asciiTheme="majorBidi" w:hAnsiTheme="majorBidi" w:cstheme="majorBidi"/>
        </w:rPr>
      </w:pPr>
      <w:r w:rsidRPr="00CC2B87">
        <w:rPr>
          <w:rFonts w:asciiTheme="majorBidi" w:hAnsiTheme="majorBidi" w:cstheme="majorBidi"/>
          <w:lang w:eastAsia="ja-JP"/>
        </w:rPr>
        <w:t xml:space="preserve">The scanning electron microscopy (SEM) was performed to study the characterization of surface morphology of MIPs and NIPs particles. </w:t>
      </w:r>
      <w:r w:rsidRPr="00CC2B87">
        <w:rPr>
          <w:rFonts w:asciiTheme="majorBidi" w:hAnsiTheme="majorBidi" w:cstheme="majorBidi"/>
          <w:lang w:val="en-US"/>
        </w:rPr>
        <w:t xml:space="preserve">The Figure 2 (a) and (b) of SEM images displayed </w:t>
      </w:r>
      <w:r>
        <w:rPr>
          <w:rFonts w:asciiTheme="majorBidi" w:hAnsiTheme="majorBidi" w:cstheme="majorBidi"/>
          <w:lang w:val="en-US"/>
        </w:rPr>
        <w:t xml:space="preserve">by </w:t>
      </w:r>
      <w:r w:rsidRPr="00CC2B87">
        <w:rPr>
          <w:rFonts w:asciiTheme="majorBidi" w:hAnsiTheme="majorBidi" w:cstheme="majorBidi"/>
          <w:lang w:val="en-US"/>
        </w:rPr>
        <w:t xml:space="preserve">the MIP and NIP </w:t>
      </w:r>
      <w:r>
        <w:rPr>
          <w:rFonts w:asciiTheme="majorBidi" w:hAnsiTheme="majorBidi" w:cstheme="majorBidi"/>
          <w:lang w:val="en-US"/>
        </w:rPr>
        <w:t>shown no significant</w:t>
      </w:r>
      <w:r w:rsidRPr="00CC2B87">
        <w:rPr>
          <w:rFonts w:asciiTheme="majorBidi" w:hAnsiTheme="majorBidi" w:cstheme="majorBidi"/>
          <w:lang w:val="en-US"/>
        </w:rPr>
        <w:t xml:space="preserve"> difference in morphological structure. The result obtained</w:t>
      </w:r>
      <w:r>
        <w:rPr>
          <w:rFonts w:asciiTheme="majorBidi" w:hAnsiTheme="majorBidi" w:cstheme="majorBidi"/>
          <w:lang w:val="en-US"/>
        </w:rPr>
        <w:t xml:space="preserve"> was</w:t>
      </w:r>
      <w:r w:rsidRPr="00CC2B87">
        <w:rPr>
          <w:rFonts w:asciiTheme="majorBidi" w:hAnsiTheme="majorBidi" w:cstheme="majorBidi"/>
          <w:lang w:val="en-US"/>
        </w:rPr>
        <w:t xml:space="preserve"> agree</w:t>
      </w:r>
      <w:r>
        <w:rPr>
          <w:rFonts w:asciiTheme="majorBidi" w:hAnsiTheme="majorBidi" w:cstheme="majorBidi"/>
          <w:lang w:val="en-US"/>
        </w:rPr>
        <w:t>d</w:t>
      </w:r>
      <w:r w:rsidRPr="00CC2B87">
        <w:rPr>
          <w:rFonts w:asciiTheme="majorBidi" w:hAnsiTheme="majorBidi" w:cstheme="majorBidi"/>
          <w:lang w:val="en-US"/>
        </w:rPr>
        <w:t xml:space="preserve"> with previous findings, that imprinted and non-imprinted p</w:t>
      </w:r>
      <w:r>
        <w:rPr>
          <w:rFonts w:asciiTheme="majorBidi" w:hAnsiTheme="majorBidi" w:cstheme="majorBidi"/>
          <w:lang w:val="en-US"/>
        </w:rPr>
        <w:t xml:space="preserve">olymers were </w:t>
      </w:r>
      <w:r w:rsidRPr="00CC2B87">
        <w:rPr>
          <w:rFonts w:asciiTheme="majorBidi" w:hAnsiTheme="majorBidi" w:cstheme="majorBidi"/>
          <w:lang w:val="en-US"/>
        </w:rPr>
        <w:t>mostly depict</w:t>
      </w:r>
      <w:r>
        <w:rPr>
          <w:rFonts w:asciiTheme="majorBidi" w:hAnsiTheme="majorBidi" w:cstheme="majorBidi"/>
          <w:lang w:val="en-US"/>
        </w:rPr>
        <w:t>ed</w:t>
      </w:r>
      <w:r w:rsidRPr="00CC2B87">
        <w:rPr>
          <w:rFonts w:asciiTheme="majorBidi" w:hAnsiTheme="majorBidi" w:cstheme="majorBidi"/>
          <w:lang w:val="en-US"/>
        </w:rPr>
        <w:t xml:space="preserve"> non-porous surfaces when</w:t>
      </w:r>
      <w:r>
        <w:rPr>
          <w:rFonts w:asciiTheme="majorBidi" w:hAnsiTheme="majorBidi" w:cstheme="majorBidi"/>
          <w:lang w:val="en-US"/>
        </w:rPr>
        <w:t xml:space="preserve"> </w:t>
      </w:r>
      <w:r w:rsidRPr="00CC2B87">
        <w:rPr>
          <w:rFonts w:asciiTheme="majorBidi" w:hAnsiTheme="majorBidi" w:cstheme="majorBidi"/>
          <w:lang w:val="en-US"/>
        </w:rPr>
        <w:t xml:space="preserve">non-polar solvent was used as the </w:t>
      </w:r>
      <w:r w:rsidRPr="00A476F2">
        <w:rPr>
          <w:rFonts w:asciiTheme="majorBidi" w:hAnsiTheme="majorBidi" w:cstheme="majorBidi"/>
          <w:lang w:val="en-US"/>
        </w:rPr>
        <w:t>porogen</w:t>
      </w:r>
      <w:r>
        <w:rPr>
          <w:rFonts w:asciiTheme="majorBidi" w:hAnsiTheme="majorBidi" w:cstheme="majorBidi"/>
          <w:lang w:val="en-US"/>
        </w:rPr>
        <w:t xml:space="preserve"> in the polymerization process </w:t>
      </w:r>
      <w:r w:rsidRPr="00A476F2">
        <w:rPr>
          <w:rFonts w:asciiTheme="majorBidi" w:hAnsiTheme="majorBidi" w:cstheme="majorBidi"/>
          <w:lang w:val="en-US"/>
        </w:rPr>
        <w:t>[</w:t>
      </w:r>
      <w:r>
        <w:rPr>
          <w:rFonts w:asciiTheme="majorBidi" w:hAnsiTheme="majorBidi" w:cstheme="majorBidi"/>
          <w:lang w:val="en-US"/>
        </w:rPr>
        <w:t>12</w:t>
      </w:r>
      <w:r w:rsidRPr="00A476F2">
        <w:rPr>
          <w:rFonts w:asciiTheme="majorBidi" w:hAnsiTheme="majorBidi" w:cstheme="majorBidi"/>
          <w:lang w:val="en-US"/>
        </w:rPr>
        <w:t>].</w:t>
      </w:r>
      <w:r w:rsidRPr="00CC2B87">
        <w:rPr>
          <w:rFonts w:asciiTheme="majorBidi" w:hAnsiTheme="majorBidi" w:cstheme="majorBidi"/>
          <w:lang w:val="en-US"/>
        </w:rPr>
        <w:t xml:space="preserve">  </w:t>
      </w:r>
    </w:p>
    <w:p w:rsidR="004D6746" w:rsidRPr="00CC2B87" w:rsidRDefault="004D6746" w:rsidP="00401741">
      <w:pPr>
        <w:pStyle w:val="P1"/>
        <w:ind w:firstLine="0"/>
        <w:rPr>
          <w:rFonts w:asciiTheme="majorBidi" w:hAnsiTheme="majorBidi" w:cstheme="majorBidi"/>
        </w:rPr>
      </w:pPr>
    </w:p>
    <w:p w:rsidR="004D6746" w:rsidRPr="00241827" w:rsidRDefault="004D6746" w:rsidP="00401741">
      <w:pPr>
        <w:pStyle w:val="P3"/>
        <w:rPr>
          <w:rFonts w:asciiTheme="majorBidi" w:hAnsiTheme="majorBidi" w:cstheme="majorBidi"/>
          <w:sz w:val="18"/>
          <w:szCs w:val="18"/>
          <w:lang w:val="en-GB"/>
        </w:rPr>
      </w:pPr>
      <w:r>
        <w:rPr>
          <w:rFonts w:asciiTheme="majorBidi" w:hAnsiTheme="majorBidi" w:cstheme="majorBidi"/>
          <w:sz w:val="18"/>
          <w:szCs w:val="18"/>
          <w:lang w:val="en-GB"/>
        </w:rPr>
        <w:t xml:space="preserve">   </w:t>
      </w:r>
    </w:p>
    <w:p w:rsidR="004D6746" w:rsidRDefault="004D6746" w:rsidP="004D6746">
      <w:pPr>
        <w:pStyle w:val="FigureCaption"/>
        <w:spacing w:before="0" w:after="0"/>
        <w:jc w:val="center"/>
        <w:rPr>
          <w:rFonts w:asciiTheme="majorBidi" w:hAnsiTheme="majorBidi" w:cstheme="majorBidi"/>
          <w:b/>
          <w:color w:val="auto"/>
        </w:rPr>
      </w:pPr>
      <w:r w:rsidRPr="008363D9">
        <w:rPr>
          <w:rFonts w:asciiTheme="majorBidi" w:hAnsiTheme="majorBidi" w:cstheme="majorBidi"/>
          <w:b/>
          <w:color w:val="auto"/>
          <w:lang w:val="en-US" w:eastAsia="en-US"/>
        </w:rPr>
        <w:drawing>
          <wp:inline distT="0" distB="0" distL="0" distR="0" wp14:anchorId="4972F2EF" wp14:editId="59DEA2F9">
            <wp:extent cx="4724400" cy="2491740"/>
            <wp:effectExtent l="0" t="0" r="0" b="3810"/>
            <wp:docPr id="13" name="Picture 13" descr="C:\Users\HP\Desktop\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E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2491740"/>
                    </a:xfrm>
                    <a:prstGeom prst="rect">
                      <a:avLst/>
                    </a:prstGeom>
                    <a:noFill/>
                    <a:ln>
                      <a:noFill/>
                    </a:ln>
                  </pic:spPr>
                </pic:pic>
              </a:graphicData>
            </a:graphic>
          </wp:inline>
        </w:drawing>
      </w:r>
    </w:p>
    <w:p w:rsidR="004D6746" w:rsidRDefault="004D6746" w:rsidP="004D6746">
      <w:pPr>
        <w:pStyle w:val="FigureCaption"/>
        <w:spacing w:before="0" w:after="0"/>
        <w:rPr>
          <w:rFonts w:asciiTheme="majorBidi" w:hAnsiTheme="majorBidi" w:cstheme="majorBidi"/>
          <w:b/>
          <w:color w:val="auto"/>
        </w:rPr>
      </w:pPr>
    </w:p>
    <w:p w:rsidR="004D6746" w:rsidRPr="008363D9" w:rsidRDefault="004D6746" w:rsidP="004D6746">
      <w:pPr>
        <w:pStyle w:val="FigureCaption"/>
        <w:spacing w:before="0" w:after="0"/>
        <w:jc w:val="center"/>
        <w:rPr>
          <w:rFonts w:asciiTheme="majorBidi" w:hAnsiTheme="majorBidi" w:cstheme="majorBidi"/>
          <w:bCs/>
          <w:color w:val="auto"/>
          <w:lang w:val="en-US"/>
        </w:rPr>
      </w:pPr>
      <w:r w:rsidRPr="008363D9">
        <w:rPr>
          <w:rFonts w:asciiTheme="majorBidi" w:hAnsiTheme="majorBidi" w:cstheme="majorBidi"/>
          <w:bCs/>
          <w:color w:val="auto"/>
        </w:rPr>
        <w:t xml:space="preserve">Figure 2. </w:t>
      </w:r>
      <w:r w:rsidR="00401741">
        <w:rPr>
          <w:rFonts w:asciiTheme="majorBidi" w:hAnsiTheme="majorBidi" w:cstheme="majorBidi"/>
          <w:bCs/>
          <w:color w:val="auto"/>
        </w:rPr>
        <w:t xml:space="preserve"> </w:t>
      </w:r>
      <w:r w:rsidRPr="008363D9">
        <w:rPr>
          <w:rFonts w:asciiTheme="majorBidi" w:hAnsiTheme="majorBidi" w:cstheme="majorBidi"/>
          <w:bCs/>
          <w:color w:val="auto"/>
          <w:lang w:val="en-US"/>
        </w:rPr>
        <w:t>SEM micrographs of (a) MIP and (b) NIP surfaces (magnification x 10,000).</w:t>
      </w:r>
    </w:p>
    <w:p w:rsidR="004D6746" w:rsidRPr="00CC2B87" w:rsidRDefault="004D6746" w:rsidP="004D6746">
      <w:pPr>
        <w:pStyle w:val="P1"/>
        <w:ind w:firstLine="0"/>
        <w:jc w:val="left"/>
        <w:rPr>
          <w:rFonts w:asciiTheme="majorBidi" w:hAnsiTheme="majorBidi" w:cstheme="majorBidi"/>
          <w:lang w:val="en-US"/>
        </w:rPr>
      </w:pPr>
    </w:p>
    <w:p w:rsidR="00FD2F82" w:rsidRDefault="004D6746" w:rsidP="00401741">
      <w:pPr>
        <w:pStyle w:val="P1"/>
        <w:ind w:firstLine="0"/>
        <w:rPr>
          <w:rFonts w:asciiTheme="majorBidi" w:hAnsiTheme="majorBidi" w:cstheme="majorBidi"/>
          <w:lang w:val="en-US"/>
        </w:rPr>
      </w:pPr>
      <w:r w:rsidRPr="00CC2B87">
        <w:rPr>
          <w:rFonts w:asciiTheme="majorBidi" w:hAnsiTheme="majorBidi" w:cstheme="majorBidi"/>
          <w:lang w:val="en-US"/>
        </w:rPr>
        <w:lastRenderedPageBreak/>
        <w:t xml:space="preserve">Figure 3 shows the nitrogen adsorption and desorption isotherms of polymer monoliths of </w:t>
      </w:r>
      <w:r>
        <w:rPr>
          <w:rFonts w:asciiTheme="majorBidi" w:hAnsiTheme="majorBidi" w:cstheme="majorBidi"/>
          <w:lang w:val="en-US"/>
        </w:rPr>
        <w:t>MIP and NIP</w:t>
      </w:r>
      <w:r w:rsidRPr="00CC2B87">
        <w:rPr>
          <w:rFonts w:asciiTheme="majorBidi" w:hAnsiTheme="majorBidi" w:cstheme="majorBidi"/>
          <w:lang w:val="en-US"/>
        </w:rPr>
        <w:t>. The physisorption isotherms show</w:t>
      </w:r>
      <w:r>
        <w:rPr>
          <w:rFonts w:asciiTheme="majorBidi" w:hAnsiTheme="majorBidi" w:cstheme="majorBidi"/>
          <w:lang w:val="en-US"/>
        </w:rPr>
        <w:t xml:space="preserve"> </w:t>
      </w:r>
      <w:r w:rsidRPr="00CC2B87">
        <w:rPr>
          <w:rFonts w:asciiTheme="majorBidi" w:hAnsiTheme="majorBidi" w:cstheme="majorBidi"/>
          <w:lang w:val="en-US"/>
        </w:rPr>
        <w:t>to be Type IV, which indicate</w:t>
      </w:r>
      <w:r>
        <w:rPr>
          <w:rFonts w:asciiTheme="majorBidi" w:hAnsiTheme="majorBidi" w:cstheme="majorBidi"/>
          <w:lang w:val="en-US"/>
        </w:rPr>
        <w:t>d</w:t>
      </w:r>
      <w:r w:rsidRPr="00CC2B87">
        <w:rPr>
          <w:rFonts w:asciiTheme="majorBidi" w:hAnsiTheme="majorBidi" w:cstheme="majorBidi"/>
          <w:lang w:val="en-US"/>
        </w:rPr>
        <w:t xml:space="preserve"> the existence of mesoporosity with high energy of adsorption cavities in MIP and NIP polymer monoliths, respectively. Characteristics of Type IV </w:t>
      </w:r>
      <w:r>
        <w:rPr>
          <w:rFonts w:asciiTheme="majorBidi" w:hAnsiTheme="majorBidi" w:cstheme="majorBidi"/>
          <w:lang w:val="en-US"/>
        </w:rPr>
        <w:t xml:space="preserve">were </w:t>
      </w:r>
      <w:r w:rsidRPr="00CC2B87">
        <w:rPr>
          <w:rFonts w:asciiTheme="majorBidi" w:hAnsiTheme="majorBidi" w:cstheme="majorBidi"/>
          <w:lang w:val="en-US"/>
        </w:rPr>
        <w:t xml:space="preserve">the presence of its hysteresis loop which is appeared related to the capillary condensation occurred in the mesopore structures. MIP tends to exhibit a hysteresis loop of a Type H2. This Type H2 indicates that its pores have a narrow neck with wide bodies, generally known as ‘ink-bottle-shapes’ pores. </w:t>
      </w:r>
      <w:r>
        <w:rPr>
          <w:rFonts w:asciiTheme="majorBidi" w:hAnsiTheme="majorBidi" w:cstheme="majorBidi"/>
          <w:lang w:val="en-US"/>
        </w:rPr>
        <w:t xml:space="preserve">This characteristic confirms the formation of cavities within the monolith. </w:t>
      </w:r>
      <w:r w:rsidRPr="00CC2B87">
        <w:rPr>
          <w:rFonts w:asciiTheme="majorBidi" w:hAnsiTheme="majorBidi" w:cstheme="majorBidi"/>
          <w:lang w:val="en-US"/>
        </w:rPr>
        <w:t>This loop displays a different mechanism for the condensation and evaporation process that occur</w:t>
      </w:r>
      <w:r>
        <w:rPr>
          <w:rFonts w:asciiTheme="majorBidi" w:hAnsiTheme="majorBidi" w:cstheme="majorBidi"/>
          <w:lang w:val="en-US"/>
        </w:rPr>
        <w:t>ed</w:t>
      </w:r>
      <w:r w:rsidRPr="00CC2B87">
        <w:rPr>
          <w:rFonts w:asciiTheme="majorBidi" w:hAnsiTheme="majorBidi" w:cstheme="majorBidi"/>
          <w:lang w:val="en-US"/>
        </w:rPr>
        <w:t xml:space="preserve"> in the pore cavities. In Figure 4.2 (b), the NIP shows a hysteresis loop of a Type H4,</w:t>
      </w:r>
      <w:r>
        <w:rPr>
          <w:rFonts w:asciiTheme="majorBidi" w:hAnsiTheme="majorBidi" w:cstheme="majorBidi"/>
          <w:lang w:val="en-US"/>
        </w:rPr>
        <w:t xml:space="preserve"> referred</w:t>
      </w:r>
      <w:r w:rsidRPr="00CC2B87">
        <w:rPr>
          <w:rFonts w:asciiTheme="majorBidi" w:hAnsiTheme="majorBidi" w:cstheme="majorBidi"/>
          <w:lang w:val="en-US"/>
        </w:rPr>
        <w:t xml:space="preserve"> to the presence of narrow slit-like pores and verifie</w:t>
      </w:r>
      <w:r>
        <w:rPr>
          <w:rFonts w:asciiTheme="majorBidi" w:hAnsiTheme="majorBidi" w:cstheme="majorBidi"/>
          <w:lang w:val="en-US"/>
        </w:rPr>
        <w:t>d</w:t>
      </w:r>
      <w:r w:rsidRPr="00CC2B87">
        <w:rPr>
          <w:rFonts w:asciiTheme="majorBidi" w:hAnsiTheme="majorBidi" w:cstheme="majorBidi"/>
          <w:lang w:val="en-US"/>
        </w:rPr>
        <w:t xml:space="preserve"> that there</w:t>
      </w:r>
      <w:r>
        <w:rPr>
          <w:rFonts w:asciiTheme="majorBidi" w:hAnsiTheme="majorBidi" w:cstheme="majorBidi"/>
          <w:lang w:val="en-US"/>
        </w:rPr>
        <w:t xml:space="preserve"> was </w:t>
      </w:r>
      <w:r w:rsidRPr="00CC2B87">
        <w:rPr>
          <w:rFonts w:asciiTheme="majorBidi" w:hAnsiTheme="majorBidi" w:cstheme="majorBidi"/>
          <w:lang w:val="en-US"/>
        </w:rPr>
        <w:t>no imprinting effects of the template</w:t>
      </w:r>
      <w:r>
        <w:rPr>
          <w:rFonts w:asciiTheme="majorBidi" w:hAnsiTheme="majorBidi" w:cstheme="majorBidi"/>
          <w:lang w:val="en-US"/>
        </w:rPr>
        <w:t>[13,14</w:t>
      </w:r>
      <w:r w:rsidR="00FD2F82">
        <w:rPr>
          <w:rFonts w:asciiTheme="majorBidi" w:hAnsiTheme="majorBidi" w:cstheme="majorBidi"/>
          <w:lang w:val="en-US"/>
        </w:rPr>
        <w:t>].</w:t>
      </w:r>
    </w:p>
    <w:p w:rsidR="00FD2F82" w:rsidRDefault="00FD2F82" w:rsidP="00401741">
      <w:pPr>
        <w:pStyle w:val="P1"/>
        <w:ind w:firstLine="0"/>
        <w:rPr>
          <w:rFonts w:asciiTheme="majorBidi" w:hAnsiTheme="majorBidi" w:cstheme="majorBidi"/>
          <w:lang w:val="en-US"/>
        </w:rPr>
      </w:pPr>
    </w:p>
    <w:p w:rsidR="004D6746" w:rsidRPr="008E4848" w:rsidRDefault="004D6746" w:rsidP="00FD2F82">
      <w:pPr>
        <w:pStyle w:val="P1"/>
        <w:ind w:firstLine="0"/>
        <w:jc w:val="center"/>
        <w:rPr>
          <w:rFonts w:asciiTheme="majorBidi" w:hAnsiTheme="majorBidi" w:cstheme="majorBidi"/>
        </w:rPr>
      </w:pPr>
      <w:r w:rsidRPr="00442607">
        <w:rPr>
          <w:rFonts w:asciiTheme="majorBidi" w:hAnsiTheme="majorBidi" w:cstheme="majorBidi"/>
          <w:noProof/>
          <w:lang w:val="en-US" w:eastAsia="en-US"/>
        </w:rPr>
        <w:drawing>
          <wp:inline distT="0" distB="0" distL="0" distR="0" wp14:anchorId="4D1F16BA" wp14:editId="3CB7C978">
            <wp:extent cx="5053383" cy="3067050"/>
            <wp:effectExtent l="0" t="0" r="0" b="0"/>
            <wp:docPr id="4" name="Picture 4" descr="C:\Users\HP\Pictures\Figur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Figure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3317" cy="3073079"/>
                    </a:xfrm>
                    <a:prstGeom prst="rect">
                      <a:avLst/>
                    </a:prstGeom>
                    <a:noFill/>
                    <a:ln>
                      <a:noFill/>
                    </a:ln>
                  </pic:spPr>
                </pic:pic>
              </a:graphicData>
            </a:graphic>
          </wp:inline>
        </w:drawing>
      </w:r>
    </w:p>
    <w:p w:rsidR="004D6746" w:rsidRDefault="004D6746" w:rsidP="004D6746">
      <w:pPr>
        <w:pStyle w:val="FigureCaption"/>
        <w:spacing w:before="0" w:after="0"/>
        <w:rPr>
          <w:rFonts w:asciiTheme="majorBidi" w:hAnsiTheme="majorBidi" w:cstheme="majorBidi"/>
          <w:b/>
          <w:color w:val="auto"/>
        </w:rPr>
      </w:pPr>
    </w:p>
    <w:p w:rsidR="004D6746" w:rsidRPr="00442607" w:rsidRDefault="004D6746" w:rsidP="00FD2F82">
      <w:pPr>
        <w:pStyle w:val="FigureCaption"/>
        <w:spacing w:before="0" w:after="0"/>
        <w:ind w:left="900" w:hanging="900"/>
        <w:jc w:val="both"/>
        <w:rPr>
          <w:rFonts w:asciiTheme="majorBidi" w:hAnsiTheme="majorBidi" w:cstheme="majorBidi"/>
          <w:bCs/>
          <w:color w:val="auto"/>
        </w:rPr>
      </w:pPr>
      <w:r w:rsidRPr="00442607">
        <w:rPr>
          <w:rFonts w:asciiTheme="majorBidi" w:hAnsiTheme="majorBidi" w:cstheme="majorBidi"/>
          <w:bCs/>
          <w:color w:val="auto"/>
        </w:rPr>
        <w:t xml:space="preserve">Figure 3. </w:t>
      </w:r>
      <w:r w:rsidR="00FD2F82">
        <w:rPr>
          <w:rFonts w:asciiTheme="majorBidi" w:hAnsiTheme="majorBidi" w:cstheme="majorBidi"/>
          <w:bCs/>
          <w:color w:val="auto"/>
        </w:rPr>
        <w:t xml:space="preserve"> </w:t>
      </w:r>
      <w:r w:rsidRPr="00442607">
        <w:rPr>
          <w:rFonts w:asciiTheme="majorBidi" w:hAnsiTheme="majorBidi" w:cstheme="majorBidi"/>
          <w:bCs/>
          <w:color w:val="auto"/>
          <w:lang w:val="en-US"/>
        </w:rPr>
        <w:t>Nitrogen adsorption-desorption isotherms of polymer MIP (a) and NIP (b). Volume (cc g</w:t>
      </w:r>
      <w:r w:rsidRPr="00442607">
        <w:rPr>
          <w:rFonts w:asciiTheme="majorBidi" w:hAnsiTheme="majorBidi" w:cstheme="majorBidi"/>
          <w:bCs/>
          <w:color w:val="auto"/>
          <w:vertAlign w:val="superscript"/>
          <w:lang w:val="en-US"/>
        </w:rPr>
        <w:t>-1</w:t>
      </w:r>
      <w:r w:rsidRPr="00442607">
        <w:rPr>
          <w:rFonts w:asciiTheme="majorBidi" w:hAnsiTheme="majorBidi" w:cstheme="majorBidi"/>
          <w:bCs/>
          <w:color w:val="auto"/>
          <w:lang w:val="en-US"/>
        </w:rPr>
        <w:t xml:space="preserve">) versus relative pressure (P/Po). </w:t>
      </w:r>
      <w:r w:rsidRPr="00442607">
        <w:rPr>
          <w:rFonts w:asciiTheme="majorBidi" w:hAnsiTheme="majorBidi" w:cstheme="majorBidi"/>
          <w:bCs/>
          <w:color w:val="auto"/>
          <w:lang w:val="en-US" w:eastAsia="en-US"/>
        </w:rPr>
        <w:drawing>
          <wp:inline distT="0" distB="0" distL="0" distR="0" wp14:anchorId="71B8C9A5" wp14:editId="591CC2F7">
            <wp:extent cx="225425" cy="95250"/>
            <wp:effectExtent l="1905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grayscl/>
                    </a:blip>
                    <a:srcRect l="26074" t="12500" r="70215" b="86067"/>
                    <a:stretch>
                      <a:fillRect/>
                    </a:stretch>
                  </pic:blipFill>
                  <pic:spPr bwMode="auto">
                    <a:xfrm>
                      <a:off x="0" y="0"/>
                      <a:ext cx="225425" cy="95250"/>
                    </a:xfrm>
                    <a:prstGeom prst="rect">
                      <a:avLst/>
                    </a:prstGeom>
                    <a:noFill/>
                    <a:ln w="9525">
                      <a:noFill/>
                      <a:miter lim="800000"/>
                      <a:headEnd/>
                      <a:tailEnd/>
                    </a:ln>
                  </pic:spPr>
                </pic:pic>
              </a:graphicData>
            </a:graphic>
          </wp:inline>
        </w:drawing>
      </w:r>
      <w:r w:rsidRPr="00442607">
        <w:rPr>
          <w:rFonts w:asciiTheme="majorBidi" w:hAnsiTheme="majorBidi" w:cstheme="majorBidi"/>
          <w:bCs/>
          <w:color w:val="auto"/>
          <w:lang w:val="en-US"/>
        </w:rPr>
        <w:t xml:space="preserve"> = adsorption,</w:t>
      </w:r>
      <w:r w:rsidRPr="00442607">
        <w:rPr>
          <w:rFonts w:asciiTheme="majorBidi" w:hAnsiTheme="majorBidi" w:cstheme="majorBidi"/>
          <w:bCs/>
          <w:color w:val="auto"/>
          <w:lang w:val="en-US" w:eastAsia="en-US"/>
        </w:rPr>
        <w:drawing>
          <wp:inline distT="0" distB="0" distL="0" distR="0" wp14:anchorId="3F705985" wp14:editId="54270A59">
            <wp:extent cx="249555" cy="1784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grayscl/>
                    </a:blip>
                    <a:srcRect l="34570" t="12500" r="60742" b="85416"/>
                    <a:stretch>
                      <a:fillRect/>
                    </a:stretch>
                  </pic:blipFill>
                  <pic:spPr bwMode="auto">
                    <a:xfrm>
                      <a:off x="0" y="0"/>
                      <a:ext cx="249555" cy="178435"/>
                    </a:xfrm>
                    <a:prstGeom prst="rect">
                      <a:avLst/>
                    </a:prstGeom>
                    <a:noFill/>
                    <a:ln w="9525">
                      <a:noFill/>
                      <a:miter lim="800000"/>
                      <a:headEnd/>
                      <a:tailEnd/>
                    </a:ln>
                  </pic:spPr>
                </pic:pic>
              </a:graphicData>
            </a:graphic>
          </wp:inline>
        </w:drawing>
      </w:r>
      <w:r w:rsidRPr="00442607">
        <w:rPr>
          <w:rFonts w:asciiTheme="majorBidi" w:hAnsiTheme="majorBidi" w:cstheme="majorBidi"/>
          <w:bCs/>
          <w:color w:val="auto"/>
          <w:lang w:val="en-US"/>
        </w:rPr>
        <w:t>= desorption.</w:t>
      </w:r>
    </w:p>
    <w:p w:rsidR="004D6746" w:rsidRDefault="004D6746" w:rsidP="00FD2F82">
      <w:pPr>
        <w:pStyle w:val="P1"/>
        <w:ind w:firstLine="0"/>
        <w:rPr>
          <w:rFonts w:asciiTheme="majorBidi" w:hAnsiTheme="majorBidi" w:cstheme="majorBidi"/>
          <w:lang w:val="en-US"/>
        </w:rPr>
      </w:pPr>
    </w:p>
    <w:p w:rsidR="00FD2F82" w:rsidRPr="00FD2F82" w:rsidRDefault="00FD2F82" w:rsidP="00FD2F82">
      <w:pPr>
        <w:pStyle w:val="P1"/>
        <w:ind w:firstLine="0"/>
        <w:rPr>
          <w:rFonts w:asciiTheme="majorBidi" w:hAnsiTheme="majorBidi" w:cstheme="majorBidi"/>
          <w:lang w:val="en-US"/>
        </w:rPr>
      </w:pPr>
    </w:p>
    <w:p w:rsidR="004D6746" w:rsidRPr="00CC2B87" w:rsidRDefault="004D6746" w:rsidP="004D6746">
      <w:pPr>
        <w:pStyle w:val="P1"/>
        <w:ind w:firstLine="0"/>
        <w:rPr>
          <w:rFonts w:asciiTheme="majorBidi" w:hAnsiTheme="majorBidi" w:cstheme="majorBidi"/>
          <w:lang w:val="en-US"/>
        </w:rPr>
      </w:pPr>
      <w:r w:rsidRPr="00CC2B87">
        <w:rPr>
          <w:rFonts w:asciiTheme="majorBidi" w:hAnsiTheme="majorBidi" w:cstheme="majorBidi"/>
          <w:lang w:val="en-US"/>
        </w:rPr>
        <w:t>In the context of physisorption, it is practical to classify pores based on their sizes. Therefore, Table 3 indicate</w:t>
      </w:r>
      <w:r>
        <w:rPr>
          <w:rFonts w:asciiTheme="majorBidi" w:hAnsiTheme="majorBidi" w:cstheme="majorBidi"/>
          <w:lang w:val="en-US"/>
        </w:rPr>
        <w:t xml:space="preserve">s </w:t>
      </w:r>
      <w:r w:rsidRPr="00CC2B87">
        <w:rPr>
          <w:rFonts w:asciiTheme="majorBidi" w:hAnsiTheme="majorBidi" w:cstheme="majorBidi"/>
          <w:lang w:val="en-US"/>
        </w:rPr>
        <w:t xml:space="preserve">that MIP was classified as mesopores (2–50 nm) and NIP as micropores (&lt; 2 nm). Surface area and pore volume of NIP </w:t>
      </w:r>
      <w:r>
        <w:rPr>
          <w:rFonts w:asciiTheme="majorBidi" w:hAnsiTheme="majorBidi" w:cstheme="majorBidi"/>
          <w:lang w:val="en-US"/>
        </w:rPr>
        <w:t xml:space="preserve">were </w:t>
      </w:r>
      <w:r w:rsidRPr="00CC2B87">
        <w:rPr>
          <w:rFonts w:asciiTheme="majorBidi" w:hAnsiTheme="majorBidi" w:cstheme="majorBidi"/>
          <w:lang w:val="en-US"/>
        </w:rPr>
        <w:t>showed higher value than MIP due to its narrow slit-like pores (Table 4). The polymer with smaller pores</w:t>
      </w:r>
      <w:r>
        <w:rPr>
          <w:rFonts w:asciiTheme="majorBidi" w:hAnsiTheme="majorBidi" w:cstheme="majorBidi"/>
          <w:lang w:val="en-US"/>
        </w:rPr>
        <w:t xml:space="preserve"> is </w:t>
      </w:r>
      <w:r w:rsidRPr="00CC2B87">
        <w:rPr>
          <w:rFonts w:asciiTheme="majorBidi" w:hAnsiTheme="majorBidi" w:cstheme="majorBidi"/>
          <w:lang w:val="en-US"/>
        </w:rPr>
        <w:t>normally produced</w:t>
      </w:r>
      <w:r>
        <w:rPr>
          <w:rFonts w:asciiTheme="majorBidi" w:hAnsiTheme="majorBidi" w:cstheme="majorBidi"/>
          <w:lang w:val="en-US"/>
        </w:rPr>
        <w:t xml:space="preserve"> </w:t>
      </w:r>
      <w:r w:rsidRPr="00CC2B87">
        <w:rPr>
          <w:rFonts w:asciiTheme="majorBidi" w:hAnsiTheme="majorBidi" w:cstheme="majorBidi"/>
          <w:lang w:val="en-US"/>
        </w:rPr>
        <w:t>when the phase separation occur</w:t>
      </w:r>
      <w:r>
        <w:rPr>
          <w:rFonts w:asciiTheme="majorBidi" w:hAnsiTheme="majorBidi" w:cstheme="majorBidi"/>
          <w:lang w:val="en-US"/>
        </w:rPr>
        <w:t xml:space="preserve">red </w:t>
      </w:r>
      <w:r w:rsidRPr="00CC2B87">
        <w:rPr>
          <w:rFonts w:asciiTheme="majorBidi" w:hAnsiTheme="majorBidi" w:cstheme="majorBidi"/>
          <w:lang w:val="en-US"/>
        </w:rPr>
        <w:t>duri</w:t>
      </w:r>
      <w:r>
        <w:rPr>
          <w:rFonts w:asciiTheme="majorBidi" w:hAnsiTheme="majorBidi" w:cstheme="majorBidi"/>
          <w:lang w:val="en-US"/>
        </w:rPr>
        <w:t>ng the polymerisation process [15</w:t>
      </w:r>
      <w:r w:rsidRPr="00CC2B87">
        <w:rPr>
          <w:rFonts w:asciiTheme="majorBidi" w:hAnsiTheme="majorBidi" w:cstheme="majorBidi"/>
          <w:lang w:val="en-US"/>
        </w:rPr>
        <w:t>].</w:t>
      </w:r>
    </w:p>
    <w:p w:rsidR="004D6746" w:rsidRDefault="004D6746" w:rsidP="00FD2F82">
      <w:pPr>
        <w:pStyle w:val="P1"/>
        <w:ind w:firstLine="0"/>
        <w:rPr>
          <w:rFonts w:asciiTheme="majorBidi" w:hAnsiTheme="majorBidi" w:cstheme="majorBidi"/>
          <w:lang w:val="en-US"/>
        </w:rPr>
      </w:pPr>
    </w:p>
    <w:p w:rsidR="00FD2F82" w:rsidRPr="008E4848" w:rsidRDefault="00FD2F82" w:rsidP="00FD2F82">
      <w:pPr>
        <w:pStyle w:val="P1"/>
        <w:ind w:firstLine="0"/>
        <w:rPr>
          <w:rFonts w:asciiTheme="majorBidi" w:hAnsiTheme="majorBidi" w:cstheme="majorBidi"/>
          <w:lang w:val="en-US"/>
        </w:rPr>
      </w:pPr>
    </w:p>
    <w:p w:rsidR="004D6746" w:rsidRPr="008E4848" w:rsidRDefault="004D6746" w:rsidP="00FD2F82">
      <w:pPr>
        <w:spacing w:after="120" w:line="240" w:lineRule="auto"/>
        <w:jc w:val="center"/>
        <w:rPr>
          <w:rFonts w:asciiTheme="majorBidi" w:hAnsiTheme="majorBidi" w:cstheme="majorBidi"/>
          <w:bCs/>
          <w:noProof/>
          <w:sz w:val="20"/>
          <w:szCs w:val="20"/>
        </w:rPr>
      </w:pPr>
      <w:r w:rsidRPr="00442607">
        <w:rPr>
          <w:rFonts w:asciiTheme="majorBidi" w:hAnsiTheme="majorBidi" w:cstheme="majorBidi"/>
          <w:bCs/>
          <w:noProof/>
          <w:sz w:val="20"/>
          <w:szCs w:val="20"/>
        </w:rPr>
        <w:t>Table 4.</w:t>
      </w:r>
      <w:r w:rsidR="00FD2F82">
        <w:rPr>
          <w:rFonts w:asciiTheme="majorBidi" w:hAnsiTheme="majorBidi" w:cstheme="majorBidi"/>
          <w:bCs/>
          <w:noProof/>
          <w:sz w:val="20"/>
          <w:szCs w:val="20"/>
        </w:rPr>
        <w:t xml:space="preserve"> </w:t>
      </w:r>
      <w:r w:rsidRPr="00442607">
        <w:rPr>
          <w:rFonts w:asciiTheme="majorBidi" w:hAnsiTheme="majorBidi" w:cstheme="majorBidi"/>
          <w:bCs/>
          <w:noProof/>
          <w:sz w:val="20"/>
          <w:szCs w:val="20"/>
        </w:rPr>
        <w:t xml:space="preserve"> Surface area and pore analysis of MIP and NIP by nitrogen sorption porosity.</w:t>
      </w:r>
    </w:p>
    <w:tbl>
      <w:tblPr>
        <w:tblW w:w="4939" w:type="pct"/>
        <w:tblLayout w:type="fixed"/>
        <w:tblLook w:val="04A0" w:firstRow="1" w:lastRow="0" w:firstColumn="1" w:lastColumn="0" w:noHBand="0" w:noVBand="1"/>
      </w:tblPr>
      <w:tblGrid>
        <w:gridCol w:w="1340"/>
        <w:gridCol w:w="2249"/>
        <w:gridCol w:w="2430"/>
        <w:gridCol w:w="179"/>
        <w:gridCol w:w="1711"/>
        <w:gridCol w:w="1522"/>
      </w:tblGrid>
      <w:tr w:rsidR="00FD2F82" w:rsidRPr="008E4848" w:rsidTr="00FD2F82">
        <w:trPr>
          <w:trHeight w:val="256"/>
        </w:trPr>
        <w:tc>
          <w:tcPr>
            <w:tcW w:w="710" w:type="pct"/>
            <w:tcBorders>
              <w:top w:val="single" w:sz="4" w:space="0" w:color="auto"/>
              <w:bottom w:val="single" w:sz="4" w:space="0" w:color="auto"/>
            </w:tcBorders>
            <w:shd w:val="clear" w:color="auto" w:fill="auto"/>
            <w:noWrap/>
            <w:vAlign w:val="center"/>
            <w:hideMark/>
          </w:tcPr>
          <w:p w:rsidR="004D6746" w:rsidRPr="00442607" w:rsidRDefault="004D6746" w:rsidP="0065339C">
            <w:pPr>
              <w:spacing w:after="0" w:line="240" w:lineRule="auto"/>
              <w:contextualSpacing/>
              <w:jc w:val="center"/>
              <w:rPr>
                <w:rFonts w:asciiTheme="majorBidi" w:hAnsiTheme="majorBidi" w:cstheme="majorBidi"/>
                <w:b/>
                <w:bCs/>
                <w:sz w:val="20"/>
                <w:szCs w:val="20"/>
              </w:rPr>
            </w:pPr>
            <w:r w:rsidRPr="00442607">
              <w:rPr>
                <w:rFonts w:asciiTheme="majorBidi" w:hAnsiTheme="majorBidi" w:cstheme="majorBidi"/>
                <w:b/>
                <w:bCs/>
                <w:sz w:val="20"/>
                <w:szCs w:val="20"/>
              </w:rPr>
              <w:t>Polymer</w:t>
            </w:r>
          </w:p>
        </w:tc>
        <w:tc>
          <w:tcPr>
            <w:tcW w:w="1192" w:type="pct"/>
            <w:tcBorders>
              <w:top w:val="single" w:sz="4" w:space="0" w:color="auto"/>
              <w:bottom w:val="single" w:sz="4" w:space="0" w:color="auto"/>
            </w:tcBorders>
            <w:shd w:val="clear" w:color="auto" w:fill="auto"/>
            <w:vAlign w:val="center"/>
            <w:hideMark/>
          </w:tcPr>
          <w:p w:rsidR="004D6746" w:rsidRPr="00442607" w:rsidRDefault="004D6746" w:rsidP="00FD2F82">
            <w:pPr>
              <w:spacing w:before="60" w:after="60" w:line="240" w:lineRule="auto"/>
              <w:jc w:val="center"/>
              <w:rPr>
                <w:rFonts w:asciiTheme="majorBidi" w:hAnsiTheme="majorBidi" w:cstheme="majorBidi"/>
                <w:b/>
                <w:bCs/>
                <w:sz w:val="20"/>
                <w:szCs w:val="20"/>
              </w:rPr>
            </w:pPr>
            <w:r w:rsidRPr="00442607">
              <w:rPr>
                <w:rFonts w:asciiTheme="majorBidi" w:hAnsiTheme="majorBidi" w:cstheme="majorBidi"/>
                <w:b/>
                <w:bCs/>
                <w:sz w:val="20"/>
                <w:szCs w:val="20"/>
              </w:rPr>
              <w:t>BET surface area, S</w:t>
            </w:r>
            <w:r w:rsidRPr="00442607">
              <w:rPr>
                <w:rFonts w:asciiTheme="majorBidi" w:hAnsiTheme="majorBidi" w:cstheme="majorBidi"/>
                <w:b/>
                <w:bCs/>
                <w:sz w:val="20"/>
                <w:szCs w:val="20"/>
                <w:vertAlign w:val="subscript"/>
              </w:rPr>
              <w:t xml:space="preserve">BET </w:t>
            </w:r>
            <w:r w:rsidRPr="00442607">
              <w:rPr>
                <w:rFonts w:asciiTheme="majorBidi" w:hAnsiTheme="majorBidi" w:cstheme="majorBidi"/>
                <w:b/>
                <w:bCs/>
                <w:sz w:val="20"/>
                <w:szCs w:val="20"/>
              </w:rPr>
              <w:t>(m</w:t>
            </w:r>
            <w:r w:rsidRPr="00442607">
              <w:rPr>
                <w:rFonts w:asciiTheme="majorBidi" w:hAnsiTheme="majorBidi" w:cstheme="majorBidi"/>
                <w:b/>
                <w:bCs/>
                <w:sz w:val="20"/>
                <w:szCs w:val="20"/>
                <w:vertAlign w:val="superscript"/>
              </w:rPr>
              <w:t>2</w:t>
            </w:r>
            <w:r w:rsidRPr="00442607">
              <w:rPr>
                <w:rFonts w:asciiTheme="majorBidi" w:hAnsiTheme="majorBidi" w:cstheme="majorBidi"/>
                <w:b/>
                <w:bCs/>
                <w:sz w:val="20"/>
                <w:szCs w:val="20"/>
              </w:rPr>
              <w:t>/g)</w:t>
            </w:r>
            <w:r w:rsidRPr="00442607">
              <w:rPr>
                <w:rFonts w:asciiTheme="majorBidi" w:hAnsiTheme="majorBidi" w:cstheme="majorBidi"/>
                <w:b/>
                <w:bCs/>
                <w:sz w:val="20"/>
                <w:szCs w:val="20"/>
                <w:vertAlign w:val="superscript"/>
              </w:rPr>
              <w:t>a</w:t>
            </w:r>
          </w:p>
        </w:tc>
        <w:tc>
          <w:tcPr>
            <w:tcW w:w="1288" w:type="pct"/>
            <w:tcBorders>
              <w:top w:val="single" w:sz="4" w:space="0" w:color="auto"/>
              <w:bottom w:val="single" w:sz="4" w:space="0" w:color="auto"/>
            </w:tcBorders>
            <w:shd w:val="clear" w:color="auto" w:fill="auto"/>
            <w:noWrap/>
            <w:vAlign w:val="center"/>
            <w:hideMark/>
          </w:tcPr>
          <w:p w:rsidR="004D6746" w:rsidRPr="00442607" w:rsidRDefault="004D6746" w:rsidP="00FD2F82">
            <w:pPr>
              <w:spacing w:before="60" w:after="60" w:line="240" w:lineRule="auto"/>
              <w:jc w:val="center"/>
              <w:rPr>
                <w:rFonts w:asciiTheme="majorBidi" w:hAnsiTheme="majorBidi" w:cstheme="majorBidi"/>
                <w:b/>
                <w:bCs/>
                <w:sz w:val="20"/>
                <w:szCs w:val="20"/>
              </w:rPr>
            </w:pPr>
            <w:r w:rsidRPr="00442607">
              <w:rPr>
                <w:rFonts w:asciiTheme="majorBidi" w:hAnsiTheme="majorBidi" w:cstheme="majorBidi"/>
                <w:b/>
                <w:bCs/>
                <w:sz w:val="20"/>
                <w:szCs w:val="20"/>
              </w:rPr>
              <w:t>External surface area, S</w:t>
            </w:r>
            <w:r w:rsidRPr="00442607">
              <w:rPr>
                <w:rFonts w:asciiTheme="majorBidi" w:hAnsiTheme="majorBidi" w:cstheme="majorBidi"/>
                <w:b/>
                <w:bCs/>
                <w:sz w:val="20"/>
                <w:szCs w:val="20"/>
                <w:vertAlign w:val="subscript"/>
              </w:rPr>
              <w:t xml:space="preserve">t </w:t>
            </w:r>
            <w:r w:rsidRPr="00442607">
              <w:rPr>
                <w:rFonts w:asciiTheme="majorBidi" w:hAnsiTheme="majorBidi" w:cstheme="majorBidi"/>
                <w:b/>
                <w:bCs/>
                <w:sz w:val="20"/>
                <w:szCs w:val="20"/>
              </w:rPr>
              <w:t>(m</w:t>
            </w:r>
            <w:r w:rsidRPr="00442607">
              <w:rPr>
                <w:rFonts w:asciiTheme="majorBidi" w:hAnsiTheme="majorBidi" w:cstheme="majorBidi"/>
                <w:b/>
                <w:bCs/>
                <w:sz w:val="20"/>
                <w:szCs w:val="20"/>
                <w:vertAlign w:val="superscript"/>
              </w:rPr>
              <w:t>2</w:t>
            </w:r>
            <w:r w:rsidRPr="00442607">
              <w:rPr>
                <w:rFonts w:asciiTheme="majorBidi" w:hAnsiTheme="majorBidi" w:cstheme="majorBidi"/>
                <w:b/>
                <w:bCs/>
                <w:sz w:val="20"/>
                <w:szCs w:val="20"/>
              </w:rPr>
              <w:t>/g)</w:t>
            </w:r>
            <w:r w:rsidRPr="00442607">
              <w:rPr>
                <w:rFonts w:asciiTheme="majorBidi" w:hAnsiTheme="majorBidi" w:cstheme="majorBidi"/>
                <w:b/>
                <w:bCs/>
                <w:sz w:val="20"/>
                <w:szCs w:val="20"/>
                <w:vertAlign w:val="superscript"/>
              </w:rPr>
              <w:t>b</w:t>
            </w:r>
          </w:p>
        </w:tc>
        <w:tc>
          <w:tcPr>
            <w:tcW w:w="1002" w:type="pct"/>
            <w:gridSpan w:val="2"/>
            <w:tcBorders>
              <w:top w:val="single" w:sz="4" w:space="0" w:color="auto"/>
              <w:bottom w:val="single" w:sz="4" w:space="0" w:color="auto"/>
            </w:tcBorders>
            <w:shd w:val="clear" w:color="auto" w:fill="auto"/>
            <w:vAlign w:val="center"/>
            <w:hideMark/>
          </w:tcPr>
          <w:p w:rsidR="00FD2F82" w:rsidRDefault="004D6746" w:rsidP="0065339C">
            <w:pPr>
              <w:spacing w:after="0" w:line="240" w:lineRule="auto"/>
              <w:contextualSpacing/>
              <w:jc w:val="center"/>
              <w:rPr>
                <w:rFonts w:asciiTheme="majorBidi" w:hAnsiTheme="majorBidi" w:cstheme="majorBidi"/>
                <w:b/>
                <w:bCs/>
                <w:sz w:val="20"/>
                <w:szCs w:val="20"/>
              </w:rPr>
            </w:pPr>
            <w:r w:rsidRPr="00442607">
              <w:rPr>
                <w:rFonts w:asciiTheme="majorBidi" w:hAnsiTheme="majorBidi" w:cstheme="majorBidi"/>
                <w:b/>
                <w:bCs/>
                <w:sz w:val="20"/>
                <w:szCs w:val="20"/>
              </w:rPr>
              <w:t>Pore volume</w:t>
            </w:r>
          </w:p>
          <w:p w:rsidR="004D6746" w:rsidRPr="00442607" w:rsidRDefault="004D6746" w:rsidP="0065339C">
            <w:pPr>
              <w:spacing w:after="0" w:line="240" w:lineRule="auto"/>
              <w:contextualSpacing/>
              <w:jc w:val="center"/>
              <w:rPr>
                <w:rFonts w:asciiTheme="majorBidi" w:hAnsiTheme="majorBidi" w:cstheme="majorBidi"/>
                <w:b/>
                <w:bCs/>
                <w:sz w:val="20"/>
                <w:szCs w:val="20"/>
              </w:rPr>
            </w:pPr>
            <w:r w:rsidRPr="00442607">
              <w:rPr>
                <w:rFonts w:asciiTheme="majorBidi" w:hAnsiTheme="majorBidi" w:cstheme="majorBidi"/>
                <w:b/>
                <w:bCs/>
                <w:sz w:val="20"/>
                <w:szCs w:val="20"/>
              </w:rPr>
              <w:t xml:space="preserve"> (cc/g)</w:t>
            </w:r>
            <w:r w:rsidRPr="00442607">
              <w:rPr>
                <w:rFonts w:asciiTheme="majorBidi" w:hAnsiTheme="majorBidi" w:cstheme="majorBidi"/>
                <w:b/>
                <w:bCs/>
                <w:sz w:val="20"/>
                <w:szCs w:val="20"/>
                <w:vertAlign w:val="superscript"/>
              </w:rPr>
              <w:t>c</w:t>
            </w:r>
          </w:p>
        </w:tc>
        <w:tc>
          <w:tcPr>
            <w:tcW w:w="807" w:type="pct"/>
            <w:tcBorders>
              <w:top w:val="single" w:sz="4" w:space="0" w:color="auto"/>
              <w:bottom w:val="single" w:sz="4" w:space="0" w:color="auto"/>
            </w:tcBorders>
            <w:shd w:val="clear" w:color="auto" w:fill="auto"/>
            <w:vAlign w:val="center"/>
            <w:hideMark/>
          </w:tcPr>
          <w:p w:rsidR="00FD2F82" w:rsidRDefault="00FD2F82" w:rsidP="00FD2F82">
            <w:pPr>
              <w:spacing w:before="60" w:after="0" w:line="240" w:lineRule="auto"/>
              <w:jc w:val="center"/>
              <w:rPr>
                <w:rFonts w:asciiTheme="majorBidi" w:hAnsiTheme="majorBidi" w:cstheme="majorBidi"/>
                <w:b/>
                <w:bCs/>
                <w:sz w:val="20"/>
                <w:szCs w:val="20"/>
              </w:rPr>
            </w:pPr>
            <w:r>
              <w:rPr>
                <w:rFonts w:asciiTheme="majorBidi" w:hAnsiTheme="majorBidi" w:cstheme="majorBidi"/>
                <w:b/>
                <w:bCs/>
                <w:sz w:val="20"/>
                <w:szCs w:val="20"/>
              </w:rPr>
              <w:t xml:space="preserve">Pore </w:t>
            </w:r>
            <w:r w:rsidR="004D6746" w:rsidRPr="00442607">
              <w:rPr>
                <w:rFonts w:asciiTheme="majorBidi" w:hAnsiTheme="majorBidi" w:cstheme="majorBidi"/>
                <w:b/>
                <w:bCs/>
                <w:sz w:val="20"/>
                <w:szCs w:val="20"/>
              </w:rPr>
              <w:t xml:space="preserve">diameter </w:t>
            </w:r>
          </w:p>
          <w:p w:rsidR="004D6746" w:rsidRPr="00442607" w:rsidRDefault="004D6746" w:rsidP="00FD2F82">
            <w:pPr>
              <w:spacing w:after="60" w:line="240" w:lineRule="auto"/>
              <w:jc w:val="center"/>
              <w:rPr>
                <w:rFonts w:asciiTheme="majorBidi" w:hAnsiTheme="majorBidi" w:cstheme="majorBidi"/>
                <w:b/>
                <w:bCs/>
                <w:sz w:val="20"/>
                <w:szCs w:val="20"/>
              </w:rPr>
            </w:pPr>
            <w:r w:rsidRPr="00442607">
              <w:rPr>
                <w:rFonts w:asciiTheme="majorBidi" w:hAnsiTheme="majorBidi" w:cstheme="majorBidi"/>
                <w:b/>
                <w:bCs/>
                <w:sz w:val="20"/>
                <w:szCs w:val="20"/>
              </w:rPr>
              <w:t>(Å)</w:t>
            </w:r>
            <w:r w:rsidRPr="00442607">
              <w:rPr>
                <w:rFonts w:asciiTheme="majorBidi" w:hAnsiTheme="majorBidi" w:cstheme="majorBidi"/>
                <w:b/>
                <w:bCs/>
                <w:sz w:val="20"/>
                <w:szCs w:val="20"/>
                <w:vertAlign w:val="superscript"/>
              </w:rPr>
              <w:t>d</w:t>
            </w:r>
          </w:p>
        </w:tc>
      </w:tr>
      <w:tr w:rsidR="00FD2F82" w:rsidRPr="008E4848" w:rsidTr="00FD2F82">
        <w:trPr>
          <w:trHeight w:val="100"/>
        </w:trPr>
        <w:tc>
          <w:tcPr>
            <w:tcW w:w="710" w:type="pct"/>
            <w:tcBorders>
              <w:top w:val="single" w:sz="4" w:space="0" w:color="auto"/>
            </w:tcBorders>
            <w:shd w:val="clear" w:color="auto" w:fill="auto"/>
            <w:noWrap/>
            <w:vAlign w:val="center"/>
            <w:hideMark/>
          </w:tcPr>
          <w:p w:rsidR="004D6746" w:rsidRPr="008E4848" w:rsidRDefault="004D6746" w:rsidP="00FD2F82">
            <w:pPr>
              <w:spacing w:before="120" w:after="0" w:line="240" w:lineRule="auto"/>
              <w:jc w:val="center"/>
              <w:rPr>
                <w:rFonts w:asciiTheme="majorBidi" w:hAnsiTheme="majorBidi" w:cstheme="majorBidi"/>
                <w:sz w:val="20"/>
                <w:szCs w:val="20"/>
              </w:rPr>
            </w:pPr>
            <w:r w:rsidRPr="008E4848">
              <w:rPr>
                <w:rFonts w:asciiTheme="majorBidi" w:hAnsiTheme="majorBidi" w:cstheme="majorBidi"/>
                <w:sz w:val="20"/>
                <w:szCs w:val="20"/>
              </w:rPr>
              <w:t>MIP</w:t>
            </w:r>
          </w:p>
        </w:tc>
        <w:tc>
          <w:tcPr>
            <w:tcW w:w="1192" w:type="pct"/>
            <w:tcBorders>
              <w:top w:val="single" w:sz="4" w:space="0" w:color="auto"/>
            </w:tcBorders>
            <w:shd w:val="clear" w:color="auto" w:fill="auto"/>
            <w:noWrap/>
            <w:vAlign w:val="center"/>
            <w:hideMark/>
          </w:tcPr>
          <w:p w:rsidR="004D6746" w:rsidRPr="008E4848" w:rsidRDefault="004D6746" w:rsidP="00FD2F82">
            <w:pPr>
              <w:spacing w:before="120" w:after="0" w:line="240" w:lineRule="auto"/>
              <w:jc w:val="center"/>
              <w:rPr>
                <w:rFonts w:asciiTheme="majorBidi" w:hAnsiTheme="majorBidi" w:cstheme="majorBidi"/>
                <w:sz w:val="20"/>
                <w:szCs w:val="20"/>
              </w:rPr>
            </w:pPr>
            <w:r w:rsidRPr="008E4848">
              <w:rPr>
                <w:rFonts w:asciiTheme="majorBidi" w:hAnsiTheme="majorBidi" w:cstheme="majorBidi"/>
                <w:sz w:val="20"/>
                <w:szCs w:val="20"/>
              </w:rPr>
              <w:t>186.7</w:t>
            </w:r>
          </w:p>
        </w:tc>
        <w:tc>
          <w:tcPr>
            <w:tcW w:w="1383" w:type="pct"/>
            <w:gridSpan w:val="2"/>
            <w:tcBorders>
              <w:top w:val="single" w:sz="4" w:space="0" w:color="auto"/>
            </w:tcBorders>
            <w:shd w:val="clear" w:color="auto" w:fill="auto"/>
            <w:noWrap/>
            <w:vAlign w:val="center"/>
            <w:hideMark/>
          </w:tcPr>
          <w:p w:rsidR="004D6746" w:rsidRPr="008E4848" w:rsidRDefault="004D6746" w:rsidP="00FD2F82">
            <w:pPr>
              <w:spacing w:before="120" w:after="0" w:line="240" w:lineRule="auto"/>
              <w:jc w:val="center"/>
              <w:rPr>
                <w:rFonts w:asciiTheme="majorBidi" w:hAnsiTheme="majorBidi" w:cstheme="majorBidi"/>
                <w:sz w:val="20"/>
                <w:szCs w:val="20"/>
              </w:rPr>
            </w:pPr>
            <w:r w:rsidRPr="008E4848">
              <w:rPr>
                <w:rFonts w:asciiTheme="majorBidi" w:hAnsiTheme="majorBidi" w:cstheme="majorBidi"/>
                <w:sz w:val="20"/>
                <w:szCs w:val="20"/>
              </w:rPr>
              <w:t>133.8</w:t>
            </w:r>
          </w:p>
        </w:tc>
        <w:tc>
          <w:tcPr>
            <w:tcW w:w="907" w:type="pct"/>
            <w:tcBorders>
              <w:top w:val="single" w:sz="4" w:space="0" w:color="auto"/>
            </w:tcBorders>
            <w:shd w:val="clear" w:color="auto" w:fill="auto"/>
            <w:noWrap/>
            <w:vAlign w:val="center"/>
            <w:hideMark/>
          </w:tcPr>
          <w:p w:rsidR="004D6746" w:rsidRPr="008E4848" w:rsidRDefault="004D6746" w:rsidP="00FD2F82">
            <w:pPr>
              <w:spacing w:before="120" w:after="0" w:line="240" w:lineRule="auto"/>
              <w:jc w:val="center"/>
              <w:rPr>
                <w:rFonts w:asciiTheme="majorBidi" w:hAnsiTheme="majorBidi" w:cstheme="majorBidi"/>
                <w:sz w:val="20"/>
                <w:szCs w:val="20"/>
              </w:rPr>
            </w:pPr>
            <w:r w:rsidRPr="008E4848">
              <w:rPr>
                <w:rFonts w:asciiTheme="majorBidi" w:hAnsiTheme="majorBidi" w:cstheme="majorBidi"/>
                <w:sz w:val="20"/>
                <w:szCs w:val="20"/>
              </w:rPr>
              <w:t>0.2864</w:t>
            </w:r>
          </w:p>
        </w:tc>
        <w:tc>
          <w:tcPr>
            <w:tcW w:w="807" w:type="pct"/>
            <w:tcBorders>
              <w:top w:val="single" w:sz="4" w:space="0" w:color="auto"/>
            </w:tcBorders>
            <w:shd w:val="clear" w:color="auto" w:fill="auto"/>
            <w:noWrap/>
            <w:vAlign w:val="center"/>
            <w:hideMark/>
          </w:tcPr>
          <w:p w:rsidR="004D6746" w:rsidRPr="008E4848" w:rsidRDefault="004D6746" w:rsidP="00FD2F82">
            <w:pPr>
              <w:spacing w:before="120" w:after="0" w:line="240" w:lineRule="auto"/>
              <w:jc w:val="center"/>
              <w:rPr>
                <w:rFonts w:asciiTheme="majorBidi" w:hAnsiTheme="majorBidi" w:cstheme="majorBidi"/>
                <w:sz w:val="20"/>
                <w:szCs w:val="20"/>
              </w:rPr>
            </w:pPr>
            <w:r w:rsidRPr="008E4848">
              <w:rPr>
                <w:rFonts w:asciiTheme="majorBidi" w:hAnsiTheme="majorBidi" w:cstheme="majorBidi"/>
                <w:sz w:val="20"/>
                <w:szCs w:val="20"/>
              </w:rPr>
              <w:t>39.32</w:t>
            </w:r>
          </w:p>
        </w:tc>
      </w:tr>
      <w:tr w:rsidR="00FD2F82" w:rsidRPr="008E4848" w:rsidTr="00FD2F82">
        <w:trPr>
          <w:trHeight w:val="140"/>
        </w:trPr>
        <w:tc>
          <w:tcPr>
            <w:tcW w:w="710" w:type="pct"/>
            <w:tcBorders>
              <w:bottom w:val="single" w:sz="4" w:space="0" w:color="auto"/>
            </w:tcBorders>
            <w:shd w:val="clear" w:color="auto" w:fill="auto"/>
            <w:noWrap/>
            <w:vAlign w:val="center"/>
            <w:hideMark/>
          </w:tcPr>
          <w:p w:rsidR="004D6746" w:rsidRPr="008E4848" w:rsidRDefault="004D6746" w:rsidP="00FD2F82">
            <w:pPr>
              <w:spacing w:after="120" w:line="240" w:lineRule="auto"/>
              <w:jc w:val="center"/>
              <w:rPr>
                <w:rFonts w:asciiTheme="majorBidi" w:hAnsiTheme="majorBidi" w:cstheme="majorBidi"/>
                <w:sz w:val="20"/>
                <w:szCs w:val="20"/>
              </w:rPr>
            </w:pPr>
            <w:r w:rsidRPr="008E4848">
              <w:rPr>
                <w:rFonts w:asciiTheme="majorBidi" w:hAnsiTheme="majorBidi" w:cstheme="majorBidi"/>
                <w:sz w:val="20"/>
                <w:szCs w:val="20"/>
              </w:rPr>
              <w:t>NIP</w:t>
            </w:r>
          </w:p>
        </w:tc>
        <w:tc>
          <w:tcPr>
            <w:tcW w:w="1192" w:type="pct"/>
            <w:tcBorders>
              <w:bottom w:val="single" w:sz="4" w:space="0" w:color="auto"/>
            </w:tcBorders>
            <w:shd w:val="clear" w:color="auto" w:fill="auto"/>
            <w:noWrap/>
            <w:vAlign w:val="center"/>
            <w:hideMark/>
          </w:tcPr>
          <w:p w:rsidR="004D6746" w:rsidRPr="008E4848" w:rsidRDefault="004D6746" w:rsidP="00FD2F82">
            <w:pPr>
              <w:spacing w:after="120" w:line="240" w:lineRule="auto"/>
              <w:jc w:val="center"/>
              <w:rPr>
                <w:rFonts w:asciiTheme="majorBidi" w:hAnsiTheme="majorBidi" w:cstheme="majorBidi"/>
                <w:sz w:val="20"/>
                <w:szCs w:val="20"/>
              </w:rPr>
            </w:pPr>
            <w:r w:rsidRPr="008E4848">
              <w:rPr>
                <w:rFonts w:asciiTheme="majorBidi" w:hAnsiTheme="majorBidi" w:cstheme="majorBidi"/>
                <w:sz w:val="20"/>
                <w:szCs w:val="20"/>
              </w:rPr>
              <w:t>206.3</w:t>
            </w:r>
          </w:p>
        </w:tc>
        <w:tc>
          <w:tcPr>
            <w:tcW w:w="1383" w:type="pct"/>
            <w:gridSpan w:val="2"/>
            <w:tcBorders>
              <w:bottom w:val="single" w:sz="4" w:space="0" w:color="auto"/>
            </w:tcBorders>
            <w:shd w:val="clear" w:color="auto" w:fill="auto"/>
            <w:noWrap/>
            <w:vAlign w:val="center"/>
            <w:hideMark/>
          </w:tcPr>
          <w:p w:rsidR="004D6746" w:rsidRPr="008E4848" w:rsidRDefault="004D6746" w:rsidP="00FD2F82">
            <w:pPr>
              <w:spacing w:after="120" w:line="240" w:lineRule="auto"/>
              <w:jc w:val="center"/>
              <w:rPr>
                <w:rFonts w:asciiTheme="majorBidi" w:hAnsiTheme="majorBidi" w:cstheme="majorBidi"/>
                <w:sz w:val="20"/>
                <w:szCs w:val="20"/>
              </w:rPr>
            </w:pPr>
            <w:r w:rsidRPr="008E4848">
              <w:rPr>
                <w:rFonts w:asciiTheme="majorBidi" w:hAnsiTheme="majorBidi" w:cstheme="majorBidi"/>
                <w:sz w:val="20"/>
                <w:szCs w:val="20"/>
              </w:rPr>
              <w:t>137.7</w:t>
            </w:r>
          </w:p>
        </w:tc>
        <w:tc>
          <w:tcPr>
            <w:tcW w:w="907" w:type="pct"/>
            <w:tcBorders>
              <w:bottom w:val="single" w:sz="4" w:space="0" w:color="auto"/>
            </w:tcBorders>
            <w:shd w:val="clear" w:color="auto" w:fill="auto"/>
            <w:noWrap/>
            <w:vAlign w:val="center"/>
            <w:hideMark/>
          </w:tcPr>
          <w:p w:rsidR="004D6746" w:rsidRPr="008E4848" w:rsidRDefault="004D6746" w:rsidP="00FD2F82">
            <w:pPr>
              <w:spacing w:after="120" w:line="240" w:lineRule="auto"/>
              <w:jc w:val="center"/>
              <w:rPr>
                <w:rFonts w:asciiTheme="majorBidi" w:hAnsiTheme="majorBidi" w:cstheme="majorBidi"/>
                <w:sz w:val="20"/>
                <w:szCs w:val="20"/>
              </w:rPr>
            </w:pPr>
            <w:r w:rsidRPr="008E4848">
              <w:rPr>
                <w:rFonts w:asciiTheme="majorBidi" w:hAnsiTheme="majorBidi" w:cstheme="majorBidi"/>
                <w:sz w:val="20"/>
                <w:szCs w:val="20"/>
              </w:rPr>
              <w:t>0.3828</w:t>
            </w:r>
          </w:p>
        </w:tc>
        <w:tc>
          <w:tcPr>
            <w:tcW w:w="807" w:type="pct"/>
            <w:tcBorders>
              <w:bottom w:val="single" w:sz="4" w:space="0" w:color="auto"/>
            </w:tcBorders>
            <w:shd w:val="clear" w:color="auto" w:fill="auto"/>
            <w:noWrap/>
            <w:vAlign w:val="center"/>
            <w:hideMark/>
          </w:tcPr>
          <w:p w:rsidR="004D6746" w:rsidRPr="008E4848" w:rsidRDefault="004D6746" w:rsidP="00FD2F82">
            <w:pPr>
              <w:spacing w:after="120" w:line="240" w:lineRule="auto"/>
              <w:jc w:val="center"/>
              <w:rPr>
                <w:rFonts w:asciiTheme="majorBidi" w:hAnsiTheme="majorBidi" w:cstheme="majorBidi"/>
                <w:sz w:val="20"/>
                <w:szCs w:val="20"/>
              </w:rPr>
            </w:pPr>
            <w:r w:rsidRPr="008E4848">
              <w:rPr>
                <w:rFonts w:asciiTheme="majorBidi" w:hAnsiTheme="majorBidi" w:cstheme="majorBidi"/>
                <w:sz w:val="20"/>
                <w:szCs w:val="20"/>
              </w:rPr>
              <w:t>8.581</w:t>
            </w:r>
          </w:p>
        </w:tc>
      </w:tr>
    </w:tbl>
    <w:p w:rsidR="004D6746" w:rsidRPr="00442607" w:rsidRDefault="004D6746" w:rsidP="00FD2F82">
      <w:pPr>
        <w:spacing w:before="60" w:after="0" w:line="240" w:lineRule="auto"/>
        <w:rPr>
          <w:rFonts w:asciiTheme="majorBidi" w:hAnsiTheme="majorBidi" w:cstheme="majorBidi"/>
          <w:sz w:val="18"/>
          <w:szCs w:val="18"/>
        </w:rPr>
      </w:pPr>
      <w:r w:rsidRPr="00442607">
        <w:rPr>
          <w:rFonts w:asciiTheme="majorBidi" w:hAnsiTheme="majorBidi" w:cstheme="majorBidi"/>
          <w:sz w:val="18"/>
          <w:szCs w:val="18"/>
          <w:vertAlign w:val="superscript"/>
        </w:rPr>
        <w:t>a</w:t>
      </w:r>
      <w:r w:rsidRPr="00442607">
        <w:rPr>
          <w:rFonts w:asciiTheme="majorBidi" w:hAnsiTheme="majorBidi" w:cstheme="majorBidi"/>
          <w:sz w:val="18"/>
          <w:szCs w:val="18"/>
          <w:vertAlign w:val="subscript"/>
        </w:rPr>
        <w:t xml:space="preserve"> </w:t>
      </w:r>
      <w:r w:rsidRPr="00442607">
        <w:rPr>
          <w:rFonts w:asciiTheme="majorBidi" w:hAnsiTheme="majorBidi" w:cstheme="majorBidi"/>
          <w:sz w:val="18"/>
          <w:szCs w:val="18"/>
        </w:rPr>
        <w:t>Surface area from multipoint BET value on a eleven-point linear plot,</w:t>
      </w:r>
      <w:r w:rsidRPr="00442607">
        <w:rPr>
          <w:rFonts w:asciiTheme="majorBidi" w:hAnsiTheme="majorBidi" w:cstheme="majorBidi"/>
          <w:sz w:val="18"/>
          <w:szCs w:val="18"/>
          <w:vertAlign w:val="superscript"/>
        </w:rPr>
        <w:t>b</w:t>
      </w:r>
      <w:r w:rsidRPr="00442607">
        <w:rPr>
          <w:rFonts w:asciiTheme="majorBidi" w:hAnsiTheme="majorBidi" w:cstheme="majorBidi"/>
          <w:sz w:val="18"/>
          <w:szCs w:val="18"/>
        </w:rPr>
        <w:t xml:space="preserve">External surface area obtained from the </w:t>
      </w:r>
      <w:r w:rsidRPr="00442607">
        <w:rPr>
          <w:rFonts w:asciiTheme="majorBidi" w:hAnsiTheme="majorBidi" w:cstheme="majorBidi"/>
          <w:i/>
          <w:iCs/>
          <w:sz w:val="18"/>
          <w:szCs w:val="18"/>
        </w:rPr>
        <w:t>t-</w:t>
      </w:r>
      <w:r w:rsidRPr="00442607">
        <w:rPr>
          <w:rFonts w:asciiTheme="majorBidi" w:hAnsiTheme="majorBidi" w:cstheme="majorBidi"/>
          <w:sz w:val="18"/>
          <w:szCs w:val="18"/>
        </w:rPr>
        <w:t xml:space="preserve">plot, </w:t>
      </w:r>
      <w:r w:rsidRPr="00442607">
        <w:rPr>
          <w:rFonts w:asciiTheme="majorBidi" w:hAnsiTheme="majorBidi" w:cstheme="majorBidi"/>
          <w:sz w:val="18"/>
          <w:szCs w:val="18"/>
          <w:vertAlign w:val="superscript"/>
        </w:rPr>
        <w:t>c</w:t>
      </w:r>
      <w:r w:rsidRPr="00442607">
        <w:rPr>
          <w:rFonts w:asciiTheme="majorBidi" w:hAnsiTheme="majorBidi" w:cstheme="majorBidi"/>
          <w:sz w:val="18"/>
          <w:szCs w:val="18"/>
        </w:rPr>
        <w:t xml:space="preserve">BJH method  cumulative desorption pore volume, </w:t>
      </w:r>
      <w:r w:rsidRPr="00442607">
        <w:rPr>
          <w:rFonts w:asciiTheme="majorBidi" w:hAnsiTheme="majorBidi" w:cstheme="majorBidi"/>
          <w:sz w:val="18"/>
          <w:szCs w:val="18"/>
          <w:vertAlign w:val="superscript"/>
        </w:rPr>
        <w:t>d</w:t>
      </w:r>
      <w:r w:rsidRPr="00442607">
        <w:rPr>
          <w:rFonts w:asciiTheme="majorBidi" w:hAnsiTheme="majorBidi" w:cstheme="majorBidi"/>
          <w:sz w:val="18"/>
          <w:szCs w:val="18"/>
        </w:rPr>
        <w:t>BJH method desorption pore diameter</w:t>
      </w:r>
    </w:p>
    <w:p w:rsidR="004D6746" w:rsidRPr="008E4848" w:rsidRDefault="004D6746" w:rsidP="004D6746">
      <w:pPr>
        <w:pStyle w:val="P1"/>
        <w:ind w:firstLine="0"/>
        <w:rPr>
          <w:rFonts w:asciiTheme="majorBidi" w:hAnsiTheme="majorBidi" w:cstheme="majorBidi"/>
          <w:b/>
          <w:bCs/>
          <w:lang w:val="en-US"/>
        </w:rPr>
      </w:pPr>
    </w:p>
    <w:p w:rsidR="004D6746" w:rsidRPr="00CC2B87" w:rsidRDefault="004D6746" w:rsidP="004D6746">
      <w:pPr>
        <w:pStyle w:val="P1"/>
        <w:ind w:firstLine="0"/>
        <w:rPr>
          <w:rFonts w:asciiTheme="majorBidi" w:hAnsiTheme="majorBidi" w:cstheme="majorBidi"/>
        </w:rPr>
      </w:pPr>
      <w:r w:rsidRPr="008E4848">
        <w:rPr>
          <w:rFonts w:asciiTheme="majorBidi" w:hAnsiTheme="majorBidi" w:cstheme="majorBidi"/>
          <w:lang w:val="en-US"/>
        </w:rPr>
        <w:lastRenderedPageBreak/>
        <w:t xml:space="preserve">Figure 4 </w:t>
      </w:r>
      <w:r w:rsidRPr="008E4848">
        <w:rPr>
          <w:rFonts w:asciiTheme="majorBidi" w:hAnsiTheme="majorBidi" w:cstheme="majorBidi"/>
        </w:rPr>
        <w:t>displays the pore size distribution curves from desorption of pore diameters and apertures of MIP (a) and NIP (b). The condensation</w:t>
      </w:r>
      <w:r w:rsidRPr="00CC2B87">
        <w:rPr>
          <w:rFonts w:asciiTheme="majorBidi" w:hAnsiTheme="majorBidi" w:cstheme="majorBidi"/>
        </w:rPr>
        <w:t xml:space="preserve"> and evaporation processes occur</w:t>
      </w:r>
      <w:r>
        <w:rPr>
          <w:rFonts w:asciiTheme="majorBidi" w:hAnsiTheme="majorBidi" w:cstheme="majorBidi"/>
        </w:rPr>
        <w:t>r</w:t>
      </w:r>
      <w:r w:rsidRPr="00CC2B87">
        <w:rPr>
          <w:rFonts w:asciiTheme="majorBidi" w:hAnsiTheme="majorBidi" w:cstheme="majorBidi"/>
        </w:rPr>
        <w:t>ed at relative pressures related by the Kelvin equation to the diameters of pores and openings, correspondingly. During the adsorption process, the gas condensates inside the pores at particular pressure values depending on the cavity diameters but, during the desorption process, evaporation starts from the meniscus at the pore’s entrance when the relative pressure corresponds to the aperture size.The cavities created in MIP</w:t>
      </w:r>
      <w:r>
        <w:rPr>
          <w:rFonts w:asciiTheme="majorBidi" w:hAnsiTheme="majorBidi" w:cstheme="majorBidi"/>
        </w:rPr>
        <w:t xml:space="preserve"> was </w:t>
      </w:r>
      <w:r w:rsidRPr="00CC2B87">
        <w:rPr>
          <w:rFonts w:asciiTheme="majorBidi" w:hAnsiTheme="majorBidi" w:cstheme="majorBidi"/>
        </w:rPr>
        <w:t xml:space="preserve">showed well defined maxima homogenous pore openings in a range of pore diameters (35.03-41.77 Å) or (3.50-4.17 nm); (0.1082-0.2232 cc/g) </w:t>
      </w:r>
      <w:r>
        <w:rPr>
          <w:rFonts w:asciiTheme="majorBidi" w:hAnsiTheme="majorBidi" w:cstheme="majorBidi"/>
        </w:rPr>
        <w:t xml:space="preserve">Figure 4 (a) </w:t>
      </w:r>
      <w:r w:rsidRPr="00CC2B87">
        <w:rPr>
          <w:rFonts w:asciiTheme="majorBidi" w:hAnsiTheme="majorBidi" w:cstheme="majorBidi"/>
        </w:rPr>
        <w:t>was classified as in the mesopore region (2nm&lt;pore diameter&lt;50nm) [</w:t>
      </w:r>
      <w:r>
        <w:rPr>
          <w:rFonts w:asciiTheme="majorBidi" w:hAnsiTheme="majorBidi" w:cstheme="majorBidi"/>
        </w:rPr>
        <w:t>16</w:t>
      </w:r>
      <w:r w:rsidRPr="00CC2B87">
        <w:rPr>
          <w:rFonts w:asciiTheme="majorBidi" w:hAnsiTheme="majorBidi" w:cstheme="majorBidi"/>
        </w:rPr>
        <w:t xml:space="preserve">]. Figure 4 (b) shows that the heterogenous opening in size and the narrow slit-like pores maxima at (35-41.6 Å) or (3.5-4.16 nm) with pore volume (0.1508-0.1703 cc/g). The higher pore diameter of MIPs </w:t>
      </w:r>
      <w:r>
        <w:rPr>
          <w:rFonts w:asciiTheme="majorBidi" w:hAnsiTheme="majorBidi" w:cstheme="majorBidi"/>
        </w:rPr>
        <w:t xml:space="preserve">were </w:t>
      </w:r>
      <w:r w:rsidRPr="00CC2B87">
        <w:rPr>
          <w:rFonts w:asciiTheme="majorBidi" w:hAnsiTheme="majorBidi" w:cstheme="majorBidi"/>
        </w:rPr>
        <w:t>display</w:t>
      </w:r>
      <w:r>
        <w:rPr>
          <w:rFonts w:asciiTheme="majorBidi" w:hAnsiTheme="majorBidi" w:cstheme="majorBidi"/>
        </w:rPr>
        <w:t>ed</w:t>
      </w:r>
      <w:r w:rsidRPr="00CC2B87">
        <w:rPr>
          <w:rFonts w:asciiTheme="majorBidi" w:hAnsiTheme="majorBidi" w:cstheme="majorBidi"/>
        </w:rPr>
        <w:t xml:space="preserve"> the higher imprinting effect of templates [</w:t>
      </w:r>
      <w:r>
        <w:rPr>
          <w:rFonts w:asciiTheme="majorBidi" w:hAnsiTheme="majorBidi" w:cstheme="majorBidi"/>
        </w:rPr>
        <w:t>17</w:t>
      </w:r>
      <w:r w:rsidRPr="00CC2B87">
        <w:rPr>
          <w:rFonts w:asciiTheme="majorBidi" w:hAnsiTheme="majorBidi" w:cstheme="majorBidi"/>
        </w:rPr>
        <w:t>].</w:t>
      </w:r>
    </w:p>
    <w:p w:rsidR="004D6746" w:rsidRPr="00CC2B87" w:rsidRDefault="004D6746" w:rsidP="004D6746">
      <w:pPr>
        <w:pStyle w:val="P1"/>
        <w:ind w:firstLine="0"/>
        <w:rPr>
          <w:rFonts w:asciiTheme="majorBidi" w:hAnsiTheme="majorBidi" w:cstheme="majorBidi"/>
        </w:rPr>
      </w:pPr>
    </w:p>
    <w:p w:rsidR="004D6746" w:rsidRPr="00CC2B87" w:rsidRDefault="004D6746" w:rsidP="004D6746">
      <w:pPr>
        <w:pStyle w:val="P1"/>
        <w:ind w:firstLine="0"/>
        <w:rPr>
          <w:rFonts w:asciiTheme="majorBidi" w:hAnsiTheme="majorBidi" w:cstheme="majorBidi"/>
        </w:rPr>
      </w:pPr>
      <w:r w:rsidRPr="00CC2B87">
        <w:rPr>
          <w:rFonts w:asciiTheme="majorBidi" w:hAnsiTheme="majorBidi" w:cstheme="majorBidi"/>
        </w:rPr>
        <w:t>The porogen, as a pore-forming agent,</w:t>
      </w:r>
      <w:r>
        <w:rPr>
          <w:rFonts w:asciiTheme="majorBidi" w:hAnsiTheme="majorBidi" w:cstheme="majorBidi"/>
        </w:rPr>
        <w:t xml:space="preserve"> is </w:t>
      </w:r>
      <w:r w:rsidRPr="00CC2B87">
        <w:rPr>
          <w:rFonts w:asciiTheme="majorBidi" w:hAnsiTheme="majorBidi" w:cstheme="majorBidi"/>
        </w:rPr>
        <w:t>definitely influence</w:t>
      </w:r>
      <w:r>
        <w:rPr>
          <w:rFonts w:asciiTheme="majorBidi" w:hAnsiTheme="majorBidi" w:cstheme="majorBidi"/>
        </w:rPr>
        <w:t xml:space="preserve"> t</w:t>
      </w:r>
      <w:r w:rsidRPr="00CC2B87">
        <w:rPr>
          <w:rFonts w:asciiTheme="majorBidi" w:hAnsiTheme="majorBidi" w:cstheme="majorBidi"/>
        </w:rPr>
        <w:t>he polymer morphology. It provide</w:t>
      </w:r>
      <w:r>
        <w:rPr>
          <w:rFonts w:asciiTheme="majorBidi" w:hAnsiTheme="majorBidi" w:cstheme="majorBidi"/>
        </w:rPr>
        <w:t>s</w:t>
      </w:r>
      <w:r w:rsidRPr="00CC2B87">
        <w:rPr>
          <w:rFonts w:asciiTheme="majorBidi" w:hAnsiTheme="majorBidi" w:cstheme="majorBidi"/>
        </w:rPr>
        <w:t xml:space="preserve"> a medium for solvation of growing polymer chains, which contribute</w:t>
      </w:r>
      <w:r>
        <w:rPr>
          <w:rFonts w:asciiTheme="majorBidi" w:hAnsiTheme="majorBidi" w:cstheme="majorBidi"/>
        </w:rPr>
        <w:t xml:space="preserve">s </w:t>
      </w:r>
      <w:r w:rsidRPr="00CC2B87">
        <w:rPr>
          <w:rFonts w:asciiTheme="majorBidi" w:hAnsiTheme="majorBidi" w:cstheme="majorBidi"/>
        </w:rPr>
        <w:t xml:space="preserve">to the pore structure mechanisms </w:t>
      </w:r>
      <w:r>
        <w:rPr>
          <w:rFonts w:asciiTheme="majorBidi" w:hAnsiTheme="majorBidi" w:cstheme="majorBidi"/>
        </w:rPr>
        <w:t>[18</w:t>
      </w:r>
      <w:r w:rsidRPr="00CC2B87">
        <w:rPr>
          <w:rFonts w:asciiTheme="majorBidi" w:hAnsiTheme="majorBidi" w:cstheme="majorBidi"/>
        </w:rPr>
        <w:t>]. In addition, a thermodynamically good solvent tends to fabricate a polymer with well-develope</w:t>
      </w:r>
      <w:r>
        <w:rPr>
          <w:rFonts w:asciiTheme="majorBidi" w:hAnsiTheme="majorBidi" w:cstheme="majorBidi"/>
        </w:rPr>
        <w:t xml:space="preserve"> </w:t>
      </w:r>
      <w:r w:rsidRPr="00CC2B87">
        <w:rPr>
          <w:rFonts w:asciiTheme="majorBidi" w:hAnsiTheme="majorBidi" w:cstheme="majorBidi"/>
        </w:rPr>
        <w:t>pore structure with a high specific area. The surface area o</w:t>
      </w:r>
      <w:r>
        <w:rPr>
          <w:rFonts w:asciiTheme="majorBidi" w:hAnsiTheme="majorBidi" w:cstheme="majorBidi"/>
        </w:rPr>
        <w:t xml:space="preserve">f polymers is strongly controll </w:t>
      </w:r>
      <w:r w:rsidRPr="00CC2B87">
        <w:rPr>
          <w:rFonts w:asciiTheme="majorBidi" w:hAnsiTheme="majorBidi" w:cstheme="majorBidi"/>
        </w:rPr>
        <w:t>by the amount of porogen and the concentration of cross-linkers. Increase</w:t>
      </w:r>
      <w:r>
        <w:rPr>
          <w:rFonts w:asciiTheme="majorBidi" w:hAnsiTheme="majorBidi" w:cstheme="majorBidi"/>
        </w:rPr>
        <w:t xml:space="preserve"> </w:t>
      </w:r>
      <w:r w:rsidRPr="00CC2B87">
        <w:rPr>
          <w:rFonts w:asciiTheme="majorBidi" w:hAnsiTheme="majorBidi" w:cstheme="majorBidi"/>
        </w:rPr>
        <w:t xml:space="preserve">amount of porogen and cross-linkers, </w:t>
      </w:r>
      <w:r>
        <w:rPr>
          <w:rFonts w:asciiTheme="majorBidi" w:hAnsiTheme="majorBidi" w:cstheme="majorBidi"/>
        </w:rPr>
        <w:t xml:space="preserve">will </w:t>
      </w:r>
      <w:r w:rsidRPr="00CC2B87">
        <w:rPr>
          <w:rFonts w:asciiTheme="majorBidi" w:hAnsiTheme="majorBidi" w:cstheme="majorBidi"/>
        </w:rPr>
        <w:t>lead to the production polymers with high surface areas [</w:t>
      </w:r>
      <w:r>
        <w:rPr>
          <w:rFonts w:asciiTheme="majorBidi" w:hAnsiTheme="majorBidi" w:cstheme="majorBidi"/>
        </w:rPr>
        <w:t>19,20,21</w:t>
      </w:r>
      <w:r w:rsidRPr="00CC2B87">
        <w:rPr>
          <w:rFonts w:asciiTheme="majorBidi" w:hAnsiTheme="majorBidi" w:cstheme="majorBidi"/>
        </w:rPr>
        <w:t>]. Previous studies have shown that the application of chloroform as a porogen in the complexation of functional monomer and template</w:t>
      </w:r>
      <w:r>
        <w:rPr>
          <w:rFonts w:asciiTheme="majorBidi" w:hAnsiTheme="majorBidi" w:cstheme="majorBidi"/>
        </w:rPr>
        <w:t xml:space="preserve"> has produced </w:t>
      </w:r>
      <w:r w:rsidRPr="00CC2B87">
        <w:rPr>
          <w:rFonts w:asciiTheme="majorBidi" w:hAnsiTheme="majorBidi" w:cstheme="majorBidi"/>
        </w:rPr>
        <w:t>less or no porosity of the surface areas. The polymer made from this porogen is solvated to a high degree and allow</w:t>
      </w:r>
      <w:r>
        <w:rPr>
          <w:rFonts w:asciiTheme="majorBidi" w:hAnsiTheme="majorBidi" w:cstheme="majorBidi"/>
        </w:rPr>
        <w:t xml:space="preserve">ed </w:t>
      </w:r>
      <w:r w:rsidRPr="00CC2B87">
        <w:rPr>
          <w:rFonts w:asciiTheme="majorBidi" w:hAnsiTheme="majorBidi" w:cstheme="majorBidi"/>
        </w:rPr>
        <w:t>the fast diffusion of substrates without requiring porosity</w:t>
      </w:r>
      <w:r>
        <w:rPr>
          <w:rFonts w:asciiTheme="majorBidi" w:hAnsiTheme="majorBidi" w:cstheme="majorBidi"/>
        </w:rPr>
        <w:t xml:space="preserve"> property</w:t>
      </w:r>
      <w:r w:rsidRPr="00CC2B87">
        <w:rPr>
          <w:rFonts w:asciiTheme="majorBidi" w:hAnsiTheme="majorBidi" w:cstheme="majorBidi"/>
        </w:rPr>
        <w:t xml:space="preserve"> </w:t>
      </w:r>
      <w:r>
        <w:rPr>
          <w:rFonts w:asciiTheme="majorBidi" w:hAnsiTheme="majorBidi" w:cstheme="majorBidi"/>
        </w:rPr>
        <w:t>[22]</w:t>
      </w:r>
      <w:r w:rsidRPr="00CC2B87">
        <w:rPr>
          <w:rFonts w:asciiTheme="majorBidi" w:hAnsiTheme="majorBidi" w:cstheme="majorBidi"/>
        </w:rPr>
        <w:t xml:space="preserve">. </w:t>
      </w:r>
    </w:p>
    <w:p w:rsidR="004D6746" w:rsidRPr="00CC2B87" w:rsidRDefault="004D6746" w:rsidP="00FD2F82">
      <w:pPr>
        <w:pStyle w:val="P1"/>
        <w:ind w:firstLine="0"/>
        <w:jc w:val="left"/>
        <w:rPr>
          <w:rFonts w:asciiTheme="majorBidi" w:hAnsiTheme="majorBidi" w:cstheme="majorBidi"/>
        </w:rPr>
      </w:pPr>
    </w:p>
    <w:p w:rsidR="004D6746" w:rsidRPr="008E4848" w:rsidRDefault="004D6746" w:rsidP="00FD2F82">
      <w:pPr>
        <w:pStyle w:val="P1"/>
        <w:ind w:firstLine="0"/>
        <w:rPr>
          <w:rFonts w:asciiTheme="majorBidi" w:hAnsiTheme="majorBidi" w:cstheme="majorBidi"/>
          <w:lang w:val="en-US"/>
        </w:rPr>
      </w:pPr>
      <w:r>
        <w:rPr>
          <w:rFonts w:asciiTheme="majorBidi" w:hAnsiTheme="majorBidi" w:cstheme="majorBidi"/>
          <w:lang w:val="en-US"/>
        </w:rPr>
        <w:t xml:space="preserve"> </w:t>
      </w:r>
      <w:r w:rsidRPr="000B34C1">
        <w:rPr>
          <w:rFonts w:asciiTheme="majorBidi" w:hAnsiTheme="majorBidi" w:cstheme="majorBidi"/>
          <w:noProof/>
          <w:lang w:val="en-US" w:eastAsia="en-US"/>
        </w:rPr>
        <w:drawing>
          <wp:inline distT="0" distB="0" distL="0" distR="0" wp14:anchorId="78C4D9A9" wp14:editId="32DF26BA">
            <wp:extent cx="5731527" cy="3467100"/>
            <wp:effectExtent l="0" t="0" r="2540" b="0"/>
            <wp:docPr id="14" name="Picture 14" descr="C:\Users\HP\Pict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Figure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79" cy="3467494"/>
                    </a:xfrm>
                    <a:prstGeom prst="rect">
                      <a:avLst/>
                    </a:prstGeom>
                    <a:noFill/>
                    <a:ln>
                      <a:noFill/>
                    </a:ln>
                  </pic:spPr>
                </pic:pic>
              </a:graphicData>
            </a:graphic>
          </wp:inline>
        </w:drawing>
      </w:r>
    </w:p>
    <w:p w:rsidR="004D6746" w:rsidRDefault="004D6746" w:rsidP="004D6746">
      <w:pPr>
        <w:pStyle w:val="FigureCaption"/>
        <w:spacing w:before="0" w:after="0"/>
        <w:jc w:val="center"/>
        <w:rPr>
          <w:rFonts w:asciiTheme="majorBidi" w:hAnsiTheme="majorBidi" w:cstheme="majorBidi"/>
          <w:b/>
          <w:color w:val="auto"/>
        </w:rPr>
      </w:pPr>
    </w:p>
    <w:p w:rsidR="004D6746" w:rsidRPr="000B34C1" w:rsidRDefault="004D6746" w:rsidP="004D6746">
      <w:pPr>
        <w:pStyle w:val="FigureCaption"/>
        <w:spacing w:before="0" w:after="0"/>
        <w:ind w:left="900" w:hanging="900"/>
        <w:jc w:val="both"/>
        <w:rPr>
          <w:rFonts w:asciiTheme="majorBidi" w:hAnsiTheme="majorBidi" w:cstheme="majorBidi"/>
          <w:bCs/>
          <w:color w:val="auto"/>
          <w:lang w:val="en-US"/>
        </w:rPr>
      </w:pPr>
      <w:r w:rsidRPr="000B34C1">
        <w:rPr>
          <w:rFonts w:asciiTheme="majorBidi" w:hAnsiTheme="majorBidi" w:cstheme="majorBidi"/>
          <w:bCs/>
          <w:color w:val="auto"/>
        </w:rPr>
        <w:t xml:space="preserve">Figure 4. </w:t>
      </w:r>
      <w:r w:rsidR="00FD2F82">
        <w:rPr>
          <w:rFonts w:asciiTheme="majorBidi" w:hAnsiTheme="majorBidi" w:cstheme="majorBidi"/>
          <w:bCs/>
          <w:color w:val="auto"/>
        </w:rPr>
        <w:tab/>
      </w:r>
      <w:r w:rsidRPr="000B34C1">
        <w:rPr>
          <w:rFonts w:asciiTheme="majorBidi" w:hAnsiTheme="majorBidi" w:cstheme="majorBidi"/>
          <w:bCs/>
          <w:color w:val="auto"/>
          <w:lang w:val="en-US"/>
        </w:rPr>
        <w:t>Pore size distribution curves were plotted from the BJH desorption for (a) molecular imprinted polymer (MIP) materials and (b) non-imprinted polymer (NIP) materials.</w:t>
      </w:r>
    </w:p>
    <w:p w:rsidR="004D6746" w:rsidRDefault="004D6746" w:rsidP="004D6746">
      <w:pPr>
        <w:pStyle w:val="FigureCaption"/>
        <w:spacing w:before="0" w:after="0"/>
        <w:jc w:val="both"/>
        <w:rPr>
          <w:rFonts w:asciiTheme="majorBidi" w:hAnsiTheme="majorBidi" w:cstheme="majorBidi"/>
          <w:bCs/>
          <w:color w:val="auto"/>
          <w:lang w:val="en-US"/>
        </w:rPr>
      </w:pPr>
    </w:p>
    <w:p w:rsidR="00FD2F82" w:rsidRPr="000B34C1" w:rsidRDefault="00FD2F82" w:rsidP="004D6746">
      <w:pPr>
        <w:pStyle w:val="FigureCaption"/>
        <w:spacing w:before="0" w:after="0"/>
        <w:jc w:val="both"/>
        <w:rPr>
          <w:rFonts w:asciiTheme="majorBidi" w:hAnsiTheme="majorBidi" w:cstheme="majorBidi"/>
          <w:bCs/>
          <w:color w:val="auto"/>
          <w:lang w:val="en-US"/>
        </w:rPr>
      </w:pPr>
    </w:p>
    <w:p w:rsidR="004D6746" w:rsidRPr="00CC2B87" w:rsidRDefault="004D6746" w:rsidP="004D6746">
      <w:pPr>
        <w:pStyle w:val="P1"/>
        <w:ind w:firstLine="0"/>
        <w:rPr>
          <w:rFonts w:asciiTheme="majorBidi" w:hAnsiTheme="majorBidi" w:cstheme="majorBidi"/>
        </w:rPr>
      </w:pPr>
      <w:r w:rsidRPr="00CC2B87">
        <w:rPr>
          <w:rFonts w:asciiTheme="majorBidi" w:hAnsiTheme="majorBidi" w:cstheme="majorBidi"/>
        </w:rPr>
        <w:t xml:space="preserve">The structure of TNT and its metabolites were also analyzed by the Gaussian software program and used the basis set, B3LYP 6-31G, to study the molecular simulation of the template structure in terms of cavity size that have been </w:t>
      </w:r>
      <w:r w:rsidRPr="00CC2B87">
        <w:rPr>
          <w:rFonts w:asciiTheme="majorBidi" w:hAnsiTheme="majorBidi" w:cstheme="majorBidi"/>
        </w:rPr>
        <w:lastRenderedPageBreak/>
        <w:t>created in the polymer monoliths. To interpret the experimental data, the Monte Carlo calculatio</w:t>
      </w:r>
      <w:r>
        <w:rPr>
          <w:rFonts w:asciiTheme="majorBidi" w:hAnsiTheme="majorBidi" w:cstheme="majorBidi"/>
        </w:rPr>
        <w:t>n method was applied. Equation 1</w:t>
      </w:r>
      <w:r w:rsidRPr="00CC2B87">
        <w:rPr>
          <w:rFonts w:asciiTheme="majorBidi" w:hAnsiTheme="majorBidi" w:cstheme="majorBidi"/>
        </w:rPr>
        <w:t xml:space="preserve"> displays the theoretical calculation of the approximate radius cavities created in MIP [</w:t>
      </w:r>
      <w:r>
        <w:rPr>
          <w:rFonts w:asciiTheme="majorBidi" w:hAnsiTheme="majorBidi" w:cstheme="majorBidi"/>
        </w:rPr>
        <w:t>23</w:t>
      </w:r>
      <w:r w:rsidRPr="00CC2B87">
        <w:rPr>
          <w:rFonts w:asciiTheme="majorBidi" w:hAnsiTheme="majorBidi" w:cstheme="majorBidi"/>
        </w:rPr>
        <w:t>].</w:t>
      </w:r>
    </w:p>
    <w:p w:rsidR="004D6746" w:rsidRPr="00CC2B87" w:rsidRDefault="004D6746" w:rsidP="004D6746">
      <w:pPr>
        <w:pStyle w:val="P1"/>
        <w:ind w:firstLine="0"/>
        <w:rPr>
          <w:rFonts w:asciiTheme="majorBidi" w:hAnsiTheme="majorBidi" w:cstheme="majorBidi"/>
        </w:rPr>
      </w:pPr>
    </w:p>
    <w:p w:rsidR="004D6746" w:rsidRPr="00CC2B87" w:rsidRDefault="004D6746" w:rsidP="002644E0">
      <w:pPr>
        <w:pStyle w:val="P1"/>
        <w:ind w:firstLine="720"/>
        <w:rPr>
          <w:rFonts w:asciiTheme="majorBidi" w:hAnsiTheme="majorBidi" w:cstheme="majorBidi"/>
        </w:rPr>
      </w:pPr>
      <w:r w:rsidRPr="00CC2B87">
        <w:rPr>
          <w:rFonts w:asciiTheme="majorBidi" w:hAnsiTheme="majorBidi" w:cstheme="majorBidi"/>
        </w:rPr>
        <w:t>Radius cavities created</w:t>
      </w:r>
      <w:r>
        <w:rPr>
          <w:rFonts w:asciiTheme="majorBidi" w:hAnsiTheme="majorBidi" w:cstheme="majorBidi"/>
        </w:rPr>
        <w:t xml:space="preserve"> </w:t>
      </w:r>
      <w:r w:rsidRPr="00CC2B87">
        <w:rPr>
          <w:rFonts w:asciiTheme="majorBidi" w:hAnsiTheme="majorBidi" w:cstheme="majorBidi"/>
        </w:rPr>
        <w:t>=</w:t>
      </w:r>
      <w:r>
        <w:rPr>
          <w:rFonts w:asciiTheme="majorBidi" w:hAnsiTheme="majorBidi" w:cstheme="majorBidi"/>
        </w:rPr>
        <w:t xml:space="preserve"> </w:t>
      </w:r>
      <w:r w:rsidRPr="00CC2B87">
        <w:rPr>
          <w:rFonts w:asciiTheme="majorBidi" w:hAnsiTheme="majorBidi" w:cstheme="majorBidi"/>
        </w:rPr>
        <w:t xml:space="preserve">(radius+hydrogen bonding*) Å </w:t>
      </w:r>
      <w:r>
        <w:rPr>
          <w:rFonts w:asciiTheme="majorBidi" w:hAnsiTheme="majorBidi" w:cstheme="majorBidi"/>
        </w:rPr>
        <w:t xml:space="preserve">               </w:t>
      </w:r>
      <w:r>
        <w:rPr>
          <w:rFonts w:asciiTheme="majorBidi" w:hAnsiTheme="majorBidi" w:cstheme="majorBidi"/>
        </w:rPr>
        <w:tab/>
      </w:r>
      <w:r w:rsidR="00FD2F82">
        <w:rPr>
          <w:rFonts w:asciiTheme="majorBidi" w:hAnsiTheme="majorBidi" w:cstheme="majorBidi"/>
        </w:rPr>
        <w:t xml:space="preserve">                                   </w:t>
      </w:r>
      <w:r>
        <w:rPr>
          <w:rFonts w:asciiTheme="majorBidi" w:hAnsiTheme="majorBidi" w:cstheme="majorBidi"/>
        </w:rPr>
        <w:t xml:space="preserve">                 (1)</w:t>
      </w:r>
    </w:p>
    <w:p w:rsidR="004D6746" w:rsidRDefault="004D6746" w:rsidP="004D6746">
      <w:pPr>
        <w:pStyle w:val="P1"/>
        <w:ind w:firstLine="0"/>
        <w:rPr>
          <w:rFonts w:asciiTheme="majorBidi" w:hAnsiTheme="majorBidi" w:cstheme="majorBidi"/>
        </w:rPr>
      </w:pPr>
    </w:p>
    <w:p w:rsidR="004D6746" w:rsidRPr="00CC2B87" w:rsidRDefault="004D6746" w:rsidP="004D6746">
      <w:pPr>
        <w:pStyle w:val="P1"/>
        <w:ind w:firstLine="0"/>
        <w:rPr>
          <w:rFonts w:asciiTheme="majorBidi" w:hAnsiTheme="majorBidi" w:cstheme="majorBidi"/>
        </w:rPr>
      </w:pPr>
      <w:r w:rsidRPr="00CC2B87">
        <w:rPr>
          <w:rFonts w:asciiTheme="majorBidi" w:hAnsiTheme="majorBidi" w:cstheme="majorBidi"/>
        </w:rPr>
        <w:t>*hydrogen bonding = 1.937Å</w:t>
      </w:r>
      <w:r>
        <w:rPr>
          <w:rFonts w:asciiTheme="majorBidi" w:hAnsiTheme="majorBidi" w:cstheme="majorBidi"/>
        </w:rPr>
        <w:tab/>
      </w:r>
      <w:r>
        <w:rPr>
          <w:rFonts w:asciiTheme="majorBidi" w:hAnsiTheme="majorBidi" w:cstheme="majorBidi"/>
        </w:rPr>
        <w:tab/>
        <w:t xml:space="preserve">           </w:t>
      </w:r>
    </w:p>
    <w:p w:rsidR="004D6746" w:rsidRDefault="004D6746" w:rsidP="002644E0">
      <w:pPr>
        <w:pStyle w:val="P1"/>
        <w:ind w:firstLine="0"/>
        <w:rPr>
          <w:rFonts w:asciiTheme="majorBidi" w:hAnsiTheme="majorBidi" w:cstheme="majorBidi"/>
        </w:rPr>
      </w:pPr>
    </w:p>
    <w:p w:rsidR="002644E0" w:rsidRPr="008E4848" w:rsidRDefault="002644E0" w:rsidP="002644E0">
      <w:pPr>
        <w:pStyle w:val="P1"/>
        <w:ind w:firstLine="0"/>
        <w:rPr>
          <w:rFonts w:asciiTheme="majorBidi" w:hAnsiTheme="majorBidi" w:cstheme="majorBidi"/>
        </w:rPr>
      </w:pPr>
    </w:p>
    <w:p w:rsidR="004D6746" w:rsidRPr="008E4848" w:rsidRDefault="004D6746" w:rsidP="002644E0">
      <w:pPr>
        <w:pStyle w:val="P1"/>
        <w:spacing w:after="120"/>
        <w:ind w:firstLine="0"/>
        <w:jc w:val="center"/>
        <w:rPr>
          <w:rFonts w:asciiTheme="majorBidi" w:hAnsiTheme="majorBidi" w:cstheme="majorBidi"/>
          <w:lang w:val="en-US"/>
        </w:rPr>
      </w:pPr>
      <w:r w:rsidRPr="000B34C1">
        <w:rPr>
          <w:rFonts w:asciiTheme="majorBidi" w:hAnsiTheme="majorBidi" w:cstheme="majorBidi"/>
          <w:lang w:val="en-US"/>
        </w:rPr>
        <w:t>Table 5.</w:t>
      </w:r>
      <w:r w:rsidR="002644E0">
        <w:rPr>
          <w:rFonts w:asciiTheme="majorBidi" w:hAnsiTheme="majorBidi" w:cstheme="majorBidi"/>
          <w:lang w:val="en-US"/>
        </w:rPr>
        <w:t xml:space="preserve"> </w:t>
      </w:r>
      <w:r w:rsidRPr="000B34C1">
        <w:rPr>
          <w:rFonts w:asciiTheme="majorBidi" w:hAnsiTheme="majorBidi" w:cstheme="majorBidi"/>
          <w:lang w:val="en-US"/>
        </w:rPr>
        <w:t xml:space="preserve"> Summary of Gaussian data for TNT, 4-ADNT and 2-ADNT by the Monte Carlo calculation method</w:t>
      </w:r>
    </w:p>
    <w:tbl>
      <w:tblPr>
        <w:tblW w:w="4745" w:type="pct"/>
        <w:jc w:val="center"/>
        <w:tblLook w:val="04A0" w:firstRow="1" w:lastRow="0" w:firstColumn="1" w:lastColumn="0" w:noHBand="0" w:noVBand="1"/>
      </w:tblPr>
      <w:tblGrid>
        <w:gridCol w:w="1812"/>
        <w:gridCol w:w="1651"/>
        <w:gridCol w:w="1779"/>
        <w:gridCol w:w="1785"/>
        <w:gridCol w:w="2033"/>
      </w:tblGrid>
      <w:tr w:rsidR="004D6746" w:rsidRPr="008E4848" w:rsidTr="0065339C">
        <w:trPr>
          <w:trHeight w:val="583"/>
          <w:jc w:val="center"/>
        </w:trPr>
        <w:tc>
          <w:tcPr>
            <w:tcW w:w="1000" w:type="pct"/>
            <w:tcBorders>
              <w:top w:val="single" w:sz="8" w:space="0" w:color="000000"/>
              <w:left w:val="nil"/>
              <w:bottom w:val="single" w:sz="8" w:space="0" w:color="000000"/>
              <w:right w:val="nil"/>
            </w:tcBorders>
            <w:shd w:val="clear" w:color="auto" w:fill="auto"/>
            <w:vAlign w:val="center"/>
            <w:hideMark/>
          </w:tcPr>
          <w:p w:rsidR="004D6746" w:rsidRPr="000B34C1" w:rsidRDefault="004D6746" w:rsidP="0065339C">
            <w:pPr>
              <w:spacing w:after="0" w:line="240" w:lineRule="auto"/>
              <w:jc w:val="center"/>
              <w:rPr>
                <w:rFonts w:ascii="Times New Roman" w:hAnsi="Times New Roman"/>
                <w:b/>
                <w:bCs/>
                <w:color w:val="000000"/>
                <w:sz w:val="20"/>
                <w:szCs w:val="20"/>
              </w:rPr>
            </w:pPr>
            <w:r w:rsidRPr="000B34C1">
              <w:rPr>
                <w:rFonts w:ascii="Times New Roman" w:hAnsi="Times New Roman"/>
                <w:b/>
                <w:bCs/>
                <w:color w:val="000000"/>
                <w:sz w:val="20"/>
                <w:szCs w:val="20"/>
              </w:rPr>
              <w:t>Analyte</w:t>
            </w:r>
          </w:p>
        </w:tc>
        <w:tc>
          <w:tcPr>
            <w:tcW w:w="911" w:type="pct"/>
            <w:tcBorders>
              <w:top w:val="single" w:sz="8" w:space="0" w:color="000000"/>
              <w:left w:val="nil"/>
              <w:bottom w:val="single" w:sz="8" w:space="0" w:color="000000"/>
              <w:right w:val="nil"/>
            </w:tcBorders>
            <w:shd w:val="clear" w:color="auto" w:fill="auto"/>
            <w:vAlign w:val="center"/>
            <w:hideMark/>
          </w:tcPr>
          <w:p w:rsidR="002644E0" w:rsidRDefault="004D6746" w:rsidP="0065339C">
            <w:pPr>
              <w:spacing w:after="0" w:line="240" w:lineRule="auto"/>
              <w:jc w:val="center"/>
              <w:rPr>
                <w:rFonts w:ascii="Times New Roman" w:hAnsi="Times New Roman"/>
                <w:b/>
                <w:bCs/>
                <w:color w:val="000000"/>
                <w:sz w:val="20"/>
                <w:szCs w:val="20"/>
              </w:rPr>
            </w:pPr>
            <w:r w:rsidRPr="000B34C1">
              <w:rPr>
                <w:rFonts w:ascii="Times New Roman" w:hAnsi="Times New Roman"/>
                <w:b/>
                <w:bCs/>
                <w:color w:val="000000"/>
                <w:sz w:val="20"/>
                <w:szCs w:val="20"/>
              </w:rPr>
              <w:t xml:space="preserve">Radius </w:t>
            </w:r>
          </w:p>
          <w:p w:rsidR="004D6746" w:rsidRPr="000B34C1" w:rsidRDefault="004D6746" w:rsidP="0065339C">
            <w:pPr>
              <w:spacing w:after="0" w:line="240" w:lineRule="auto"/>
              <w:jc w:val="center"/>
              <w:rPr>
                <w:rFonts w:ascii="Times New Roman" w:hAnsi="Times New Roman"/>
                <w:b/>
                <w:bCs/>
                <w:color w:val="000000"/>
                <w:sz w:val="20"/>
                <w:szCs w:val="20"/>
              </w:rPr>
            </w:pPr>
            <w:r w:rsidRPr="000B34C1">
              <w:rPr>
                <w:rFonts w:ascii="Times New Roman" w:hAnsi="Times New Roman"/>
                <w:b/>
                <w:bCs/>
                <w:color w:val="000000"/>
                <w:sz w:val="20"/>
                <w:szCs w:val="20"/>
              </w:rPr>
              <w:t>(r, Å)</w:t>
            </w:r>
          </w:p>
        </w:tc>
        <w:tc>
          <w:tcPr>
            <w:tcW w:w="982" w:type="pct"/>
            <w:tcBorders>
              <w:top w:val="single" w:sz="8" w:space="0" w:color="000000"/>
              <w:left w:val="nil"/>
              <w:bottom w:val="single" w:sz="8" w:space="0" w:color="000000"/>
              <w:right w:val="nil"/>
            </w:tcBorders>
            <w:shd w:val="clear" w:color="auto" w:fill="auto"/>
            <w:vAlign w:val="center"/>
            <w:hideMark/>
          </w:tcPr>
          <w:p w:rsidR="002644E0" w:rsidRDefault="004D6746" w:rsidP="0065339C">
            <w:pPr>
              <w:spacing w:after="0" w:line="240" w:lineRule="auto"/>
              <w:jc w:val="center"/>
              <w:rPr>
                <w:rFonts w:ascii="Times New Roman" w:hAnsi="Times New Roman"/>
                <w:b/>
                <w:bCs/>
                <w:color w:val="000000"/>
                <w:sz w:val="20"/>
                <w:szCs w:val="20"/>
              </w:rPr>
            </w:pPr>
            <w:r w:rsidRPr="000B34C1">
              <w:rPr>
                <w:rFonts w:ascii="Times New Roman" w:hAnsi="Times New Roman"/>
                <w:b/>
                <w:bCs/>
                <w:color w:val="000000"/>
                <w:sz w:val="20"/>
                <w:szCs w:val="20"/>
              </w:rPr>
              <w:t xml:space="preserve">Radius cavities </w:t>
            </w:r>
          </w:p>
          <w:p w:rsidR="004D6746" w:rsidRPr="000B34C1" w:rsidRDefault="004D6746" w:rsidP="0065339C">
            <w:pPr>
              <w:spacing w:after="0" w:line="240" w:lineRule="auto"/>
              <w:jc w:val="center"/>
              <w:rPr>
                <w:rFonts w:ascii="Times New Roman" w:hAnsi="Times New Roman"/>
                <w:b/>
                <w:bCs/>
                <w:color w:val="000000"/>
                <w:sz w:val="20"/>
                <w:szCs w:val="20"/>
              </w:rPr>
            </w:pPr>
            <w:r w:rsidRPr="000B34C1">
              <w:rPr>
                <w:rFonts w:ascii="Times New Roman" w:hAnsi="Times New Roman"/>
                <w:b/>
                <w:bCs/>
                <w:color w:val="000000"/>
                <w:sz w:val="20"/>
                <w:szCs w:val="20"/>
              </w:rPr>
              <w:t>(r, Å)</w:t>
            </w:r>
          </w:p>
        </w:tc>
        <w:tc>
          <w:tcPr>
            <w:tcW w:w="985" w:type="pct"/>
            <w:tcBorders>
              <w:top w:val="single" w:sz="8" w:space="0" w:color="000000"/>
              <w:left w:val="nil"/>
              <w:bottom w:val="single" w:sz="8" w:space="0" w:color="000000"/>
              <w:right w:val="nil"/>
            </w:tcBorders>
            <w:shd w:val="clear" w:color="auto" w:fill="auto"/>
            <w:vAlign w:val="center"/>
            <w:hideMark/>
          </w:tcPr>
          <w:p w:rsidR="004D6746" w:rsidRPr="000B34C1" w:rsidRDefault="004D6746" w:rsidP="0065339C">
            <w:pPr>
              <w:spacing w:after="0" w:line="240" w:lineRule="auto"/>
              <w:jc w:val="center"/>
              <w:rPr>
                <w:rFonts w:ascii="Times New Roman" w:hAnsi="Times New Roman"/>
                <w:b/>
                <w:bCs/>
                <w:color w:val="000000"/>
                <w:sz w:val="20"/>
                <w:szCs w:val="20"/>
              </w:rPr>
            </w:pPr>
            <w:r w:rsidRPr="000B34C1">
              <w:rPr>
                <w:rFonts w:ascii="Times New Roman" w:hAnsi="Times New Roman"/>
                <w:b/>
                <w:bCs/>
                <w:color w:val="000000"/>
                <w:sz w:val="20"/>
                <w:szCs w:val="20"/>
              </w:rPr>
              <w:t>Molar volume (cm</w:t>
            </w:r>
            <w:r w:rsidRPr="000B34C1">
              <w:rPr>
                <w:rFonts w:ascii="Times New Roman" w:hAnsi="Times New Roman"/>
                <w:b/>
                <w:bCs/>
                <w:color w:val="000000"/>
                <w:sz w:val="20"/>
                <w:szCs w:val="20"/>
                <w:vertAlign w:val="superscript"/>
              </w:rPr>
              <w:t xml:space="preserve">3 </w:t>
            </w:r>
            <w:r w:rsidRPr="000B34C1">
              <w:rPr>
                <w:rFonts w:ascii="Times New Roman" w:hAnsi="Times New Roman"/>
                <w:b/>
                <w:bCs/>
                <w:color w:val="000000"/>
                <w:sz w:val="20"/>
                <w:szCs w:val="20"/>
              </w:rPr>
              <w:t>mol</w:t>
            </w:r>
            <w:r w:rsidRPr="000B34C1">
              <w:rPr>
                <w:rFonts w:ascii="Times New Roman" w:hAnsi="Times New Roman"/>
                <w:b/>
                <w:bCs/>
                <w:color w:val="000000"/>
                <w:sz w:val="20"/>
                <w:szCs w:val="20"/>
                <w:vertAlign w:val="superscript"/>
              </w:rPr>
              <w:t>-1</w:t>
            </w:r>
            <w:r w:rsidRPr="000B34C1">
              <w:rPr>
                <w:rFonts w:ascii="Times New Roman" w:hAnsi="Times New Roman"/>
                <w:b/>
                <w:bCs/>
                <w:color w:val="000000"/>
                <w:sz w:val="20"/>
                <w:szCs w:val="20"/>
              </w:rPr>
              <w:t>)</w:t>
            </w:r>
          </w:p>
        </w:tc>
        <w:tc>
          <w:tcPr>
            <w:tcW w:w="1122" w:type="pct"/>
            <w:tcBorders>
              <w:top w:val="single" w:sz="8" w:space="0" w:color="000000"/>
              <w:left w:val="nil"/>
              <w:bottom w:val="single" w:sz="8" w:space="0" w:color="000000"/>
              <w:right w:val="nil"/>
            </w:tcBorders>
            <w:shd w:val="clear" w:color="auto" w:fill="auto"/>
            <w:vAlign w:val="center"/>
            <w:hideMark/>
          </w:tcPr>
          <w:p w:rsidR="002644E0" w:rsidRDefault="004D6746" w:rsidP="0065339C">
            <w:pPr>
              <w:spacing w:after="0" w:line="240" w:lineRule="auto"/>
              <w:jc w:val="center"/>
              <w:rPr>
                <w:rFonts w:ascii="Times New Roman" w:hAnsi="Times New Roman"/>
                <w:b/>
                <w:bCs/>
                <w:color w:val="000000"/>
                <w:sz w:val="20"/>
                <w:szCs w:val="20"/>
              </w:rPr>
            </w:pPr>
            <w:r w:rsidRPr="000B34C1">
              <w:rPr>
                <w:rFonts w:ascii="Times New Roman" w:hAnsi="Times New Roman"/>
                <w:b/>
                <w:bCs/>
                <w:color w:val="000000"/>
                <w:sz w:val="20"/>
                <w:szCs w:val="20"/>
              </w:rPr>
              <w:t xml:space="preserve">Dipole moment </w:t>
            </w:r>
          </w:p>
          <w:p w:rsidR="004D6746" w:rsidRPr="000B34C1" w:rsidRDefault="004D6746" w:rsidP="0065339C">
            <w:pPr>
              <w:spacing w:after="0" w:line="240" w:lineRule="auto"/>
              <w:jc w:val="center"/>
              <w:rPr>
                <w:rFonts w:ascii="Times New Roman" w:hAnsi="Times New Roman"/>
                <w:b/>
                <w:bCs/>
                <w:color w:val="000000"/>
                <w:sz w:val="20"/>
                <w:szCs w:val="20"/>
              </w:rPr>
            </w:pPr>
            <w:r w:rsidRPr="000B34C1">
              <w:rPr>
                <w:rFonts w:ascii="Times New Roman" w:hAnsi="Times New Roman"/>
                <w:b/>
                <w:bCs/>
                <w:color w:val="000000"/>
                <w:sz w:val="20"/>
                <w:szCs w:val="20"/>
              </w:rPr>
              <w:t>(µ, Debye)</w:t>
            </w:r>
          </w:p>
        </w:tc>
      </w:tr>
      <w:tr w:rsidR="004D6746" w:rsidRPr="008E4848" w:rsidTr="0065339C">
        <w:trPr>
          <w:trHeight w:val="297"/>
          <w:jc w:val="center"/>
        </w:trPr>
        <w:tc>
          <w:tcPr>
            <w:tcW w:w="1000" w:type="pct"/>
            <w:tcBorders>
              <w:top w:val="nil"/>
              <w:left w:val="nil"/>
              <w:bottom w:val="nil"/>
              <w:right w:val="nil"/>
            </w:tcBorders>
            <w:shd w:val="clear" w:color="auto" w:fill="auto"/>
            <w:vAlign w:val="center"/>
            <w:hideMark/>
          </w:tcPr>
          <w:p w:rsidR="004D6746" w:rsidRPr="008E4848" w:rsidRDefault="004D6746" w:rsidP="002644E0">
            <w:pPr>
              <w:spacing w:before="120"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TNT</w:t>
            </w:r>
          </w:p>
        </w:tc>
        <w:tc>
          <w:tcPr>
            <w:tcW w:w="911" w:type="pct"/>
            <w:tcBorders>
              <w:top w:val="nil"/>
              <w:left w:val="nil"/>
              <w:bottom w:val="nil"/>
              <w:right w:val="nil"/>
            </w:tcBorders>
            <w:shd w:val="clear" w:color="auto" w:fill="auto"/>
            <w:vAlign w:val="center"/>
            <w:hideMark/>
          </w:tcPr>
          <w:p w:rsidR="004D6746" w:rsidRPr="008E4848" w:rsidRDefault="004D6746" w:rsidP="002644E0">
            <w:pPr>
              <w:spacing w:before="120"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4.52</w:t>
            </w:r>
          </w:p>
        </w:tc>
        <w:tc>
          <w:tcPr>
            <w:tcW w:w="982" w:type="pct"/>
            <w:tcBorders>
              <w:top w:val="nil"/>
              <w:left w:val="nil"/>
              <w:bottom w:val="nil"/>
              <w:right w:val="nil"/>
            </w:tcBorders>
            <w:shd w:val="clear" w:color="auto" w:fill="auto"/>
            <w:vAlign w:val="center"/>
            <w:hideMark/>
          </w:tcPr>
          <w:p w:rsidR="004D6746" w:rsidRPr="008E4848" w:rsidRDefault="004D6746" w:rsidP="002644E0">
            <w:pPr>
              <w:spacing w:before="120"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6.457</w:t>
            </w:r>
          </w:p>
        </w:tc>
        <w:tc>
          <w:tcPr>
            <w:tcW w:w="985" w:type="pct"/>
            <w:tcBorders>
              <w:top w:val="nil"/>
              <w:left w:val="nil"/>
              <w:bottom w:val="nil"/>
              <w:right w:val="nil"/>
            </w:tcBorders>
            <w:shd w:val="clear" w:color="auto" w:fill="auto"/>
            <w:vAlign w:val="center"/>
            <w:hideMark/>
          </w:tcPr>
          <w:p w:rsidR="004D6746" w:rsidRPr="008E4848" w:rsidRDefault="004D6746" w:rsidP="002644E0">
            <w:pPr>
              <w:spacing w:before="120"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123.188</w:t>
            </w:r>
          </w:p>
        </w:tc>
        <w:tc>
          <w:tcPr>
            <w:tcW w:w="1122" w:type="pct"/>
            <w:tcBorders>
              <w:top w:val="nil"/>
              <w:left w:val="nil"/>
              <w:bottom w:val="nil"/>
              <w:right w:val="nil"/>
            </w:tcBorders>
            <w:shd w:val="clear" w:color="auto" w:fill="auto"/>
            <w:vAlign w:val="center"/>
            <w:hideMark/>
          </w:tcPr>
          <w:p w:rsidR="004D6746" w:rsidRPr="008E4848" w:rsidRDefault="004D6746" w:rsidP="002644E0">
            <w:pPr>
              <w:spacing w:before="120"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1.5945</w:t>
            </w:r>
          </w:p>
        </w:tc>
      </w:tr>
      <w:tr w:rsidR="004D6746" w:rsidRPr="008E4848" w:rsidTr="0065339C">
        <w:trPr>
          <w:trHeight w:val="297"/>
          <w:jc w:val="center"/>
        </w:trPr>
        <w:tc>
          <w:tcPr>
            <w:tcW w:w="1000" w:type="pct"/>
            <w:tcBorders>
              <w:top w:val="nil"/>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4-ADNT</w:t>
            </w:r>
          </w:p>
        </w:tc>
        <w:tc>
          <w:tcPr>
            <w:tcW w:w="911" w:type="pct"/>
            <w:tcBorders>
              <w:top w:val="nil"/>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4.44</w:t>
            </w:r>
          </w:p>
        </w:tc>
        <w:tc>
          <w:tcPr>
            <w:tcW w:w="982" w:type="pct"/>
            <w:tcBorders>
              <w:top w:val="nil"/>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6.377</w:t>
            </w:r>
          </w:p>
        </w:tc>
        <w:tc>
          <w:tcPr>
            <w:tcW w:w="985" w:type="pct"/>
            <w:tcBorders>
              <w:top w:val="nil"/>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123.9</w:t>
            </w:r>
          </w:p>
        </w:tc>
        <w:tc>
          <w:tcPr>
            <w:tcW w:w="1122" w:type="pct"/>
            <w:tcBorders>
              <w:top w:val="nil"/>
              <w:left w:val="nil"/>
              <w:bottom w:val="nil"/>
              <w:right w:val="nil"/>
            </w:tcBorders>
            <w:shd w:val="clear" w:color="auto" w:fill="auto"/>
            <w:vAlign w:val="center"/>
            <w:hideMark/>
          </w:tcPr>
          <w:p w:rsidR="004D6746" w:rsidRPr="008E4848" w:rsidRDefault="004D6746" w:rsidP="0065339C">
            <w:pPr>
              <w:spacing w:after="0" w:line="240" w:lineRule="auto"/>
              <w:jc w:val="center"/>
              <w:rPr>
                <w:rFonts w:ascii="Times New Roman" w:hAnsi="Times New Roman"/>
                <w:color w:val="000000"/>
                <w:sz w:val="20"/>
                <w:szCs w:val="20"/>
              </w:rPr>
            </w:pPr>
            <w:r w:rsidRPr="008E4848">
              <w:rPr>
                <w:rFonts w:ascii="Times New Roman" w:hAnsi="Times New Roman"/>
                <w:color w:val="000000"/>
                <w:sz w:val="20"/>
                <w:szCs w:val="20"/>
              </w:rPr>
              <w:t>4.7925</w:t>
            </w:r>
          </w:p>
        </w:tc>
      </w:tr>
      <w:tr w:rsidR="004D6746" w:rsidRPr="008E4848" w:rsidTr="0065339C">
        <w:trPr>
          <w:trHeight w:val="105"/>
          <w:jc w:val="center"/>
        </w:trPr>
        <w:tc>
          <w:tcPr>
            <w:tcW w:w="1000" w:type="pct"/>
            <w:tcBorders>
              <w:top w:val="nil"/>
              <w:left w:val="nil"/>
              <w:bottom w:val="single" w:sz="8" w:space="0" w:color="000000"/>
              <w:right w:val="nil"/>
            </w:tcBorders>
            <w:shd w:val="clear" w:color="auto" w:fill="auto"/>
            <w:vAlign w:val="center"/>
            <w:hideMark/>
          </w:tcPr>
          <w:p w:rsidR="004D6746" w:rsidRPr="008E4848" w:rsidRDefault="004D6746" w:rsidP="002644E0">
            <w:pPr>
              <w:spacing w:after="120" w:line="240" w:lineRule="auto"/>
              <w:jc w:val="center"/>
              <w:rPr>
                <w:rFonts w:ascii="Times New Roman" w:hAnsi="Times New Roman"/>
                <w:color w:val="000000"/>
                <w:sz w:val="20"/>
                <w:szCs w:val="20"/>
              </w:rPr>
            </w:pPr>
            <w:r w:rsidRPr="008E4848">
              <w:rPr>
                <w:rFonts w:ascii="Times New Roman" w:hAnsi="Times New Roman"/>
                <w:color w:val="000000"/>
                <w:sz w:val="20"/>
                <w:szCs w:val="20"/>
              </w:rPr>
              <w:t>2-ADNT</w:t>
            </w:r>
          </w:p>
        </w:tc>
        <w:tc>
          <w:tcPr>
            <w:tcW w:w="911" w:type="pct"/>
            <w:tcBorders>
              <w:top w:val="nil"/>
              <w:left w:val="nil"/>
              <w:bottom w:val="single" w:sz="8" w:space="0" w:color="000000"/>
              <w:right w:val="nil"/>
            </w:tcBorders>
            <w:shd w:val="clear" w:color="auto" w:fill="auto"/>
            <w:vAlign w:val="center"/>
            <w:hideMark/>
          </w:tcPr>
          <w:p w:rsidR="004D6746" w:rsidRPr="008E4848" w:rsidRDefault="004D6746" w:rsidP="002644E0">
            <w:pPr>
              <w:spacing w:after="120" w:line="240" w:lineRule="auto"/>
              <w:jc w:val="center"/>
              <w:rPr>
                <w:rFonts w:ascii="Times New Roman" w:hAnsi="Times New Roman"/>
                <w:color w:val="000000"/>
                <w:sz w:val="20"/>
                <w:szCs w:val="20"/>
              </w:rPr>
            </w:pPr>
            <w:r w:rsidRPr="008E4848">
              <w:rPr>
                <w:rFonts w:ascii="Times New Roman" w:hAnsi="Times New Roman"/>
                <w:color w:val="000000"/>
                <w:sz w:val="20"/>
                <w:szCs w:val="20"/>
              </w:rPr>
              <w:t>4.53</w:t>
            </w:r>
          </w:p>
        </w:tc>
        <w:tc>
          <w:tcPr>
            <w:tcW w:w="982" w:type="pct"/>
            <w:tcBorders>
              <w:top w:val="nil"/>
              <w:left w:val="nil"/>
              <w:bottom w:val="single" w:sz="8" w:space="0" w:color="000000"/>
              <w:right w:val="nil"/>
            </w:tcBorders>
            <w:shd w:val="clear" w:color="auto" w:fill="auto"/>
            <w:vAlign w:val="center"/>
            <w:hideMark/>
          </w:tcPr>
          <w:p w:rsidR="004D6746" w:rsidRPr="008E4848" w:rsidRDefault="004D6746" w:rsidP="002644E0">
            <w:pPr>
              <w:spacing w:after="120" w:line="240" w:lineRule="auto"/>
              <w:jc w:val="center"/>
              <w:rPr>
                <w:rFonts w:ascii="Times New Roman" w:hAnsi="Times New Roman"/>
                <w:color w:val="000000"/>
                <w:sz w:val="20"/>
                <w:szCs w:val="20"/>
              </w:rPr>
            </w:pPr>
            <w:r w:rsidRPr="008E4848">
              <w:rPr>
                <w:rFonts w:ascii="Times New Roman" w:hAnsi="Times New Roman"/>
                <w:color w:val="000000"/>
                <w:sz w:val="20"/>
                <w:szCs w:val="20"/>
              </w:rPr>
              <w:t>6.467</w:t>
            </w:r>
          </w:p>
        </w:tc>
        <w:tc>
          <w:tcPr>
            <w:tcW w:w="985" w:type="pct"/>
            <w:tcBorders>
              <w:top w:val="nil"/>
              <w:left w:val="nil"/>
              <w:bottom w:val="single" w:sz="8" w:space="0" w:color="000000"/>
              <w:right w:val="nil"/>
            </w:tcBorders>
            <w:shd w:val="clear" w:color="auto" w:fill="auto"/>
            <w:vAlign w:val="center"/>
            <w:hideMark/>
          </w:tcPr>
          <w:p w:rsidR="004D6746" w:rsidRPr="008E4848" w:rsidRDefault="004D6746" w:rsidP="002644E0">
            <w:pPr>
              <w:spacing w:after="120" w:line="240" w:lineRule="auto"/>
              <w:jc w:val="center"/>
              <w:rPr>
                <w:rFonts w:ascii="Times New Roman" w:hAnsi="Times New Roman"/>
                <w:color w:val="000000"/>
                <w:sz w:val="20"/>
                <w:szCs w:val="20"/>
              </w:rPr>
            </w:pPr>
            <w:r w:rsidRPr="008E4848">
              <w:rPr>
                <w:rFonts w:ascii="Times New Roman" w:hAnsi="Times New Roman"/>
                <w:color w:val="000000"/>
                <w:sz w:val="20"/>
                <w:szCs w:val="20"/>
              </w:rPr>
              <w:t>115.479</w:t>
            </w:r>
          </w:p>
        </w:tc>
        <w:tc>
          <w:tcPr>
            <w:tcW w:w="1122" w:type="pct"/>
            <w:tcBorders>
              <w:top w:val="nil"/>
              <w:left w:val="nil"/>
              <w:bottom w:val="single" w:sz="8" w:space="0" w:color="000000"/>
              <w:right w:val="nil"/>
            </w:tcBorders>
            <w:shd w:val="clear" w:color="auto" w:fill="auto"/>
            <w:vAlign w:val="center"/>
            <w:hideMark/>
          </w:tcPr>
          <w:p w:rsidR="004D6746" w:rsidRPr="008E4848" w:rsidRDefault="004D6746" w:rsidP="002644E0">
            <w:pPr>
              <w:spacing w:after="120" w:line="240" w:lineRule="auto"/>
              <w:jc w:val="center"/>
              <w:rPr>
                <w:rFonts w:ascii="Times New Roman" w:hAnsi="Times New Roman"/>
                <w:color w:val="000000"/>
                <w:sz w:val="20"/>
                <w:szCs w:val="20"/>
              </w:rPr>
            </w:pPr>
            <w:r w:rsidRPr="008E4848">
              <w:rPr>
                <w:rFonts w:ascii="Times New Roman" w:hAnsi="Times New Roman"/>
                <w:color w:val="000000"/>
                <w:sz w:val="20"/>
                <w:szCs w:val="20"/>
              </w:rPr>
              <w:t>6.3621</w:t>
            </w:r>
          </w:p>
        </w:tc>
      </w:tr>
    </w:tbl>
    <w:p w:rsidR="004D6746" w:rsidRDefault="004D6746" w:rsidP="002644E0">
      <w:pPr>
        <w:pStyle w:val="P1"/>
        <w:ind w:firstLine="0"/>
        <w:rPr>
          <w:rFonts w:asciiTheme="majorBidi" w:hAnsiTheme="majorBidi" w:cstheme="majorBidi"/>
          <w:lang w:val="en-US"/>
        </w:rPr>
      </w:pPr>
    </w:p>
    <w:p w:rsidR="002644E0" w:rsidRPr="008E4848" w:rsidRDefault="002644E0" w:rsidP="002644E0">
      <w:pPr>
        <w:pStyle w:val="P1"/>
        <w:ind w:firstLine="0"/>
        <w:rPr>
          <w:rFonts w:asciiTheme="majorBidi" w:hAnsiTheme="majorBidi" w:cstheme="majorBidi"/>
          <w:lang w:val="en-US"/>
        </w:rPr>
      </w:pPr>
    </w:p>
    <w:p w:rsidR="004D6746" w:rsidRDefault="004D6746" w:rsidP="004D6746">
      <w:pPr>
        <w:pStyle w:val="P1"/>
        <w:ind w:firstLine="0"/>
        <w:rPr>
          <w:rFonts w:asciiTheme="majorBidi" w:hAnsiTheme="majorBidi" w:cstheme="majorBidi"/>
        </w:rPr>
      </w:pPr>
      <w:r w:rsidRPr="008E4848">
        <w:rPr>
          <w:rFonts w:asciiTheme="majorBidi" w:hAnsiTheme="majorBidi" w:cstheme="majorBidi"/>
        </w:rPr>
        <w:t>The approximate radius</w:t>
      </w:r>
      <w:r w:rsidRPr="00CC2B87">
        <w:rPr>
          <w:rFonts w:asciiTheme="majorBidi" w:hAnsiTheme="majorBidi" w:cstheme="majorBidi"/>
        </w:rPr>
        <w:t xml:space="preserve"> cavity created after the template (TNT) removal in MIP cavities was about 6.457 Å (Table 5). The radius cavities created </w:t>
      </w:r>
      <w:r>
        <w:rPr>
          <w:rFonts w:asciiTheme="majorBidi" w:hAnsiTheme="majorBidi" w:cstheme="majorBidi"/>
        </w:rPr>
        <w:t xml:space="preserve">were </w:t>
      </w:r>
      <w:r w:rsidRPr="00CC2B87">
        <w:rPr>
          <w:rFonts w:asciiTheme="majorBidi" w:hAnsiTheme="majorBidi" w:cstheme="majorBidi"/>
        </w:rPr>
        <w:t xml:space="preserve">represented by the actual radius of analytes and </w:t>
      </w:r>
      <w:r>
        <w:rPr>
          <w:rFonts w:asciiTheme="majorBidi" w:hAnsiTheme="majorBidi" w:cstheme="majorBidi"/>
        </w:rPr>
        <w:t>t</w:t>
      </w:r>
      <w:r w:rsidRPr="00CC2B87">
        <w:rPr>
          <w:rFonts w:asciiTheme="majorBidi" w:hAnsiTheme="majorBidi" w:cstheme="majorBidi"/>
        </w:rPr>
        <w:t>he expected hydrogen bonding produced. From the values of</w:t>
      </w:r>
      <w:r>
        <w:rPr>
          <w:rFonts w:asciiTheme="majorBidi" w:hAnsiTheme="majorBidi" w:cstheme="majorBidi"/>
        </w:rPr>
        <w:t xml:space="preserve"> actual </w:t>
      </w:r>
      <w:r w:rsidRPr="00CC2B87">
        <w:rPr>
          <w:rFonts w:asciiTheme="majorBidi" w:hAnsiTheme="majorBidi" w:cstheme="majorBidi"/>
        </w:rPr>
        <w:t>radius cavities</w:t>
      </w:r>
      <w:r>
        <w:rPr>
          <w:rFonts w:asciiTheme="majorBidi" w:hAnsiTheme="majorBidi" w:cstheme="majorBidi"/>
        </w:rPr>
        <w:t xml:space="preserve">, </w:t>
      </w:r>
      <w:r w:rsidRPr="00CC2B87">
        <w:rPr>
          <w:rFonts w:asciiTheme="majorBidi" w:hAnsiTheme="majorBidi" w:cstheme="majorBidi"/>
        </w:rPr>
        <w:t>other metabolite</w:t>
      </w:r>
      <w:r>
        <w:rPr>
          <w:rFonts w:asciiTheme="majorBidi" w:hAnsiTheme="majorBidi" w:cstheme="majorBidi"/>
        </w:rPr>
        <w:t xml:space="preserve">s such as 2-ADNT and 4-ADNT can also </w:t>
      </w:r>
      <w:r w:rsidRPr="00CC2B87">
        <w:rPr>
          <w:rFonts w:asciiTheme="majorBidi" w:hAnsiTheme="majorBidi" w:cstheme="majorBidi"/>
        </w:rPr>
        <w:t xml:space="preserve">fitted in the cavities imprinted by TNT, as their </w:t>
      </w:r>
      <w:r>
        <w:rPr>
          <w:rFonts w:asciiTheme="majorBidi" w:hAnsiTheme="majorBidi" w:cstheme="majorBidi"/>
        </w:rPr>
        <w:t xml:space="preserve">radius </w:t>
      </w:r>
      <w:r w:rsidRPr="00CC2B87">
        <w:rPr>
          <w:rFonts w:asciiTheme="majorBidi" w:hAnsiTheme="majorBidi" w:cstheme="majorBidi"/>
        </w:rPr>
        <w:t xml:space="preserve">is </w:t>
      </w:r>
      <w:r>
        <w:rPr>
          <w:rFonts w:asciiTheme="majorBidi" w:hAnsiTheme="majorBidi" w:cstheme="majorBidi"/>
        </w:rPr>
        <w:t xml:space="preserve">quite close to </w:t>
      </w:r>
      <w:r w:rsidRPr="00CC2B87">
        <w:rPr>
          <w:rFonts w:asciiTheme="majorBidi" w:hAnsiTheme="majorBidi" w:cstheme="majorBidi"/>
        </w:rPr>
        <w:t xml:space="preserve">TNT. </w:t>
      </w:r>
      <w:r>
        <w:rPr>
          <w:rFonts w:asciiTheme="majorBidi" w:hAnsiTheme="majorBidi" w:cstheme="majorBidi"/>
        </w:rPr>
        <w:t xml:space="preserve">The value of estimate </w:t>
      </w:r>
      <w:r w:rsidRPr="00CC2B87">
        <w:rPr>
          <w:rFonts w:asciiTheme="majorBidi" w:hAnsiTheme="majorBidi" w:cstheme="majorBidi"/>
        </w:rPr>
        <w:t>size of cavities created</w:t>
      </w:r>
      <w:r>
        <w:rPr>
          <w:rFonts w:asciiTheme="majorBidi" w:hAnsiTheme="majorBidi" w:cstheme="majorBidi"/>
        </w:rPr>
        <w:t xml:space="preserve"> in MIP by Gaussian analysis shows</w:t>
      </w:r>
      <w:r w:rsidRPr="00CC2B87">
        <w:rPr>
          <w:rFonts w:asciiTheme="majorBidi" w:hAnsiTheme="majorBidi" w:cstheme="majorBidi"/>
        </w:rPr>
        <w:t xml:space="preserve"> smaller than the</w:t>
      </w:r>
      <w:r>
        <w:rPr>
          <w:rFonts w:asciiTheme="majorBidi" w:hAnsiTheme="majorBidi" w:cstheme="majorBidi"/>
        </w:rPr>
        <w:t xml:space="preserve"> the value of </w:t>
      </w:r>
      <w:r w:rsidRPr="00CC2B87">
        <w:rPr>
          <w:rFonts w:asciiTheme="majorBidi" w:hAnsiTheme="majorBidi" w:cstheme="majorBidi"/>
        </w:rPr>
        <w:t>cavity size</w:t>
      </w:r>
      <w:r>
        <w:rPr>
          <w:rFonts w:asciiTheme="majorBidi" w:hAnsiTheme="majorBidi" w:cstheme="majorBidi"/>
        </w:rPr>
        <w:t xml:space="preserve"> analyzed by </w:t>
      </w:r>
      <w:r w:rsidRPr="00CC2B87">
        <w:rPr>
          <w:rFonts w:asciiTheme="majorBidi" w:hAnsiTheme="majorBidi" w:cstheme="majorBidi"/>
        </w:rPr>
        <w:t>BET (35.03-41.77Å)(Figure 4 (a)).</w:t>
      </w:r>
      <w:r>
        <w:rPr>
          <w:rFonts w:asciiTheme="majorBidi" w:hAnsiTheme="majorBidi" w:cstheme="majorBidi"/>
        </w:rPr>
        <w:t xml:space="preserve"> This corresponding to the different condition of </w:t>
      </w:r>
      <w:r w:rsidRPr="00CC2B87">
        <w:rPr>
          <w:rFonts w:asciiTheme="majorBidi" w:hAnsiTheme="majorBidi" w:cstheme="majorBidi"/>
        </w:rPr>
        <w:t>BET analysis</w:t>
      </w:r>
      <w:r>
        <w:rPr>
          <w:rFonts w:asciiTheme="majorBidi" w:hAnsiTheme="majorBidi" w:cstheme="majorBidi"/>
        </w:rPr>
        <w:t xml:space="preserve"> which was </w:t>
      </w:r>
      <w:r w:rsidRPr="00CC2B87">
        <w:rPr>
          <w:rFonts w:asciiTheme="majorBidi" w:hAnsiTheme="majorBidi" w:cstheme="majorBidi"/>
        </w:rPr>
        <w:t>conducted in</w:t>
      </w:r>
      <w:r>
        <w:rPr>
          <w:rFonts w:asciiTheme="majorBidi" w:hAnsiTheme="majorBidi" w:cstheme="majorBidi"/>
        </w:rPr>
        <w:t xml:space="preserve"> </w:t>
      </w:r>
      <w:r w:rsidRPr="00CC2B87">
        <w:rPr>
          <w:rFonts w:asciiTheme="majorBidi" w:hAnsiTheme="majorBidi" w:cstheme="majorBidi"/>
        </w:rPr>
        <w:t>dry state of the polymer. However, for the rebinding step, the process occurred in the solvent and probably the</w:t>
      </w:r>
      <w:r>
        <w:rPr>
          <w:rFonts w:asciiTheme="majorBidi" w:hAnsiTheme="majorBidi" w:cstheme="majorBidi"/>
        </w:rPr>
        <w:t xml:space="preserve"> polymer would swollen </w:t>
      </w:r>
      <w:r w:rsidRPr="00CC2B87">
        <w:rPr>
          <w:rFonts w:asciiTheme="majorBidi" w:hAnsiTheme="majorBidi" w:cstheme="majorBidi"/>
        </w:rPr>
        <w:t>and</w:t>
      </w:r>
      <w:r>
        <w:rPr>
          <w:rFonts w:asciiTheme="majorBidi" w:hAnsiTheme="majorBidi" w:cstheme="majorBidi"/>
        </w:rPr>
        <w:t xml:space="preserve"> the cavities size decreased, therefore it </w:t>
      </w:r>
      <w:r w:rsidRPr="00CC2B87">
        <w:rPr>
          <w:rFonts w:asciiTheme="majorBidi" w:hAnsiTheme="majorBidi" w:cstheme="majorBidi"/>
        </w:rPr>
        <w:t>fitted into the TNT size. Figure 5 illustrate</w:t>
      </w:r>
      <w:r>
        <w:rPr>
          <w:rFonts w:asciiTheme="majorBidi" w:hAnsiTheme="majorBidi" w:cstheme="majorBidi"/>
        </w:rPr>
        <w:t>d</w:t>
      </w:r>
      <w:r w:rsidRPr="00CC2B87">
        <w:rPr>
          <w:rFonts w:asciiTheme="majorBidi" w:hAnsiTheme="majorBidi" w:cstheme="majorBidi"/>
        </w:rPr>
        <w:t xml:space="preserve"> the optimized structures of TNT and its metabolite compounds from the Gaussian analysis.</w:t>
      </w:r>
    </w:p>
    <w:p w:rsidR="004D6746" w:rsidRDefault="004D6746" w:rsidP="004D6746">
      <w:pPr>
        <w:pStyle w:val="P1"/>
        <w:ind w:firstLine="0"/>
        <w:rPr>
          <w:rFonts w:asciiTheme="majorBidi" w:hAnsiTheme="majorBidi" w:cstheme="majorBidi"/>
        </w:rPr>
      </w:pPr>
    </w:p>
    <w:p w:rsidR="002644E0" w:rsidRDefault="002644E0" w:rsidP="004D6746">
      <w:pPr>
        <w:pStyle w:val="P1"/>
        <w:ind w:firstLine="0"/>
        <w:rPr>
          <w:rFonts w:asciiTheme="majorBidi" w:hAnsiTheme="majorBidi" w:cstheme="majorBidi"/>
        </w:rPr>
      </w:pPr>
    </w:p>
    <w:p w:rsidR="004D6746" w:rsidRPr="00CC2B87" w:rsidRDefault="004D6746" w:rsidP="004D6746">
      <w:pPr>
        <w:spacing w:after="0" w:line="240" w:lineRule="auto"/>
        <w:jc w:val="center"/>
        <w:rPr>
          <w:rFonts w:asciiTheme="majorBidi" w:hAnsiTheme="majorBidi" w:cstheme="majorBidi"/>
          <w:sz w:val="20"/>
          <w:szCs w:val="20"/>
        </w:rPr>
      </w:pPr>
      <w:r w:rsidRPr="00CC2B87">
        <w:rPr>
          <w:rFonts w:asciiTheme="majorBidi" w:hAnsiTheme="majorBidi" w:cstheme="majorBidi"/>
          <w:noProof/>
          <w:sz w:val="20"/>
          <w:szCs w:val="20"/>
          <w:lang w:bidi="ar-SA"/>
        </w:rPr>
        <w:drawing>
          <wp:inline distT="0" distB="0" distL="0" distR="0" wp14:anchorId="35DD6A7D" wp14:editId="0A4B0ABD">
            <wp:extent cx="3124200" cy="1996440"/>
            <wp:effectExtent l="0" t="0" r="0" b="0"/>
            <wp:docPr id="10"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5" cstate="print"/>
                    <a:srcRect l="-963" t="-6079" r="-1901" b="-5174"/>
                    <a:stretch>
                      <a:fillRect/>
                    </a:stretch>
                  </pic:blipFill>
                  <pic:spPr bwMode="auto">
                    <a:xfrm>
                      <a:off x="0" y="0"/>
                      <a:ext cx="3162426" cy="2020867"/>
                    </a:xfrm>
                    <a:prstGeom prst="rect">
                      <a:avLst/>
                    </a:prstGeom>
                    <a:noFill/>
                    <a:ln w="9525">
                      <a:noFill/>
                      <a:miter lim="800000"/>
                      <a:headEnd/>
                      <a:tailEnd/>
                    </a:ln>
                  </pic:spPr>
                </pic:pic>
              </a:graphicData>
            </a:graphic>
          </wp:inline>
        </w:drawing>
      </w:r>
    </w:p>
    <w:p w:rsidR="004D6746" w:rsidRDefault="004D6746" w:rsidP="004D6746">
      <w:pPr>
        <w:spacing w:after="0" w:line="240" w:lineRule="auto"/>
        <w:jc w:val="center"/>
        <w:rPr>
          <w:rFonts w:asciiTheme="majorBidi" w:hAnsiTheme="majorBidi" w:cstheme="majorBidi"/>
          <w:b/>
          <w:bCs/>
          <w:sz w:val="20"/>
          <w:szCs w:val="20"/>
        </w:rPr>
      </w:pPr>
    </w:p>
    <w:p w:rsidR="004D6746" w:rsidRPr="000B34C1" w:rsidRDefault="004D6746" w:rsidP="004D6746">
      <w:pPr>
        <w:spacing w:after="0" w:line="240" w:lineRule="auto"/>
        <w:ind w:left="810" w:hanging="810"/>
        <w:jc w:val="both"/>
        <w:rPr>
          <w:rFonts w:asciiTheme="majorBidi" w:hAnsiTheme="majorBidi" w:cstheme="majorBidi"/>
          <w:sz w:val="20"/>
          <w:szCs w:val="20"/>
        </w:rPr>
      </w:pPr>
      <w:r w:rsidRPr="000B34C1">
        <w:rPr>
          <w:rFonts w:asciiTheme="majorBidi" w:hAnsiTheme="majorBidi" w:cstheme="majorBidi"/>
          <w:sz w:val="20"/>
          <w:szCs w:val="20"/>
        </w:rPr>
        <w:t xml:space="preserve">Figure 5. </w:t>
      </w:r>
      <w:r w:rsidR="002644E0">
        <w:rPr>
          <w:rFonts w:asciiTheme="majorBidi" w:hAnsiTheme="majorBidi" w:cstheme="majorBidi"/>
          <w:sz w:val="20"/>
          <w:szCs w:val="20"/>
        </w:rPr>
        <w:tab/>
      </w:r>
      <w:r w:rsidRPr="000B34C1">
        <w:rPr>
          <w:rFonts w:asciiTheme="majorBidi" w:hAnsiTheme="majorBidi" w:cstheme="majorBidi"/>
          <w:sz w:val="20"/>
          <w:szCs w:val="20"/>
        </w:rPr>
        <w:t>Optimization of molecule structure by Gaussian using B3LYP 6-31G as the basis set showing grey-carbon atoms, light grey-hydrogen atoms, blue-nitrogen atoms and red-oxygen atoms.</w:t>
      </w:r>
    </w:p>
    <w:p w:rsidR="004D6746" w:rsidRDefault="004D6746" w:rsidP="002644E0">
      <w:pPr>
        <w:spacing w:after="0" w:line="240" w:lineRule="auto"/>
        <w:jc w:val="both"/>
        <w:rPr>
          <w:rFonts w:asciiTheme="majorBidi" w:hAnsiTheme="majorBidi" w:cstheme="majorBidi"/>
          <w:sz w:val="20"/>
          <w:szCs w:val="20"/>
        </w:rPr>
      </w:pPr>
    </w:p>
    <w:p w:rsidR="002644E0" w:rsidRPr="008E4848" w:rsidRDefault="002644E0" w:rsidP="002644E0">
      <w:pPr>
        <w:spacing w:after="0" w:line="240" w:lineRule="auto"/>
        <w:jc w:val="both"/>
        <w:rPr>
          <w:rFonts w:asciiTheme="majorBidi" w:hAnsiTheme="majorBidi" w:cstheme="majorBidi"/>
          <w:sz w:val="20"/>
          <w:szCs w:val="20"/>
        </w:rPr>
      </w:pPr>
    </w:p>
    <w:p w:rsidR="004D6746" w:rsidRDefault="004D6746" w:rsidP="004D6746">
      <w:pPr>
        <w:spacing w:after="0" w:line="240" w:lineRule="auto"/>
        <w:jc w:val="both"/>
        <w:rPr>
          <w:rFonts w:asciiTheme="majorBidi" w:hAnsiTheme="majorBidi" w:cstheme="majorBidi"/>
          <w:sz w:val="20"/>
          <w:szCs w:val="20"/>
        </w:rPr>
      </w:pPr>
      <w:r w:rsidRPr="00CC2B87">
        <w:rPr>
          <w:rFonts w:asciiTheme="majorBidi" w:hAnsiTheme="majorBidi" w:cstheme="majorBidi"/>
          <w:sz w:val="20"/>
          <w:szCs w:val="20"/>
        </w:rPr>
        <w:t xml:space="preserve">The infrared spectrum of TNT imprinted polymer (MIP) and non-imprinted polymer (NIP) </w:t>
      </w:r>
      <w:r>
        <w:rPr>
          <w:rFonts w:asciiTheme="majorBidi" w:hAnsiTheme="majorBidi" w:cstheme="majorBidi"/>
          <w:sz w:val="20"/>
          <w:szCs w:val="20"/>
        </w:rPr>
        <w:t xml:space="preserve">were </w:t>
      </w:r>
      <w:r w:rsidRPr="00CC2B87">
        <w:rPr>
          <w:rFonts w:asciiTheme="majorBidi" w:hAnsiTheme="majorBidi" w:cstheme="majorBidi"/>
          <w:sz w:val="20"/>
          <w:szCs w:val="20"/>
        </w:rPr>
        <w:t>illustrated in Figure 6. Previous studies have revealed that the interaction involved is between TNT and the monomer, MAA</w:t>
      </w:r>
      <w:r>
        <w:rPr>
          <w:rFonts w:asciiTheme="majorBidi" w:hAnsiTheme="majorBidi" w:cstheme="majorBidi"/>
          <w:sz w:val="20"/>
          <w:szCs w:val="20"/>
        </w:rPr>
        <w:t xml:space="preserve"> are based on hydrogen bonding. </w:t>
      </w:r>
      <w:r w:rsidRPr="00CC2B87">
        <w:rPr>
          <w:rFonts w:asciiTheme="majorBidi" w:hAnsiTheme="majorBidi" w:cstheme="majorBidi"/>
          <w:sz w:val="20"/>
          <w:szCs w:val="20"/>
        </w:rPr>
        <w:t>The interaction between (nitro group-NO</w:t>
      </w:r>
      <w:r w:rsidRPr="00CC2B87">
        <w:rPr>
          <w:rFonts w:asciiTheme="majorBidi" w:hAnsiTheme="majorBidi" w:cstheme="majorBidi"/>
          <w:sz w:val="20"/>
          <w:szCs w:val="20"/>
          <w:vertAlign w:val="subscript"/>
        </w:rPr>
        <w:t>2</w:t>
      </w:r>
      <w:r w:rsidRPr="00CC2B87">
        <w:rPr>
          <w:rFonts w:asciiTheme="majorBidi" w:hAnsiTheme="majorBidi" w:cstheme="majorBidi"/>
          <w:sz w:val="20"/>
          <w:szCs w:val="20"/>
        </w:rPr>
        <w:t>) and the MAA (carboxyl group–COOH) can be observed by the different intensity of percentage transmittan</w:t>
      </w:r>
      <w:r>
        <w:rPr>
          <w:rFonts w:asciiTheme="majorBidi" w:hAnsiTheme="majorBidi" w:cstheme="majorBidi"/>
          <w:sz w:val="20"/>
          <w:szCs w:val="20"/>
        </w:rPr>
        <w:t>ce for both spectra MIP and NIP</w:t>
      </w:r>
      <w:r w:rsidRPr="00CC2B87">
        <w:rPr>
          <w:rFonts w:asciiTheme="majorBidi" w:hAnsiTheme="majorBidi" w:cstheme="majorBidi"/>
          <w:sz w:val="20"/>
          <w:szCs w:val="20"/>
        </w:rPr>
        <w:t>.</w:t>
      </w:r>
    </w:p>
    <w:p w:rsidR="004D6746" w:rsidRDefault="004D6746" w:rsidP="002644E0">
      <w:pPr>
        <w:spacing w:after="0" w:line="240" w:lineRule="auto"/>
        <w:rPr>
          <w:rFonts w:asciiTheme="majorBidi" w:hAnsiTheme="majorBidi" w:cstheme="majorBidi"/>
          <w:noProof/>
          <w:sz w:val="18"/>
          <w:szCs w:val="18"/>
          <w:lang w:eastAsia="zh-CN"/>
        </w:rPr>
      </w:pPr>
      <w:r>
        <w:rPr>
          <w:rFonts w:asciiTheme="majorBidi" w:hAnsiTheme="majorBidi" w:cstheme="majorBidi"/>
          <w:noProof/>
          <w:sz w:val="18"/>
          <w:szCs w:val="18"/>
        </w:rPr>
        <w:t xml:space="preserve">  </w:t>
      </w:r>
    </w:p>
    <w:p w:rsidR="004D6746" w:rsidRDefault="004D6746" w:rsidP="002644E0">
      <w:pPr>
        <w:spacing w:after="0" w:line="240" w:lineRule="auto"/>
        <w:rPr>
          <w:rFonts w:asciiTheme="majorBidi" w:hAnsiTheme="majorBidi" w:cstheme="majorBidi"/>
          <w:noProof/>
          <w:sz w:val="18"/>
          <w:szCs w:val="18"/>
          <w:lang w:eastAsia="zh-CN"/>
        </w:rPr>
      </w:pPr>
    </w:p>
    <w:p w:rsidR="004D6746" w:rsidRDefault="004D6746" w:rsidP="004D6746">
      <w:pPr>
        <w:spacing w:after="0" w:line="240" w:lineRule="auto"/>
        <w:jc w:val="center"/>
        <w:rPr>
          <w:rFonts w:asciiTheme="majorBidi" w:hAnsiTheme="majorBidi" w:cstheme="majorBidi"/>
          <w:noProof/>
          <w:sz w:val="18"/>
          <w:szCs w:val="18"/>
        </w:rPr>
      </w:pPr>
      <w:r w:rsidRPr="000B34C1">
        <w:rPr>
          <w:rFonts w:asciiTheme="majorBidi" w:hAnsiTheme="majorBidi" w:cstheme="majorBidi"/>
          <w:noProof/>
          <w:sz w:val="18"/>
          <w:szCs w:val="18"/>
          <w:lang w:bidi="ar-SA"/>
        </w:rPr>
        <w:drawing>
          <wp:inline distT="0" distB="0" distL="0" distR="0" wp14:anchorId="7BE7B984" wp14:editId="03C4FA63">
            <wp:extent cx="5037565" cy="7124700"/>
            <wp:effectExtent l="0" t="0" r="0" b="0"/>
            <wp:docPr id="15" name="Picture 15" descr="C:\Users\HP\Pictur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Figure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680" cy="7127691"/>
                    </a:xfrm>
                    <a:prstGeom prst="rect">
                      <a:avLst/>
                    </a:prstGeom>
                    <a:noFill/>
                    <a:ln>
                      <a:noFill/>
                    </a:ln>
                  </pic:spPr>
                </pic:pic>
              </a:graphicData>
            </a:graphic>
          </wp:inline>
        </w:drawing>
      </w:r>
    </w:p>
    <w:p w:rsidR="004D6746" w:rsidRPr="000B0253" w:rsidRDefault="004D6746" w:rsidP="004D6746">
      <w:pPr>
        <w:spacing w:after="0" w:line="240" w:lineRule="auto"/>
        <w:jc w:val="center"/>
        <w:rPr>
          <w:rFonts w:asciiTheme="majorBidi" w:hAnsiTheme="majorBidi" w:cstheme="majorBidi"/>
          <w:noProof/>
          <w:sz w:val="18"/>
          <w:szCs w:val="18"/>
        </w:rPr>
      </w:pPr>
    </w:p>
    <w:p w:rsidR="004D6746" w:rsidRPr="000B0253" w:rsidRDefault="004D6746" w:rsidP="004D6746">
      <w:pPr>
        <w:spacing w:after="0" w:line="240" w:lineRule="auto"/>
        <w:ind w:left="810" w:hanging="810"/>
        <w:jc w:val="both"/>
        <w:rPr>
          <w:rFonts w:asciiTheme="majorBidi" w:hAnsiTheme="majorBidi" w:cstheme="majorBidi"/>
          <w:sz w:val="20"/>
          <w:szCs w:val="20"/>
        </w:rPr>
      </w:pPr>
      <w:r w:rsidRPr="000B0253">
        <w:rPr>
          <w:rFonts w:asciiTheme="majorBidi" w:hAnsiTheme="majorBidi" w:cstheme="majorBidi"/>
          <w:sz w:val="20"/>
          <w:szCs w:val="20"/>
        </w:rPr>
        <w:t xml:space="preserve">Figure 6. </w:t>
      </w:r>
      <w:r w:rsidR="002644E0">
        <w:rPr>
          <w:rFonts w:asciiTheme="majorBidi" w:hAnsiTheme="majorBidi" w:cstheme="majorBidi"/>
          <w:sz w:val="20"/>
          <w:szCs w:val="20"/>
        </w:rPr>
        <w:tab/>
      </w:r>
      <w:r w:rsidRPr="000B0253">
        <w:rPr>
          <w:rFonts w:asciiTheme="majorBidi" w:hAnsiTheme="majorBidi" w:cstheme="majorBidi"/>
          <w:sz w:val="20"/>
          <w:szCs w:val="20"/>
        </w:rPr>
        <w:t>Infrared spectra (KBr pellet) of TNT imprinted polymer (MIP) (above) and non-imprinted polymer (NIP) (below) using chloroform as a porogen.</w:t>
      </w:r>
    </w:p>
    <w:p w:rsidR="004D6746" w:rsidRPr="008E4848" w:rsidRDefault="004D6746" w:rsidP="004D6746">
      <w:pPr>
        <w:spacing w:after="0" w:line="240" w:lineRule="auto"/>
        <w:jc w:val="center"/>
        <w:rPr>
          <w:rFonts w:asciiTheme="majorBidi" w:hAnsiTheme="majorBidi" w:cstheme="majorBidi"/>
          <w:sz w:val="20"/>
          <w:szCs w:val="20"/>
        </w:rPr>
      </w:pPr>
    </w:p>
    <w:p w:rsidR="002644E0" w:rsidRDefault="002644E0" w:rsidP="004D6746">
      <w:pPr>
        <w:spacing w:after="0" w:line="240" w:lineRule="auto"/>
        <w:jc w:val="both"/>
        <w:rPr>
          <w:rFonts w:asciiTheme="majorBidi" w:hAnsiTheme="majorBidi" w:cstheme="majorBidi"/>
          <w:sz w:val="20"/>
          <w:szCs w:val="20"/>
        </w:rPr>
      </w:pPr>
      <w:r w:rsidRPr="00CC2B87">
        <w:rPr>
          <w:rFonts w:asciiTheme="majorBidi" w:hAnsiTheme="majorBidi" w:cstheme="majorBidi"/>
          <w:sz w:val="20"/>
          <w:szCs w:val="20"/>
        </w:rPr>
        <w:lastRenderedPageBreak/>
        <w:t>Spectrums of MIP and NIP in Figure 6 show</w:t>
      </w:r>
      <w:r>
        <w:rPr>
          <w:rFonts w:asciiTheme="majorBidi" w:hAnsiTheme="majorBidi" w:cstheme="majorBidi"/>
          <w:sz w:val="20"/>
          <w:szCs w:val="20"/>
        </w:rPr>
        <w:t>ed</w:t>
      </w:r>
      <w:r w:rsidRPr="00CC2B87">
        <w:rPr>
          <w:rFonts w:asciiTheme="majorBidi" w:hAnsiTheme="majorBidi" w:cstheme="majorBidi"/>
          <w:sz w:val="20"/>
          <w:szCs w:val="20"/>
        </w:rPr>
        <w:t xml:space="preserve"> the presence of a carboxyl group by the intense absorbance from 3500 to 2500 cm</w:t>
      </w:r>
      <w:r w:rsidRPr="00CC2B87">
        <w:rPr>
          <w:rFonts w:asciiTheme="majorBidi" w:hAnsiTheme="majorBidi" w:cstheme="majorBidi"/>
          <w:sz w:val="20"/>
          <w:szCs w:val="20"/>
          <w:vertAlign w:val="superscript"/>
        </w:rPr>
        <w:t>-1</w:t>
      </w:r>
      <w:r w:rsidRPr="00CC2B87">
        <w:rPr>
          <w:rFonts w:asciiTheme="majorBidi" w:hAnsiTheme="majorBidi" w:cstheme="majorBidi"/>
          <w:sz w:val="20"/>
          <w:szCs w:val="20"/>
        </w:rPr>
        <w:t xml:space="preserve"> </w:t>
      </w:r>
      <w:r>
        <w:rPr>
          <w:rFonts w:asciiTheme="majorBidi" w:hAnsiTheme="majorBidi" w:cstheme="majorBidi"/>
          <w:sz w:val="20"/>
          <w:szCs w:val="20"/>
        </w:rPr>
        <w:t xml:space="preserve">were </w:t>
      </w:r>
      <w:r w:rsidRPr="00CC2B87">
        <w:rPr>
          <w:rFonts w:asciiTheme="majorBidi" w:hAnsiTheme="majorBidi" w:cstheme="majorBidi"/>
          <w:sz w:val="20"/>
          <w:szCs w:val="20"/>
        </w:rPr>
        <w:t>observed which corresponds to the –O-H stretch of the carboxyl group. This broad band is highly characteristic of carboxylic acid and follow</w:t>
      </w:r>
      <w:r>
        <w:rPr>
          <w:rFonts w:asciiTheme="majorBidi" w:hAnsiTheme="majorBidi" w:cstheme="majorBidi"/>
          <w:sz w:val="20"/>
          <w:szCs w:val="20"/>
        </w:rPr>
        <w:t xml:space="preserve"> </w:t>
      </w:r>
      <w:r w:rsidRPr="00CC2B87">
        <w:rPr>
          <w:rFonts w:asciiTheme="majorBidi" w:hAnsiTheme="majorBidi" w:cstheme="majorBidi"/>
          <w:sz w:val="20"/>
          <w:szCs w:val="20"/>
        </w:rPr>
        <w:t>the presence of a strong peak in the 1730 to 1680 cm</w:t>
      </w:r>
      <w:r w:rsidRPr="00CC2B87">
        <w:rPr>
          <w:rFonts w:asciiTheme="majorBidi" w:hAnsiTheme="majorBidi" w:cstheme="majorBidi"/>
          <w:sz w:val="20"/>
          <w:szCs w:val="20"/>
          <w:vertAlign w:val="superscript"/>
        </w:rPr>
        <w:t>-1</w:t>
      </w:r>
      <w:r w:rsidRPr="00CC2B87">
        <w:rPr>
          <w:rFonts w:asciiTheme="majorBidi" w:hAnsiTheme="majorBidi" w:cstheme="majorBidi"/>
          <w:sz w:val="20"/>
          <w:szCs w:val="20"/>
        </w:rPr>
        <w:t xml:space="preserve"> region, which is assigned to the C=O stretching absorption in the samples</w:t>
      </w:r>
      <w:r>
        <w:rPr>
          <w:rFonts w:asciiTheme="majorBidi" w:hAnsiTheme="majorBidi" w:cstheme="majorBidi"/>
          <w:sz w:val="20"/>
          <w:szCs w:val="20"/>
        </w:rPr>
        <w:t>.</w:t>
      </w:r>
    </w:p>
    <w:p w:rsidR="002644E0" w:rsidRDefault="002644E0" w:rsidP="004D6746">
      <w:pPr>
        <w:spacing w:after="0" w:line="240" w:lineRule="auto"/>
        <w:jc w:val="both"/>
        <w:rPr>
          <w:rFonts w:asciiTheme="majorBidi" w:hAnsiTheme="majorBidi" w:cstheme="majorBidi"/>
          <w:sz w:val="20"/>
          <w:szCs w:val="20"/>
        </w:rPr>
      </w:pPr>
    </w:p>
    <w:p w:rsidR="004D6746" w:rsidRPr="00CC2B87" w:rsidRDefault="004D6746" w:rsidP="004D6746">
      <w:pPr>
        <w:spacing w:after="0" w:line="240" w:lineRule="auto"/>
        <w:jc w:val="both"/>
        <w:rPr>
          <w:rFonts w:asciiTheme="majorBidi" w:hAnsiTheme="majorBidi" w:cstheme="majorBidi"/>
          <w:sz w:val="20"/>
          <w:szCs w:val="20"/>
        </w:rPr>
      </w:pPr>
      <w:r w:rsidRPr="00CC2B87">
        <w:rPr>
          <w:rFonts w:asciiTheme="majorBidi" w:hAnsiTheme="majorBidi" w:cstheme="majorBidi"/>
          <w:sz w:val="20"/>
          <w:szCs w:val="20"/>
        </w:rPr>
        <w:t>MIP spectra showed the extremely broad peak at 3436.95 cm</w:t>
      </w:r>
      <w:r w:rsidRPr="00CC2B87">
        <w:rPr>
          <w:rFonts w:asciiTheme="majorBidi" w:hAnsiTheme="majorBidi" w:cstheme="majorBidi"/>
          <w:sz w:val="20"/>
          <w:szCs w:val="20"/>
          <w:vertAlign w:val="superscript"/>
        </w:rPr>
        <w:t>-1</w:t>
      </w:r>
      <w:r w:rsidRPr="00CC2B87">
        <w:rPr>
          <w:rFonts w:asciiTheme="majorBidi" w:hAnsiTheme="majorBidi" w:cstheme="majorBidi"/>
          <w:sz w:val="20"/>
          <w:szCs w:val="20"/>
        </w:rPr>
        <w:t xml:space="preserve"> </w:t>
      </w:r>
      <w:r>
        <w:rPr>
          <w:rFonts w:asciiTheme="majorBidi" w:hAnsiTheme="majorBidi" w:cstheme="majorBidi"/>
          <w:sz w:val="20"/>
          <w:szCs w:val="20"/>
        </w:rPr>
        <w:t xml:space="preserve">which indicated </w:t>
      </w:r>
      <w:r w:rsidRPr="00CC2B87">
        <w:rPr>
          <w:rFonts w:asciiTheme="majorBidi" w:hAnsiTheme="majorBidi" w:cstheme="majorBidi"/>
          <w:sz w:val="20"/>
          <w:szCs w:val="20"/>
        </w:rPr>
        <w:t>the presence of hydrogen bonds. The intermolecular hydrogen bond between TNT and polymer also contributed to this broadening peak. The NIP spectra depicted a strong and sharp peak at 3452.75 cm</w:t>
      </w:r>
      <w:r w:rsidRPr="00CC2B87">
        <w:rPr>
          <w:rFonts w:asciiTheme="majorBidi" w:hAnsiTheme="majorBidi" w:cstheme="majorBidi"/>
          <w:sz w:val="20"/>
          <w:szCs w:val="20"/>
          <w:vertAlign w:val="superscript"/>
        </w:rPr>
        <w:t>-1</w:t>
      </w:r>
      <w:r w:rsidRPr="00CC2B87">
        <w:rPr>
          <w:rFonts w:asciiTheme="majorBidi" w:hAnsiTheme="majorBidi" w:cstheme="majorBidi"/>
          <w:sz w:val="20"/>
          <w:szCs w:val="20"/>
        </w:rPr>
        <w:t xml:space="preserve">, </w:t>
      </w:r>
      <w:r>
        <w:rPr>
          <w:rFonts w:asciiTheme="majorBidi" w:hAnsiTheme="majorBidi" w:cstheme="majorBidi"/>
          <w:sz w:val="20"/>
          <w:szCs w:val="20"/>
        </w:rPr>
        <w:t xml:space="preserve">showed </w:t>
      </w:r>
      <w:r w:rsidRPr="00CC2B87">
        <w:rPr>
          <w:rFonts w:asciiTheme="majorBidi" w:hAnsiTheme="majorBidi" w:cstheme="majorBidi"/>
          <w:sz w:val="20"/>
          <w:szCs w:val="20"/>
        </w:rPr>
        <w:t>the carboxylic acid COO-H and non-hydrogen bonding [</w:t>
      </w:r>
      <w:r>
        <w:rPr>
          <w:rFonts w:asciiTheme="majorBidi" w:hAnsiTheme="majorBidi" w:cstheme="majorBidi"/>
          <w:sz w:val="20"/>
          <w:szCs w:val="20"/>
        </w:rPr>
        <w:t>24</w:t>
      </w:r>
      <w:r w:rsidRPr="00CC2B87">
        <w:rPr>
          <w:rFonts w:asciiTheme="majorBidi" w:hAnsiTheme="majorBidi" w:cstheme="majorBidi"/>
          <w:sz w:val="20"/>
          <w:szCs w:val="20"/>
        </w:rPr>
        <w:t>]. The lower intensity of C-OH bonding of MIP at 1158.95 cm</w:t>
      </w:r>
      <w:r w:rsidRPr="00CC2B87">
        <w:rPr>
          <w:rFonts w:asciiTheme="majorBidi" w:hAnsiTheme="majorBidi" w:cstheme="majorBidi"/>
          <w:sz w:val="20"/>
          <w:szCs w:val="20"/>
          <w:vertAlign w:val="superscript"/>
        </w:rPr>
        <w:t>-1</w:t>
      </w:r>
      <w:r w:rsidRPr="00CC2B87">
        <w:rPr>
          <w:rFonts w:asciiTheme="majorBidi" w:hAnsiTheme="majorBidi" w:cstheme="majorBidi"/>
          <w:sz w:val="20"/>
          <w:szCs w:val="20"/>
        </w:rPr>
        <w:t xml:space="preserve"> compare</w:t>
      </w:r>
      <w:r>
        <w:rPr>
          <w:rFonts w:asciiTheme="majorBidi" w:hAnsiTheme="majorBidi" w:cstheme="majorBidi"/>
          <w:sz w:val="20"/>
          <w:szCs w:val="20"/>
        </w:rPr>
        <w:t xml:space="preserve"> </w:t>
      </w:r>
      <w:r w:rsidRPr="00CC2B87">
        <w:rPr>
          <w:rFonts w:asciiTheme="majorBidi" w:hAnsiTheme="majorBidi" w:cstheme="majorBidi"/>
          <w:sz w:val="20"/>
          <w:szCs w:val="20"/>
        </w:rPr>
        <w:t>to NIP (1160.53 cm</w:t>
      </w:r>
      <w:r w:rsidRPr="00CC2B87">
        <w:rPr>
          <w:rFonts w:asciiTheme="majorBidi" w:hAnsiTheme="majorBidi" w:cstheme="majorBidi"/>
          <w:sz w:val="20"/>
          <w:szCs w:val="20"/>
          <w:vertAlign w:val="superscript"/>
        </w:rPr>
        <w:t>-1</w:t>
      </w:r>
      <w:r w:rsidRPr="00CC2B87">
        <w:rPr>
          <w:rFonts w:asciiTheme="majorBidi" w:hAnsiTheme="majorBidi" w:cstheme="majorBidi"/>
          <w:sz w:val="20"/>
          <w:szCs w:val="20"/>
        </w:rPr>
        <w:t xml:space="preserve">) </w:t>
      </w:r>
      <w:r>
        <w:rPr>
          <w:rFonts w:asciiTheme="majorBidi" w:hAnsiTheme="majorBidi" w:cstheme="majorBidi"/>
          <w:sz w:val="20"/>
          <w:szCs w:val="20"/>
        </w:rPr>
        <w:t xml:space="preserve">was </w:t>
      </w:r>
      <w:r w:rsidRPr="00CC2B87">
        <w:rPr>
          <w:rFonts w:asciiTheme="majorBidi" w:hAnsiTheme="majorBidi" w:cstheme="majorBidi"/>
          <w:sz w:val="20"/>
          <w:szCs w:val="20"/>
        </w:rPr>
        <w:t>attributed to the hydrogen bond forming betwe</w:t>
      </w:r>
      <w:r>
        <w:rPr>
          <w:rFonts w:asciiTheme="majorBidi" w:hAnsiTheme="majorBidi" w:cstheme="majorBidi"/>
          <w:sz w:val="20"/>
          <w:szCs w:val="20"/>
        </w:rPr>
        <w:t>en the template and the monomer</w:t>
      </w:r>
      <w:r w:rsidRPr="00CC2B87">
        <w:rPr>
          <w:rFonts w:asciiTheme="majorBidi" w:hAnsiTheme="majorBidi" w:cstheme="majorBidi"/>
          <w:sz w:val="20"/>
          <w:szCs w:val="20"/>
        </w:rPr>
        <w:t>. The band at 1637.83 cm</w:t>
      </w:r>
      <w:r w:rsidRPr="00CC2B87">
        <w:rPr>
          <w:rFonts w:asciiTheme="majorBidi" w:hAnsiTheme="majorBidi" w:cstheme="majorBidi"/>
          <w:sz w:val="20"/>
          <w:szCs w:val="20"/>
          <w:vertAlign w:val="superscript"/>
        </w:rPr>
        <w:t>-1</w:t>
      </w:r>
      <w:r w:rsidRPr="00CC2B87">
        <w:rPr>
          <w:rFonts w:asciiTheme="majorBidi" w:hAnsiTheme="majorBidi" w:cstheme="majorBidi"/>
          <w:sz w:val="20"/>
          <w:szCs w:val="20"/>
        </w:rPr>
        <w:t xml:space="preserve"> and 959.45 cm</w:t>
      </w:r>
      <w:r w:rsidRPr="00CC2B87">
        <w:rPr>
          <w:rFonts w:asciiTheme="majorBidi" w:hAnsiTheme="majorBidi" w:cstheme="majorBidi"/>
          <w:sz w:val="20"/>
          <w:szCs w:val="20"/>
          <w:vertAlign w:val="superscript"/>
        </w:rPr>
        <w:t>-1</w:t>
      </w:r>
      <w:r w:rsidRPr="00CC2B87">
        <w:rPr>
          <w:rFonts w:asciiTheme="majorBidi" w:hAnsiTheme="majorBidi" w:cstheme="majorBidi"/>
          <w:sz w:val="20"/>
          <w:szCs w:val="20"/>
        </w:rPr>
        <w:t xml:space="preserve"> of NIP gave information about the amount of unreacted double bonds in the polymer material</w:t>
      </w:r>
      <w:r>
        <w:rPr>
          <w:rFonts w:asciiTheme="majorBidi" w:hAnsiTheme="majorBidi" w:cstheme="majorBidi"/>
          <w:sz w:val="20"/>
          <w:szCs w:val="20"/>
        </w:rPr>
        <w:t>.</w:t>
      </w:r>
    </w:p>
    <w:p w:rsidR="004D6746" w:rsidRDefault="004D6746" w:rsidP="004D6746">
      <w:pPr>
        <w:spacing w:after="0" w:line="240" w:lineRule="auto"/>
        <w:jc w:val="both"/>
        <w:rPr>
          <w:rFonts w:asciiTheme="majorBidi" w:hAnsiTheme="majorBidi" w:cstheme="majorBidi"/>
          <w:sz w:val="20"/>
          <w:szCs w:val="20"/>
        </w:rPr>
      </w:pPr>
    </w:p>
    <w:p w:rsidR="004D6746" w:rsidRDefault="004D6746" w:rsidP="004D6746">
      <w:pPr>
        <w:spacing w:after="0" w:line="240" w:lineRule="auto"/>
        <w:jc w:val="both"/>
        <w:rPr>
          <w:rFonts w:asciiTheme="majorBidi" w:hAnsiTheme="majorBidi" w:cstheme="majorBidi"/>
          <w:sz w:val="20"/>
          <w:szCs w:val="20"/>
        </w:rPr>
      </w:pPr>
      <w:r w:rsidRPr="00CC2B87">
        <w:rPr>
          <w:rFonts w:asciiTheme="majorBidi" w:hAnsiTheme="majorBidi" w:cstheme="majorBidi"/>
          <w:sz w:val="20"/>
          <w:szCs w:val="20"/>
        </w:rPr>
        <w:t>The peak of the benzene ring deformation at a frequency of 1547.25 cm</w:t>
      </w:r>
      <w:r w:rsidRPr="00CC2B87">
        <w:rPr>
          <w:rFonts w:asciiTheme="majorBidi" w:hAnsiTheme="majorBidi" w:cstheme="majorBidi"/>
          <w:sz w:val="20"/>
          <w:szCs w:val="20"/>
          <w:vertAlign w:val="superscript"/>
        </w:rPr>
        <w:t>-1</w:t>
      </w:r>
      <w:r w:rsidRPr="00CC2B87">
        <w:rPr>
          <w:rFonts w:asciiTheme="majorBidi" w:hAnsiTheme="majorBidi" w:cstheme="majorBidi"/>
          <w:sz w:val="20"/>
          <w:szCs w:val="20"/>
        </w:rPr>
        <w:t xml:space="preserve"> and the N-O stretching at 1349.57 cm</w:t>
      </w:r>
      <w:r w:rsidRPr="00CC2B87">
        <w:rPr>
          <w:rFonts w:asciiTheme="majorBidi" w:hAnsiTheme="majorBidi" w:cstheme="majorBidi"/>
          <w:sz w:val="20"/>
          <w:szCs w:val="20"/>
          <w:vertAlign w:val="superscript"/>
        </w:rPr>
        <w:t>-1</w:t>
      </w:r>
      <w:r w:rsidRPr="00CC2B87">
        <w:rPr>
          <w:rFonts w:asciiTheme="majorBidi" w:hAnsiTheme="majorBidi" w:cstheme="majorBidi"/>
          <w:sz w:val="20"/>
          <w:szCs w:val="20"/>
        </w:rPr>
        <w:t xml:space="preserve"> </w:t>
      </w:r>
      <w:r>
        <w:rPr>
          <w:rFonts w:asciiTheme="majorBidi" w:hAnsiTheme="majorBidi" w:cstheme="majorBidi"/>
          <w:sz w:val="20"/>
          <w:szCs w:val="20"/>
        </w:rPr>
        <w:t xml:space="preserve">was </w:t>
      </w:r>
      <w:r w:rsidRPr="00CC2B87">
        <w:rPr>
          <w:rFonts w:asciiTheme="majorBidi" w:hAnsiTheme="majorBidi" w:cstheme="majorBidi"/>
          <w:sz w:val="20"/>
          <w:szCs w:val="20"/>
        </w:rPr>
        <w:t>notified the bounded template in MIP spectrum [</w:t>
      </w:r>
      <w:r>
        <w:rPr>
          <w:rFonts w:asciiTheme="majorBidi" w:hAnsiTheme="majorBidi" w:cstheme="majorBidi"/>
          <w:sz w:val="20"/>
          <w:szCs w:val="20"/>
        </w:rPr>
        <w:t>25</w:t>
      </w:r>
      <w:r w:rsidRPr="00CC2B87">
        <w:rPr>
          <w:rFonts w:asciiTheme="majorBidi" w:hAnsiTheme="majorBidi" w:cstheme="majorBidi"/>
          <w:sz w:val="20"/>
          <w:szCs w:val="20"/>
        </w:rPr>
        <w:t>]. However, the presence of other peaks is related to the chemical information of polymer chain build-up from MAA and EGDMA, which are the monomer and cross-linker, respectively. The result suggest</w:t>
      </w:r>
      <w:r>
        <w:rPr>
          <w:rFonts w:asciiTheme="majorBidi" w:hAnsiTheme="majorBidi" w:cstheme="majorBidi"/>
          <w:sz w:val="20"/>
          <w:szCs w:val="20"/>
        </w:rPr>
        <w:t xml:space="preserve">ed </w:t>
      </w:r>
      <w:r w:rsidRPr="00CC2B87">
        <w:rPr>
          <w:rFonts w:asciiTheme="majorBidi" w:hAnsiTheme="majorBidi" w:cstheme="majorBidi"/>
          <w:sz w:val="20"/>
          <w:szCs w:val="20"/>
        </w:rPr>
        <w:t xml:space="preserve">that hydrogen bonding was successfully formed between the template and the monomer as predicted in the theory. </w:t>
      </w:r>
    </w:p>
    <w:p w:rsidR="006768E9" w:rsidRPr="00F447A7" w:rsidRDefault="006768E9" w:rsidP="004D674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2644E0" w:rsidRPr="00CC2B87" w:rsidRDefault="002644E0" w:rsidP="002644E0">
      <w:pPr>
        <w:pStyle w:val="P1"/>
        <w:ind w:firstLine="0"/>
        <w:rPr>
          <w:rFonts w:asciiTheme="majorBidi" w:hAnsiTheme="majorBidi" w:cstheme="majorBidi"/>
        </w:rPr>
      </w:pPr>
      <w:r w:rsidRPr="00CC2B87">
        <w:rPr>
          <w:rFonts w:asciiTheme="majorBidi" w:hAnsiTheme="majorBidi" w:cstheme="majorBidi"/>
          <w:lang w:val="en-US"/>
        </w:rPr>
        <w:t>I</w:t>
      </w:r>
      <w:r w:rsidRPr="00CC2B87">
        <w:rPr>
          <w:rFonts w:asciiTheme="majorBidi" w:hAnsiTheme="majorBidi" w:cstheme="majorBidi"/>
        </w:rPr>
        <w:t>n this study, molecularly imprinted polymer was successfully prepared for TNT detection by using the non-covalent approach. Based on the functional groups on the template molecule, an appropriate functional monomer, methylacrylic acid (MAA), was selected to form the template-monomer complex. Physical and chemical characterization analysis by using the SEM, BET, FTIR and computational chemistry (Gaussian software) had provided evidence of chemical interaction, surface morphology and cavities of polymer monoliths, which are the key to fundamental imprinting studies. The binding results for the template molecule and its metabolite molecules showed that the MIPs possess the predesigned affinity and selectivity and effectively applied in real sample analysis.</w:t>
      </w:r>
    </w:p>
    <w:p w:rsidR="002644E0" w:rsidRPr="00CC2B87" w:rsidRDefault="002644E0" w:rsidP="002644E0">
      <w:pPr>
        <w:pStyle w:val="P1"/>
        <w:ind w:firstLine="0"/>
        <w:rPr>
          <w:rFonts w:asciiTheme="majorBidi" w:hAnsiTheme="majorBidi" w:cstheme="majorBidi"/>
        </w:rPr>
      </w:pPr>
    </w:p>
    <w:p w:rsidR="002644E0" w:rsidRPr="00CC2B87" w:rsidRDefault="002644E0" w:rsidP="002644E0">
      <w:pPr>
        <w:pStyle w:val="P1"/>
        <w:ind w:firstLine="0"/>
        <w:rPr>
          <w:rFonts w:asciiTheme="majorBidi" w:hAnsiTheme="majorBidi" w:cstheme="majorBidi"/>
        </w:rPr>
      </w:pPr>
      <w:r w:rsidRPr="00CC2B87">
        <w:rPr>
          <w:rFonts w:asciiTheme="majorBidi" w:hAnsiTheme="majorBidi" w:cstheme="majorBidi"/>
        </w:rPr>
        <w:t>For the future works, this finding can be commercialized in industrial scale by improving the polymerization technique to increase the yield of MIPs, and application of advanced device formats such as LC-MS to improve the sample evaluation in terms of speed and sensitivity. In addition, computer-aided approach promises to replace tedious trial and error methods with fast simulation based on chemical modeling in order to obtain better selectivity of MIPs by choosing the best combination of templates, cross-linkers, monomers and porogens.</w:t>
      </w:r>
    </w:p>
    <w:p w:rsidR="006768E9" w:rsidRPr="00F447A7" w:rsidRDefault="006768E9" w:rsidP="002644E0">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2644E0" w:rsidRDefault="002644E0" w:rsidP="002644E0">
      <w:pPr>
        <w:spacing w:after="0" w:line="240" w:lineRule="auto"/>
        <w:jc w:val="both"/>
        <w:rPr>
          <w:rFonts w:asciiTheme="majorBidi" w:hAnsiTheme="majorBidi" w:cstheme="majorBidi"/>
          <w:sz w:val="20"/>
          <w:szCs w:val="20"/>
          <w:lang w:val="en-GB"/>
        </w:rPr>
      </w:pPr>
      <w:r w:rsidRPr="00CC2B87">
        <w:rPr>
          <w:rFonts w:asciiTheme="majorBidi" w:hAnsiTheme="majorBidi" w:cstheme="majorBidi"/>
          <w:sz w:val="20"/>
          <w:szCs w:val="20"/>
          <w:lang w:val="en-GB"/>
        </w:rPr>
        <w:t>We gratefully acknowledge the Ministry of High Education of Malaysia (MOHE) under Fundamental Research Grant Scheme (FRGS No. 59154) for funding this project entirely. Our institution, University Malaysia Terengganu (UMT) thankfully acknowledged for providing facilities in our lab works.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Yinon, J. (1999). Environmental detection explosives. Forensic and Environmental Detections of Explosives, pp 186-219. New York: John Wiley &amp; Sons, Ltd </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Trammell, S. A., Zeinall, M., Melde, B. J., Charles, P. T, Velez, F. L., Dinderman, M. A., Kusterback, A. and Markowitz, M. A. (2008). Organosilicas as Preconcentration Materials for the Electrochemical Detection of Trinitrotoluene. </w:t>
      </w:r>
      <w:r w:rsidRPr="002644E0">
        <w:rPr>
          <w:rFonts w:asciiTheme="majorBidi" w:hAnsiTheme="majorBidi" w:cstheme="majorBidi"/>
          <w:i/>
          <w:iCs/>
          <w:color w:val="000000"/>
          <w:sz w:val="20"/>
          <w:szCs w:val="20"/>
        </w:rPr>
        <w:t>Analytical Chemistry</w:t>
      </w:r>
      <w:r w:rsidRPr="002644E0">
        <w:rPr>
          <w:rFonts w:asciiTheme="majorBidi" w:hAnsiTheme="majorBidi" w:cstheme="majorBidi"/>
          <w:color w:val="000000"/>
          <w:sz w:val="20"/>
          <w:szCs w:val="20"/>
        </w:rPr>
        <w:t xml:space="preserve"> 80: 4627–4633. </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Lordel, S. Chapuis-Hugon, F., Eudes, V., and Pichon, V. (2010). Development of imprinted materials for the selective extraction of nitroaromatic explosives. </w:t>
      </w:r>
      <w:r w:rsidRPr="002644E0">
        <w:rPr>
          <w:rFonts w:asciiTheme="majorBidi" w:hAnsiTheme="majorBidi" w:cstheme="majorBidi"/>
          <w:i/>
          <w:iCs/>
          <w:color w:val="000000"/>
          <w:sz w:val="20"/>
          <w:szCs w:val="20"/>
        </w:rPr>
        <w:t>Journal of Chromatography A</w:t>
      </w:r>
      <w:r w:rsidRPr="002644E0">
        <w:rPr>
          <w:rFonts w:asciiTheme="majorBidi" w:hAnsiTheme="majorBidi" w:cstheme="majorBidi"/>
          <w:color w:val="000000"/>
          <w:sz w:val="20"/>
          <w:szCs w:val="20"/>
        </w:rPr>
        <w:t xml:space="preserve"> 1217: 6674–6680.</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Tamayo, F. G., Turiel, E., and Martin-Esteban, A. (2007). Review: Molecularly imprinted polymers for solid-phase extraction and solid-phase microextraction: Recent developments and future trends. </w:t>
      </w:r>
      <w:r w:rsidRPr="002644E0">
        <w:rPr>
          <w:rFonts w:asciiTheme="majorBidi" w:hAnsiTheme="majorBidi" w:cstheme="majorBidi"/>
          <w:i/>
          <w:iCs/>
          <w:color w:val="000000"/>
          <w:sz w:val="20"/>
          <w:szCs w:val="20"/>
        </w:rPr>
        <w:t>Journal of Chromatography A</w:t>
      </w:r>
      <w:r w:rsidRPr="002644E0">
        <w:rPr>
          <w:rFonts w:asciiTheme="majorBidi" w:hAnsiTheme="majorBidi" w:cstheme="majorBidi"/>
          <w:color w:val="000000"/>
          <w:sz w:val="20"/>
          <w:szCs w:val="20"/>
        </w:rPr>
        <w:t xml:space="preserve"> (1152): 32–40. </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Poma, A., Turner, A. P. F., and Piletsky, S. A. (2010). Advances in the manufacture of MIP nanoparticles, </w:t>
      </w:r>
      <w:r w:rsidRPr="002644E0">
        <w:rPr>
          <w:rFonts w:asciiTheme="majorBidi" w:hAnsiTheme="majorBidi" w:cstheme="majorBidi"/>
          <w:i/>
          <w:iCs/>
          <w:color w:val="000000"/>
          <w:sz w:val="20"/>
          <w:szCs w:val="20"/>
        </w:rPr>
        <w:t>Trends in Biotechnology</w:t>
      </w:r>
      <w:r w:rsidRPr="002644E0">
        <w:rPr>
          <w:rFonts w:asciiTheme="majorBidi" w:hAnsiTheme="majorBidi" w:cstheme="majorBidi"/>
          <w:color w:val="000000"/>
          <w:sz w:val="20"/>
          <w:szCs w:val="20"/>
        </w:rPr>
        <w:t xml:space="preserve"> 28(12): 629-637. </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lastRenderedPageBreak/>
        <w:t xml:space="preserve">Tóth, B., Pap, T., Horvath, V., and Horvai, G. (2007). Which molecularly imprinted polymer is better?. </w:t>
      </w:r>
      <w:r w:rsidRPr="002644E0">
        <w:rPr>
          <w:rFonts w:asciiTheme="majorBidi" w:hAnsiTheme="majorBidi" w:cstheme="majorBidi"/>
          <w:i/>
          <w:iCs/>
          <w:color w:val="000000"/>
          <w:sz w:val="20"/>
          <w:szCs w:val="20"/>
        </w:rPr>
        <w:t>Analytica Chimica Acta</w:t>
      </w:r>
      <w:r w:rsidRPr="002644E0">
        <w:rPr>
          <w:rFonts w:asciiTheme="majorBidi" w:hAnsiTheme="majorBidi" w:cstheme="majorBidi"/>
          <w:color w:val="000000"/>
          <w:sz w:val="20"/>
          <w:szCs w:val="20"/>
        </w:rPr>
        <w:t xml:space="preserve"> 591: 17–21.</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imes New Roman" w:hAnsi="Times New Roman"/>
          <w:sz w:val="20"/>
          <w:szCs w:val="20"/>
        </w:rPr>
        <w:t xml:space="preserve">Pomogailo, A. D., Dzhardimalieva, G. I., and Kestelman, V. N. (2010) </w:t>
      </w:r>
      <w:r w:rsidRPr="002644E0">
        <w:rPr>
          <w:rFonts w:ascii="Times New Roman" w:hAnsi="Times New Roman"/>
          <w:iCs/>
          <w:color w:val="131413"/>
          <w:sz w:val="20"/>
          <w:szCs w:val="20"/>
          <w:lang w:val="ms-MY"/>
        </w:rPr>
        <w:t xml:space="preserve">Macromolecular Metal Carboxylates and Their Nanocomposites. </w:t>
      </w:r>
      <w:r w:rsidRPr="002644E0">
        <w:rPr>
          <w:rFonts w:ascii="Times New Roman" w:hAnsi="Times New Roman"/>
          <w:i/>
          <w:iCs/>
          <w:color w:val="131413"/>
          <w:sz w:val="20"/>
          <w:szCs w:val="20"/>
          <w:lang w:val="ms-MY"/>
        </w:rPr>
        <w:t>Springer Series in Materials Science</w:t>
      </w:r>
      <w:r w:rsidRPr="002644E0">
        <w:rPr>
          <w:rFonts w:ascii="Times New Roman" w:hAnsi="Times New Roman"/>
          <w:color w:val="131413"/>
          <w:sz w:val="20"/>
          <w:szCs w:val="20"/>
          <w:lang w:val="ms-MY"/>
        </w:rPr>
        <w:t xml:space="preserve"> 138, 7-25.</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imes New Roman" w:hAnsi="Times New Roman"/>
          <w:sz w:val="20"/>
          <w:szCs w:val="20"/>
        </w:rPr>
        <w:t>Sulatha, M. S., and Natarajan, U. (2011) Origin of the Difference in Structural Behavior of Poly(acrylic acid) and Poly(methacrylic acid) in Aqueous Solution Discerned by Explicit-Solvent Explicit-Ion MD Simulations.</w:t>
      </w:r>
      <w:r w:rsidRPr="002644E0">
        <w:rPr>
          <w:sz w:val="20"/>
          <w:szCs w:val="20"/>
        </w:rPr>
        <w:t xml:space="preserve"> </w:t>
      </w:r>
      <w:r w:rsidRPr="002644E0">
        <w:rPr>
          <w:rFonts w:ascii="Times New Roman" w:hAnsi="Times New Roman"/>
          <w:i/>
          <w:iCs/>
          <w:sz w:val="20"/>
          <w:szCs w:val="20"/>
        </w:rPr>
        <w:t>Industrial Engineering and Chemistry Research</w:t>
      </w:r>
      <w:r w:rsidRPr="002644E0">
        <w:rPr>
          <w:rFonts w:ascii="Times New Roman" w:hAnsi="Times New Roman"/>
          <w:sz w:val="20"/>
          <w:szCs w:val="20"/>
        </w:rPr>
        <w:t xml:space="preserve"> 50 (21):11785–11796.</w:t>
      </w:r>
      <w:r w:rsidRPr="002644E0">
        <w:rPr>
          <w:rFonts w:asciiTheme="majorBidi" w:hAnsiTheme="majorBidi" w:cstheme="majorBidi"/>
          <w:color w:val="000000"/>
          <w:sz w:val="20"/>
          <w:szCs w:val="20"/>
        </w:rPr>
        <w:t xml:space="preserve"> </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Miller, J. N., and Miller, J. C. (2000). Calibration methods in instrumental analysis: regression and correlation. In Statistics and chemometrics for analytical chemistry, 4th edition, pp 107-147. England: Prentice Hall.</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Nicholls, I. A., Andersson, H. S., Charlton, C., Henschel, H., Karlsson, B. C. G., Karlsson, J. G., O‘Mahony, J., Rosengren, A. M., Rosengren, K. J. and Wikman, S. (2009). Review: Theoretical and computational strategies for rational molecularly imprinted polymer design. </w:t>
      </w:r>
      <w:r w:rsidRPr="002644E0">
        <w:rPr>
          <w:rFonts w:asciiTheme="majorBidi" w:hAnsiTheme="majorBidi" w:cstheme="majorBidi"/>
          <w:i/>
          <w:iCs/>
          <w:color w:val="000000"/>
          <w:sz w:val="20"/>
          <w:szCs w:val="20"/>
        </w:rPr>
        <w:t>Biosensors and Bioelectronics</w:t>
      </w:r>
      <w:r w:rsidRPr="002644E0">
        <w:rPr>
          <w:rFonts w:asciiTheme="majorBidi" w:hAnsiTheme="majorBidi" w:cstheme="majorBidi"/>
          <w:color w:val="000000"/>
          <w:sz w:val="20"/>
          <w:szCs w:val="20"/>
        </w:rPr>
        <w:t xml:space="preserve"> 25: 543–552</w:t>
      </w:r>
      <w:r w:rsidRPr="002644E0">
        <w:rPr>
          <w:rFonts w:asciiTheme="majorBidi" w:hAnsiTheme="majorBidi" w:cstheme="majorBidi"/>
          <w:sz w:val="20"/>
          <w:szCs w:val="20"/>
        </w:rPr>
        <w:t>.</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Gonz´alez, G. P., Hernando, P. F., Alegr´ia, J. S. D. (2006). A morphological study of molecularly imprinted polymers using the scanning electron microscope. Analytica Chimica Acta 557: 179–183.</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Haginaka, J., Tabo, H., Kagawa, H. (2008). Uniformly sized molecularly imprinted polymers for d-chlorpheniramine: Inﬂuence of a porogen on their morphology and enantioselectivity. </w:t>
      </w:r>
      <w:r w:rsidRPr="002644E0">
        <w:rPr>
          <w:rFonts w:asciiTheme="majorBidi" w:hAnsiTheme="majorBidi" w:cstheme="majorBidi"/>
          <w:i/>
          <w:iCs/>
          <w:color w:val="000000"/>
          <w:sz w:val="20"/>
          <w:szCs w:val="20"/>
        </w:rPr>
        <w:t>Journal of Pharmaceutical and Biomedical Analysis</w:t>
      </w:r>
      <w:r w:rsidRPr="002644E0">
        <w:rPr>
          <w:rFonts w:asciiTheme="majorBidi" w:hAnsiTheme="majorBidi" w:cstheme="majorBidi"/>
          <w:color w:val="000000"/>
          <w:sz w:val="20"/>
          <w:szCs w:val="20"/>
        </w:rPr>
        <w:t xml:space="preserve"> 46: 877–881.</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Condon, J. B. (2006). Surface Area and Porosity Determination by Physisorption: Measurement and Theory. Elsevier. 1-27. </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Sing, K. S. W., Everett, D. H., Haul, R. A. W., Moscou, L., Pierotti, R. A., Rouquérol, J., and Siemieniewska, T. (1985). Reporting Physisorption Data</w:t>
      </w:r>
      <w:r w:rsidRPr="002644E0">
        <w:rPr>
          <w:rFonts w:asciiTheme="majorBidi" w:hAnsiTheme="majorBidi" w:cstheme="majorBidi"/>
          <w:sz w:val="20"/>
          <w:szCs w:val="20"/>
        </w:rPr>
        <w:t xml:space="preserve"> </w:t>
      </w:r>
      <w:r w:rsidRPr="002644E0">
        <w:rPr>
          <w:rFonts w:asciiTheme="majorBidi" w:hAnsiTheme="majorBidi" w:cstheme="majorBidi"/>
          <w:color w:val="000000"/>
          <w:sz w:val="20"/>
          <w:szCs w:val="20"/>
        </w:rPr>
        <w:t>For Gas/Solid Systems with Special Reference to the Determination of Surface Area and Porosity</w:t>
      </w:r>
      <w:r w:rsidRPr="002644E0">
        <w:rPr>
          <w:rFonts w:asciiTheme="majorBidi" w:hAnsiTheme="majorBidi" w:cstheme="majorBidi"/>
          <w:i/>
          <w:iCs/>
          <w:color w:val="000000"/>
          <w:sz w:val="20"/>
          <w:szCs w:val="20"/>
        </w:rPr>
        <w:t>. Pure &amp; Applied Chemistry</w:t>
      </w:r>
      <w:r w:rsidRPr="002644E0">
        <w:rPr>
          <w:rFonts w:asciiTheme="majorBidi" w:hAnsiTheme="majorBidi" w:cstheme="majorBidi"/>
          <w:color w:val="000000"/>
          <w:sz w:val="20"/>
          <w:szCs w:val="20"/>
        </w:rPr>
        <w:t xml:space="preserve"> 57(4): 603—619.</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Qi, P., Wang, J., Wang, L., Li, Y., Jin, J., Su, F., Tian, Y., and Chen, J. (2010). Molecularly imprinted polymers synthesized via semi-covalent imprinting with sacriﬁcial spacer for imprint ing phenols. Polymer 51: 5417-5423.</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Barrett, E. P., Joyner, L. G., and Halenda, P. P. (1951). The Determination of Pore Volume and Area Distributions in Porous Substances. I. Computations from Nitrogen Isotherms. The Volume and Area Distributions In Porous </w:t>
      </w:r>
      <w:r w:rsidRPr="002644E0">
        <w:rPr>
          <w:rFonts w:asciiTheme="majorBidi" w:hAnsiTheme="majorBidi" w:cstheme="majorBidi"/>
          <w:i/>
          <w:iCs/>
          <w:color w:val="000000"/>
          <w:sz w:val="20"/>
          <w:szCs w:val="20"/>
        </w:rPr>
        <w:t>Substances</w:t>
      </w:r>
      <w:r w:rsidRPr="002644E0">
        <w:rPr>
          <w:rFonts w:asciiTheme="majorBidi" w:hAnsiTheme="majorBidi" w:cstheme="majorBidi"/>
          <w:color w:val="000000"/>
          <w:sz w:val="20"/>
          <w:szCs w:val="20"/>
        </w:rPr>
        <w:t xml:space="preserve"> 73: 373-380.</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Sellergen, B., and Shea, K. J. (1993). Influence of polymer morphology on the ability of imprinted network polymers to resolve enantiomers. Journal of Chromatography 635: 31-49. </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Masquè, N., Marcè, R. M., and Borrull, F. (2001). Molecularly imprinted polymers: new tailor-made materials for selective solid-phase extraction. </w:t>
      </w:r>
      <w:r w:rsidRPr="002644E0">
        <w:rPr>
          <w:rFonts w:asciiTheme="majorBidi" w:hAnsiTheme="majorBidi" w:cstheme="majorBidi"/>
          <w:i/>
          <w:iCs/>
          <w:color w:val="000000"/>
          <w:sz w:val="20"/>
          <w:szCs w:val="20"/>
        </w:rPr>
        <w:t>Trends in Analytical Chemistry</w:t>
      </w:r>
      <w:r w:rsidRPr="002644E0">
        <w:rPr>
          <w:rFonts w:asciiTheme="majorBidi" w:hAnsiTheme="majorBidi" w:cstheme="majorBidi"/>
          <w:color w:val="000000"/>
          <w:sz w:val="20"/>
          <w:szCs w:val="20"/>
        </w:rPr>
        <w:t xml:space="preserve"> 20(9): 477-486.</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Sellergen, B., and Hall, A. J. (2001). Fundamental aspects on the synthesis and characterisation of imprinted network polymers. In Molecularly imprinted polymers. Man-made mimics of antibodies and their applications in analytical chemistry: Techniques and instrumentation in analytical chemistry Volume 23, ed. B. Sellergen, pp 21-57. Amsterdam: Elsevier.</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Cormack, P. A. G., and Elorza, A. Z. (2004). Review: Molecularly imprinted polymers: synthesis and characterization. </w:t>
      </w:r>
      <w:r w:rsidRPr="002644E0">
        <w:rPr>
          <w:rFonts w:asciiTheme="majorBidi" w:hAnsiTheme="majorBidi" w:cstheme="majorBidi"/>
          <w:i/>
          <w:iCs/>
          <w:color w:val="000000"/>
          <w:sz w:val="20"/>
          <w:szCs w:val="20"/>
        </w:rPr>
        <w:t>Journal of Chromatography B</w:t>
      </w:r>
      <w:r w:rsidRPr="002644E0">
        <w:rPr>
          <w:rFonts w:asciiTheme="majorBidi" w:hAnsiTheme="majorBidi" w:cstheme="majorBidi"/>
          <w:color w:val="000000"/>
          <w:sz w:val="20"/>
          <w:szCs w:val="20"/>
        </w:rPr>
        <w:t xml:space="preserve"> 804: 173–182.</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Dong, W., Yan, M., Liu, Z., Wu, G., and Li, Y. (2007). Effects of solvents on the adsorption selectivity of molecularly imprinted polymers: Molecular simulation and experimental validation. </w:t>
      </w:r>
      <w:r w:rsidRPr="002644E0">
        <w:rPr>
          <w:rFonts w:asciiTheme="majorBidi" w:hAnsiTheme="majorBidi" w:cstheme="majorBidi"/>
          <w:i/>
          <w:iCs/>
          <w:color w:val="000000"/>
          <w:sz w:val="20"/>
          <w:szCs w:val="20"/>
        </w:rPr>
        <w:t>Separation and Puriﬁcation Technology</w:t>
      </w:r>
      <w:r w:rsidRPr="002644E0">
        <w:rPr>
          <w:rFonts w:asciiTheme="majorBidi" w:hAnsiTheme="majorBidi" w:cstheme="majorBidi"/>
          <w:color w:val="000000"/>
          <w:sz w:val="20"/>
          <w:szCs w:val="20"/>
        </w:rPr>
        <w:t xml:space="preserve"> 53: 183–188.</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Spivak, D. (2005). Optimization, evaluation, and characterization of molecularly imprinted polymers. Advanced Drug Delivery Reviews 57: 1779– 1794. </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Saloni, J., Lipkowski, P., Dasary, S. S. R., Anjaneyulu, Y., Yu, H. and Jr, G. H. (2011). Theoretical study of molecular interactions of TNT, acrylic acid, and ethylene glycol dimethacrylate-Elements of molecularly imprinted polymer modeling process. </w:t>
      </w:r>
      <w:r w:rsidRPr="002644E0">
        <w:rPr>
          <w:rFonts w:asciiTheme="majorBidi" w:hAnsiTheme="majorBidi" w:cstheme="majorBidi"/>
          <w:i/>
          <w:iCs/>
          <w:color w:val="000000"/>
          <w:sz w:val="20"/>
          <w:szCs w:val="20"/>
        </w:rPr>
        <w:t xml:space="preserve">Polymer </w:t>
      </w:r>
      <w:r w:rsidRPr="002644E0">
        <w:rPr>
          <w:rFonts w:asciiTheme="majorBidi" w:hAnsiTheme="majorBidi" w:cstheme="majorBidi"/>
          <w:color w:val="000000"/>
          <w:sz w:val="20"/>
          <w:szCs w:val="20"/>
        </w:rPr>
        <w:t>52: 1206-1216.</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Harwood, L. M., Moody, C. J., and Percy, J. M. (1999). Experimental Organic Chemistry: standard and microscale. 2nd edition. Malden, MA: Blackwell, Science Publishing. 276-305.</w:t>
      </w:r>
    </w:p>
    <w:p w:rsidR="002644E0" w:rsidRPr="002644E0" w:rsidRDefault="002644E0" w:rsidP="002644E0">
      <w:pPr>
        <w:pStyle w:val="ListParagraph"/>
        <w:numPr>
          <w:ilvl w:val="0"/>
          <w:numId w:val="2"/>
        </w:numPr>
        <w:spacing w:after="0" w:line="240" w:lineRule="auto"/>
        <w:ind w:left="360"/>
        <w:jc w:val="both"/>
        <w:rPr>
          <w:rFonts w:asciiTheme="majorBidi" w:hAnsiTheme="majorBidi" w:cstheme="majorBidi"/>
          <w:color w:val="000000"/>
          <w:sz w:val="20"/>
          <w:szCs w:val="20"/>
        </w:rPr>
      </w:pPr>
      <w:r w:rsidRPr="002644E0">
        <w:rPr>
          <w:rFonts w:asciiTheme="majorBidi" w:hAnsiTheme="majorBidi" w:cstheme="majorBidi"/>
          <w:color w:val="000000"/>
          <w:sz w:val="20"/>
          <w:szCs w:val="20"/>
        </w:rPr>
        <w:t xml:space="preserve">Xie, C., Liu, B., Wang, Z., Gao, D., Guan, G. and Zhang, Z. (2008). Molecular Imprinting at Walls of Silica Nanotubes for TNT Recognition. </w:t>
      </w:r>
      <w:r w:rsidRPr="002644E0">
        <w:rPr>
          <w:rFonts w:asciiTheme="majorBidi" w:hAnsiTheme="majorBidi" w:cstheme="majorBidi"/>
          <w:i/>
          <w:iCs/>
          <w:color w:val="000000"/>
          <w:sz w:val="20"/>
          <w:szCs w:val="20"/>
        </w:rPr>
        <w:t>Analytical Chemistry</w:t>
      </w:r>
      <w:r w:rsidRPr="002644E0">
        <w:rPr>
          <w:rFonts w:asciiTheme="majorBidi" w:hAnsiTheme="majorBidi" w:cstheme="majorBidi"/>
          <w:color w:val="000000"/>
          <w:sz w:val="20"/>
          <w:szCs w:val="20"/>
        </w:rPr>
        <w:t xml:space="preserve"> 80(2): 437-443.</w:t>
      </w:r>
    </w:p>
    <w:p w:rsidR="00E66197" w:rsidRPr="007A738C" w:rsidRDefault="00E66197" w:rsidP="002644E0">
      <w:pPr>
        <w:spacing w:after="0" w:line="240" w:lineRule="auto"/>
        <w:rPr>
          <w:rFonts w:ascii="Times New Roman" w:hAnsi="Times New Roman"/>
          <w:noProof/>
          <w:lang w:bidi="ar-SA"/>
        </w:rPr>
      </w:pPr>
    </w:p>
    <w:sectPr w:rsidR="00E66197" w:rsidRPr="007A738C" w:rsidSect="00A4681C">
      <w:headerReference w:type="even" r:id="rId17"/>
      <w:headerReference w:type="default" r:id="rId18"/>
      <w:footerReference w:type="even" r:id="rId19"/>
      <w:footerReference w:type="default" r:id="rId20"/>
      <w:pgSz w:w="12240" w:h="15840" w:code="1"/>
      <w:pgMar w:top="1800" w:right="1469" w:bottom="1699" w:left="1440" w:header="706" w:footer="706" w:gutter="0"/>
      <w:pgNumType w:start="57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2C" w:rsidRDefault="001D6F2C" w:rsidP="00FB4C59">
      <w:pPr>
        <w:spacing w:after="0" w:line="240" w:lineRule="auto"/>
      </w:pPr>
      <w:r>
        <w:separator/>
      </w:r>
    </w:p>
  </w:endnote>
  <w:endnote w:type="continuationSeparator" w:id="0">
    <w:p w:rsidR="001D6F2C" w:rsidRDefault="001D6F2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7A0564">
      <w:rPr>
        <w:rFonts w:ascii="Times New Roman" w:hAnsi="Times New Roman"/>
        <w:noProof/>
      </w:rPr>
      <w:t>574</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7A0564">
      <w:rPr>
        <w:rFonts w:ascii="Times New Roman" w:hAnsi="Times New Roman"/>
        <w:noProof/>
      </w:rPr>
      <w:t>575</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2C" w:rsidRDefault="001D6F2C" w:rsidP="00FB4C59">
      <w:pPr>
        <w:spacing w:after="0" w:line="240" w:lineRule="auto"/>
      </w:pPr>
      <w:r>
        <w:separator/>
      </w:r>
    </w:p>
  </w:footnote>
  <w:footnote w:type="continuationSeparator" w:id="0">
    <w:p w:rsidR="001D6F2C" w:rsidRDefault="001D6F2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2644E0"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802C35">
      <w:rPr>
        <w:rFonts w:ascii="Times New Roman" w:hAnsi="Times New Roman"/>
        <w:i/>
        <w:lang w:val="en-US"/>
      </w:rPr>
      <w:t>No 3</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2644E0">
      <w:rPr>
        <w:rFonts w:ascii="Times New Roman" w:hAnsi="Times New Roman"/>
        <w:i/>
        <w:lang w:val="en-US"/>
      </w:rPr>
      <w:t>574 - 585</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2644E0" w:rsidRDefault="002644E0" w:rsidP="002644E0">
    <w:pPr>
      <w:pStyle w:val="Header"/>
      <w:ind w:left="1260" w:hanging="1260"/>
      <w:rPr>
        <w:rFonts w:ascii="Times New Roman" w:hAnsi="Times New Roman"/>
        <w:lang w:val="en-US"/>
      </w:rPr>
    </w:pPr>
    <w:r>
      <w:rPr>
        <w:rFonts w:ascii="Times New Roman" w:hAnsi="Times New Roman"/>
        <w:lang w:val="en-US"/>
      </w:rPr>
      <w:t>Marinah et al</w:t>
    </w:r>
    <w:r w:rsidR="008E6968" w:rsidRPr="002644E0">
      <w:rPr>
        <w:rFonts w:ascii="Times New Roman" w:hAnsi="Times New Roman"/>
        <w:lang w:val="en-US"/>
      </w:rPr>
      <w:t xml:space="preserve">:  </w:t>
    </w:r>
    <w:r>
      <w:rPr>
        <w:rFonts w:ascii="Times New Roman" w:hAnsi="Times New Roman"/>
        <w:lang w:val="en-US"/>
      </w:rPr>
      <w:tab/>
    </w:r>
    <w:r w:rsidRPr="002644E0">
      <w:rPr>
        <w:rFonts w:asciiTheme="majorBidi" w:hAnsiTheme="majorBidi" w:cstheme="majorBidi"/>
        <w:bCs/>
        <w:lang w:val="en-US"/>
      </w:rPr>
      <w:t>SELECTIVE SURFACE CHARACTERISTICS AND EXTRACTION PERFORMANCE OF A NITRO-GROUP EXPLOSIVE MOLECULARLY IMPRINTED POLYMER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F47CD"/>
    <w:multiLevelType w:val="hybridMultilevel"/>
    <w:tmpl w:val="7572F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C49FF"/>
    <w:rsid w:val="000F77DA"/>
    <w:rsid w:val="001068E8"/>
    <w:rsid w:val="00117BCD"/>
    <w:rsid w:val="001D035A"/>
    <w:rsid w:val="001D3855"/>
    <w:rsid w:val="001D6F2C"/>
    <w:rsid w:val="002644E0"/>
    <w:rsid w:val="002B188F"/>
    <w:rsid w:val="002B3BD8"/>
    <w:rsid w:val="002F3F91"/>
    <w:rsid w:val="00304767"/>
    <w:rsid w:val="00304B34"/>
    <w:rsid w:val="00361BAF"/>
    <w:rsid w:val="00367D1F"/>
    <w:rsid w:val="003D585B"/>
    <w:rsid w:val="003E7DA6"/>
    <w:rsid w:val="003F12FF"/>
    <w:rsid w:val="00401741"/>
    <w:rsid w:val="004760D4"/>
    <w:rsid w:val="004D6746"/>
    <w:rsid w:val="005C6768"/>
    <w:rsid w:val="00634C25"/>
    <w:rsid w:val="006416AB"/>
    <w:rsid w:val="006768E9"/>
    <w:rsid w:val="00687982"/>
    <w:rsid w:val="006B3EC8"/>
    <w:rsid w:val="006D695E"/>
    <w:rsid w:val="00725A6A"/>
    <w:rsid w:val="00756435"/>
    <w:rsid w:val="007943F3"/>
    <w:rsid w:val="007A0564"/>
    <w:rsid w:val="007A738C"/>
    <w:rsid w:val="007B1349"/>
    <w:rsid w:val="00802C35"/>
    <w:rsid w:val="0082181A"/>
    <w:rsid w:val="008B470E"/>
    <w:rsid w:val="008E5BBF"/>
    <w:rsid w:val="008E6968"/>
    <w:rsid w:val="00A14DB9"/>
    <w:rsid w:val="00A4681C"/>
    <w:rsid w:val="00A4762A"/>
    <w:rsid w:val="00AD1B8A"/>
    <w:rsid w:val="00AE713F"/>
    <w:rsid w:val="00B1121C"/>
    <w:rsid w:val="00B25B65"/>
    <w:rsid w:val="00B2770A"/>
    <w:rsid w:val="00B314AD"/>
    <w:rsid w:val="00B75BF6"/>
    <w:rsid w:val="00BA1F7B"/>
    <w:rsid w:val="00BB58AF"/>
    <w:rsid w:val="00BE7C30"/>
    <w:rsid w:val="00C055BF"/>
    <w:rsid w:val="00C2226A"/>
    <w:rsid w:val="00C94D92"/>
    <w:rsid w:val="00C97340"/>
    <w:rsid w:val="00CA513F"/>
    <w:rsid w:val="00CF05FF"/>
    <w:rsid w:val="00D340BB"/>
    <w:rsid w:val="00D505D5"/>
    <w:rsid w:val="00D75B35"/>
    <w:rsid w:val="00D76E09"/>
    <w:rsid w:val="00D9736F"/>
    <w:rsid w:val="00D9792A"/>
    <w:rsid w:val="00E66197"/>
    <w:rsid w:val="00F31093"/>
    <w:rsid w:val="00F43667"/>
    <w:rsid w:val="00F447A7"/>
    <w:rsid w:val="00FB4C59"/>
    <w:rsid w:val="00FC031E"/>
    <w:rsid w:val="00FD2F82"/>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itle1">
    <w:name w:val="Title1"/>
    <w:basedOn w:val="Normal"/>
    <w:next w:val="Normal"/>
    <w:rsid w:val="004D6746"/>
    <w:pPr>
      <w:spacing w:before="230" w:after="230" w:line="400" w:lineRule="exact"/>
    </w:pPr>
    <w:rPr>
      <w:rFonts w:ascii="Arial" w:eastAsia="MS Mincho" w:hAnsi="Arial"/>
      <w:b/>
      <w:sz w:val="36"/>
      <w:szCs w:val="28"/>
      <w:lang w:val="de-DE" w:eastAsia="ja-JP" w:bidi="ar-SA"/>
    </w:rPr>
  </w:style>
  <w:style w:type="character" w:styleId="Hyperlink">
    <w:name w:val="Hyperlink"/>
    <w:basedOn w:val="DefaultParagraphFont"/>
    <w:uiPriority w:val="99"/>
    <w:unhideWhenUsed/>
    <w:rsid w:val="004D6746"/>
    <w:rPr>
      <w:color w:val="0000FF" w:themeColor="hyperlink"/>
      <w:u w:val="single"/>
    </w:rPr>
  </w:style>
  <w:style w:type="paragraph" w:customStyle="1" w:styleId="FigureCaption">
    <w:name w:val="FigureCaption"/>
    <w:basedOn w:val="Normal"/>
    <w:rsid w:val="004D6746"/>
    <w:pPr>
      <w:spacing w:before="120" w:after="120" w:line="240" w:lineRule="auto"/>
    </w:pPr>
    <w:rPr>
      <w:rFonts w:ascii="Times New Roman" w:hAnsi="Times New Roman"/>
      <w:noProof/>
      <w:color w:val="FF0000"/>
      <w:sz w:val="20"/>
      <w:szCs w:val="20"/>
      <w:lang w:val="de-DE" w:eastAsia="de-DE" w:bidi="ar-SA"/>
    </w:rPr>
  </w:style>
  <w:style w:type="paragraph" w:customStyle="1" w:styleId="TableCaption">
    <w:name w:val="TableCaption"/>
    <w:basedOn w:val="Normal"/>
    <w:rsid w:val="004D6746"/>
    <w:pPr>
      <w:spacing w:before="120" w:after="120" w:line="240" w:lineRule="auto"/>
    </w:pPr>
    <w:rPr>
      <w:rFonts w:ascii="Times New Roman" w:hAnsi="Times New Roman"/>
      <w:noProof/>
      <w:color w:val="FF0000"/>
      <w:sz w:val="20"/>
      <w:szCs w:val="20"/>
      <w:lang w:val="de-DE" w:eastAsia="de-DE" w:bidi="ar-SA"/>
    </w:rPr>
  </w:style>
  <w:style w:type="paragraph" w:customStyle="1" w:styleId="TableHead">
    <w:name w:val="TableHead"/>
    <w:basedOn w:val="Normal"/>
    <w:rsid w:val="004D6746"/>
    <w:pPr>
      <w:spacing w:after="0" w:line="240" w:lineRule="auto"/>
    </w:pPr>
    <w:rPr>
      <w:rFonts w:ascii="Times New Roman" w:hAnsi="Times New Roman"/>
      <w:color w:val="000080"/>
      <w:sz w:val="16"/>
      <w:szCs w:val="16"/>
      <w:lang w:val="de-DE" w:eastAsia="de-DE" w:bidi="ar-SA"/>
    </w:rPr>
  </w:style>
  <w:style w:type="paragraph" w:customStyle="1" w:styleId="TableFoot">
    <w:name w:val="TableFoot"/>
    <w:basedOn w:val="Normal"/>
    <w:rsid w:val="004D6746"/>
    <w:pPr>
      <w:spacing w:after="0" w:line="240" w:lineRule="auto"/>
    </w:pPr>
    <w:rPr>
      <w:rFonts w:ascii="Times New Roman" w:hAnsi="Times New Roman"/>
      <w:sz w:val="20"/>
      <w:szCs w:val="20"/>
      <w:lang w:val="de-DE" w:eastAsia="de-DE" w:bidi="ar-SA"/>
    </w:rPr>
  </w:style>
  <w:style w:type="paragraph" w:customStyle="1" w:styleId="H2">
    <w:name w:val="H2"/>
    <w:basedOn w:val="Normal"/>
    <w:next w:val="Normal"/>
    <w:rsid w:val="004D6746"/>
    <w:pPr>
      <w:keepNext/>
      <w:spacing w:before="180" w:after="120" w:line="240" w:lineRule="auto"/>
    </w:pPr>
    <w:rPr>
      <w:rFonts w:ascii="Times New Roman" w:hAnsi="Times New Roman"/>
      <w:b/>
      <w:noProof/>
      <w:color w:val="000000"/>
      <w:kern w:val="36"/>
      <w:sz w:val="24"/>
      <w:szCs w:val="20"/>
      <w:lang w:val="de-DE" w:eastAsia="de-DE" w:bidi="ar-SA"/>
    </w:rPr>
  </w:style>
  <w:style w:type="paragraph" w:customStyle="1" w:styleId="P1">
    <w:name w:val="P1"/>
    <w:basedOn w:val="Normal"/>
    <w:rsid w:val="004D6746"/>
    <w:pPr>
      <w:spacing w:after="0" w:line="240" w:lineRule="auto"/>
      <w:ind w:firstLine="709"/>
      <w:jc w:val="both"/>
    </w:pPr>
    <w:rPr>
      <w:rFonts w:ascii="Times New Roman" w:hAnsi="Times New Roman"/>
      <w:sz w:val="20"/>
      <w:szCs w:val="20"/>
      <w:lang w:val="de-DE" w:eastAsia="de-DE" w:bidi="ar-SA"/>
    </w:rPr>
  </w:style>
  <w:style w:type="paragraph" w:customStyle="1" w:styleId="P2">
    <w:name w:val="P2"/>
    <w:basedOn w:val="Normal"/>
    <w:rsid w:val="004D6746"/>
    <w:pPr>
      <w:spacing w:after="0" w:line="240" w:lineRule="auto"/>
      <w:jc w:val="both"/>
    </w:pPr>
    <w:rPr>
      <w:rFonts w:ascii="Times New Roman" w:hAnsi="Times New Roman"/>
      <w:sz w:val="16"/>
      <w:szCs w:val="20"/>
      <w:lang w:val="de-DE" w:eastAsia="de-DE" w:bidi="ar-SA"/>
    </w:rPr>
  </w:style>
  <w:style w:type="paragraph" w:customStyle="1" w:styleId="P3">
    <w:name w:val="P3"/>
    <w:basedOn w:val="P1"/>
    <w:rsid w:val="004D6746"/>
    <w:pPr>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itle1">
    <w:name w:val="Title1"/>
    <w:basedOn w:val="Normal"/>
    <w:next w:val="Normal"/>
    <w:rsid w:val="004D6746"/>
    <w:pPr>
      <w:spacing w:before="230" w:after="230" w:line="400" w:lineRule="exact"/>
    </w:pPr>
    <w:rPr>
      <w:rFonts w:ascii="Arial" w:eastAsia="MS Mincho" w:hAnsi="Arial"/>
      <w:b/>
      <w:sz w:val="36"/>
      <w:szCs w:val="28"/>
      <w:lang w:val="de-DE" w:eastAsia="ja-JP" w:bidi="ar-SA"/>
    </w:rPr>
  </w:style>
  <w:style w:type="character" w:styleId="Hyperlink">
    <w:name w:val="Hyperlink"/>
    <w:basedOn w:val="DefaultParagraphFont"/>
    <w:uiPriority w:val="99"/>
    <w:unhideWhenUsed/>
    <w:rsid w:val="004D6746"/>
    <w:rPr>
      <w:color w:val="0000FF" w:themeColor="hyperlink"/>
      <w:u w:val="single"/>
    </w:rPr>
  </w:style>
  <w:style w:type="paragraph" w:customStyle="1" w:styleId="FigureCaption">
    <w:name w:val="FigureCaption"/>
    <w:basedOn w:val="Normal"/>
    <w:rsid w:val="004D6746"/>
    <w:pPr>
      <w:spacing w:before="120" w:after="120" w:line="240" w:lineRule="auto"/>
    </w:pPr>
    <w:rPr>
      <w:rFonts w:ascii="Times New Roman" w:hAnsi="Times New Roman"/>
      <w:noProof/>
      <w:color w:val="FF0000"/>
      <w:sz w:val="20"/>
      <w:szCs w:val="20"/>
      <w:lang w:val="de-DE" w:eastAsia="de-DE" w:bidi="ar-SA"/>
    </w:rPr>
  </w:style>
  <w:style w:type="paragraph" w:customStyle="1" w:styleId="TableCaption">
    <w:name w:val="TableCaption"/>
    <w:basedOn w:val="Normal"/>
    <w:rsid w:val="004D6746"/>
    <w:pPr>
      <w:spacing w:before="120" w:after="120" w:line="240" w:lineRule="auto"/>
    </w:pPr>
    <w:rPr>
      <w:rFonts w:ascii="Times New Roman" w:hAnsi="Times New Roman"/>
      <w:noProof/>
      <w:color w:val="FF0000"/>
      <w:sz w:val="20"/>
      <w:szCs w:val="20"/>
      <w:lang w:val="de-DE" w:eastAsia="de-DE" w:bidi="ar-SA"/>
    </w:rPr>
  </w:style>
  <w:style w:type="paragraph" w:customStyle="1" w:styleId="TableHead">
    <w:name w:val="TableHead"/>
    <w:basedOn w:val="Normal"/>
    <w:rsid w:val="004D6746"/>
    <w:pPr>
      <w:spacing w:after="0" w:line="240" w:lineRule="auto"/>
    </w:pPr>
    <w:rPr>
      <w:rFonts w:ascii="Times New Roman" w:hAnsi="Times New Roman"/>
      <w:color w:val="000080"/>
      <w:sz w:val="16"/>
      <w:szCs w:val="16"/>
      <w:lang w:val="de-DE" w:eastAsia="de-DE" w:bidi="ar-SA"/>
    </w:rPr>
  </w:style>
  <w:style w:type="paragraph" w:customStyle="1" w:styleId="TableFoot">
    <w:name w:val="TableFoot"/>
    <w:basedOn w:val="Normal"/>
    <w:rsid w:val="004D6746"/>
    <w:pPr>
      <w:spacing w:after="0" w:line="240" w:lineRule="auto"/>
    </w:pPr>
    <w:rPr>
      <w:rFonts w:ascii="Times New Roman" w:hAnsi="Times New Roman"/>
      <w:sz w:val="20"/>
      <w:szCs w:val="20"/>
      <w:lang w:val="de-DE" w:eastAsia="de-DE" w:bidi="ar-SA"/>
    </w:rPr>
  </w:style>
  <w:style w:type="paragraph" w:customStyle="1" w:styleId="H2">
    <w:name w:val="H2"/>
    <w:basedOn w:val="Normal"/>
    <w:next w:val="Normal"/>
    <w:rsid w:val="004D6746"/>
    <w:pPr>
      <w:keepNext/>
      <w:spacing w:before="180" w:after="120" w:line="240" w:lineRule="auto"/>
    </w:pPr>
    <w:rPr>
      <w:rFonts w:ascii="Times New Roman" w:hAnsi="Times New Roman"/>
      <w:b/>
      <w:noProof/>
      <w:color w:val="000000"/>
      <w:kern w:val="36"/>
      <w:sz w:val="24"/>
      <w:szCs w:val="20"/>
      <w:lang w:val="de-DE" w:eastAsia="de-DE" w:bidi="ar-SA"/>
    </w:rPr>
  </w:style>
  <w:style w:type="paragraph" w:customStyle="1" w:styleId="P1">
    <w:name w:val="P1"/>
    <w:basedOn w:val="Normal"/>
    <w:rsid w:val="004D6746"/>
    <w:pPr>
      <w:spacing w:after="0" w:line="240" w:lineRule="auto"/>
      <w:ind w:firstLine="709"/>
      <w:jc w:val="both"/>
    </w:pPr>
    <w:rPr>
      <w:rFonts w:ascii="Times New Roman" w:hAnsi="Times New Roman"/>
      <w:sz w:val="20"/>
      <w:szCs w:val="20"/>
      <w:lang w:val="de-DE" w:eastAsia="de-DE" w:bidi="ar-SA"/>
    </w:rPr>
  </w:style>
  <w:style w:type="paragraph" w:customStyle="1" w:styleId="P2">
    <w:name w:val="P2"/>
    <w:basedOn w:val="Normal"/>
    <w:rsid w:val="004D6746"/>
    <w:pPr>
      <w:spacing w:after="0" w:line="240" w:lineRule="auto"/>
      <w:jc w:val="both"/>
    </w:pPr>
    <w:rPr>
      <w:rFonts w:ascii="Times New Roman" w:hAnsi="Times New Roman"/>
      <w:sz w:val="16"/>
      <w:szCs w:val="20"/>
      <w:lang w:val="de-DE" w:eastAsia="de-DE" w:bidi="ar-SA"/>
    </w:rPr>
  </w:style>
  <w:style w:type="paragraph" w:customStyle="1" w:styleId="P3">
    <w:name w:val="P3"/>
    <w:basedOn w:val="P1"/>
    <w:rsid w:val="004D6746"/>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81EA1-FDAF-46D5-80DF-72548A027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5333</Words>
  <Characters>30401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35663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2</cp:revision>
  <dcterms:created xsi:type="dcterms:W3CDTF">2015-06-04T04:53:00Z</dcterms:created>
  <dcterms:modified xsi:type="dcterms:W3CDTF">2015-06-04T04:53:00Z</dcterms:modified>
</cp:coreProperties>
</file>