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93F" w:rsidRDefault="000C693F" w:rsidP="000C693F">
      <w:pPr>
        <w:spacing w:after="0" w:line="240" w:lineRule="auto"/>
        <w:rPr>
          <w:rFonts w:ascii="Times New Roman" w:hAnsi="Times New Roman"/>
          <w:sz w:val="24"/>
          <w:szCs w:val="24"/>
        </w:rPr>
      </w:pPr>
      <w:r>
        <w:rPr>
          <w:rFonts w:ascii="Times New Roman" w:hAnsi="Times New Roman"/>
          <w:sz w:val="24"/>
          <w:szCs w:val="24"/>
        </w:rPr>
        <w:t>Malaysian Journal of Analytical Sciences Vol 19 No 2 (2015): 300 – 308</w:t>
      </w:r>
    </w:p>
    <w:p w:rsidR="000C693F" w:rsidRDefault="000C693F" w:rsidP="000C693F">
      <w:pPr>
        <w:spacing w:after="0" w:line="240" w:lineRule="auto"/>
        <w:rPr>
          <w:rFonts w:ascii="Times New Roman" w:hAnsi="Times New Roman"/>
          <w:sz w:val="24"/>
          <w:szCs w:val="24"/>
        </w:rPr>
      </w:pPr>
    </w:p>
    <w:p w:rsidR="000C693F" w:rsidRDefault="000C693F" w:rsidP="000C693F">
      <w:pPr>
        <w:spacing w:after="0" w:line="240" w:lineRule="auto"/>
        <w:rPr>
          <w:rFonts w:ascii="Times New Roman" w:hAnsi="Times New Roman"/>
          <w:sz w:val="24"/>
          <w:szCs w:val="24"/>
        </w:rPr>
      </w:pPr>
    </w:p>
    <w:p w:rsidR="000C693F" w:rsidRPr="000C693F" w:rsidRDefault="000C693F" w:rsidP="000C693F">
      <w:pPr>
        <w:spacing w:after="0" w:line="240" w:lineRule="auto"/>
        <w:rPr>
          <w:rFonts w:ascii="Times New Roman" w:hAnsi="Times New Roman"/>
          <w:sz w:val="24"/>
          <w:szCs w:val="24"/>
        </w:rPr>
      </w:pPr>
      <w:bookmarkStart w:id="0" w:name="_GoBack"/>
      <w:bookmarkEnd w:id="0"/>
    </w:p>
    <w:p w:rsidR="000C693F" w:rsidRPr="0026086C" w:rsidRDefault="000C693F" w:rsidP="000C693F">
      <w:pPr>
        <w:spacing w:after="0" w:line="240" w:lineRule="auto"/>
        <w:jc w:val="center"/>
        <w:rPr>
          <w:rFonts w:ascii="Times New Roman" w:hAnsi="Times New Roman"/>
          <w:sz w:val="28"/>
          <w:szCs w:val="28"/>
        </w:rPr>
      </w:pPr>
      <w:r w:rsidRPr="0026086C">
        <w:rPr>
          <w:rFonts w:ascii="Times New Roman" w:hAnsi="Times New Roman"/>
          <w:sz w:val="28"/>
          <w:szCs w:val="28"/>
        </w:rPr>
        <w:t>PENENTUAN AKTIVITI RADIONUKLID SERTA IMPAK RADIOLOGI MELALUI PENGAMBILAN SUSU TEPUNG, TEPUNG GANDUM, TEH DAN KOPI</w:t>
      </w:r>
    </w:p>
    <w:p w:rsidR="000C693F" w:rsidRPr="00F447A7" w:rsidRDefault="000C693F" w:rsidP="000C693F">
      <w:pPr>
        <w:spacing w:after="0" w:line="240" w:lineRule="auto"/>
        <w:jc w:val="center"/>
        <w:rPr>
          <w:rFonts w:ascii="Times New Roman" w:hAnsi="Times New Roman"/>
          <w:noProof/>
          <w:sz w:val="24"/>
          <w:szCs w:val="24"/>
          <w:lang w:bidi="ar-SA"/>
        </w:rPr>
      </w:pPr>
    </w:p>
    <w:p w:rsidR="000C693F" w:rsidRPr="00F447A7" w:rsidRDefault="000C693F" w:rsidP="000C693F">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26086C">
        <w:rPr>
          <w:rFonts w:ascii="Times New Roman" w:hAnsi="Times New Roman"/>
          <w:sz w:val="24"/>
          <w:szCs w:val="24"/>
        </w:rPr>
        <w:t>Determination of Radionuclide Activity and Radiological Impact from the Intake of Milk, Wheat Flour, Tea and Coffee</w:t>
      </w:r>
      <w:r w:rsidRPr="00F447A7">
        <w:rPr>
          <w:rFonts w:ascii="Times New Roman" w:hAnsi="Times New Roman"/>
          <w:noProof/>
          <w:sz w:val="24"/>
          <w:szCs w:val="24"/>
          <w:lang w:bidi="ar-SA"/>
        </w:rPr>
        <w:t>)</w:t>
      </w:r>
    </w:p>
    <w:p w:rsidR="000C693F" w:rsidRPr="00F447A7" w:rsidRDefault="000C693F" w:rsidP="000C693F">
      <w:pPr>
        <w:spacing w:after="0" w:line="240" w:lineRule="auto"/>
        <w:jc w:val="center"/>
        <w:rPr>
          <w:rFonts w:ascii="Times New Roman" w:hAnsi="Times New Roman"/>
          <w:noProof/>
          <w:sz w:val="20"/>
          <w:szCs w:val="20"/>
          <w:lang w:bidi="ar-SA"/>
        </w:rPr>
      </w:pPr>
    </w:p>
    <w:p w:rsidR="000C693F" w:rsidRPr="00E85605" w:rsidRDefault="000C693F" w:rsidP="000C693F">
      <w:pPr>
        <w:spacing w:after="0" w:line="240" w:lineRule="auto"/>
        <w:jc w:val="center"/>
        <w:rPr>
          <w:rFonts w:ascii="Times New Roman" w:hAnsi="Times New Roman"/>
          <w:sz w:val="20"/>
          <w:szCs w:val="20"/>
          <w:vertAlign w:val="superscript"/>
        </w:rPr>
      </w:pPr>
      <w:r w:rsidRPr="00E85605">
        <w:rPr>
          <w:rFonts w:ascii="Times New Roman" w:hAnsi="Times New Roman"/>
          <w:sz w:val="20"/>
          <w:szCs w:val="20"/>
        </w:rPr>
        <w:t>Nik Nadia Hazwani</w:t>
      </w:r>
      <w:r>
        <w:rPr>
          <w:rFonts w:ascii="Times New Roman" w:hAnsi="Times New Roman"/>
          <w:sz w:val="20"/>
          <w:szCs w:val="20"/>
        </w:rPr>
        <w:t xml:space="preserve"> Nek Kamal</w:t>
      </w:r>
      <w:r w:rsidRPr="00E85605">
        <w:rPr>
          <w:rFonts w:ascii="Times New Roman" w:hAnsi="Times New Roman"/>
          <w:sz w:val="20"/>
          <w:szCs w:val="20"/>
          <w:vertAlign w:val="superscript"/>
        </w:rPr>
        <w:t>1</w:t>
      </w:r>
      <w:r w:rsidRPr="00E85605">
        <w:rPr>
          <w:rFonts w:ascii="Times New Roman" w:hAnsi="Times New Roman"/>
          <w:sz w:val="20"/>
          <w:szCs w:val="20"/>
        </w:rPr>
        <w:t>*, Norafatin Khalid</w:t>
      </w:r>
      <w:r w:rsidRPr="00E85605">
        <w:rPr>
          <w:rFonts w:ascii="Times New Roman" w:hAnsi="Times New Roman"/>
          <w:sz w:val="20"/>
          <w:szCs w:val="20"/>
          <w:vertAlign w:val="superscript"/>
        </w:rPr>
        <w:t>2</w:t>
      </w:r>
      <w:r w:rsidRPr="00E85605">
        <w:rPr>
          <w:rFonts w:ascii="Times New Roman" w:hAnsi="Times New Roman"/>
          <w:sz w:val="20"/>
          <w:szCs w:val="20"/>
        </w:rPr>
        <w:t>, Che Nor Aniza Che Zainul Bahri</w:t>
      </w:r>
      <w:r w:rsidRPr="00E85605">
        <w:rPr>
          <w:rFonts w:ascii="Times New Roman" w:hAnsi="Times New Roman"/>
          <w:sz w:val="20"/>
          <w:szCs w:val="20"/>
          <w:vertAlign w:val="superscript"/>
        </w:rPr>
        <w:t>2</w:t>
      </w:r>
      <w:r>
        <w:rPr>
          <w:rFonts w:ascii="Times New Roman" w:hAnsi="Times New Roman"/>
          <w:sz w:val="20"/>
          <w:szCs w:val="20"/>
        </w:rPr>
        <w:t xml:space="preserve">, </w:t>
      </w:r>
      <w:r w:rsidRPr="00E85605">
        <w:rPr>
          <w:rFonts w:ascii="Times New Roman" w:hAnsi="Times New Roman"/>
          <w:sz w:val="20"/>
          <w:szCs w:val="20"/>
        </w:rPr>
        <w:t xml:space="preserve"> Amran Ab Majid</w:t>
      </w:r>
      <w:r w:rsidRPr="00E85605">
        <w:rPr>
          <w:rFonts w:ascii="Times New Roman" w:hAnsi="Times New Roman"/>
          <w:sz w:val="20"/>
          <w:szCs w:val="20"/>
          <w:vertAlign w:val="superscript"/>
        </w:rPr>
        <w:t>2</w:t>
      </w:r>
    </w:p>
    <w:p w:rsidR="000C693F" w:rsidRPr="00700090" w:rsidRDefault="000C693F" w:rsidP="000C693F">
      <w:pPr>
        <w:spacing w:after="0" w:line="240" w:lineRule="auto"/>
        <w:jc w:val="center"/>
        <w:rPr>
          <w:rFonts w:ascii="Times New Roman" w:hAnsi="Times New Roman"/>
          <w:noProof/>
          <w:sz w:val="20"/>
          <w:szCs w:val="20"/>
          <w:lang w:bidi="ar-SA"/>
        </w:rPr>
      </w:pPr>
    </w:p>
    <w:p w:rsidR="000C693F" w:rsidRPr="000C693F" w:rsidRDefault="000C693F" w:rsidP="000C693F">
      <w:pPr>
        <w:spacing w:after="0" w:line="240" w:lineRule="auto"/>
        <w:jc w:val="center"/>
        <w:rPr>
          <w:rFonts w:ascii="Times New Roman" w:hAnsi="Times New Roman"/>
          <w:i/>
          <w:sz w:val="20"/>
          <w:szCs w:val="20"/>
        </w:rPr>
      </w:pPr>
      <w:r w:rsidRPr="000C693F">
        <w:rPr>
          <w:rFonts w:ascii="Times New Roman" w:hAnsi="Times New Roman"/>
          <w:i/>
          <w:sz w:val="20"/>
          <w:szCs w:val="20"/>
          <w:vertAlign w:val="superscript"/>
        </w:rPr>
        <w:t>1</w:t>
      </w:r>
      <w:r w:rsidRPr="000C693F">
        <w:rPr>
          <w:rFonts w:ascii="Times New Roman" w:hAnsi="Times New Roman"/>
          <w:i/>
          <w:sz w:val="20"/>
          <w:szCs w:val="20"/>
        </w:rPr>
        <w:t xml:space="preserve">Program Pengimejan Diagnostik, </w:t>
      </w:r>
    </w:p>
    <w:p w:rsidR="000C693F" w:rsidRPr="000C693F" w:rsidRDefault="000C693F" w:rsidP="000C693F">
      <w:pPr>
        <w:spacing w:after="0" w:line="240" w:lineRule="auto"/>
        <w:jc w:val="center"/>
        <w:rPr>
          <w:rFonts w:ascii="Times New Roman" w:hAnsi="Times New Roman"/>
          <w:i/>
          <w:sz w:val="20"/>
          <w:szCs w:val="20"/>
        </w:rPr>
      </w:pPr>
      <w:r w:rsidRPr="000C693F">
        <w:rPr>
          <w:rFonts w:ascii="Times New Roman" w:hAnsi="Times New Roman"/>
          <w:i/>
          <w:sz w:val="20"/>
          <w:szCs w:val="20"/>
        </w:rPr>
        <w:t xml:space="preserve">Fakulti Perubatan &amp; Sains Kesihatan, </w:t>
      </w:r>
    </w:p>
    <w:p w:rsidR="000C693F" w:rsidRPr="000C693F" w:rsidRDefault="000C693F" w:rsidP="000C693F">
      <w:pPr>
        <w:spacing w:after="0" w:line="240" w:lineRule="auto"/>
        <w:jc w:val="center"/>
        <w:rPr>
          <w:rFonts w:ascii="Times New Roman" w:hAnsi="Times New Roman"/>
          <w:i/>
          <w:sz w:val="20"/>
          <w:szCs w:val="20"/>
        </w:rPr>
      </w:pPr>
      <w:r w:rsidRPr="000C693F">
        <w:rPr>
          <w:rFonts w:ascii="Times New Roman" w:hAnsi="Times New Roman"/>
          <w:i/>
          <w:sz w:val="20"/>
          <w:szCs w:val="20"/>
        </w:rPr>
        <w:t xml:space="preserve">Universiti Sultan Zainal Abidin Kampus Gong Badak, 21300 Terengganu </w:t>
      </w:r>
    </w:p>
    <w:p w:rsidR="000C693F" w:rsidRPr="000C693F" w:rsidRDefault="000C693F" w:rsidP="000C693F">
      <w:pPr>
        <w:spacing w:after="0" w:line="240" w:lineRule="auto"/>
        <w:jc w:val="center"/>
        <w:rPr>
          <w:rFonts w:ascii="Times New Roman" w:hAnsi="Times New Roman"/>
          <w:i/>
          <w:sz w:val="20"/>
          <w:szCs w:val="20"/>
        </w:rPr>
      </w:pPr>
      <w:r w:rsidRPr="000C693F">
        <w:rPr>
          <w:rFonts w:ascii="Times New Roman" w:hAnsi="Times New Roman"/>
          <w:i/>
          <w:sz w:val="20"/>
          <w:szCs w:val="20"/>
          <w:vertAlign w:val="superscript"/>
        </w:rPr>
        <w:t>2</w:t>
      </w:r>
      <w:r w:rsidRPr="000C693F">
        <w:rPr>
          <w:rFonts w:ascii="Times New Roman" w:hAnsi="Times New Roman"/>
          <w:i/>
          <w:sz w:val="20"/>
          <w:szCs w:val="20"/>
        </w:rPr>
        <w:t xml:space="preserve">Program Sains Nuklear, Pusat Pengajian Fizik Gunaan, </w:t>
      </w:r>
    </w:p>
    <w:p w:rsidR="000C693F" w:rsidRPr="000C693F" w:rsidRDefault="000C693F" w:rsidP="000C693F">
      <w:pPr>
        <w:spacing w:after="0" w:line="240" w:lineRule="auto"/>
        <w:jc w:val="center"/>
        <w:rPr>
          <w:rFonts w:ascii="Times New Roman" w:hAnsi="Times New Roman"/>
          <w:i/>
          <w:sz w:val="20"/>
          <w:szCs w:val="20"/>
        </w:rPr>
      </w:pPr>
      <w:r w:rsidRPr="000C693F">
        <w:rPr>
          <w:rFonts w:ascii="Times New Roman" w:hAnsi="Times New Roman"/>
          <w:i/>
          <w:sz w:val="20"/>
          <w:szCs w:val="20"/>
        </w:rPr>
        <w:t>Fakulti Sains dan Teknologi,</w:t>
      </w:r>
    </w:p>
    <w:p w:rsidR="000C693F" w:rsidRPr="000C693F" w:rsidRDefault="000C693F" w:rsidP="000C693F">
      <w:pPr>
        <w:spacing w:after="0" w:line="240" w:lineRule="auto"/>
        <w:jc w:val="center"/>
        <w:rPr>
          <w:rFonts w:ascii="Times New Roman" w:hAnsi="Times New Roman"/>
          <w:i/>
          <w:sz w:val="20"/>
          <w:szCs w:val="20"/>
        </w:rPr>
      </w:pPr>
      <w:r w:rsidRPr="000C693F">
        <w:rPr>
          <w:rFonts w:ascii="Times New Roman" w:hAnsi="Times New Roman"/>
          <w:i/>
          <w:sz w:val="20"/>
          <w:szCs w:val="20"/>
        </w:rPr>
        <w:t>Universiti Kebangsaan Malaysia, 43600 Bangi, Selangor, Malaysia.</w:t>
      </w:r>
    </w:p>
    <w:p w:rsidR="000C693F" w:rsidRPr="000C693F" w:rsidRDefault="000C693F" w:rsidP="000C693F">
      <w:pPr>
        <w:spacing w:after="0" w:line="240" w:lineRule="auto"/>
        <w:jc w:val="center"/>
        <w:rPr>
          <w:rFonts w:ascii="Times New Roman" w:hAnsi="Times New Roman"/>
          <w:noProof/>
          <w:sz w:val="20"/>
          <w:szCs w:val="20"/>
          <w:lang w:bidi="ar-SA"/>
        </w:rPr>
      </w:pPr>
    </w:p>
    <w:p w:rsidR="000C693F" w:rsidRPr="000C693F" w:rsidRDefault="000C693F" w:rsidP="000C693F">
      <w:pPr>
        <w:spacing w:after="0" w:line="240" w:lineRule="auto"/>
        <w:jc w:val="center"/>
        <w:rPr>
          <w:rFonts w:ascii="Times New Roman" w:hAnsi="Times New Roman"/>
          <w:i/>
          <w:noProof/>
          <w:sz w:val="20"/>
          <w:szCs w:val="20"/>
          <w:lang w:bidi="ar-SA"/>
        </w:rPr>
      </w:pPr>
      <w:r w:rsidRPr="000C693F">
        <w:rPr>
          <w:rFonts w:ascii="Times New Roman" w:hAnsi="Times New Roman"/>
          <w:i/>
          <w:noProof/>
          <w:sz w:val="20"/>
          <w:szCs w:val="20"/>
          <w:lang w:bidi="ar-SA"/>
        </w:rPr>
        <w:t xml:space="preserve">*Corresponding author: </w:t>
      </w:r>
      <w:hyperlink r:id="rId6" w:history="1">
        <w:r w:rsidRPr="000C693F">
          <w:rPr>
            <w:rFonts w:ascii="Times New Roman" w:eastAsia="Calibri" w:hAnsi="Times New Roman"/>
            <w:i/>
            <w:sz w:val="20"/>
            <w:szCs w:val="20"/>
          </w:rPr>
          <w:t>niknadiahazwani@gmail.com</w:t>
        </w:r>
      </w:hyperlink>
    </w:p>
    <w:p w:rsidR="000C693F" w:rsidRPr="000C693F" w:rsidRDefault="000C693F" w:rsidP="000C693F">
      <w:pPr>
        <w:spacing w:after="0" w:line="240" w:lineRule="auto"/>
        <w:jc w:val="center"/>
        <w:rPr>
          <w:rFonts w:ascii="Times New Roman" w:hAnsi="Times New Roman"/>
          <w:noProof/>
          <w:sz w:val="20"/>
          <w:szCs w:val="20"/>
          <w:lang w:bidi="ar-SA"/>
        </w:rPr>
      </w:pPr>
    </w:p>
    <w:p w:rsidR="000C693F" w:rsidRPr="000C693F" w:rsidRDefault="000C693F" w:rsidP="000C693F">
      <w:pPr>
        <w:spacing w:after="0" w:line="240" w:lineRule="auto"/>
        <w:jc w:val="center"/>
        <w:rPr>
          <w:rFonts w:ascii="Times New Roman" w:hAnsi="Times New Roman"/>
          <w:noProof/>
          <w:sz w:val="20"/>
          <w:szCs w:val="20"/>
          <w:lang w:bidi="ar-SA"/>
        </w:rPr>
      </w:pPr>
    </w:p>
    <w:p w:rsidR="000C693F" w:rsidRPr="000C693F" w:rsidRDefault="000C693F" w:rsidP="000C693F">
      <w:pPr>
        <w:spacing w:after="0" w:line="240" w:lineRule="auto"/>
        <w:jc w:val="center"/>
        <w:rPr>
          <w:rFonts w:ascii="Times New Roman" w:hAnsi="Times New Roman"/>
          <w:noProof/>
          <w:sz w:val="20"/>
          <w:szCs w:val="20"/>
          <w:lang w:bidi="ar-SA"/>
        </w:rPr>
      </w:pPr>
      <w:r w:rsidRPr="000C693F">
        <w:rPr>
          <w:rFonts w:ascii="Times New Roman" w:hAnsi="Times New Roman"/>
          <w:noProof/>
          <w:sz w:val="20"/>
          <w:szCs w:val="20"/>
          <w:lang w:bidi="ar-SA"/>
        </w:rPr>
        <w:t xml:space="preserve">Received: </w:t>
      </w:r>
      <w:r w:rsidRPr="000C693F">
        <w:rPr>
          <w:rFonts w:ascii="Times New Roman" w:hAnsi="Times New Roman"/>
          <w:sz w:val="20"/>
          <w:szCs w:val="20"/>
        </w:rPr>
        <w:t>23 January 2014</w:t>
      </w:r>
      <w:r w:rsidRPr="000C693F">
        <w:rPr>
          <w:rFonts w:ascii="Times New Roman" w:hAnsi="Times New Roman"/>
          <w:noProof/>
          <w:sz w:val="20"/>
          <w:szCs w:val="20"/>
          <w:lang w:bidi="ar-SA"/>
        </w:rPr>
        <w:t>; Accepted: 20 November 2014</w:t>
      </w:r>
    </w:p>
    <w:p w:rsidR="000C693F" w:rsidRPr="000C693F" w:rsidRDefault="000C693F" w:rsidP="000C693F">
      <w:pPr>
        <w:spacing w:after="0" w:line="240" w:lineRule="auto"/>
        <w:jc w:val="center"/>
        <w:rPr>
          <w:rFonts w:ascii="Times New Roman" w:hAnsi="Times New Roman"/>
          <w:noProof/>
          <w:sz w:val="20"/>
          <w:szCs w:val="20"/>
          <w:lang w:bidi="ar-SA"/>
        </w:rPr>
      </w:pPr>
    </w:p>
    <w:p w:rsidR="000C693F" w:rsidRPr="000C693F" w:rsidRDefault="000C693F" w:rsidP="000C693F">
      <w:pPr>
        <w:spacing w:after="0" w:line="240" w:lineRule="auto"/>
        <w:jc w:val="center"/>
        <w:rPr>
          <w:rFonts w:ascii="Times New Roman" w:hAnsi="Times New Roman"/>
          <w:noProof/>
          <w:sz w:val="20"/>
          <w:szCs w:val="20"/>
          <w:lang w:bidi="ar-SA"/>
        </w:rPr>
      </w:pPr>
    </w:p>
    <w:p w:rsidR="000C693F" w:rsidRPr="000C693F" w:rsidRDefault="000C693F" w:rsidP="000C693F">
      <w:pPr>
        <w:spacing w:after="0" w:line="240" w:lineRule="auto"/>
        <w:jc w:val="center"/>
        <w:rPr>
          <w:rFonts w:ascii="Times New Roman" w:hAnsi="Times New Roman"/>
          <w:b/>
          <w:noProof/>
          <w:sz w:val="20"/>
          <w:szCs w:val="20"/>
          <w:lang w:bidi="ar-SA"/>
        </w:rPr>
      </w:pPr>
      <w:r w:rsidRPr="000C693F">
        <w:rPr>
          <w:rFonts w:ascii="Times New Roman" w:hAnsi="Times New Roman"/>
          <w:b/>
          <w:noProof/>
          <w:sz w:val="20"/>
          <w:szCs w:val="20"/>
          <w:lang w:bidi="ar-SA"/>
        </w:rPr>
        <w:t>Abstrak</w:t>
      </w:r>
    </w:p>
    <w:p w:rsidR="000C693F" w:rsidRPr="000C693F" w:rsidRDefault="000C693F" w:rsidP="000C693F">
      <w:pPr>
        <w:spacing w:after="0" w:line="240" w:lineRule="auto"/>
        <w:jc w:val="both"/>
        <w:rPr>
          <w:rFonts w:ascii="Times New Roman" w:hAnsi="Times New Roman"/>
          <w:sz w:val="20"/>
          <w:szCs w:val="20"/>
        </w:rPr>
      </w:pPr>
      <w:r w:rsidRPr="000C693F">
        <w:rPr>
          <w:rFonts w:ascii="Times New Roman" w:hAnsi="Times New Roman"/>
          <w:sz w:val="20"/>
          <w:szCs w:val="20"/>
        </w:rPr>
        <w:t xml:space="preserve">Pengambilan makanan yang mengandungi radionuklid boleh menyumbang kepada dos dalaman. Kajian berkaitan kandungan radionuklid dalam beberapa jenis makanan perlu dilakukan untuk melihat kesan yang bakal diterima oleh manusia. Objektif penyelidikan ini dijalankan adalah i) menentukan kepekatan aktiviti di dalam susu tepung, teh, tepung gandum dan kopi, ii) mengira dos dedahan tahunan melalui produk makanan tersebut dan risiko kanser sepanjang hayat rakyat Malaysia. Kepekatan aktivti radionuklid </w:t>
      </w:r>
      <w:r w:rsidRPr="000C693F">
        <w:rPr>
          <w:rFonts w:ascii="Times New Roman" w:hAnsi="Times New Roman"/>
          <w:sz w:val="20"/>
          <w:szCs w:val="20"/>
          <w:vertAlign w:val="superscript"/>
        </w:rPr>
        <w:t>226</w:t>
      </w:r>
      <w:r w:rsidRPr="000C693F">
        <w:rPr>
          <w:rFonts w:ascii="Times New Roman" w:hAnsi="Times New Roman"/>
          <w:sz w:val="20"/>
          <w:szCs w:val="20"/>
        </w:rPr>
        <w:t xml:space="preserve">Ra, </w:t>
      </w:r>
      <w:r w:rsidRPr="000C693F">
        <w:rPr>
          <w:rFonts w:ascii="Times New Roman" w:hAnsi="Times New Roman"/>
          <w:sz w:val="20"/>
          <w:szCs w:val="20"/>
          <w:vertAlign w:val="superscript"/>
        </w:rPr>
        <w:t>238</w:t>
      </w:r>
      <w:r w:rsidRPr="000C693F">
        <w:rPr>
          <w:rFonts w:ascii="Times New Roman" w:hAnsi="Times New Roman"/>
          <w:sz w:val="20"/>
          <w:szCs w:val="20"/>
        </w:rPr>
        <w:t xml:space="preserve">U, </w:t>
      </w:r>
      <w:r w:rsidRPr="000C693F">
        <w:rPr>
          <w:rFonts w:ascii="Times New Roman" w:hAnsi="Times New Roman"/>
          <w:sz w:val="20"/>
          <w:szCs w:val="20"/>
          <w:vertAlign w:val="superscript"/>
        </w:rPr>
        <w:t>232</w:t>
      </w:r>
      <w:r w:rsidRPr="000C693F">
        <w:rPr>
          <w:rFonts w:ascii="Times New Roman" w:hAnsi="Times New Roman"/>
          <w:sz w:val="20"/>
          <w:szCs w:val="20"/>
        </w:rPr>
        <w:t xml:space="preserve">Th dan </w:t>
      </w:r>
      <w:r w:rsidRPr="000C693F">
        <w:rPr>
          <w:rFonts w:ascii="Times New Roman" w:hAnsi="Times New Roman"/>
          <w:sz w:val="20"/>
          <w:szCs w:val="20"/>
          <w:vertAlign w:val="superscript"/>
        </w:rPr>
        <w:t>40</w:t>
      </w:r>
      <w:r w:rsidRPr="000C693F">
        <w:rPr>
          <w:rFonts w:ascii="Times New Roman" w:hAnsi="Times New Roman"/>
          <w:sz w:val="20"/>
          <w:szCs w:val="20"/>
        </w:rPr>
        <w:t>K ditentukan menggunakan kaedah spektrometri sinar gama. Hasil kajian mendapati purata kepekatan aktiviti dalam susu tepung, teh, tepung gandum dan kopi masing-masing adalah 1.6 ± 0.8, 3.3 ± 0.4, 1.2 ± 0.2, 2.1 ± 0.7 Bq kg</w:t>
      </w:r>
      <w:r w:rsidRPr="000C693F">
        <w:rPr>
          <w:rFonts w:ascii="Times New Roman" w:hAnsi="Times New Roman"/>
          <w:sz w:val="20"/>
          <w:szCs w:val="20"/>
          <w:vertAlign w:val="superscript"/>
        </w:rPr>
        <w:t>-1</w:t>
      </w:r>
      <w:r w:rsidRPr="000C693F">
        <w:rPr>
          <w:rFonts w:ascii="Times New Roman" w:hAnsi="Times New Roman"/>
          <w:sz w:val="20"/>
          <w:szCs w:val="20"/>
        </w:rPr>
        <w:t xml:space="preserve"> bagi </w:t>
      </w:r>
      <w:r w:rsidRPr="000C693F">
        <w:rPr>
          <w:rFonts w:ascii="Times New Roman" w:hAnsi="Times New Roman"/>
          <w:sz w:val="20"/>
          <w:szCs w:val="20"/>
          <w:vertAlign w:val="superscript"/>
        </w:rPr>
        <w:t>226</w:t>
      </w:r>
      <w:r w:rsidRPr="000C693F">
        <w:rPr>
          <w:rFonts w:ascii="Times New Roman" w:hAnsi="Times New Roman"/>
          <w:sz w:val="20"/>
          <w:szCs w:val="20"/>
        </w:rPr>
        <w:t>Ra, 1.6 ± 0.2, 10.7 ± 3.3, 2.1 ± 0.6 dan 1.8 ± 0.2 Bq kg</w:t>
      </w:r>
      <w:r w:rsidRPr="000C693F">
        <w:rPr>
          <w:rFonts w:ascii="Times New Roman" w:hAnsi="Times New Roman"/>
          <w:sz w:val="20"/>
          <w:szCs w:val="20"/>
          <w:vertAlign w:val="superscript"/>
        </w:rPr>
        <w:t>-1</w:t>
      </w:r>
      <w:r w:rsidRPr="000C693F">
        <w:rPr>
          <w:rFonts w:ascii="Times New Roman" w:hAnsi="Times New Roman"/>
          <w:sz w:val="20"/>
          <w:szCs w:val="20"/>
        </w:rPr>
        <w:t xml:space="preserve"> bagi </w:t>
      </w:r>
      <w:r w:rsidRPr="000C693F">
        <w:rPr>
          <w:rFonts w:ascii="Times New Roman" w:hAnsi="Times New Roman"/>
          <w:sz w:val="20"/>
          <w:szCs w:val="20"/>
          <w:vertAlign w:val="superscript"/>
        </w:rPr>
        <w:t>238</w:t>
      </w:r>
      <w:r w:rsidRPr="000C693F">
        <w:rPr>
          <w:rFonts w:ascii="Times New Roman" w:hAnsi="Times New Roman"/>
          <w:sz w:val="20"/>
          <w:szCs w:val="20"/>
        </w:rPr>
        <w:t>U, 1.8 ± 0.5, 9.5 ± 2.2, 1.9 ± 0.1, 2.2 ± 0.3 Bq kg</w:t>
      </w:r>
      <w:r w:rsidRPr="000C693F">
        <w:rPr>
          <w:rFonts w:ascii="Times New Roman" w:hAnsi="Times New Roman"/>
          <w:sz w:val="20"/>
          <w:szCs w:val="20"/>
          <w:vertAlign w:val="superscript"/>
        </w:rPr>
        <w:t>-1</w:t>
      </w:r>
      <w:r w:rsidRPr="000C693F">
        <w:rPr>
          <w:rFonts w:ascii="Times New Roman" w:hAnsi="Times New Roman"/>
          <w:sz w:val="20"/>
          <w:szCs w:val="20"/>
        </w:rPr>
        <w:t xml:space="preserve"> bagi </w:t>
      </w:r>
      <w:r w:rsidRPr="000C693F">
        <w:rPr>
          <w:rFonts w:ascii="Times New Roman" w:hAnsi="Times New Roman"/>
          <w:sz w:val="20"/>
          <w:szCs w:val="20"/>
          <w:vertAlign w:val="superscript"/>
        </w:rPr>
        <w:t>232</w:t>
      </w:r>
      <w:r w:rsidRPr="000C693F">
        <w:rPr>
          <w:rFonts w:ascii="Times New Roman" w:hAnsi="Times New Roman"/>
          <w:sz w:val="20"/>
          <w:szCs w:val="20"/>
        </w:rPr>
        <w:t>Th dan 190.2 ± 49.6, 395.4 ± 11.9, 57.4 ± 28.5, 429.4 ± 305.5 Bq kg</w:t>
      </w:r>
      <w:r w:rsidRPr="000C693F">
        <w:rPr>
          <w:rFonts w:ascii="Times New Roman" w:hAnsi="Times New Roman"/>
          <w:sz w:val="20"/>
          <w:szCs w:val="20"/>
          <w:vertAlign w:val="superscript"/>
        </w:rPr>
        <w:t>-1</w:t>
      </w:r>
      <w:r w:rsidRPr="000C693F">
        <w:rPr>
          <w:rFonts w:ascii="Times New Roman" w:hAnsi="Times New Roman"/>
          <w:sz w:val="20"/>
          <w:szCs w:val="20"/>
        </w:rPr>
        <w:t xml:space="preserve"> bagi </w:t>
      </w:r>
      <w:r w:rsidRPr="000C693F">
        <w:rPr>
          <w:rFonts w:ascii="Times New Roman" w:hAnsi="Times New Roman"/>
          <w:sz w:val="20"/>
          <w:szCs w:val="20"/>
          <w:vertAlign w:val="superscript"/>
        </w:rPr>
        <w:t>40</w:t>
      </w:r>
      <w:r w:rsidRPr="000C693F">
        <w:rPr>
          <w:rFonts w:ascii="Times New Roman" w:hAnsi="Times New Roman"/>
          <w:sz w:val="20"/>
          <w:szCs w:val="20"/>
        </w:rPr>
        <w:t xml:space="preserve">K. Dos dedahan dalaman tahunan bagi kanak-kanak melalui pengambilan susu tepung masing-masing adalah 63.5 µSv bagi </w:t>
      </w:r>
      <w:r w:rsidRPr="000C693F">
        <w:rPr>
          <w:rFonts w:ascii="Times New Roman" w:hAnsi="Times New Roman"/>
          <w:sz w:val="20"/>
          <w:szCs w:val="20"/>
          <w:vertAlign w:val="superscript"/>
        </w:rPr>
        <w:t>226</w:t>
      </w:r>
      <w:r w:rsidRPr="000C693F">
        <w:rPr>
          <w:rFonts w:ascii="Times New Roman" w:hAnsi="Times New Roman"/>
          <w:sz w:val="20"/>
          <w:szCs w:val="20"/>
        </w:rPr>
        <w:t xml:space="preserve">Ra, 32.2 µSv bagi </w:t>
      </w:r>
      <w:r w:rsidRPr="000C693F">
        <w:rPr>
          <w:rFonts w:ascii="Times New Roman" w:hAnsi="Times New Roman"/>
          <w:sz w:val="20"/>
          <w:szCs w:val="20"/>
          <w:vertAlign w:val="superscript"/>
        </w:rPr>
        <w:t>232</w:t>
      </w:r>
      <w:r w:rsidRPr="000C693F">
        <w:rPr>
          <w:rFonts w:ascii="Times New Roman" w:hAnsi="Times New Roman"/>
          <w:sz w:val="20"/>
          <w:szCs w:val="20"/>
        </w:rPr>
        <w:t xml:space="preserve">Th, 2.8 µSv bagi </w:t>
      </w:r>
      <w:r w:rsidRPr="000C693F">
        <w:rPr>
          <w:rFonts w:ascii="Times New Roman" w:hAnsi="Times New Roman"/>
          <w:sz w:val="20"/>
          <w:szCs w:val="20"/>
          <w:vertAlign w:val="superscript"/>
        </w:rPr>
        <w:t>238</w:t>
      </w:r>
      <w:r w:rsidRPr="000C693F">
        <w:rPr>
          <w:rFonts w:ascii="Times New Roman" w:hAnsi="Times New Roman"/>
          <w:sz w:val="20"/>
          <w:szCs w:val="20"/>
        </w:rPr>
        <w:t xml:space="preserve">U dan 326.5 µSv bagi </w:t>
      </w:r>
      <w:r w:rsidRPr="000C693F">
        <w:rPr>
          <w:rFonts w:ascii="Times New Roman" w:hAnsi="Times New Roman"/>
          <w:sz w:val="20"/>
          <w:szCs w:val="20"/>
          <w:vertAlign w:val="superscript"/>
        </w:rPr>
        <w:t>40</w:t>
      </w:r>
      <w:r w:rsidRPr="000C693F">
        <w:rPr>
          <w:rFonts w:ascii="Times New Roman" w:hAnsi="Times New Roman"/>
          <w:sz w:val="20"/>
          <w:szCs w:val="20"/>
        </w:rPr>
        <w:t xml:space="preserve">K. Manakala, dos dedahan dalaman tahunan bagi orang dewasa melalui pengambilan tepung gandum, teh dan kopi masing-masing adalah 13.7 µSv bagi </w:t>
      </w:r>
      <w:r w:rsidRPr="000C693F">
        <w:rPr>
          <w:rFonts w:ascii="Times New Roman" w:hAnsi="Times New Roman"/>
          <w:sz w:val="20"/>
          <w:szCs w:val="20"/>
          <w:vertAlign w:val="superscript"/>
        </w:rPr>
        <w:t>226</w:t>
      </w:r>
      <w:r w:rsidRPr="000C693F">
        <w:rPr>
          <w:rFonts w:ascii="Times New Roman" w:hAnsi="Times New Roman"/>
          <w:sz w:val="20"/>
          <w:szCs w:val="20"/>
        </w:rPr>
        <w:t xml:space="preserve">Ra, 18.0 µSv bagi </w:t>
      </w:r>
      <w:r w:rsidRPr="000C693F">
        <w:rPr>
          <w:rFonts w:ascii="Times New Roman" w:hAnsi="Times New Roman"/>
          <w:sz w:val="20"/>
          <w:szCs w:val="20"/>
          <w:vertAlign w:val="superscript"/>
        </w:rPr>
        <w:t>232</w:t>
      </w:r>
      <w:r w:rsidRPr="000C693F">
        <w:rPr>
          <w:rFonts w:ascii="Times New Roman" w:hAnsi="Times New Roman"/>
          <w:sz w:val="20"/>
          <w:szCs w:val="20"/>
        </w:rPr>
        <w:t>Th, 5.1 µSv tahun</w:t>
      </w:r>
      <w:r w:rsidRPr="000C693F">
        <w:rPr>
          <w:rFonts w:ascii="Times New Roman" w:hAnsi="Times New Roman"/>
          <w:sz w:val="20"/>
          <w:szCs w:val="20"/>
          <w:vertAlign w:val="superscript"/>
        </w:rPr>
        <w:t>-1</w:t>
      </w:r>
      <w:r w:rsidRPr="000C693F">
        <w:rPr>
          <w:rFonts w:ascii="Times New Roman" w:hAnsi="Times New Roman"/>
          <w:sz w:val="20"/>
          <w:szCs w:val="20"/>
        </w:rPr>
        <w:t xml:space="preserve"> bagi </w:t>
      </w:r>
      <w:r w:rsidRPr="000C693F">
        <w:rPr>
          <w:rFonts w:ascii="Times New Roman" w:hAnsi="Times New Roman"/>
          <w:sz w:val="20"/>
          <w:szCs w:val="20"/>
          <w:vertAlign w:val="superscript"/>
        </w:rPr>
        <w:t>238</w:t>
      </w:r>
      <w:r w:rsidRPr="000C693F">
        <w:rPr>
          <w:rFonts w:ascii="Times New Roman" w:hAnsi="Times New Roman"/>
          <w:sz w:val="20"/>
          <w:szCs w:val="20"/>
        </w:rPr>
        <w:t>U dan 24.2 µSv tahun</w:t>
      </w:r>
      <w:r w:rsidRPr="000C693F">
        <w:rPr>
          <w:rFonts w:ascii="Times New Roman" w:hAnsi="Times New Roman"/>
          <w:sz w:val="20"/>
          <w:szCs w:val="20"/>
          <w:vertAlign w:val="superscript"/>
        </w:rPr>
        <w:t>-1</w:t>
      </w:r>
      <w:r w:rsidRPr="000C693F">
        <w:rPr>
          <w:rFonts w:ascii="Times New Roman" w:hAnsi="Times New Roman"/>
          <w:sz w:val="20"/>
          <w:szCs w:val="20"/>
        </w:rPr>
        <w:t xml:space="preserve">  bagi </w:t>
      </w:r>
      <w:r w:rsidRPr="000C693F">
        <w:rPr>
          <w:rFonts w:ascii="Times New Roman" w:hAnsi="Times New Roman"/>
          <w:sz w:val="20"/>
          <w:szCs w:val="20"/>
          <w:vertAlign w:val="superscript"/>
        </w:rPr>
        <w:t>40</w:t>
      </w:r>
      <w:r w:rsidRPr="000C693F">
        <w:rPr>
          <w:rFonts w:ascii="Times New Roman" w:hAnsi="Times New Roman"/>
          <w:sz w:val="20"/>
          <w:szCs w:val="20"/>
        </w:rPr>
        <w:t>K. Dos dedahan kesemua radionuklid adalah 425 µSv tahun</w:t>
      </w:r>
      <w:r w:rsidRPr="000C693F">
        <w:rPr>
          <w:rFonts w:ascii="Times New Roman" w:hAnsi="Times New Roman"/>
          <w:sz w:val="20"/>
          <w:szCs w:val="20"/>
          <w:vertAlign w:val="superscript"/>
        </w:rPr>
        <w:t>-1</w:t>
      </w:r>
      <w:r w:rsidRPr="000C693F">
        <w:rPr>
          <w:rFonts w:ascii="Times New Roman" w:hAnsi="Times New Roman"/>
          <w:sz w:val="20"/>
          <w:szCs w:val="20"/>
        </w:rPr>
        <w:t xml:space="preserve"> bagi kanak-kanak dan 61.0 µSv tahun</w:t>
      </w:r>
      <w:r w:rsidRPr="000C693F">
        <w:rPr>
          <w:rFonts w:ascii="Times New Roman" w:hAnsi="Times New Roman"/>
          <w:sz w:val="20"/>
          <w:szCs w:val="20"/>
          <w:vertAlign w:val="superscript"/>
        </w:rPr>
        <w:t>-1</w:t>
      </w:r>
      <w:r w:rsidRPr="000C693F">
        <w:rPr>
          <w:rFonts w:ascii="Times New Roman" w:hAnsi="Times New Roman"/>
          <w:sz w:val="20"/>
          <w:szCs w:val="20"/>
        </w:rPr>
        <w:t xml:space="preserve"> bagi orang dewasa. Nilai ini memberikan faktor risiko kanser sebanyak 1.8 x 10</w:t>
      </w:r>
      <w:r w:rsidRPr="000C693F">
        <w:rPr>
          <w:rFonts w:ascii="Times New Roman" w:hAnsi="Times New Roman"/>
          <w:sz w:val="20"/>
          <w:szCs w:val="20"/>
          <w:vertAlign w:val="superscript"/>
        </w:rPr>
        <w:t>-3</w:t>
      </w:r>
      <w:r w:rsidRPr="000C693F">
        <w:rPr>
          <w:rFonts w:ascii="Times New Roman" w:hAnsi="Times New Roman"/>
          <w:sz w:val="20"/>
          <w:szCs w:val="20"/>
        </w:rPr>
        <w:t xml:space="preserve"> bagi kanak-kanak dan 1.7 x 10</w:t>
      </w:r>
      <w:r w:rsidRPr="000C693F">
        <w:rPr>
          <w:rFonts w:ascii="Times New Roman" w:hAnsi="Times New Roman"/>
          <w:sz w:val="20"/>
          <w:szCs w:val="20"/>
          <w:vertAlign w:val="superscript"/>
        </w:rPr>
        <w:t>-4</w:t>
      </w:r>
      <w:r w:rsidRPr="000C693F">
        <w:rPr>
          <w:rFonts w:ascii="Times New Roman" w:hAnsi="Times New Roman"/>
          <w:sz w:val="20"/>
          <w:szCs w:val="20"/>
        </w:rPr>
        <w:t xml:space="preserve"> bagi orang dewasa. Ia bermaksud kebarangkalian peningkatan risiko kanser sepanjang hayat sebanyak 0.18 % bagi kanak-kanak (18 orang dalam 10 000) dan 0.017 % bagi orang dewasa (1.7 orang dalam 10 000). Nilai-nilai ini adalah lebih rendah berbanding faktor risiko kanser ICRP bagi orang awam iaitu 2.5 x 10</w:t>
      </w:r>
      <w:r w:rsidRPr="000C693F">
        <w:rPr>
          <w:rFonts w:ascii="Times New Roman" w:hAnsi="Times New Roman"/>
          <w:sz w:val="20"/>
          <w:szCs w:val="20"/>
          <w:vertAlign w:val="superscript"/>
        </w:rPr>
        <w:t>-3</w:t>
      </w:r>
      <w:r w:rsidRPr="000C693F">
        <w:rPr>
          <w:rFonts w:ascii="Times New Roman" w:hAnsi="Times New Roman"/>
          <w:sz w:val="20"/>
          <w:szCs w:val="20"/>
        </w:rPr>
        <w:t xml:space="preserve"> dan jumlah risiko daripada semua sumber sinaran berdasarkan purata nilai dos tahunan dunia 2.4 mSv tahun</w:t>
      </w:r>
      <w:r w:rsidRPr="000C693F">
        <w:rPr>
          <w:rFonts w:ascii="Times New Roman" w:hAnsi="Times New Roman"/>
          <w:sz w:val="20"/>
          <w:szCs w:val="20"/>
          <w:vertAlign w:val="superscript"/>
        </w:rPr>
        <w:t>-1</w:t>
      </w:r>
      <w:r w:rsidRPr="000C693F">
        <w:rPr>
          <w:rFonts w:ascii="Times New Roman" w:hAnsi="Times New Roman"/>
          <w:sz w:val="20"/>
          <w:szCs w:val="20"/>
        </w:rPr>
        <w:t xml:space="preserve"> iaitu 6 x 10</w:t>
      </w:r>
      <w:r w:rsidRPr="000C693F">
        <w:rPr>
          <w:rFonts w:ascii="Times New Roman" w:hAnsi="Times New Roman"/>
          <w:sz w:val="20"/>
          <w:szCs w:val="20"/>
          <w:vertAlign w:val="superscript"/>
        </w:rPr>
        <w:t>-3</w:t>
      </w:r>
      <w:r w:rsidRPr="000C693F">
        <w:rPr>
          <w:rFonts w:ascii="Times New Roman" w:hAnsi="Times New Roman"/>
          <w:sz w:val="20"/>
          <w:szCs w:val="20"/>
        </w:rPr>
        <w:t>. Oleh itu, kajian ini menunjukkan bahawa pengambilan susu tepung, tepung gandum, teh dan kopi tidak memberikan bahaya kesihatan yang signifikan dan dianggap selamat secara radiologi untuk diambil oleh manusia.</w:t>
      </w:r>
    </w:p>
    <w:p w:rsidR="000C693F" w:rsidRPr="000C693F" w:rsidRDefault="000C693F" w:rsidP="000C693F">
      <w:pPr>
        <w:spacing w:after="0" w:line="240" w:lineRule="auto"/>
        <w:jc w:val="both"/>
        <w:rPr>
          <w:rFonts w:ascii="Times New Roman" w:hAnsi="Times New Roman"/>
          <w:sz w:val="20"/>
          <w:szCs w:val="20"/>
        </w:rPr>
      </w:pPr>
    </w:p>
    <w:p w:rsidR="000C693F" w:rsidRPr="000C693F" w:rsidRDefault="000C693F" w:rsidP="000C693F">
      <w:pPr>
        <w:spacing w:after="0" w:line="240" w:lineRule="auto"/>
        <w:jc w:val="both"/>
        <w:rPr>
          <w:rFonts w:ascii="Times New Roman" w:hAnsi="Times New Roman"/>
          <w:sz w:val="20"/>
          <w:szCs w:val="20"/>
        </w:rPr>
      </w:pPr>
      <w:r w:rsidRPr="000C693F">
        <w:rPr>
          <w:rFonts w:ascii="Times New Roman" w:hAnsi="Times New Roman"/>
          <w:b/>
          <w:sz w:val="20"/>
          <w:szCs w:val="20"/>
        </w:rPr>
        <w:t xml:space="preserve">Kata kunci: </w:t>
      </w:r>
      <w:r w:rsidRPr="000C693F">
        <w:rPr>
          <w:rFonts w:ascii="Times New Roman" w:hAnsi="Times New Roman"/>
          <w:sz w:val="20"/>
          <w:szCs w:val="20"/>
        </w:rPr>
        <w:t>radionuklid, kepekatan aktiviti, dos dedahan dalaman, risiko kanser, kanak-kanak, orang dewasa</w:t>
      </w:r>
    </w:p>
    <w:p w:rsidR="000C693F" w:rsidRPr="000C693F" w:rsidRDefault="000C693F" w:rsidP="000C693F">
      <w:pPr>
        <w:spacing w:after="0" w:line="240" w:lineRule="auto"/>
        <w:jc w:val="both"/>
        <w:rPr>
          <w:rFonts w:ascii="Times New Roman" w:hAnsi="Times New Roman"/>
          <w:sz w:val="20"/>
          <w:szCs w:val="20"/>
        </w:rPr>
      </w:pPr>
    </w:p>
    <w:p w:rsidR="000C693F" w:rsidRPr="000C693F" w:rsidRDefault="000C693F" w:rsidP="000C693F">
      <w:pPr>
        <w:spacing w:after="0" w:line="240" w:lineRule="auto"/>
        <w:jc w:val="center"/>
        <w:rPr>
          <w:rFonts w:ascii="Times New Roman" w:hAnsi="Times New Roman"/>
          <w:b/>
          <w:noProof/>
          <w:sz w:val="20"/>
          <w:szCs w:val="20"/>
          <w:lang w:bidi="ar-SA"/>
        </w:rPr>
      </w:pPr>
      <w:r w:rsidRPr="000C693F">
        <w:rPr>
          <w:rFonts w:ascii="Times New Roman" w:hAnsi="Times New Roman"/>
          <w:b/>
          <w:noProof/>
          <w:sz w:val="20"/>
          <w:szCs w:val="20"/>
          <w:lang w:bidi="ar-SA"/>
        </w:rPr>
        <w:lastRenderedPageBreak/>
        <w:t>Abstract</w:t>
      </w:r>
    </w:p>
    <w:p w:rsidR="000C693F" w:rsidRPr="000C693F" w:rsidRDefault="000C693F" w:rsidP="000C693F">
      <w:pPr>
        <w:spacing w:after="0" w:line="240" w:lineRule="auto"/>
        <w:jc w:val="both"/>
        <w:rPr>
          <w:rFonts w:ascii="Times New Roman" w:hAnsi="Times New Roman"/>
          <w:sz w:val="20"/>
          <w:szCs w:val="20"/>
        </w:rPr>
      </w:pPr>
      <w:r w:rsidRPr="000C693F">
        <w:rPr>
          <w:rFonts w:ascii="Times New Roman" w:hAnsi="Times New Roman"/>
          <w:sz w:val="20"/>
          <w:szCs w:val="20"/>
        </w:rPr>
        <w:t xml:space="preserve">Consumption of food containing radionuclides may contribute to internal dose. Studies on radionuclide content in several types of food should be done to determine effects to human. The objectives of this research are to i) determine the activity concentration in milk powder, tea, flour and coffee samples, ii) to calculate the annual exposure dose in food products and iii) to determine the lifetime cancer risk amongst Malaysians. The concentrations of </w:t>
      </w:r>
      <w:r w:rsidRPr="000C693F">
        <w:rPr>
          <w:rFonts w:ascii="Times New Roman" w:hAnsi="Times New Roman"/>
          <w:sz w:val="20"/>
          <w:szCs w:val="20"/>
          <w:vertAlign w:val="superscript"/>
        </w:rPr>
        <w:t>226</w:t>
      </w:r>
      <w:r w:rsidRPr="000C693F">
        <w:rPr>
          <w:rFonts w:ascii="Times New Roman" w:hAnsi="Times New Roman"/>
          <w:sz w:val="20"/>
          <w:szCs w:val="20"/>
        </w:rPr>
        <w:t xml:space="preserve">Ra, </w:t>
      </w:r>
      <w:r w:rsidRPr="000C693F">
        <w:rPr>
          <w:rFonts w:ascii="Times New Roman" w:hAnsi="Times New Roman"/>
          <w:sz w:val="20"/>
          <w:szCs w:val="20"/>
          <w:vertAlign w:val="superscript"/>
        </w:rPr>
        <w:t>238</w:t>
      </w:r>
      <w:r w:rsidRPr="000C693F">
        <w:rPr>
          <w:rFonts w:ascii="Times New Roman" w:hAnsi="Times New Roman"/>
          <w:sz w:val="20"/>
          <w:szCs w:val="20"/>
        </w:rPr>
        <w:t xml:space="preserve">U, </w:t>
      </w:r>
      <w:r w:rsidRPr="000C693F">
        <w:rPr>
          <w:rFonts w:ascii="Times New Roman" w:hAnsi="Times New Roman"/>
          <w:sz w:val="20"/>
          <w:szCs w:val="20"/>
          <w:vertAlign w:val="superscript"/>
        </w:rPr>
        <w:t>232</w:t>
      </w:r>
      <w:r w:rsidRPr="000C693F">
        <w:rPr>
          <w:rFonts w:ascii="Times New Roman" w:hAnsi="Times New Roman"/>
          <w:sz w:val="20"/>
          <w:szCs w:val="20"/>
        </w:rPr>
        <w:t xml:space="preserve">Th and </w:t>
      </w:r>
      <w:r w:rsidRPr="000C693F">
        <w:rPr>
          <w:rFonts w:ascii="Times New Roman" w:hAnsi="Times New Roman"/>
          <w:sz w:val="20"/>
          <w:szCs w:val="20"/>
          <w:vertAlign w:val="superscript"/>
        </w:rPr>
        <w:t>40</w:t>
      </w:r>
      <w:r w:rsidRPr="000C693F">
        <w:rPr>
          <w:rFonts w:ascii="Times New Roman" w:hAnsi="Times New Roman"/>
          <w:sz w:val="20"/>
          <w:szCs w:val="20"/>
        </w:rPr>
        <w:t>K were determined using gamma ray spectrometry. The study found that the mean activity concentration in milk powder, tea, flour and coffee are 1.6 ± 0.8 , 3.3 ± 0.4 , 1.2 ± 0.2, 2.1 ± 0.7 Bq kg</w:t>
      </w:r>
      <w:r w:rsidRPr="000C693F">
        <w:rPr>
          <w:rFonts w:ascii="Times New Roman" w:hAnsi="Times New Roman"/>
          <w:sz w:val="20"/>
          <w:szCs w:val="20"/>
          <w:vertAlign w:val="superscript"/>
        </w:rPr>
        <w:t>-1</w:t>
      </w:r>
      <w:r w:rsidRPr="000C693F">
        <w:rPr>
          <w:rFonts w:ascii="Times New Roman" w:hAnsi="Times New Roman"/>
          <w:sz w:val="20"/>
          <w:szCs w:val="20"/>
        </w:rPr>
        <w:t xml:space="preserve"> for </w:t>
      </w:r>
      <w:r w:rsidRPr="000C693F">
        <w:rPr>
          <w:rFonts w:ascii="Times New Roman" w:hAnsi="Times New Roman"/>
          <w:sz w:val="20"/>
          <w:szCs w:val="20"/>
          <w:vertAlign w:val="superscript"/>
        </w:rPr>
        <w:t>226</w:t>
      </w:r>
      <w:r w:rsidRPr="000C693F">
        <w:rPr>
          <w:rFonts w:ascii="Times New Roman" w:hAnsi="Times New Roman"/>
          <w:sz w:val="20"/>
          <w:szCs w:val="20"/>
        </w:rPr>
        <w:t>Ra , 1.6 ± 0.2, 10.7 ± 3.3 , 2.1 ± 0.6 and 1.8 ± 0.2 Bq kg</w:t>
      </w:r>
      <w:r w:rsidRPr="000C693F">
        <w:rPr>
          <w:rFonts w:ascii="Times New Roman" w:hAnsi="Times New Roman"/>
          <w:sz w:val="20"/>
          <w:szCs w:val="20"/>
          <w:vertAlign w:val="superscript"/>
        </w:rPr>
        <w:t xml:space="preserve">-1 </w:t>
      </w:r>
      <w:r w:rsidRPr="000C693F">
        <w:rPr>
          <w:rFonts w:ascii="Times New Roman" w:hAnsi="Times New Roman"/>
          <w:sz w:val="20"/>
          <w:szCs w:val="20"/>
        </w:rPr>
        <w:t xml:space="preserve">for </w:t>
      </w:r>
      <w:r w:rsidRPr="000C693F">
        <w:rPr>
          <w:rFonts w:ascii="Times New Roman" w:hAnsi="Times New Roman"/>
          <w:sz w:val="20"/>
          <w:szCs w:val="20"/>
          <w:vertAlign w:val="superscript"/>
        </w:rPr>
        <w:t>238</w:t>
      </w:r>
      <w:r w:rsidRPr="000C693F">
        <w:rPr>
          <w:rFonts w:ascii="Times New Roman" w:hAnsi="Times New Roman"/>
          <w:sz w:val="20"/>
          <w:szCs w:val="20"/>
        </w:rPr>
        <w:t>U , 1.8 ± 0.5, 9.5 ± 2.2 , 1.9 ± 0.1 , 2.2 ± 0.3 Bq kg</w:t>
      </w:r>
      <w:r w:rsidRPr="000C693F">
        <w:rPr>
          <w:rFonts w:ascii="Times New Roman" w:hAnsi="Times New Roman"/>
          <w:sz w:val="20"/>
          <w:szCs w:val="20"/>
          <w:vertAlign w:val="superscript"/>
        </w:rPr>
        <w:t>-1</w:t>
      </w:r>
      <w:r w:rsidRPr="000C693F">
        <w:rPr>
          <w:rFonts w:ascii="Times New Roman" w:hAnsi="Times New Roman"/>
          <w:sz w:val="20"/>
          <w:szCs w:val="20"/>
        </w:rPr>
        <w:t xml:space="preserve"> for </w:t>
      </w:r>
      <w:r w:rsidRPr="000C693F">
        <w:rPr>
          <w:rFonts w:ascii="Times New Roman" w:hAnsi="Times New Roman"/>
          <w:sz w:val="20"/>
          <w:szCs w:val="20"/>
          <w:vertAlign w:val="superscript"/>
        </w:rPr>
        <w:t>232</w:t>
      </w:r>
      <w:r w:rsidRPr="000C693F">
        <w:rPr>
          <w:rFonts w:ascii="Times New Roman" w:hAnsi="Times New Roman"/>
          <w:sz w:val="20"/>
          <w:szCs w:val="20"/>
        </w:rPr>
        <w:t>Th and 190.2 ± 49.6 , 395.4 ± 11.9 , 57.4 ± 28.5 , 429.4 ± 305.5 Bq kg</w:t>
      </w:r>
      <w:r w:rsidRPr="000C693F">
        <w:rPr>
          <w:rFonts w:ascii="Times New Roman" w:hAnsi="Times New Roman"/>
          <w:sz w:val="20"/>
          <w:szCs w:val="20"/>
          <w:vertAlign w:val="superscript"/>
        </w:rPr>
        <w:t>-1</w:t>
      </w:r>
      <w:r w:rsidRPr="000C693F">
        <w:rPr>
          <w:rFonts w:ascii="Times New Roman" w:hAnsi="Times New Roman"/>
          <w:sz w:val="20"/>
          <w:szCs w:val="20"/>
        </w:rPr>
        <w:t xml:space="preserve"> for </w:t>
      </w:r>
      <w:r w:rsidRPr="000C693F">
        <w:rPr>
          <w:rFonts w:ascii="Times New Roman" w:hAnsi="Times New Roman"/>
          <w:sz w:val="20"/>
          <w:szCs w:val="20"/>
          <w:vertAlign w:val="superscript"/>
        </w:rPr>
        <w:t>40</w:t>
      </w:r>
      <w:r w:rsidRPr="000C693F">
        <w:rPr>
          <w:rFonts w:ascii="Times New Roman" w:hAnsi="Times New Roman"/>
          <w:sz w:val="20"/>
          <w:szCs w:val="20"/>
        </w:rPr>
        <w:t xml:space="preserve">K, respectively. The annual internal exposure dose for children through consumption of milk powder are 63.5 μSv for </w:t>
      </w:r>
      <w:r w:rsidRPr="000C693F">
        <w:rPr>
          <w:rFonts w:ascii="Times New Roman" w:hAnsi="Times New Roman"/>
          <w:sz w:val="20"/>
          <w:szCs w:val="20"/>
          <w:vertAlign w:val="superscript"/>
        </w:rPr>
        <w:t>226</w:t>
      </w:r>
      <w:r w:rsidRPr="000C693F">
        <w:rPr>
          <w:rFonts w:ascii="Times New Roman" w:hAnsi="Times New Roman"/>
          <w:sz w:val="20"/>
          <w:szCs w:val="20"/>
        </w:rPr>
        <w:t xml:space="preserve">Ra, 32.2 μSv for </w:t>
      </w:r>
      <w:r w:rsidRPr="000C693F">
        <w:rPr>
          <w:rFonts w:ascii="Times New Roman" w:hAnsi="Times New Roman"/>
          <w:sz w:val="20"/>
          <w:szCs w:val="20"/>
          <w:vertAlign w:val="superscript"/>
        </w:rPr>
        <w:t>232</w:t>
      </w:r>
      <w:r w:rsidRPr="000C693F">
        <w:rPr>
          <w:rFonts w:ascii="Times New Roman" w:hAnsi="Times New Roman"/>
          <w:sz w:val="20"/>
          <w:szCs w:val="20"/>
        </w:rPr>
        <w:t xml:space="preserve">Th, 2.8 μSv for </w:t>
      </w:r>
      <w:r w:rsidRPr="000C693F">
        <w:rPr>
          <w:rFonts w:ascii="Times New Roman" w:hAnsi="Times New Roman"/>
          <w:sz w:val="20"/>
          <w:szCs w:val="20"/>
          <w:vertAlign w:val="superscript"/>
        </w:rPr>
        <w:t>238</w:t>
      </w:r>
      <w:r w:rsidRPr="000C693F">
        <w:rPr>
          <w:rFonts w:ascii="Times New Roman" w:hAnsi="Times New Roman"/>
          <w:sz w:val="20"/>
          <w:szCs w:val="20"/>
        </w:rPr>
        <w:t xml:space="preserve">U and 326.5 μSv for the </w:t>
      </w:r>
      <w:r w:rsidRPr="000C693F">
        <w:rPr>
          <w:rFonts w:ascii="Times New Roman" w:hAnsi="Times New Roman"/>
          <w:sz w:val="20"/>
          <w:szCs w:val="20"/>
          <w:vertAlign w:val="superscript"/>
        </w:rPr>
        <w:t>40</w:t>
      </w:r>
      <w:r w:rsidRPr="000C693F">
        <w:rPr>
          <w:rFonts w:ascii="Times New Roman" w:hAnsi="Times New Roman"/>
          <w:sz w:val="20"/>
          <w:szCs w:val="20"/>
        </w:rPr>
        <w:t xml:space="preserve">K, respectively. Whereas, the annual internal exposure dose for adults through consumption of wheat flour, tea and coffee are 13.7 μSv for </w:t>
      </w:r>
      <w:r w:rsidRPr="000C693F">
        <w:rPr>
          <w:rFonts w:ascii="Times New Roman" w:hAnsi="Times New Roman"/>
          <w:sz w:val="20"/>
          <w:szCs w:val="20"/>
          <w:vertAlign w:val="superscript"/>
        </w:rPr>
        <w:t>226</w:t>
      </w:r>
      <w:r w:rsidRPr="000C693F">
        <w:rPr>
          <w:rFonts w:ascii="Times New Roman" w:hAnsi="Times New Roman"/>
          <w:sz w:val="20"/>
          <w:szCs w:val="20"/>
        </w:rPr>
        <w:t xml:space="preserve">Ra , 18.0 μSv for </w:t>
      </w:r>
      <w:r w:rsidRPr="000C693F">
        <w:rPr>
          <w:rFonts w:ascii="Times New Roman" w:hAnsi="Times New Roman"/>
          <w:sz w:val="20"/>
          <w:szCs w:val="20"/>
          <w:vertAlign w:val="superscript"/>
        </w:rPr>
        <w:t>232</w:t>
      </w:r>
      <w:r w:rsidRPr="000C693F">
        <w:rPr>
          <w:rFonts w:ascii="Times New Roman" w:hAnsi="Times New Roman"/>
          <w:sz w:val="20"/>
          <w:szCs w:val="20"/>
        </w:rPr>
        <w:t>Th , 5.1 μSv year</w:t>
      </w:r>
      <w:r w:rsidRPr="000C693F">
        <w:rPr>
          <w:rFonts w:ascii="Times New Roman" w:hAnsi="Times New Roman"/>
          <w:sz w:val="20"/>
          <w:szCs w:val="20"/>
          <w:vertAlign w:val="superscript"/>
        </w:rPr>
        <w:t>-1</w:t>
      </w:r>
      <w:r w:rsidRPr="000C693F">
        <w:rPr>
          <w:rFonts w:ascii="Times New Roman" w:hAnsi="Times New Roman"/>
          <w:sz w:val="20"/>
          <w:szCs w:val="20"/>
        </w:rPr>
        <w:t xml:space="preserve">  for </w:t>
      </w:r>
      <w:r w:rsidRPr="000C693F">
        <w:rPr>
          <w:rFonts w:ascii="Times New Roman" w:hAnsi="Times New Roman"/>
          <w:sz w:val="20"/>
          <w:szCs w:val="20"/>
          <w:vertAlign w:val="superscript"/>
        </w:rPr>
        <w:t>238</w:t>
      </w:r>
      <w:r w:rsidRPr="000C693F">
        <w:rPr>
          <w:rFonts w:ascii="Times New Roman" w:hAnsi="Times New Roman"/>
          <w:sz w:val="20"/>
          <w:szCs w:val="20"/>
        </w:rPr>
        <w:t>U and 24.2 μSv year</w:t>
      </w:r>
      <w:r w:rsidRPr="000C693F">
        <w:rPr>
          <w:rFonts w:ascii="Times New Roman" w:hAnsi="Times New Roman"/>
          <w:sz w:val="20"/>
          <w:szCs w:val="20"/>
          <w:vertAlign w:val="superscript"/>
        </w:rPr>
        <w:t>-1</w:t>
      </w:r>
      <w:r w:rsidRPr="000C693F">
        <w:rPr>
          <w:rFonts w:ascii="Times New Roman" w:hAnsi="Times New Roman"/>
          <w:sz w:val="20"/>
          <w:szCs w:val="20"/>
        </w:rPr>
        <w:t xml:space="preserve">  for </w:t>
      </w:r>
      <w:r w:rsidRPr="000C693F">
        <w:rPr>
          <w:rFonts w:ascii="Times New Roman" w:hAnsi="Times New Roman"/>
          <w:sz w:val="20"/>
          <w:szCs w:val="20"/>
          <w:vertAlign w:val="superscript"/>
        </w:rPr>
        <w:t>40</w:t>
      </w:r>
      <w:r w:rsidRPr="000C693F">
        <w:rPr>
          <w:rFonts w:ascii="Times New Roman" w:hAnsi="Times New Roman"/>
          <w:sz w:val="20"/>
          <w:szCs w:val="20"/>
        </w:rPr>
        <w:t>K, respectively. All radionuclide exposure doses are 425 μSv year</w:t>
      </w:r>
      <w:r w:rsidRPr="000C693F">
        <w:rPr>
          <w:rFonts w:ascii="Times New Roman" w:hAnsi="Times New Roman"/>
          <w:sz w:val="20"/>
          <w:szCs w:val="20"/>
          <w:vertAlign w:val="superscript"/>
        </w:rPr>
        <w:t xml:space="preserve">-1 </w:t>
      </w:r>
      <w:r w:rsidRPr="000C693F">
        <w:rPr>
          <w:rFonts w:ascii="Times New Roman" w:hAnsi="Times New Roman"/>
          <w:sz w:val="20"/>
          <w:szCs w:val="20"/>
        </w:rPr>
        <w:t>for children and 61.0 μSv year</w:t>
      </w:r>
      <w:r w:rsidRPr="000C693F">
        <w:rPr>
          <w:rFonts w:ascii="Times New Roman" w:hAnsi="Times New Roman"/>
          <w:sz w:val="20"/>
          <w:szCs w:val="20"/>
          <w:vertAlign w:val="superscript"/>
        </w:rPr>
        <w:t>-1</w:t>
      </w:r>
      <w:r w:rsidRPr="000C693F">
        <w:rPr>
          <w:rFonts w:ascii="Times New Roman" w:hAnsi="Times New Roman"/>
          <w:sz w:val="20"/>
          <w:szCs w:val="20"/>
        </w:rPr>
        <w:t xml:space="preserve"> for adults. This value provides a risk factor of 1.8 x 10</w:t>
      </w:r>
      <w:r w:rsidRPr="000C693F">
        <w:rPr>
          <w:rFonts w:ascii="Times New Roman" w:hAnsi="Times New Roman"/>
          <w:sz w:val="20"/>
          <w:szCs w:val="20"/>
          <w:vertAlign w:val="superscript"/>
        </w:rPr>
        <w:t>-3</w:t>
      </w:r>
      <w:r w:rsidRPr="000C693F">
        <w:rPr>
          <w:rFonts w:ascii="Times New Roman" w:hAnsi="Times New Roman"/>
          <w:sz w:val="20"/>
          <w:szCs w:val="20"/>
        </w:rPr>
        <w:t xml:space="preserve"> cancer for children and 1.7 x 10</w:t>
      </w:r>
      <w:r w:rsidRPr="000C693F">
        <w:rPr>
          <w:rFonts w:ascii="Times New Roman" w:hAnsi="Times New Roman"/>
          <w:sz w:val="20"/>
          <w:szCs w:val="20"/>
          <w:vertAlign w:val="superscript"/>
        </w:rPr>
        <w:t>-4</w:t>
      </w:r>
      <w:r w:rsidRPr="000C693F">
        <w:rPr>
          <w:rFonts w:ascii="Times New Roman" w:hAnsi="Times New Roman"/>
          <w:sz w:val="20"/>
          <w:szCs w:val="20"/>
        </w:rPr>
        <w:t xml:space="preserve"> for adults. It means that the probability of lifetime cancer risk increment of 0.18 % for children (18 people in 10 000) and 0.017 % for adults (1.7 people in 10 000). These values ​​are lower than the ICRP cancer risk factors for the public of 2.5 x 10</w:t>
      </w:r>
      <w:r w:rsidRPr="000C693F">
        <w:rPr>
          <w:rFonts w:ascii="Times New Roman" w:hAnsi="Times New Roman"/>
          <w:sz w:val="20"/>
          <w:szCs w:val="20"/>
          <w:vertAlign w:val="superscript"/>
        </w:rPr>
        <w:t>-3</w:t>
      </w:r>
      <w:r w:rsidRPr="000C693F">
        <w:rPr>
          <w:rFonts w:ascii="Times New Roman" w:hAnsi="Times New Roman"/>
          <w:sz w:val="20"/>
          <w:szCs w:val="20"/>
        </w:rPr>
        <w:t xml:space="preserve"> and the total risk from all sources of radiation dose based on the global annual dose of 2.4 mSv year</w:t>
      </w:r>
      <w:r w:rsidRPr="000C693F">
        <w:rPr>
          <w:rFonts w:ascii="Times New Roman" w:hAnsi="Times New Roman"/>
          <w:sz w:val="20"/>
          <w:szCs w:val="20"/>
          <w:vertAlign w:val="superscript"/>
        </w:rPr>
        <w:t>-1</w:t>
      </w:r>
      <w:r w:rsidRPr="000C693F">
        <w:rPr>
          <w:rFonts w:ascii="Times New Roman" w:hAnsi="Times New Roman"/>
          <w:sz w:val="20"/>
          <w:szCs w:val="20"/>
        </w:rPr>
        <w:t xml:space="preserve"> which is 6 x 10</w:t>
      </w:r>
      <w:r w:rsidRPr="000C693F">
        <w:rPr>
          <w:rFonts w:ascii="Times New Roman" w:hAnsi="Times New Roman"/>
          <w:sz w:val="20"/>
          <w:szCs w:val="20"/>
          <w:vertAlign w:val="superscript"/>
        </w:rPr>
        <w:t>-3</w:t>
      </w:r>
      <w:r w:rsidRPr="000C693F">
        <w:rPr>
          <w:rFonts w:ascii="Times New Roman" w:hAnsi="Times New Roman"/>
          <w:sz w:val="20"/>
          <w:szCs w:val="20"/>
        </w:rPr>
        <w:t>. The study revealed that the intake of milk powder, flour, tea and coffee do not contribute a significant health hazard and is considered radiological safe to be taken by humans.</w:t>
      </w:r>
    </w:p>
    <w:p w:rsidR="000C693F" w:rsidRPr="000C693F" w:rsidRDefault="000C693F" w:rsidP="000C693F">
      <w:pPr>
        <w:spacing w:after="0" w:line="240" w:lineRule="auto"/>
        <w:jc w:val="both"/>
        <w:rPr>
          <w:rFonts w:ascii="Times New Roman" w:hAnsi="Times New Roman"/>
          <w:color w:val="FF0000"/>
          <w:sz w:val="20"/>
          <w:szCs w:val="20"/>
        </w:rPr>
      </w:pPr>
    </w:p>
    <w:p w:rsidR="009F4D4A" w:rsidRDefault="000C693F" w:rsidP="000C693F">
      <w:pPr>
        <w:spacing w:after="0" w:line="240" w:lineRule="auto"/>
        <w:jc w:val="both"/>
        <w:rPr>
          <w:rFonts w:ascii="Times New Roman" w:hAnsi="Times New Roman"/>
          <w:sz w:val="20"/>
          <w:szCs w:val="20"/>
        </w:rPr>
      </w:pPr>
      <w:r w:rsidRPr="000C693F">
        <w:rPr>
          <w:rFonts w:ascii="Times New Roman" w:hAnsi="Times New Roman"/>
          <w:b/>
          <w:sz w:val="20"/>
          <w:szCs w:val="20"/>
        </w:rPr>
        <w:t xml:space="preserve">Keywords: </w:t>
      </w:r>
      <w:r w:rsidRPr="000C693F">
        <w:rPr>
          <w:rFonts w:ascii="Times New Roman" w:hAnsi="Times New Roman"/>
          <w:sz w:val="20"/>
          <w:szCs w:val="20"/>
        </w:rPr>
        <w:t xml:space="preserve">radionuclides, specific activity, annual exposure dose, cancer risk, children, adult </w:t>
      </w:r>
    </w:p>
    <w:p w:rsidR="000C693F" w:rsidRDefault="000C693F" w:rsidP="000C693F">
      <w:pPr>
        <w:spacing w:after="0" w:line="240" w:lineRule="auto"/>
        <w:jc w:val="both"/>
        <w:rPr>
          <w:rFonts w:ascii="Times New Roman" w:hAnsi="Times New Roman"/>
          <w:sz w:val="20"/>
          <w:szCs w:val="20"/>
        </w:rPr>
      </w:pPr>
    </w:p>
    <w:p w:rsidR="000C693F" w:rsidRPr="00BF7BF9" w:rsidRDefault="000C693F" w:rsidP="000C693F">
      <w:pPr>
        <w:autoSpaceDE w:val="0"/>
        <w:autoSpaceDN w:val="0"/>
        <w:adjustRightInd w:val="0"/>
        <w:spacing w:after="0" w:line="240" w:lineRule="auto"/>
        <w:jc w:val="center"/>
        <w:rPr>
          <w:rFonts w:ascii="Times New Roman" w:hAnsi="Times New Roman"/>
          <w:b/>
          <w:sz w:val="20"/>
          <w:szCs w:val="20"/>
          <w:lang w:val="en-GB"/>
        </w:rPr>
      </w:pPr>
      <w:r>
        <w:rPr>
          <w:rFonts w:ascii="Times New Roman" w:hAnsi="Times New Roman"/>
          <w:b/>
          <w:sz w:val="20"/>
          <w:szCs w:val="20"/>
          <w:lang w:val="en-GB"/>
        </w:rPr>
        <w:t>References</w:t>
      </w:r>
    </w:p>
    <w:p w:rsidR="000C693F" w:rsidRPr="00FF1B54" w:rsidRDefault="000C693F" w:rsidP="000C693F">
      <w:pPr>
        <w:pStyle w:val="NoSpacing"/>
        <w:numPr>
          <w:ilvl w:val="0"/>
          <w:numId w:val="1"/>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International Atomic Energy Agency (IAEA). (1989). Measurement of radionuclides in food and environment. A guidebook Technical Series 295. Vienna: International Atomic Energy Agency. </w:t>
      </w:r>
    </w:p>
    <w:p w:rsidR="000C693F" w:rsidRPr="00FF1B54" w:rsidRDefault="000C693F" w:rsidP="000C693F">
      <w:pPr>
        <w:pStyle w:val="NoSpacing"/>
        <w:numPr>
          <w:ilvl w:val="0"/>
          <w:numId w:val="1"/>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International Atomic Energy Agency (IAEA). (2002). Natural and induced radioactivity in food. IAEA-TECDOC-1287. Vienna: International Atomic Energy Agency. 1-131</w:t>
      </w:r>
    </w:p>
    <w:p w:rsidR="000C693F" w:rsidRPr="00FF1B54" w:rsidRDefault="000C693F" w:rsidP="000C693F">
      <w:pPr>
        <w:pStyle w:val="NoSpacing"/>
        <w:numPr>
          <w:ilvl w:val="0"/>
          <w:numId w:val="1"/>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Hernandez, F., Hernandez-Armas, J., Catalan, A., Fernandez-Aldecoa, J.C. &amp; Landeras, M.I. (2004). Activity concentrations and mean annual effective dose of foodstuffs on the Island of Tenerife, Spain. </w:t>
      </w:r>
      <w:r w:rsidRPr="00FF1B54">
        <w:rPr>
          <w:rFonts w:ascii="Times New Roman" w:hAnsi="Times New Roman"/>
          <w:i/>
          <w:color w:val="000000"/>
          <w:sz w:val="20"/>
          <w:szCs w:val="20"/>
        </w:rPr>
        <w:t>Radiation Protection Dosimetry</w:t>
      </w:r>
      <w:r w:rsidRPr="00FF1B54">
        <w:rPr>
          <w:rFonts w:ascii="Times New Roman" w:hAnsi="Times New Roman"/>
          <w:color w:val="000000"/>
          <w:sz w:val="20"/>
          <w:szCs w:val="20"/>
        </w:rPr>
        <w:t xml:space="preserve"> 111:205-210.</w:t>
      </w:r>
    </w:p>
    <w:p w:rsidR="000C693F" w:rsidRPr="00FF1B54" w:rsidRDefault="000C693F" w:rsidP="000C693F">
      <w:pPr>
        <w:pStyle w:val="NoSpacing"/>
        <w:numPr>
          <w:ilvl w:val="0"/>
          <w:numId w:val="1"/>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Aznan F. I., Amran A.M., Muhammad S. Y., Redzuwan Y. &amp; Ismail, B. (2010). Penilaian risiko radiologi bahan binaan konkrit di Semenanjung Malaysia. </w:t>
      </w:r>
      <w:r w:rsidRPr="00FF1B54">
        <w:rPr>
          <w:rFonts w:ascii="Times New Roman" w:hAnsi="Times New Roman"/>
          <w:i/>
          <w:color w:val="000000"/>
          <w:sz w:val="20"/>
          <w:szCs w:val="20"/>
        </w:rPr>
        <w:t>Sains Malaysiana</w:t>
      </w:r>
      <w:r w:rsidRPr="00FF1B54">
        <w:rPr>
          <w:rFonts w:ascii="Times New Roman" w:hAnsi="Times New Roman"/>
          <w:color w:val="000000"/>
          <w:sz w:val="20"/>
          <w:szCs w:val="20"/>
        </w:rPr>
        <w:t xml:space="preserve">. 39 (4): 607-613. </w:t>
      </w:r>
    </w:p>
    <w:p w:rsidR="000C693F" w:rsidRPr="00FF1B54" w:rsidRDefault="000C693F" w:rsidP="000C693F">
      <w:pPr>
        <w:pStyle w:val="NoSpacing"/>
        <w:numPr>
          <w:ilvl w:val="0"/>
          <w:numId w:val="1"/>
        </w:numPr>
        <w:ind w:left="360"/>
        <w:contextualSpacing/>
        <w:jc w:val="both"/>
        <w:rPr>
          <w:rFonts w:ascii="Times New Roman" w:hAnsi="Times New Roman"/>
          <w:color w:val="000000"/>
          <w:sz w:val="20"/>
          <w:szCs w:val="20"/>
        </w:rPr>
      </w:pPr>
      <w:r w:rsidRPr="00FF1B54">
        <w:rPr>
          <w:rFonts w:ascii="Times New Roman" w:hAnsi="Times New Roman"/>
          <w:sz w:val="20"/>
          <w:szCs w:val="20"/>
        </w:rPr>
        <w:t xml:space="preserve">Che Nor Aniza Binti Che Zainul Bahri, Khoo Kok Siong, Amran Ab. Majid, Norafatin Khalid. (2014). Penilaian Risiko Kanser dari Sampel Tanih di Sekitar Kawasan Perindustrian Gebeng, Pahang dan Sampel Amang di Perak. </w:t>
      </w:r>
      <w:r w:rsidRPr="00FF1B54">
        <w:rPr>
          <w:rFonts w:ascii="Times New Roman" w:hAnsi="Times New Roman"/>
          <w:i/>
          <w:iCs/>
          <w:sz w:val="20"/>
          <w:szCs w:val="20"/>
        </w:rPr>
        <w:t xml:space="preserve">Malaysian Journal of Analytical Sciences </w:t>
      </w:r>
      <w:r w:rsidRPr="00FF1B54">
        <w:rPr>
          <w:rFonts w:ascii="Times New Roman" w:hAnsi="Times New Roman"/>
          <w:iCs/>
          <w:sz w:val="20"/>
          <w:szCs w:val="20"/>
        </w:rPr>
        <w:t>18(2): 337 – 343.</w:t>
      </w:r>
    </w:p>
    <w:p w:rsidR="000C693F" w:rsidRPr="00FF1B54" w:rsidRDefault="000C693F" w:rsidP="000C693F">
      <w:pPr>
        <w:pStyle w:val="NoSpacing"/>
        <w:numPr>
          <w:ilvl w:val="0"/>
          <w:numId w:val="1"/>
        </w:numPr>
        <w:ind w:left="360"/>
        <w:contextualSpacing/>
        <w:jc w:val="both"/>
        <w:rPr>
          <w:rFonts w:ascii="Times New Roman" w:hAnsi="Times New Roman"/>
          <w:color w:val="000000"/>
          <w:sz w:val="20"/>
          <w:szCs w:val="20"/>
        </w:rPr>
      </w:pPr>
      <w:r w:rsidRPr="00FF1B54">
        <w:rPr>
          <w:rFonts w:ascii="Times New Roman" w:hAnsi="Times New Roman"/>
          <w:sz w:val="20"/>
          <w:szCs w:val="20"/>
          <w:lang w:val="en-MY"/>
        </w:rPr>
        <w:t xml:space="preserve">Canbazoglu, C. &amp; Dogru, M. (2012). A preliminary study on </w:t>
      </w:r>
      <w:r w:rsidRPr="00FF1B54">
        <w:rPr>
          <w:rFonts w:ascii="Times New Roman" w:hAnsi="Times New Roman"/>
          <w:sz w:val="20"/>
          <w:szCs w:val="20"/>
          <w:vertAlign w:val="superscript"/>
          <w:lang w:val="en-MY"/>
        </w:rPr>
        <w:t>226</w:t>
      </w:r>
      <w:r w:rsidRPr="00FF1B54">
        <w:rPr>
          <w:rFonts w:ascii="Times New Roman" w:hAnsi="Times New Roman"/>
          <w:sz w:val="20"/>
          <w:szCs w:val="20"/>
          <w:lang w:val="en-MY"/>
        </w:rPr>
        <w:t xml:space="preserve">Ra, </w:t>
      </w:r>
      <w:r w:rsidRPr="00FF1B54">
        <w:rPr>
          <w:rFonts w:ascii="Times New Roman" w:hAnsi="Times New Roman"/>
          <w:sz w:val="20"/>
          <w:szCs w:val="20"/>
          <w:vertAlign w:val="superscript"/>
          <w:lang w:val="en-MY"/>
        </w:rPr>
        <w:t>232</w:t>
      </w:r>
      <w:r w:rsidRPr="00FF1B54">
        <w:rPr>
          <w:rFonts w:ascii="Times New Roman" w:hAnsi="Times New Roman"/>
          <w:sz w:val="20"/>
          <w:szCs w:val="20"/>
          <w:lang w:val="en-MY"/>
        </w:rPr>
        <w:t xml:space="preserve">Th, </w:t>
      </w:r>
      <w:r w:rsidRPr="00FF1B54">
        <w:rPr>
          <w:rFonts w:ascii="Times New Roman" w:hAnsi="Times New Roman"/>
          <w:sz w:val="20"/>
          <w:szCs w:val="20"/>
          <w:vertAlign w:val="superscript"/>
          <w:lang w:val="en-MY"/>
        </w:rPr>
        <w:t>40</w:t>
      </w:r>
      <w:r w:rsidRPr="00FF1B54">
        <w:rPr>
          <w:rFonts w:ascii="Times New Roman" w:hAnsi="Times New Roman"/>
          <w:sz w:val="20"/>
          <w:szCs w:val="20"/>
          <w:lang w:val="en-MY"/>
        </w:rPr>
        <w:t xml:space="preserve">K and </w:t>
      </w:r>
      <w:r w:rsidRPr="00FF1B54">
        <w:rPr>
          <w:rFonts w:ascii="Times New Roman" w:hAnsi="Times New Roman"/>
          <w:sz w:val="20"/>
          <w:szCs w:val="20"/>
          <w:vertAlign w:val="superscript"/>
          <w:lang w:val="en-MY"/>
        </w:rPr>
        <w:t>137</w:t>
      </w:r>
      <w:r w:rsidRPr="00FF1B54">
        <w:rPr>
          <w:rFonts w:ascii="Times New Roman" w:hAnsi="Times New Roman"/>
          <w:sz w:val="20"/>
          <w:szCs w:val="20"/>
          <w:lang w:val="en-MY"/>
        </w:rPr>
        <w:t xml:space="preserve">Cs concentrations in vegetables and fruits frequently consumed by inhabitants of Elazig Region, Turkey. </w:t>
      </w:r>
      <w:r w:rsidRPr="00FF1B54">
        <w:rPr>
          <w:rFonts w:ascii="Times New Roman" w:hAnsi="Times New Roman"/>
          <w:i/>
          <w:sz w:val="20"/>
          <w:szCs w:val="20"/>
          <w:lang w:val="en-MY"/>
        </w:rPr>
        <w:t>Journal Radioanalytical Nuclear Chemistry.</w:t>
      </w:r>
      <w:r w:rsidRPr="00FF1B54">
        <w:rPr>
          <w:rFonts w:ascii="Times New Roman" w:hAnsi="Times New Roman"/>
          <w:sz w:val="20"/>
          <w:szCs w:val="20"/>
          <w:lang w:val="en-MY"/>
        </w:rPr>
        <w:t xml:space="preserve"> </w:t>
      </w:r>
    </w:p>
    <w:p w:rsidR="000C693F" w:rsidRPr="00FF1B54" w:rsidRDefault="000C693F" w:rsidP="000C693F">
      <w:pPr>
        <w:pStyle w:val="NoSpacing"/>
        <w:numPr>
          <w:ilvl w:val="0"/>
          <w:numId w:val="1"/>
        </w:numPr>
        <w:ind w:left="360"/>
        <w:contextualSpacing/>
        <w:jc w:val="both"/>
        <w:rPr>
          <w:rFonts w:ascii="Times New Roman" w:hAnsi="Times New Roman"/>
          <w:color w:val="000000"/>
          <w:sz w:val="20"/>
          <w:szCs w:val="20"/>
        </w:rPr>
      </w:pPr>
      <w:r w:rsidRPr="00FF1B54">
        <w:rPr>
          <w:rFonts w:ascii="Times New Roman" w:hAnsi="Times New Roman"/>
          <w:sz w:val="20"/>
          <w:szCs w:val="20"/>
          <w:lang w:val="en-MY"/>
        </w:rPr>
        <w:t>International Commission Radiation Protection (ICRP). (2007). Recommendations of the ICRP: Annals of the ICRP volume 37/2-4.</w:t>
      </w:r>
    </w:p>
    <w:p w:rsidR="000C693F" w:rsidRPr="00FF1B54" w:rsidRDefault="000C693F" w:rsidP="000C693F">
      <w:pPr>
        <w:pStyle w:val="NoSpacing"/>
        <w:numPr>
          <w:ilvl w:val="0"/>
          <w:numId w:val="1"/>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Kementerian Kesihatan Malaysia (KKM). (2003). Laporan Tahunan Kementerian Kesihatan Malaysia. 1-192.</w:t>
      </w:r>
    </w:p>
    <w:p w:rsidR="000C693F" w:rsidRPr="00FF1B54" w:rsidRDefault="000C693F" w:rsidP="000C693F">
      <w:pPr>
        <w:pStyle w:val="NoSpacing"/>
        <w:numPr>
          <w:ilvl w:val="0"/>
          <w:numId w:val="1"/>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Ababneh, Z.Q., Alyassin, A.M., Aljarrah, K.M. &amp; Ababneh, A.M. (2009). Measurement of natural radioactivity in powdered milk consumed in Jordan and estimates of the corresponding annual effective dose. </w:t>
      </w:r>
      <w:r w:rsidRPr="00FF1B54">
        <w:rPr>
          <w:rFonts w:ascii="Times New Roman" w:hAnsi="Times New Roman"/>
          <w:i/>
          <w:color w:val="000000"/>
          <w:sz w:val="20"/>
          <w:szCs w:val="20"/>
        </w:rPr>
        <w:t>Radiation Protection Dosimetry</w:t>
      </w:r>
      <w:r w:rsidRPr="00FF1B54">
        <w:rPr>
          <w:rFonts w:ascii="Times New Roman" w:hAnsi="Times New Roman"/>
          <w:color w:val="000000"/>
          <w:sz w:val="20"/>
          <w:szCs w:val="20"/>
        </w:rPr>
        <w:t xml:space="preserve"> 138:278-283.</w:t>
      </w:r>
    </w:p>
    <w:p w:rsidR="000C693F" w:rsidRPr="00FF1B54" w:rsidRDefault="000C693F" w:rsidP="000C693F">
      <w:pPr>
        <w:pStyle w:val="NoSpacing"/>
        <w:numPr>
          <w:ilvl w:val="0"/>
          <w:numId w:val="1"/>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Desimoni, J., Sives, F., Errico, L., Mastrantonio, G. &amp; Taylor, M.A. (2009). Activity levels of gamma emitters in Argentina cow milk. </w:t>
      </w:r>
      <w:r w:rsidRPr="00FF1B54">
        <w:rPr>
          <w:rFonts w:ascii="Times New Roman" w:hAnsi="Times New Roman"/>
          <w:i/>
          <w:color w:val="000000"/>
          <w:sz w:val="20"/>
          <w:szCs w:val="20"/>
        </w:rPr>
        <w:t xml:space="preserve">Journal of Food and Analysis </w:t>
      </w:r>
      <w:r w:rsidRPr="00FF1B54">
        <w:rPr>
          <w:rFonts w:ascii="Times New Roman" w:hAnsi="Times New Roman"/>
          <w:color w:val="000000"/>
          <w:sz w:val="20"/>
          <w:szCs w:val="20"/>
        </w:rPr>
        <w:t>22:250-253.</w:t>
      </w:r>
    </w:p>
    <w:p w:rsidR="000C693F" w:rsidRPr="00FF1B54" w:rsidRDefault="000C693F" w:rsidP="000C693F">
      <w:pPr>
        <w:numPr>
          <w:ilvl w:val="0"/>
          <w:numId w:val="1"/>
        </w:numPr>
        <w:spacing w:after="0" w:line="240" w:lineRule="auto"/>
        <w:ind w:left="360"/>
        <w:jc w:val="both"/>
        <w:rPr>
          <w:rFonts w:ascii="Times New Roman" w:eastAsia="Calibri" w:hAnsi="Times New Roman"/>
          <w:color w:val="000000"/>
          <w:sz w:val="20"/>
          <w:szCs w:val="20"/>
        </w:rPr>
      </w:pPr>
      <w:r w:rsidRPr="00FF1B54">
        <w:rPr>
          <w:rFonts w:ascii="Times New Roman" w:eastAsia="Calibri" w:hAnsi="Times New Roman"/>
          <w:color w:val="000000"/>
          <w:sz w:val="20"/>
          <w:szCs w:val="20"/>
        </w:rPr>
        <w:t xml:space="preserve">Hosseini, T., Fathivand, A. A., Abbasisiar F., Karimi, M &amp; Barati, H. (2008). Assessment of annual effective dose from </w:t>
      </w:r>
      <w:r w:rsidRPr="00FF1B54">
        <w:rPr>
          <w:rFonts w:ascii="Times New Roman" w:eastAsia="Calibri" w:hAnsi="Times New Roman"/>
          <w:color w:val="000000"/>
          <w:sz w:val="20"/>
          <w:szCs w:val="20"/>
          <w:vertAlign w:val="superscript"/>
        </w:rPr>
        <w:t>238</w:t>
      </w:r>
      <w:r w:rsidRPr="00FF1B54">
        <w:rPr>
          <w:rFonts w:ascii="Times New Roman" w:eastAsia="Calibri" w:hAnsi="Times New Roman"/>
          <w:color w:val="000000"/>
          <w:sz w:val="20"/>
          <w:szCs w:val="20"/>
        </w:rPr>
        <w:t xml:space="preserve">U and </w:t>
      </w:r>
      <w:r w:rsidRPr="00FF1B54">
        <w:rPr>
          <w:rFonts w:ascii="Times New Roman" w:eastAsia="Calibri" w:hAnsi="Times New Roman"/>
          <w:color w:val="000000"/>
          <w:sz w:val="20"/>
          <w:szCs w:val="20"/>
          <w:vertAlign w:val="superscript"/>
        </w:rPr>
        <w:t>226</w:t>
      </w:r>
      <w:r w:rsidRPr="00FF1B54">
        <w:rPr>
          <w:rFonts w:ascii="Times New Roman" w:eastAsia="Calibri" w:hAnsi="Times New Roman"/>
          <w:color w:val="000000"/>
          <w:sz w:val="20"/>
          <w:szCs w:val="20"/>
        </w:rPr>
        <w:t xml:space="preserve">Ra due to consumption of foodstuffs by inhabitants of Tehran City, Iran. </w:t>
      </w:r>
      <w:r w:rsidRPr="00FF1B54">
        <w:rPr>
          <w:rFonts w:ascii="Times New Roman" w:eastAsia="Calibri" w:hAnsi="Times New Roman"/>
          <w:i/>
          <w:color w:val="000000"/>
          <w:sz w:val="20"/>
          <w:szCs w:val="20"/>
        </w:rPr>
        <w:t>Radiation Protection Dosimetry</w:t>
      </w:r>
      <w:r w:rsidRPr="00FF1B54">
        <w:rPr>
          <w:rFonts w:ascii="Times New Roman" w:eastAsia="Calibri" w:hAnsi="Times New Roman"/>
          <w:color w:val="000000"/>
          <w:sz w:val="20"/>
          <w:szCs w:val="20"/>
        </w:rPr>
        <w:t xml:space="preserve"> 121:330-332.</w:t>
      </w:r>
    </w:p>
    <w:p w:rsidR="000C693F" w:rsidRPr="00FF1B54" w:rsidRDefault="000C693F" w:rsidP="000C693F">
      <w:pPr>
        <w:pStyle w:val="NoSpacing"/>
        <w:numPr>
          <w:ilvl w:val="0"/>
          <w:numId w:val="1"/>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Choi, M.S., Lin, X.J., Lee, S.A., Kim W., Kang, H.D., Doh, S.H., Kim, D.S. &amp; Lee, D.M.  (2008). Daily intakes of naturally occurring radioisotopes in typical Korean foods. </w:t>
      </w:r>
      <w:r w:rsidRPr="00FF1B54">
        <w:rPr>
          <w:rFonts w:ascii="Times New Roman" w:hAnsi="Times New Roman"/>
          <w:i/>
          <w:color w:val="000000"/>
          <w:sz w:val="20"/>
          <w:szCs w:val="20"/>
        </w:rPr>
        <w:t xml:space="preserve">Journal of Environmental Radioactivity </w:t>
      </w:r>
      <w:r w:rsidRPr="00FF1B54">
        <w:rPr>
          <w:rFonts w:ascii="Times New Roman" w:hAnsi="Times New Roman"/>
          <w:color w:val="000000"/>
          <w:sz w:val="20"/>
          <w:szCs w:val="20"/>
        </w:rPr>
        <w:t>99:1319-1323.</w:t>
      </w:r>
    </w:p>
    <w:p w:rsidR="000C693F" w:rsidRPr="00FF1B54" w:rsidRDefault="000C693F" w:rsidP="000C693F">
      <w:pPr>
        <w:pStyle w:val="NoSpacing"/>
        <w:numPr>
          <w:ilvl w:val="0"/>
          <w:numId w:val="1"/>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lastRenderedPageBreak/>
        <w:t xml:space="preserve">Saeed, M.A., Wahab, N.A.A., Hossain, I., Ahmed, R., Abdullah, H.Y., Ramli, A.T. &amp; Ahmed, T.B. (2011). Measuring radioactivity level in various types of rice using hyper pure germanium (HPGe) detector. </w:t>
      </w:r>
      <w:r w:rsidRPr="00FF1B54">
        <w:rPr>
          <w:rFonts w:ascii="Times New Roman" w:hAnsi="Times New Roman"/>
          <w:i/>
          <w:color w:val="000000"/>
          <w:sz w:val="20"/>
          <w:szCs w:val="20"/>
        </w:rPr>
        <w:t>International Journal of the Physical Sciences</w:t>
      </w:r>
      <w:r w:rsidRPr="00FF1B54">
        <w:rPr>
          <w:rFonts w:ascii="Times New Roman" w:hAnsi="Times New Roman"/>
          <w:color w:val="000000"/>
          <w:sz w:val="20"/>
          <w:szCs w:val="20"/>
        </w:rPr>
        <w:t xml:space="preserve"> 6(32): 7335-7340.</w:t>
      </w:r>
    </w:p>
    <w:p w:rsidR="000C693F" w:rsidRPr="00FF1B54" w:rsidRDefault="000C693F" w:rsidP="000C693F">
      <w:pPr>
        <w:pStyle w:val="NoSpacing"/>
        <w:numPr>
          <w:ilvl w:val="0"/>
          <w:numId w:val="1"/>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United Nations Scientific Committee on the Effects of Atomic Radiation (UNSCEAR). (2000). Sources and Effects of Ionizing Radiation. Vol. 1: Sources. 1-439.</w:t>
      </w:r>
    </w:p>
    <w:p w:rsidR="000C693F" w:rsidRPr="000C693F" w:rsidRDefault="000C693F" w:rsidP="000C693F">
      <w:pPr>
        <w:pStyle w:val="NoSpacing"/>
        <w:numPr>
          <w:ilvl w:val="0"/>
          <w:numId w:val="1"/>
        </w:numPr>
        <w:ind w:left="360"/>
        <w:contextualSpacing/>
        <w:jc w:val="both"/>
        <w:rPr>
          <w:rFonts w:ascii="Times New Roman" w:hAnsi="Times New Roman"/>
          <w:color w:val="000000"/>
          <w:sz w:val="20"/>
          <w:szCs w:val="20"/>
        </w:rPr>
      </w:pPr>
      <w:r w:rsidRPr="00FF1B54">
        <w:rPr>
          <w:rFonts w:ascii="Times New Roman" w:hAnsi="Times New Roman"/>
          <w:color w:val="000000"/>
          <w:sz w:val="20"/>
          <w:szCs w:val="20"/>
        </w:rPr>
        <w:t xml:space="preserve">Akhter, P., Rahman, K., Orfi, S.D. &amp; Ahmad, N. (2007). Radiological impact of dietary intake of naturally occurring radionuclides on Pakistani adults. </w:t>
      </w:r>
      <w:r w:rsidRPr="00FF1B54">
        <w:rPr>
          <w:rFonts w:ascii="Times New Roman" w:hAnsi="Times New Roman"/>
          <w:i/>
          <w:color w:val="000000"/>
          <w:sz w:val="20"/>
          <w:szCs w:val="20"/>
        </w:rPr>
        <w:t>Food and Chemical</w:t>
      </w:r>
      <w:r w:rsidRPr="00FF1B54">
        <w:rPr>
          <w:rFonts w:ascii="Times New Roman" w:hAnsi="Times New Roman"/>
          <w:color w:val="000000"/>
          <w:sz w:val="20"/>
          <w:szCs w:val="20"/>
        </w:rPr>
        <w:t xml:space="preserve"> </w:t>
      </w:r>
      <w:r w:rsidRPr="00FF1B54">
        <w:rPr>
          <w:rFonts w:ascii="Times New Roman" w:hAnsi="Times New Roman"/>
          <w:i/>
          <w:color w:val="000000"/>
          <w:sz w:val="20"/>
          <w:szCs w:val="20"/>
        </w:rPr>
        <w:t>Toxicology</w:t>
      </w:r>
      <w:r w:rsidRPr="00FF1B54">
        <w:rPr>
          <w:rFonts w:ascii="Times New Roman" w:hAnsi="Times New Roman"/>
          <w:color w:val="000000"/>
          <w:sz w:val="20"/>
          <w:szCs w:val="20"/>
        </w:rPr>
        <w:t xml:space="preserve"> 45:272-277.</w:t>
      </w:r>
    </w:p>
    <w:sectPr w:rsidR="000C693F" w:rsidRPr="000C693F" w:rsidSect="000C693F">
      <w:pgSz w:w="12240" w:h="15840"/>
      <w:pgMar w:top="1800" w:right="1498"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B2BD3"/>
    <w:multiLevelType w:val="hybridMultilevel"/>
    <w:tmpl w:val="E244C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93F"/>
    <w:rsid w:val="000C693F"/>
    <w:rsid w:val="009F4D4A"/>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93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C69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93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C69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knadiahazwan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2015-03-20T09:59:00Z</dcterms:created>
  <dcterms:modified xsi:type="dcterms:W3CDTF">2015-03-20T10:03:00Z</dcterms:modified>
</cp:coreProperties>
</file>