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37E" w:rsidRDefault="003C637E" w:rsidP="003C637E">
      <w:pPr>
        <w:spacing w:after="0" w:line="240" w:lineRule="auto"/>
        <w:contextualSpacing/>
        <w:rPr>
          <w:rFonts w:ascii="Times New Roman" w:hAnsi="Times New Roman"/>
          <w:bCs/>
          <w:sz w:val="24"/>
          <w:szCs w:val="24"/>
        </w:rPr>
      </w:pPr>
      <w:r>
        <w:rPr>
          <w:rFonts w:ascii="Times New Roman" w:hAnsi="Times New Roman"/>
          <w:bCs/>
          <w:sz w:val="24"/>
          <w:szCs w:val="24"/>
        </w:rPr>
        <w:t xml:space="preserve">Malaysian Journal of Analytical </w:t>
      </w:r>
      <w:r w:rsidR="0044535B">
        <w:rPr>
          <w:rFonts w:ascii="Times New Roman" w:hAnsi="Times New Roman"/>
          <w:bCs/>
          <w:sz w:val="24"/>
          <w:szCs w:val="24"/>
        </w:rPr>
        <w:t>Sciences Vol 19 No 2 (2015): 437 – 444</w:t>
      </w:r>
      <w:bookmarkStart w:id="0" w:name="_GoBack"/>
      <w:bookmarkEnd w:id="0"/>
    </w:p>
    <w:p w:rsidR="003C637E" w:rsidRDefault="003C637E" w:rsidP="003C637E">
      <w:pPr>
        <w:spacing w:after="0" w:line="240" w:lineRule="auto"/>
        <w:contextualSpacing/>
        <w:rPr>
          <w:rFonts w:ascii="Times New Roman" w:hAnsi="Times New Roman"/>
          <w:bCs/>
          <w:sz w:val="24"/>
          <w:szCs w:val="24"/>
        </w:rPr>
      </w:pPr>
    </w:p>
    <w:p w:rsidR="003C637E" w:rsidRDefault="003C637E" w:rsidP="003C637E">
      <w:pPr>
        <w:spacing w:after="0" w:line="240" w:lineRule="auto"/>
        <w:contextualSpacing/>
        <w:rPr>
          <w:rFonts w:ascii="Times New Roman" w:hAnsi="Times New Roman"/>
          <w:bCs/>
          <w:sz w:val="24"/>
          <w:szCs w:val="24"/>
        </w:rPr>
      </w:pPr>
    </w:p>
    <w:p w:rsidR="003C637E" w:rsidRPr="003C637E" w:rsidRDefault="003C637E" w:rsidP="003C637E">
      <w:pPr>
        <w:spacing w:after="0" w:line="240" w:lineRule="auto"/>
        <w:contextualSpacing/>
        <w:rPr>
          <w:rFonts w:ascii="Times New Roman" w:hAnsi="Times New Roman"/>
          <w:bCs/>
          <w:sz w:val="24"/>
          <w:szCs w:val="24"/>
        </w:rPr>
      </w:pPr>
    </w:p>
    <w:p w:rsidR="003C637E" w:rsidRPr="008474C4" w:rsidRDefault="003C637E" w:rsidP="003C637E">
      <w:pPr>
        <w:spacing w:after="0" w:line="240" w:lineRule="auto"/>
        <w:contextualSpacing/>
        <w:jc w:val="center"/>
        <w:rPr>
          <w:rFonts w:ascii="Times New Roman" w:hAnsi="Times New Roman"/>
          <w:bCs/>
          <w:sz w:val="28"/>
          <w:szCs w:val="28"/>
        </w:rPr>
      </w:pPr>
      <w:r w:rsidRPr="008474C4">
        <w:rPr>
          <w:rFonts w:ascii="Times New Roman" w:hAnsi="Times New Roman"/>
          <w:bCs/>
          <w:sz w:val="28"/>
          <w:szCs w:val="28"/>
        </w:rPr>
        <w:t xml:space="preserve">CONSTITUTIVE, INSTITUTIVE AND UP-REGULATION OF CAROTENOGENESIS REGULATORY MECHANISM VIA </w:t>
      </w:r>
      <w:r w:rsidRPr="008474C4">
        <w:rPr>
          <w:rFonts w:ascii="Times New Roman" w:hAnsi="Times New Roman"/>
          <w:bCs/>
          <w:i/>
          <w:sz w:val="28"/>
          <w:szCs w:val="28"/>
        </w:rPr>
        <w:t>IN VITRO</w:t>
      </w:r>
      <w:r w:rsidRPr="008474C4">
        <w:rPr>
          <w:rFonts w:ascii="Times New Roman" w:hAnsi="Times New Roman"/>
          <w:bCs/>
          <w:sz w:val="28"/>
          <w:szCs w:val="28"/>
        </w:rPr>
        <w:t xml:space="preserve"> CULTURE MODEL SYSTEM AND ELICITORS</w:t>
      </w:r>
    </w:p>
    <w:p w:rsidR="003C637E" w:rsidRPr="00F447A7" w:rsidRDefault="003C637E" w:rsidP="003C637E">
      <w:pPr>
        <w:spacing w:after="0" w:line="240" w:lineRule="auto"/>
        <w:jc w:val="center"/>
        <w:rPr>
          <w:rFonts w:ascii="Times New Roman" w:hAnsi="Times New Roman"/>
          <w:noProof/>
          <w:sz w:val="24"/>
          <w:szCs w:val="24"/>
          <w:lang w:bidi="ar-SA"/>
        </w:rPr>
      </w:pPr>
    </w:p>
    <w:p w:rsidR="003C637E" w:rsidRPr="008474C4" w:rsidRDefault="003C637E" w:rsidP="003C637E">
      <w:pPr>
        <w:spacing w:after="0" w:line="240" w:lineRule="auto"/>
        <w:jc w:val="center"/>
        <w:rPr>
          <w:rFonts w:ascii="Times New Roman" w:hAnsi="Times New Roman"/>
          <w:sz w:val="24"/>
          <w:szCs w:val="24"/>
        </w:rPr>
      </w:pPr>
      <w:r w:rsidRPr="008474C4">
        <w:rPr>
          <w:rFonts w:ascii="Times New Roman" w:hAnsi="Times New Roman"/>
          <w:sz w:val="24"/>
          <w:szCs w:val="24"/>
        </w:rPr>
        <w:t xml:space="preserve">(Mekanisme Regulatori dalam Pembentukan Karatenoid Secara Konsitutif, Institutif dan Regulasi Menaik Melalui Model Sistem </w:t>
      </w:r>
      <w:r w:rsidRPr="008474C4">
        <w:rPr>
          <w:rFonts w:ascii="Times New Roman" w:hAnsi="Times New Roman"/>
          <w:i/>
          <w:sz w:val="24"/>
          <w:szCs w:val="24"/>
        </w:rPr>
        <w:t>in vitro</w:t>
      </w:r>
      <w:r w:rsidRPr="008474C4">
        <w:rPr>
          <w:rFonts w:ascii="Times New Roman" w:hAnsi="Times New Roman"/>
          <w:sz w:val="24"/>
          <w:szCs w:val="24"/>
        </w:rPr>
        <w:t xml:space="preserve"> dan Pengelisit)</w:t>
      </w:r>
    </w:p>
    <w:p w:rsidR="003C637E" w:rsidRPr="00F447A7" w:rsidRDefault="003C637E" w:rsidP="003C637E">
      <w:pPr>
        <w:spacing w:after="0" w:line="240" w:lineRule="auto"/>
        <w:jc w:val="center"/>
        <w:rPr>
          <w:rFonts w:ascii="Times New Roman" w:hAnsi="Times New Roman"/>
          <w:noProof/>
          <w:sz w:val="20"/>
          <w:szCs w:val="20"/>
          <w:lang w:bidi="ar-SA"/>
        </w:rPr>
      </w:pPr>
    </w:p>
    <w:p w:rsidR="003C637E" w:rsidRPr="008474C4" w:rsidRDefault="003C637E" w:rsidP="003C637E">
      <w:pPr>
        <w:spacing w:after="0" w:line="240" w:lineRule="auto"/>
        <w:jc w:val="center"/>
        <w:rPr>
          <w:rFonts w:ascii="Times New Roman" w:hAnsi="Times New Roman"/>
          <w:bCs/>
          <w:sz w:val="20"/>
          <w:szCs w:val="20"/>
          <w:vertAlign w:val="superscript"/>
        </w:rPr>
      </w:pPr>
      <w:r>
        <w:rPr>
          <w:rFonts w:ascii="Times New Roman" w:hAnsi="Times New Roman"/>
          <w:bCs/>
          <w:sz w:val="20"/>
          <w:szCs w:val="20"/>
        </w:rPr>
        <w:t>Rashidi Othman</w:t>
      </w:r>
      <w:r w:rsidRPr="008474C4">
        <w:rPr>
          <w:rFonts w:ascii="Times New Roman" w:hAnsi="Times New Roman"/>
          <w:bCs/>
          <w:sz w:val="20"/>
          <w:szCs w:val="20"/>
          <w:vertAlign w:val="superscript"/>
        </w:rPr>
        <w:t>1</w:t>
      </w:r>
      <w:r>
        <w:rPr>
          <w:rFonts w:ascii="Times New Roman" w:hAnsi="Times New Roman"/>
          <w:bCs/>
          <w:sz w:val="20"/>
          <w:szCs w:val="20"/>
        </w:rPr>
        <w:t>*</w:t>
      </w:r>
      <w:r w:rsidRPr="008474C4">
        <w:rPr>
          <w:rFonts w:ascii="Times New Roman" w:hAnsi="Times New Roman"/>
          <w:bCs/>
          <w:sz w:val="20"/>
          <w:szCs w:val="20"/>
        </w:rPr>
        <w:t>, Fatimah Azzahra Mohd Zaifuddin</w:t>
      </w:r>
      <w:r w:rsidRPr="008474C4">
        <w:rPr>
          <w:rFonts w:ascii="Times New Roman" w:hAnsi="Times New Roman"/>
          <w:bCs/>
          <w:sz w:val="20"/>
          <w:szCs w:val="20"/>
          <w:vertAlign w:val="superscript"/>
        </w:rPr>
        <w:t>1</w:t>
      </w:r>
      <w:r w:rsidRPr="008474C4">
        <w:rPr>
          <w:rFonts w:ascii="Times New Roman" w:hAnsi="Times New Roman"/>
          <w:bCs/>
          <w:sz w:val="20"/>
          <w:szCs w:val="20"/>
        </w:rPr>
        <w:t>, Norazian Mohd Hassan</w:t>
      </w:r>
      <w:r w:rsidRPr="008474C4">
        <w:rPr>
          <w:rFonts w:ascii="Times New Roman" w:hAnsi="Times New Roman"/>
          <w:bCs/>
          <w:sz w:val="20"/>
          <w:szCs w:val="20"/>
          <w:vertAlign w:val="superscript"/>
        </w:rPr>
        <w:t>2</w:t>
      </w:r>
    </w:p>
    <w:p w:rsidR="003C637E" w:rsidRPr="003C637E" w:rsidRDefault="003C637E" w:rsidP="003C637E">
      <w:pPr>
        <w:spacing w:after="0" w:line="240" w:lineRule="auto"/>
        <w:rPr>
          <w:rFonts w:ascii="Times New Roman" w:hAnsi="Times New Roman"/>
          <w:bCs/>
          <w:sz w:val="20"/>
          <w:szCs w:val="20"/>
        </w:rPr>
      </w:pPr>
    </w:p>
    <w:p w:rsidR="003C637E" w:rsidRPr="003C637E" w:rsidRDefault="003C637E" w:rsidP="003C637E">
      <w:pPr>
        <w:pStyle w:val="NoSpacing"/>
        <w:jc w:val="center"/>
        <w:rPr>
          <w:rFonts w:ascii="Times New Roman" w:hAnsi="Times New Roman"/>
          <w:i/>
          <w:iCs/>
          <w:sz w:val="20"/>
          <w:szCs w:val="20"/>
          <w:vertAlign w:val="superscript"/>
        </w:rPr>
      </w:pPr>
      <w:r w:rsidRPr="003C637E">
        <w:rPr>
          <w:rFonts w:ascii="Times New Roman" w:hAnsi="Times New Roman"/>
          <w:i/>
          <w:iCs/>
          <w:sz w:val="20"/>
          <w:szCs w:val="20"/>
          <w:vertAlign w:val="superscript"/>
        </w:rPr>
        <w:t>1</w:t>
      </w:r>
      <w:r w:rsidRPr="003C637E">
        <w:rPr>
          <w:rFonts w:ascii="Times New Roman" w:hAnsi="Times New Roman"/>
          <w:i/>
          <w:iCs/>
          <w:sz w:val="20"/>
          <w:szCs w:val="20"/>
        </w:rPr>
        <w:t>International Institute for Halal Research and Training (INHART), Herbarium Unit,</w:t>
      </w:r>
      <w:r w:rsidRPr="003C637E">
        <w:rPr>
          <w:rFonts w:ascii="Times New Roman" w:hAnsi="Times New Roman"/>
          <w:i/>
          <w:iCs/>
          <w:sz w:val="20"/>
          <w:szCs w:val="20"/>
          <w:vertAlign w:val="superscript"/>
        </w:rPr>
        <w:t xml:space="preserve"> </w:t>
      </w:r>
    </w:p>
    <w:p w:rsidR="003C637E" w:rsidRPr="003C637E" w:rsidRDefault="003C637E" w:rsidP="003C637E">
      <w:pPr>
        <w:pStyle w:val="NoSpacing"/>
        <w:jc w:val="center"/>
        <w:rPr>
          <w:rFonts w:ascii="Times New Roman" w:hAnsi="Times New Roman"/>
          <w:bCs/>
          <w:i/>
          <w:iCs/>
          <w:sz w:val="20"/>
          <w:szCs w:val="20"/>
        </w:rPr>
      </w:pPr>
      <w:r w:rsidRPr="003C637E">
        <w:rPr>
          <w:rFonts w:ascii="Times New Roman" w:hAnsi="Times New Roman"/>
          <w:bCs/>
          <w:i/>
          <w:iCs/>
          <w:sz w:val="20"/>
          <w:szCs w:val="20"/>
        </w:rPr>
        <w:t xml:space="preserve">Department of Landscape Architecture, Kulliyyah of Architecture and Environmental Design, </w:t>
      </w:r>
    </w:p>
    <w:p w:rsidR="003C637E" w:rsidRPr="003C637E" w:rsidRDefault="003C637E" w:rsidP="003C637E">
      <w:pPr>
        <w:pStyle w:val="NoSpacing"/>
        <w:jc w:val="center"/>
        <w:rPr>
          <w:rFonts w:ascii="Times New Roman" w:hAnsi="Times New Roman"/>
          <w:i/>
          <w:iCs/>
          <w:sz w:val="20"/>
          <w:szCs w:val="20"/>
        </w:rPr>
      </w:pPr>
      <w:r w:rsidRPr="003C637E">
        <w:rPr>
          <w:rFonts w:ascii="Times New Roman" w:hAnsi="Times New Roman"/>
          <w:bCs/>
          <w:i/>
          <w:iCs/>
          <w:sz w:val="20"/>
          <w:szCs w:val="20"/>
        </w:rPr>
        <w:t xml:space="preserve">International Islamic University Malaysia, </w:t>
      </w:r>
      <w:r w:rsidRPr="003C637E">
        <w:rPr>
          <w:rFonts w:ascii="Times New Roman" w:hAnsi="Times New Roman"/>
          <w:i/>
          <w:iCs/>
          <w:sz w:val="20"/>
          <w:szCs w:val="20"/>
        </w:rPr>
        <w:t>53100 Kuala Lumpur, Malaysia</w:t>
      </w:r>
    </w:p>
    <w:p w:rsidR="003C637E" w:rsidRPr="003C637E" w:rsidRDefault="003C637E" w:rsidP="003C637E">
      <w:pPr>
        <w:pStyle w:val="NoSpacing"/>
        <w:jc w:val="center"/>
        <w:rPr>
          <w:rFonts w:ascii="Times New Roman" w:hAnsi="Times New Roman"/>
          <w:i/>
          <w:iCs/>
          <w:sz w:val="20"/>
          <w:szCs w:val="20"/>
          <w:lang w:val="en-GB"/>
        </w:rPr>
      </w:pPr>
      <w:r w:rsidRPr="003C637E">
        <w:rPr>
          <w:rFonts w:ascii="Times New Roman" w:hAnsi="Times New Roman"/>
          <w:i/>
          <w:iCs/>
          <w:sz w:val="20"/>
          <w:szCs w:val="20"/>
          <w:vertAlign w:val="superscript"/>
          <w:lang w:val="en-GB"/>
        </w:rPr>
        <w:t>2</w:t>
      </w:r>
      <w:r w:rsidRPr="003C637E">
        <w:rPr>
          <w:rFonts w:ascii="Times New Roman" w:hAnsi="Times New Roman"/>
          <w:i/>
          <w:iCs/>
          <w:sz w:val="20"/>
          <w:szCs w:val="20"/>
          <w:lang w:val="en-GB"/>
        </w:rPr>
        <w:t xml:space="preserve">Department of Pharmaceutical Chemistry, Kulliyyah of Pharmacy, </w:t>
      </w:r>
    </w:p>
    <w:p w:rsidR="003C637E" w:rsidRPr="003C637E" w:rsidRDefault="003C637E" w:rsidP="003C637E">
      <w:pPr>
        <w:pStyle w:val="NoSpacing"/>
        <w:jc w:val="center"/>
        <w:rPr>
          <w:rFonts w:ascii="Times New Roman" w:eastAsia="Calibri" w:hAnsi="Times New Roman"/>
          <w:i/>
          <w:iCs/>
          <w:sz w:val="20"/>
          <w:szCs w:val="20"/>
          <w:lang w:val="en-GB"/>
        </w:rPr>
      </w:pPr>
      <w:r w:rsidRPr="003C637E">
        <w:rPr>
          <w:rFonts w:ascii="Times New Roman" w:hAnsi="Times New Roman"/>
          <w:i/>
          <w:iCs/>
          <w:sz w:val="20"/>
          <w:szCs w:val="20"/>
          <w:lang w:val="en-GB"/>
        </w:rPr>
        <w:t xml:space="preserve">International </w:t>
      </w:r>
      <w:r w:rsidRPr="003C637E">
        <w:rPr>
          <w:rFonts w:ascii="Times New Roman" w:eastAsia="Calibri" w:hAnsi="Times New Roman"/>
          <w:i/>
          <w:iCs/>
          <w:sz w:val="20"/>
          <w:szCs w:val="20"/>
          <w:lang w:val="en-GB"/>
        </w:rPr>
        <w:t>Islamic University Malaysia, 25200 Kuantan, Malaysia</w:t>
      </w:r>
    </w:p>
    <w:p w:rsidR="003C637E" w:rsidRPr="003C637E" w:rsidRDefault="003C637E" w:rsidP="003C637E">
      <w:pPr>
        <w:spacing w:after="0" w:line="240" w:lineRule="auto"/>
        <w:jc w:val="center"/>
        <w:rPr>
          <w:rFonts w:ascii="Times New Roman" w:hAnsi="Times New Roman"/>
          <w:noProof/>
          <w:sz w:val="20"/>
          <w:szCs w:val="20"/>
          <w:lang w:bidi="ar-SA"/>
        </w:rPr>
      </w:pPr>
    </w:p>
    <w:p w:rsidR="003C637E" w:rsidRPr="003C637E" w:rsidRDefault="003C637E" w:rsidP="003C637E">
      <w:pPr>
        <w:spacing w:after="0" w:line="240" w:lineRule="auto"/>
        <w:jc w:val="center"/>
        <w:rPr>
          <w:rFonts w:ascii="Times New Roman" w:hAnsi="Times New Roman"/>
          <w:i/>
          <w:noProof/>
          <w:sz w:val="20"/>
          <w:szCs w:val="20"/>
          <w:lang w:bidi="ar-SA"/>
        </w:rPr>
      </w:pPr>
      <w:r w:rsidRPr="003C637E">
        <w:rPr>
          <w:rFonts w:ascii="Times New Roman" w:hAnsi="Times New Roman"/>
          <w:i/>
          <w:noProof/>
          <w:sz w:val="20"/>
          <w:szCs w:val="20"/>
          <w:lang w:bidi="ar-SA"/>
        </w:rPr>
        <w:t xml:space="preserve">*Corresponding author: </w:t>
      </w:r>
      <w:r w:rsidRPr="003C637E">
        <w:rPr>
          <w:rFonts w:ascii="Times New Roman" w:hAnsi="Times New Roman"/>
          <w:i/>
          <w:iCs/>
          <w:sz w:val="20"/>
          <w:szCs w:val="20"/>
          <w:lang w:val="en-GB"/>
        </w:rPr>
        <w:t>rashidi@iium.edu.my</w:t>
      </w:r>
    </w:p>
    <w:p w:rsidR="003C637E" w:rsidRPr="003C637E" w:rsidRDefault="003C637E" w:rsidP="003C637E">
      <w:pPr>
        <w:spacing w:after="0" w:line="240" w:lineRule="auto"/>
        <w:jc w:val="center"/>
        <w:rPr>
          <w:rFonts w:ascii="Times New Roman" w:hAnsi="Times New Roman"/>
          <w:noProof/>
          <w:sz w:val="20"/>
          <w:szCs w:val="20"/>
          <w:lang w:bidi="ar-SA"/>
        </w:rPr>
      </w:pPr>
    </w:p>
    <w:p w:rsidR="003C637E" w:rsidRPr="003C637E" w:rsidRDefault="003C637E" w:rsidP="003C637E">
      <w:pPr>
        <w:spacing w:after="0" w:line="240" w:lineRule="auto"/>
        <w:jc w:val="center"/>
        <w:rPr>
          <w:rFonts w:ascii="Times New Roman" w:hAnsi="Times New Roman"/>
          <w:noProof/>
          <w:sz w:val="20"/>
          <w:szCs w:val="20"/>
          <w:lang w:bidi="ar-SA"/>
        </w:rPr>
      </w:pPr>
    </w:p>
    <w:p w:rsidR="003C637E" w:rsidRPr="003C637E" w:rsidRDefault="003C637E" w:rsidP="003C637E">
      <w:pPr>
        <w:spacing w:after="0" w:line="240" w:lineRule="auto"/>
        <w:jc w:val="center"/>
        <w:rPr>
          <w:rFonts w:ascii="Times New Roman" w:hAnsi="Times New Roman"/>
          <w:noProof/>
          <w:sz w:val="20"/>
          <w:szCs w:val="20"/>
          <w:lang w:bidi="ar-SA"/>
        </w:rPr>
      </w:pPr>
      <w:r w:rsidRPr="003C637E">
        <w:rPr>
          <w:rFonts w:ascii="Times New Roman" w:hAnsi="Times New Roman"/>
          <w:noProof/>
          <w:sz w:val="20"/>
          <w:szCs w:val="20"/>
          <w:lang w:bidi="ar-SA"/>
        </w:rPr>
        <w:t>Received: 8 December 2014; Accepted: 14 January 2015</w:t>
      </w:r>
    </w:p>
    <w:p w:rsidR="003C637E" w:rsidRPr="003C637E" w:rsidRDefault="003C637E" w:rsidP="003C637E">
      <w:pPr>
        <w:spacing w:after="0" w:line="240" w:lineRule="auto"/>
        <w:jc w:val="center"/>
        <w:rPr>
          <w:rFonts w:ascii="Times New Roman" w:hAnsi="Times New Roman"/>
          <w:noProof/>
          <w:sz w:val="20"/>
          <w:szCs w:val="20"/>
          <w:lang w:bidi="ar-SA"/>
        </w:rPr>
      </w:pPr>
    </w:p>
    <w:p w:rsidR="003C637E" w:rsidRPr="003C637E" w:rsidRDefault="003C637E" w:rsidP="003C637E">
      <w:pPr>
        <w:spacing w:after="0" w:line="240" w:lineRule="auto"/>
        <w:jc w:val="center"/>
        <w:rPr>
          <w:rFonts w:ascii="Times New Roman" w:hAnsi="Times New Roman"/>
          <w:noProof/>
          <w:sz w:val="20"/>
          <w:szCs w:val="20"/>
          <w:lang w:bidi="ar-SA"/>
        </w:rPr>
      </w:pPr>
    </w:p>
    <w:p w:rsidR="003C637E" w:rsidRPr="003C637E" w:rsidRDefault="003C637E" w:rsidP="003C637E">
      <w:pPr>
        <w:spacing w:after="0" w:line="240" w:lineRule="auto"/>
        <w:jc w:val="center"/>
        <w:rPr>
          <w:rFonts w:ascii="Times New Roman" w:hAnsi="Times New Roman"/>
          <w:b/>
          <w:noProof/>
          <w:sz w:val="20"/>
          <w:szCs w:val="20"/>
          <w:lang w:bidi="ar-SA"/>
        </w:rPr>
      </w:pPr>
      <w:r w:rsidRPr="003C637E">
        <w:rPr>
          <w:rFonts w:ascii="Times New Roman" w:hAnsi="Times New Roman"/>
          <w:b/>
          <w:noProof/>
          <w:sz w:val="20"/>
          <w:szCs w:val="20"/>
          <w:lang w:bidi="ar-SA"/>
        </w:rPr>
        <w:t>Abstract</w:t>
      </w:r>
    </w:p>
    <w:p w:rsidR="003C637E" w:rsidRPr="003C637E" w:rsidRDefault="003C637E" w:rsidP="003C637E">
      <w:pPr>
        <w:pStyle w:val="Default"/>
        <w:jc w:val="both"/>
        <w:rPr>
          <w:color w:val="auto"/>
          <w:sz w:val="20"/>
          <w:szCs w:val="20"/>
        </w:rPr>
      </w:pPr>
      <w:r w:rsidRPr="003C637E">
        <w:rPr>
          <w:color w:val="auto"/>
          <w:sz w:val="20"/>
          <w:szCs w:val="20"/>
        </w:rPr>
        <w:t xml:space="preserve">Phytohormone abscisic acid (ABA) plays a regulatory role in many physiological processes in plants and is regulated and controlled by specific key factors or genes. Different environmental stress conditions such as water, drought, cold, light, and temperature result in increased amounts of ABA. The action of ABA involves modification of gene expression and analysis of in vitro callus model system cultures revealed several potential </w:t>
      </w:r>
      <w:r w:rsidRPr="003C637E">
        <w:rPr>
          <w:iCs/>
          <w:color w:val="auto"/>
          <w:sz w:val="20"/>
          <w:szCs w:val="20"/>
        </w:rPr>
        <w:t>of constitutive, institutive and up-regulation</w:t>
      </w:r>
      <w:r w:rsidRPr="003C637E">
        <w:rPr>
          <w:i/>
          <w:iCs/>
          <w:color w:val="auto"/>
          <w:sz w:val="20"/>
          <w:szCs w:val="20"/>
        </w:rPr>
        <w:t xml:space="preserve"> </w:t>
      </w:r>
      <w:r w:rsidRPr="003C637E">
        <w:rPr>
          <w:color w:val="auto"/>
          <w:sz w:val="20"/>
          <w:szCs w:val="20"/>
        </w:rPr>
        <w:t xml:space="preserve">acting regulatory mechanisms. Therefore, this study was aimed at establishing </w:t>
      </w:r>
      <w:r w:rsidRPr="003C637E">
        <w:rPr>
          <w:i/>
          <w:color w:val="auto"/>
          <w:sz w:val="20"/>
          <w:szCs w:val="20"/>
        </w:rPr>
        <w:t>in vitro</w:t>
      </w:r>
      <w:r w:rsidRPr="003C637E">
        <w:rPr>
          <w:color w:val="auto"/>
          <w:sz w:val="20"/>
          <w:szCs w:val="20"/>
        </w:rPr>
        <w:t xml:space="preserve"> cultures as potential research tools to study the regulatory mechanisms of the carotenoid biosynthesis in selected plant species through a controlled environment. The presence and absence of zeaxanthin and neoxanthin in callus cultures and intact plants could be explained by changes in gene expression in response to stress. Abiotic stress can alter gene expression and trigger cellular metabolism in plants. This study suggested that the key factors which involved in regulatory mechanisms of individual carotenoid biosynthesis in a particular biology system of </w:t>
      </w:r>
      <w:r w:rsidRPr="003C637E">
        <w:rPr>
          <w:iCs/>
          <w:color w:val="auto"/>
          <w:sz w:val="20"/>
          <w:szCs w:val="20"/>
        </w:rPr>
        <w:t xml:space="preserve">plants </w:t>
      </w:r>
      <w:r w:rsidRPr="003C637E">
        <w:rPr>
          <w:color w:val="auto"/>
          <w:sz w:val="20"/>
          <w:szCs w:val="20"/>
        </w:rPr>
        <w:t>can be either be silenced or activated. Therefore, based on the results in this study environmental stress is made possible for enhancement or enrichment of certain carotenoid of interest in food crops without altering the genes.</w:t>
      </w:r>
    </w:p>
    <w:p w:rsidR="003C637E" w:rsidRPr="003C637E" w:rsidRDefault="003C637E" w:rsidP="003C637E">
      <w:pPr>
        <w:pStyle w:val="Default"/>
        <w:jc w:val="both"/>
        <w:rPr>
          <w:color w:val="auto"/>
          <w:sz w:val="20"/>
          <w:szCs w:val="20"/>
        </w:rPr>
      </w:pPr>
    </w:p>
    <w:p w:rsidR="003C637E" w:rsidRPr="003C637E" w:rsidRDefault="003C637E" w:rsidP="003C637E">
      <w:pPr>
        <w:spacing w:after="0" w:line="240" w:lineRule="auto"/>
        <w:jc w:val="both"/>
        <w:rPr>
          <w:rFonts w:ascii="Times New Roman" w:hAnsi="Times New Roman"/>
          <w:iCs/>
          <w:sz w:val="20"/>
          <w:szCs w:val="20"/>
        </w:rPr>
      </w:pPr>
      <w:r w:rsidRPr="003C637E">
        <w:rPr>
          <w:rFonts w:ascii="Times New Roman" w:hAnsi="Times New Roman"/>
          <w:b/>
          <w:sz w:val="20"/>
          <w:szCs w:val="20"/>
        </w:rPr>
        <w:t>Keywords:</w:t>
      </w:r>
      <w:r w:rsidRPr="003C637E">
        <w:rPr>
          <w:rFonts w:ascii="Times New Roman" w:hAnsi="Times New Roman"/>
          <w:b/>
          <w:bCs/>
          <w:sz w:val="20"/>
          <w:szCs w:val="20"/>
        </w:rPr>
        <w:t xml:space="preserve"> </w:t>
      </w:r>
      <w:r w:rsidRPr="003C637E">
        <w:rPr>
          <w:rFonts w:ascii="Times New Roman" w:hAnsi="Times New Roman"/>
          <w:iCs/>
          <w:sz w:val="20"/>
          <w:szCs w:val="20"/>
        </w:rPr>
        <w:t>carotenogenesis, elicitors, regulatory mechanisms, constitutive, institutive, up-regulation</w:t>
      </w:r>
    </w:p>
    <w:p w:rsidR="003C637E" w:rsidRPr="003C637E" w:rsidRDefault="003C637E" w:rsidP="003C637E">
      <w:pPr>
        <w:spacing w:after="0" w:line="240" w:lineRule="auto"/>
        <w:jc w:val="center"/>
        <w:rPr>
          <w:rFonts w:ascii="Times New Roman" w:hAnsi="Times New Roman"/>
          <w:b/>
          <w:noProof/>
          <w:sz w:val="20"/>
          <w:szCs w:val="20"/>
          <w:lang w:bidi="ar-SA"/>
        </w:rPr>
      </w:pPr>
    </w:p>
    <w:p w:rsidR="003C637E" w:rsidRPr="003C637E" w:rsidRDefault="003C637E" w:rsidP="003C637E">
      <w:pPr>
        <w:spacing w:after="0" w:line="240" w:lineRule="auto"/>
        <w:jc w:val="center"/>
        <w:rPr>
          <w:rFonts w:ascii="Times New Roman" w:hAnsi="Times New Roman"/>
          <w:b/>
          <w:noProof/>
          <w:sz w:val="20"/>
          <w:szCs w:val="20"/>
          <w:lang w:bidi="ar-SA"/>
        </w:rPr>
      </w:pPr>
      <w:r w:rsidRPr="003C637E">
        <w:rPr>
          <w:rFonts w:ascii="Times New Roman" w:hAnsi="Times New Roman"/>
          <w:b/>
          <w:noProof/>
          <w:sz w:val="20"/>
          <w:szCs w:val="20"/>
          <w:lang w:bidi="ar-SA"/>
        </w:rPr>
        <w:t>Abstrak</w:t>
      </w:r>
    </w:p>
    <w:p w:rsidR="003C637E" w:rsidRPr="003C637E" w:rsidRDefault="003C637E" w:rsidP="003C637E">
      <w:pPr>
        <w:pStyle w:val="Default"/>
        <w:jc w:val="both"/>
        <w:rPr>
          <w:rFonts w:eastAsiaTheme="minorHAnsi"/>
          <w:color w:val="auto"/>
          <w:sz w:val="20"/>
          <w:szCs w:val="20"/>
          <w:lang w:val="en-GB" w:bidi="ar-SA"/>
        </w:rPr>
      </w:pPr>
      <w:r w:rsidRPr="003C637E">
        <w:rPr>
          <w:rFonts w:eastAsiaTheme="minorHAnsi"/>
          <w:color w:val="auto"/>
          <w:sz w:val="20"/>
          <w:szCs w:val="20"/>
          <w:lang w:val="en-GB" w:bidi="ar-SA"/>
        </w:rPr>
        <w:t xml:space="preserve">Di dalam kebanyakan proses regulasi fisiologi tumbuhan, fitohormon asid absisik (ABA) memainkan peranan penting dan mekanisme ini dikawal oleh gen-gen yang tertentu. Keadaan persekitaran yang ekstrem dan tegar seperti kemarau, banjir, kesejukan melampau, cahaya dan suhu juga akan mempengaruhi penghasilan ABA. Peningkatan ABA akan mengakibatkan perubahan dalam ekspresi genetik dan ini terbukti apabila analisis terhadap model sistem kalus secara </w:t>
      </w:r>
      <w:r w:rsidRPr="003C637E">
        <w:rPr>
          <w:rFonts w:eastAsiaTheme="minorHAnsi"/>
          <w:i/>
          <w:iCs/>
          <w:color w:val="auto"/>
          <w:sz w:val="20"/>
          <w:szCs w:val="20"/>
          <w:lang w:val="en-GB" w:bidi="ar-SA"/>
        </w:rPr>
        <w:t>in vitro</w:t>
      </w:r>
      <w:r w:rsidRPr="003C637E">
        <w:rPr>
          <w:rFonts w:eastAsiaTheme="minorHAnsi"/>
          <w:color w:val="auto"/>
          <w:sz w:val="20"/>
          <w:szCs w:val="20"/>
          <w:lang w:val="en-GB" w:bidi="ar-SA"/>
        </w:rPr>
        <w:t xml:space="preserve"> menghasilkan 3 jenis mekanisme regulasi tumbuhan yang dikenali sebagai konstitutif, institutif dan regulasi menaik. Justeru itu kajian ini bertujuan merekabentuk satu model sistem </w:t>
      </w:r>
      <w:r w:rsidRPr="003C637E">
        <w:rPr>
          <w:rFonts w:eastAsiaTheme="minorHAnsi"/>
          <w:i/>
          <w:iCs/>
          <w:color w:val="auto"/>
          <w:sz w:val="20"/>
          <w:szCs w:val="20"/>
          <w:lang w:val="en-GB" w:bidi="ar-SA"/>
        </w:rPr>
        <w:t>in vitro</w:t>
      </w:r>
      <w:r w:rsidRPr="003C637E">
        <w:rPr>
          <w:rFonts w:eastAsiaTheme="minorHAnsi"/>
          <w:color w:val="auto"/>
          <w:sz w:val="20"/>
          <w:szCs w:val="20"/>
          <w:lang w:val="en-GB" w:bidi="ar-SA"/>
        </w:rPr>
        <w:t xml:space="preserve"> menggunakan kultur kalus sebagai satu alat atau medium untuk mengkaji proses regulasi tumbuhan terpilih terhadap biosintesis karatenoid di dalam persekitaran terkawal. Hasil kajian mendapati kehadiran zeaxanthin dan neoxanthin di dalam kultur kalus dan tumbuhan asal merupakan petunjuk terhadap perubahan ekspresi genetik terhadap </w:t>
      </w:r>
      <w:r w:rsidRPr="003C637E">
        <w:rPr>
          <w:rFonts w:eastAsiaTheme="minorHAnsi"/>
          <w:color w:val="auto"/>
          <w:sz w:val="20"/>
          <w:szCs w:val="20"/>
          <w:lang w:val="en-GB" w:bidi="ar-SA"/>
        </w:rPr>
        <w:lastRenderedPageBreak/>
        <w:t>keadaan persekitaran yang ekstrem. Menariknya, mekanisme kehadiran sebatian ini boleh diaktifkan atau dihilangkan. Kepentingan hasil kajian ini adalah faktor persekitaran boleh dimanipulasi untuk meningkatkan produktiviti atau kualiti sesuatu tanaman tanpa melalui proses pengubahsuaian genetik.</w:t>
      </w:r>
    </w:p>
    <w:p w:rsidR="003C637E" w:rsidRPr="003C637E" w:rsidRDefault="003C637E" w:rsidP="003C637E">
      <w:pPr>
        <w:pStyle w:val="Default"/>
        <w:jc w:val="both"/>
        <w:rPr>
          <w:rFonts w:eastAsiaTheme="minorHAnsi"/>
          <w:color w:val="auto"/>
          <w:sz w:val="20"/>
          <w:szCs w:val="20"/>
          <w:lang w:val="en-GB" w:bidi="ar-SA"/>
        </w:rPr>
      </w:pPr>
    </w:p>
    <w:p w:rsidR="00F02596" w:rsidRDefault="003C637E" w:rsidP="003C637E">
      <w:pPr>
        <w:pStyle w:val="Default"/>
        <w:jc w:val="both"/>
        <w:rPr>
          <w:iCs/>
          <w:color w:val="auto"/>
          <w:sz w:val="20"/>
          <w:szCs w:val="20"/>
        </w:rPr>
      </w:pPr>
      <w:r w:rsidRPr="003C637E">
        <w:rPr>
          <w:b/>
          <w:color w:val="auto"/>
          <w:sz w:val="20"/>
          <w:szCs w:val="20"/>
        </w:rPr>
        <w:t>Kata kunci:</w:t>
      </w:r>
      <w:r w:rsidRPr="003C637E">
        <w:rPr>
          <w:b/>
          <w:bCs/>
          <w:color w:val="auto"/>
          <w:sz w:val="20"/>
          <w:szCs w:val="20"/>
        </w:rPr>
        <w:t xml:space="preserve"> </w:t>
      </w:r>
      <w:r w:rsidRPr="003C637E">
        <w:rPr>
          <w:iCs/>
          <w:color w:val="auto"/>
          <w:sz w:val="20"/>
          <w:szCs w:val="20"/>
        </w:rPr>
        <w:t>kerotenogenesis, pengelisit, mekanisme regulatori, konsitutif, institutif, regulasi menaik</w:t>
      </w:r>
    </w:p>
    <w:p w:rsidR="003C637E" w:rsidRDefault="003C637E" w:rsidP="003C637E">
      <w:pPr>
        <w:pStyle w:val="Default"/>
        <w:jc w:val="both"/>
        <w:rPr>
          <w:iCs/>
          <w:color w:val="auto"/>
          <w:sz w:val="20"/>
          <w:szCs w:val="20"/>
        </w:rPr>
      </w:pPr>
    </w:p>
    <w:p w:rsidR="003C637E" w:rsidRPr="00F447A7" w:rsidRDefault="003C637E" w:rsidP="003C637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Britton, G., Liaaen-Jensen, S. &amp; Pfander, H. (1995). </w:t>
      </w:r>
      <w:r w:rsidRPr="00503AA2">
        <w:rPr>
          <w:rFonts w:ascii="Times New Roman" w:hAnsi="Times New Roman"/>
          <w:i/>
          <w:iCs/>
          <w:sz w:val="20"/>
          <w:szCs w:val="20"/>
        </w:rPr>
        <w:t>Carotenoids. Vol. 1A: Isolation and Analysis</w:t>
      </w:r>
      <w:r w:rsidRPr="00503AA2">
        <w:rPr>
          <w:rFonts w:ascii="Times New Roman" w:hAnsi="Times New Roman"/>
          <w:sz w:val="20"/>
          <w:szCs w:val="20"/>
        </w:rPr>
        <w:t xml:space="preserve">. Boston, USA: Birkhuser-Verlag. </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Chandrika, U.G. (2009). Carotenoid dyes-properties. In, T. Bechtold and R. Mussak (Eds.), </w:t>
      </w:r>
      <w:r w:rsidRPr="00503AA2">
        <w:rPr>
          <w:rFonts w:ascii="Times New Roman" w:hAnsi="Times New Roman"/>
          <w:i/>
          <w:iCs/>
          <w:sz w:val="20"/>
          <w:szCs w:val="20"/>
        </w:rPr>
        <w:t>Handbook of Natural Colorant</w:t>
      </w:r>
      <w:r w:rsidRPr="00503AA2">
        <w:rPr>
          <w:rFonts w:ascii="Times New Roman" w:hAnsi="Times New Roman"/>
          <w:sz w:val="20"/>
          <w:szCs w:val="20"/>
        </w:rPr>
        <w:t>. Chichester, United Kingdom: John Wiley &amp; Sons, pp. 221-224.</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Taylor, M.A. &amp; Ramsay, G. (2005). Carotenoid biosynthesis in plant storage organs: Recent advances and prospects for improving plant food quality. </w:t>
      </w:r>
      <w:r w:rsidRPr="00503AA2">
        <w:rPr>
          <w:rFonts w:ascii="Times New Roman" w:hAnsi="Times New Roman"/>
          <w:i/>
          <w:iCs/>
          <w:sz w:val="20"/>
          <w:szCs w:val="20"/>
        </w:rPr>
        <w:t xml:space="preserve">Physiologia Plantarum, </w:t>
      </w:r>
      <w:r w:rsidRPr="00503AA2">
        <w:rPr>
          <w:rFonts w:ascii="Times New Roman" w:hAnsi="Times New Roman"/>
          <w:sz w:val="20"/>
          <w:szCs w:val="20"/>
        </w:rPr>
        <w:t>124(2): 143–151.</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Bartley, G.E. &amp; Scolnik, P.A. (1995). Plant carotenoids: Pigments for photoprotection, visual attraction and human health. </w:t>
      </w:r>
      <w:r w:rsidRPr="00503AA2">
        <w:rPr>
          <w:rFonts w:ascii="Times New Roman" w:hAnsi="Times New Roman"/>
          <w:i/>
          <w:iCs/>
          <w:sz w:val="20"/>
          <w:szCs w:val="20"/>
        </w:rPr>
        <w:t xml:space="preserve">The Plant Cell, </w:t>
      </w:r>
      <w:r w:rsidRPr="00503AA2">
        <w:rPr>
          <w:rFonts w:ascii="Times New Roman" w:hAnsi="Times New Roman"/>
          <w:sz w:val="20"/>
          <w:szCs w:val="20"/>
        </w:rPr>
        <w:t>7: 1027-1038.</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Römer, S. &amp; Fraser, P.D. (2005). Recent advances in carotenoid biosynthesis, regulation and manipulation. </w:t>
      </w:r>
      <w:r w:rsidRPr="00503AA2">
        <w:rPr>
          <w:rFonts w:ascii="Times New Roman" w:hAnsi="Times New Roman"/>
          <w:i/>
          <w:iCs/>
          <w:sz w:val="20"/>
          <w:szCs w:val="20"/>
        </w:rPr>
        <w:t>Planta</w:t>
      </w:r>
      <w:r w:rsidRPr="00503AA2">
        <w:rPr>
          <w:rFonts w:ascii="Times New Roman" w:hAnsi="Times New Roman"/>
          <w:sz w:val="20"/>
          <w:szCs w:val="20"/>
        </w:rPr>
        <w:t>, 221: 305-308.</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shd w:val="clear" w:color="auto" w:fill="FFFFFF"/>
        </w:rPr>
        <w:t>Cunningham Jr,F.X. &amp; Gantt, E. (1998). Genes and enzymes of carotenoid biosynthesis in plants.</w:t>
      </w:r>
      <w:r w:rsidRPr="00503AA2">
        <w:rPr>
          <w:rStyle w:val="apple-converted-space"/>
          <w:rFonts w:ascii="Times New Roman" w:hAnsi="Times New Roman"/>
          <w:sz w:val="20"/>
          <w:szCs w:val="20"/>
          <w:shd w:val="clear" w:color="auto" w:fill="FFFFFF"/>
        </w:rPr>
        <w:t xml:space="preserve"> </w:t>
      </w:r>
      <w:r w:rsidRPr="00503AA2">
        <w:rPr>
          <w:rFonts w:ascii="Times New Roman" w:hAnsi="Times New Roman"/>
          <w:i/>
          <w:iCs/>
          <w:sz w:val="20"/>
          <w:szCs w:val="20"/>
          <w:shd w:val="clear" w:color="auto" w:fill="FFFFFF"/>
        </w:rPr>
        <w:t>Annual Review of Plant Biology</w:t>
      </w:r>
      <w:r w:rsidRPr="00503AA2">
        <w:rPr>
          <w:rFonts w:ascii="Times New Roman" w:hAnsi="Times New Roman"/>
          <w:sz w:val="20"/>
          <w:szCs w:val="20"/>
          <w:shd w:val="clear" w:color="auto" w:fill="FFFFFF"/>
        </w:rPr>
        <w:t>,</w:t>
      </w:r>
      <w:r w:rsidRPr="00503AA2">
        <w:rPr>
          <w:rStyle w:val="apple-converted-space"/>
          <w:rFonts w:ascii="Times New Roman" w:hAnsi="Times New Roman"/>
          <w:sz w:val="20"/>
          <w:szCs w:val="20"/>
          <w:shd w:val="clear" w:color="auto" w:fill="FFFFFF"/>
        </w:rPr>
        <w:t xml:space="preserve"> </w:t>
      </w:r>
      <w:r w:rsidRPr="00503AA2">
        <w:rPr>
          <w:rFonts w:ascii="Times New Roman" w:hAnsi="Times New Roman"/>
          <w:sz w:val="20"/>
          <w:szCs w:val="20"/>
          <w:shd w:val="clear" w:color="auto" w:fill="FFFFFF"/>
        </w:rPr>
        <w:t>49(1): 557-583.</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Lopez, A.B., Van Eck, J., Conlin, B.J., Paolillo, D.J., O'Neill, J. &amp; Li, L. (2008). Effect of the cauliflower </w:t>
      </w:r>
      <w:r w:rsidRPr="00503AA2">
        <w:rPr>
          <w:rFonts w:ascii="Times New Roman" w:hAnsi="Times New Roman"/>
          <w:i/>
          <w:iCs/>
          <w:sz w:val="20"/>
          <w:szCs w:val="20"/>
        </w:rPr>
        <w:t>Or</w:t>
      </w:r>
      <w:r w:rsidRPr="00503AA2">
        <w:rPr>
          <w:rFonts w:ascii="Times New Roman" w:hAnsi="Times New Roman"/>
          <w:sz w:val="20"/>
          <w:szCs w:val="20"/>
        </w:rPr>
        <w:t xml:space="preserve"> transgene on carotenoid accumulation and chromoplast formation in transgenic potato tubers. </w:t>
      </w:r>
      <w:r w:rsidRPr="00503AA2">
        <w:rPr>
          <w:rFonts w:ascii="Times New Roman" w:hAnsi="Times New Roman"/>
          <w:i/>
          <w:iCs/>
          <w:sz w:val="20"/>
          <w:szCs w:val="20"/>
        </w:rPr>
        <w:t xml:space="preserve">Journal of Experimental Botany, </w:t>
      </w:r>
      <w:r w:rsidRPr="00503AA2">
        <w:rPr>
          <w:rFonts w:ascii="Times New Roman" w:hAnsi="Times New Roman"/>
          <w:sz w:val="20"/>
          <w:szCs w:val="20"/>
        </w:rPr>
        <w:t>59(2): 213-223.</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Othman, R., Mohd Zaifuddin, F.A. &amp; Hassan, N.M. (2014). Carotenoid biosynthesis regulatory mechanisms in plants. </w:t>
      </w:r>
      <w:r w:rsidRPr="00503AA2">
        <w:rPr>
          <w:rFonts w:ascii="Times New Roman" w:hAnsi="Times New Roman"/>
          <w:i/>
          <w:iCs/>
          <w:sz w:val="20"/>
          <w:szCs w:val="20"/>
        </w:rPr>
        <w:t>Journal of Oleo Science</w:t>
      </w:r>
      <w:r w:rsidRPr="00503AA2">
        <w:rPr>
          <w:rFonts w:ascii="Times New Roman" w:hAnsi="Times New Roman"/>
          <w:sz w:val="20"/>
          <w:szCs w:val="20"/>
        </w:rPr>
        <w:t>, 63(8): 753-760.</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Al-Babili, S., Hugueney, P., Schledz, M., Welsch, R., Frohnmeyer, H., Laule, O. &amp; Beyer, P. (2000). Identification of a novel gene coding for neoxanthin synthase from </w:t>
      </w:r>
      <w:r w:rsidRPr="00503AA2">
        <w:rPr>
          <w:rFonts w:ascii="Times New Roman" w:hAnsi="Times New Roman"/>
          <w:i/>
          <w:iCs/>
          <w:sz w:val="20"/>
          <w:szCs w:val="20"/>
        </w:rPr>
        <w:t>Solanum tuberosum</w:t>
      </w:r>
      <w:r w:rsidRPr="00503AA2">
        <w:rPr>
          <w:rFonts w:ascii="Times New Roman" w:hAnsi="Times New Roman"/>
          <w:sz w:val="20"/>
          <w:szCs w:val="20"/>
        </w:rPr>
        <w:t xml:space="preserve">. </w:t>
      </w:r>
      <w:r w:rsidRPr="00503AA2">
        <w:rPr>
          <w:rFonts w:ascii="Times New Roman" w:hAnsi="Times New Roman"/>
          <w:i/>
          <w:iCs/>
          <w:sz w:val="20"/>
          <w:szCs w:val="20"/>
        </w:rPr>
        <w:t xml:space="preserve">FEBS letters, </w:t>
      </w:r>
      <w:r w:rsidRPr="00503AA2">
        <w:rPr>
          <w:rFonts w:ascii="Times New Roman" w:hAnsi="Times New Roman"/>
          <w:sz w:val="20"/>
          <w:szCs w:val="20"/>
        </w:rPr>
        <w:t>485(2): 168-172.</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Fraser, P.D. &amp; Bramley, P.M. (2004). The biosynthesis and nutritional uses of carotenoids. </w:t>
      </w:r>
      <w:r w:rsidRPr="00503AA2">
        <w:rPr>
          <w:rFonts w:ascii="Times New Roman" w:hAnsi="Times New Roman"/>
          <w:i/>
          <w:iCs/>
          <w:sz w:val="20"/>
          <w:szCs w:val="20"/>
        </w:rPr>
        <w:t xml:space="preserve">Progress in Lipid Research, </w:t>
      </w:r>
      <w:r w:rsidRPr="00503AA2">
        <w:rPr>
          <w:rFonts w:ascii="Times New Roman" w:hAnsi="Times New Roman"/>
          <w:sz w:val="20"/>
          <w:szCs w:val="20"/>
        </w:rPr>
        <w:t>43(3): 228-265.</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Herbers, K. (2003). Vitamin production in transgenic plants. </w:t>
      </w:r>
      <w:r w:rsidRPr="00503AA2">
        <w:rPr>
          <w:rFonts w:ascii="Times New Roman" w:hAnsi="Times New Roman"/>
          <w:i/>
          <w:iCs/>
          <w:sz w:val="20"/>
          <w:szCs w:val="20"/>
        </w:rPr>
        <w:t xml:space="preserve">Journal of Plant Physiology, </w:t>
      </w:r>
      <w:r w:rsidRPr="00503AA2">
        <w:rPr>
          <w:rFonts w:ascii="Times New Roman" w:hAnsi="Times New Roman"/>
          <w:sz w:val="20"/>
          <w:szCs w:val="20"/>
        </w:rPr>
        <w:t>160(7): 821-829.</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Hirschberg, J. (2001). Carotenoid biosynthesis in flowering plants. </w:t>
      </w:r>
      <w:r w:rsidRPr="00503AA2">
        <w:rPr>
          <w:rFonts w:ascii="Times New Roman" w:hAnsi="Times New Roman"/>
          <w:i/>
          <w:iCs/>
          <w:sz w:val="20"/>
          <w:szCs w:val="20"/>
        </w:rPr>
        <w:t xml:space="preserve">Current Opinion in Plant Biology, </w:t>
      </w:r>
      <w:r w:rsidRPr="00503AA2">
        <w:rPr>
          <w:rFonts w:ascii="Times New Roman" w:hAnsi="Times New Roman"/>
          <w:sz w:val="20"/>
          <w:szCs w:val="20"/>
        </w:rPr>
        <w:t>4(3): 210-218.</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Burkhardt, P.K., Beyer, P., Wünn, J., Klöti, A., Armstrong, G.A., Schledz, M.  (1997). Transgenic rice (</w:t>
      </w:r>
      <w:r w:rsidRPr="00503AA2">
        <w:rPr>
          <w:rFonts w:ascii="Times New Roman" w:hAnsi="Times New Roman"/>
          <w:i/>
          <w:iCs/>
          <w:sz w:val="20"/>
          <w:szCs w:val="20"/>
        </w:rPr>
        <w:t>Oryza sativa</w:t>
      </w:r>
      <w:r w:rsidRPr="00503AA2">
        <w:rPr>
          <w:rFonts w:ascii="Times New Roman" w:hAnsi="Times New Roman"/>
          <w:sz w:val="20"/>
          <w:szCs w:val="20"/>
        </w:rPr>
        <w:t>) endosperm expressing daffodil (</w:t>
      </w:r>
      <w:r w:rsidRPr="00503AA2">
        <w:rPr>
          <w:rFonts w:ascii="Times New Roman" w:hAnsi="Times New Roman"/>
          <w:i/>
          <w:iCs/>
          <w:sz w:val="20"/>
          <w:szCs w:val="20"/>
        </w:rPr>
        <w:t>Narcissus pseudonarcissus</w:t>
      </w:r>
      <w:r w:rsidRPr="00503AA2">
        <w:rPr>
          <w:rFonts w:ascii="Times New Roman" w:hAnsi="Times New Roman"/>
          <w:sz w:val="20"/>
          <w:szCs w:val="20"/>
        </w:rPr>
        <w:t xml:space="preserve">) phytoene synthase accumulates phytoene, a key intermediate of provitamin A biosynthesis. </w:t>
      </w:r>
      <w:r w:rsidRPr="00503AA2">
        <w:rPr>
          <w:rFonts w:ascii="Times New Roman" w:hAnsi="Times New Roman"/>
          <w:i/>
          <w:iCs/>
          <w:sz w:val="20"/>
          <w:szCs w:val="20"/>
        </w:rPr>
        <w:t>The Plant Journal</w:t>
      </w:r>
      <w:r w:rsidRPr="00503AA2">
        <w:rPr>
          <w:rFonts w:ascii="Times New Roman" w:hAnsi="Times New Roman"/>
          <w:sz w:val="20"/>
          <w:szCs w:val="20"/>
        </w:rPr>
        <w:t>, 11(5): 1071-1078.</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Ye, X., Al-Babili, S., Klöti, A., Zhang, J., Lucca, P., Beyer, P., Beyer, P. &amp; Potrykus, I. (2000). Engineering the provitamin A (β-carotene) biosynthetic pathway into (carotenoid-free) rice endosperm. </w:t>
      </w:r>
      <w:r w:rsidRPr="00503AA2">
        <w:rPr>
          <w:rFonts w:ascii="Times New Roman" w:hAnsi="Times New Roman"/>
          <w:i/>
          <w:iCs/>
          <w:sz w:val="20"/>
          <w:szCs w:val="20"/>
        </w:rPr>
        <w:t>Science</w:t>
      </w:r>
      <w:r w:rsidRPr="00503AA2">
        <w:rPr>
          <w:rFonts w:ascii="Times New Roman" w:hAnsi="Times New Roman"/>
          <w:sz w:val="20"/>
          <w:szCs w:val="20"/>
        </w:rPr>
        <w:t>, 287: 303-305.</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Diretto, G., Al-Babili, S., Tavazza, R., Papacchioli, V., Beyer, P. &amp; Giuliano, G. (2007). Metabolic engineering of potato carotenoid content through tuber-specific overexpression of a bacterial mini-pathway. </w:t>
      </w:r>
      <w:r w:rsidRPr="00503AA2">
        <w:rPr>
          <w:rFonts w:ascii="Times New Roman" w:hAnsi="Times New Roman"/>
          <w:i/>
          <w:iCs/>
          <w:sz w:val="20"/>
          <w:szCs w:val="20"/>
        </w:rPr>
        <w:t>PLoS One</w:t>
      </w:r>
      <w:r w:rsidRPr="00503AA2">
        <w:rPr>
          <w:rFonts w:ascii="Times New Roman" w:hAnsi="Times New Roman"/>
          <w:sz w:val="20"/>
          <w:szCs w:val="20"/>
        </w:rPr>
        <w:t>, 2(4): e350.</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Lu, S., Van Eck, J., Zhou, X., Lopez, A.B., O'Halloran, D.M., Cosman, K.M. et al. (2006). The cauliflower </w:t>
      </w:r>
      <w:r w:rsidRPr="00503AA2">
        <w:rPr>
          <w:rFonts w:ascii="Times New Roman" w:hAnsi="Times New Roman"/>
          <w:i/>
          <w:iCs/>
          <w:sz w:val="20"/>
          <w:szCs w:val="20"/>
        </w:rPr>
        <w:t>Or</w:t>
      </w:r>
      <w:r w:rsidRPr="00503AA2">
        <w:rPr>
          <w:rFonts w:ascii="Times New Roman" w:hAnsi="Times New Roman"/>
          <w:sz w:val="20"/>
          <w:szCs w:val="20"/>
        </w:rPr>
        <w:t xml:space="preserve"> gene encodes a DnaJ cysteine-rich domain-containing protein that mediates high levels of β-carotene accumulation. </w:t>
      </w:r>
      <w:r w:rsidRPr="00503AA2">
        <w:rPr>
          <w:rFonts w:ascii="Times New Roman" w:hAnsi="Times New Roman"/>
          <w:i/>
          <w:iCs/>
          <w:sz w:val="20"/>
          <w:szCs w:val="20"/>
        </w:rPr>
        <w:t>The Plant Cell Online</w:t>
      </w:r>
      <w:r w:rsidRPr="00503AA2">
        <w:rPr>
          <w:rFonts w:ascii="Times New Roman" w:hAnsi="Times New Roman"/>
          <w:sz w:val="20"/>
          <w:szCs w:val="20"/>
        </w:rPr>
        <w:t>, 18(12): 3594-3605.</w:t>
      </w:r>
    </w:p>
    <w:p w:rsidR="003C637E" w:rsidRPr="00503AA2" w:rsidRDefault="003C637E" w:rsidP="003C637E">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03AA2">
        <w:rPr>
          <w:rFonts w:ascii="Times New Roman" w:hAnsi="Times New Roman"/>
          <w:sz w:val="20"/>
          <w:szCs w:val="20"/>
        </w:rPr>
        <w:t>Othman, R. (2009). Biochemistry and genetics of carotenoid composition in potato tubers. Christchurch, New Zealand: Lincoln University, PhD thesis.</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Bramley, P.M. &amp; Mackenzie, A. (1988). Regulation of carotenoid biosynthesis. </w:t>
      </w:r>
      <w:r w:rsidRPr="00503AA2">
        <w:rPr>
          <w:rFonts w:ascii="Times New Roman" w:hAnsi="Times New Roman"/>
          <w:i/>
          <w:iCs/>
          <w:sz w:val="20"/>
          <w:szCs w:val="20"/>
        </w:rPr>
        <w:t>Current Topics in Cellular Regulation</w:t>
      </w:r>
      <w:r w:rsidRPr="00503AA2">
        <w:rPr>
          <w:rFonts w:ascii="Times New Roman" w:hAnsi="Times New Roman"/>
          <w:sz w:val="20"/>
          <w:szCs w:val="20"/>
        </w:rPr>
        <w:t>, 29: 291-343.</w:t>
      </w:r>
    </w:p>
    <w:p w:rsidR="003C637E" w:rsidRPr="00503AA2" w:rsidRDefault="003C637E" w:rsidP="003C637E">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Çinar, I. (2004). Carotenoid pigment loss of freeze-dried plant samples under different storage conditions. </w:t>
      </w:r>
      <w:r w:rsidRPr="00503AA2">
        <w:rPr>
          <w:rFonts w:ascii="Times New Roman" w:hAnsi="Times New Roman"/>
          <w:i/>
          <w:iCs/>
          <w:sz w:val="20"/>
          <w:szCs w:val="20"/>
        </w:rPr>
        <w:t xml:space="preserve">LWT - Food Science and Technology, </w:t>
      </w:r>
      <w:r w:rsidRPr="00503AA2">
        <w:rPr>
          <w:rFonts w:ascii="Times New Roman" w:hAnsi="Times New Roman"/>
          <w:sz w:val="20"/>
          <w:szCs w:val="20"/>
        </w:rPr>
        <w:t>37(3): 363-367.</w:t>
      </w:r>
    </w:p>
    <w:p w:rsidR="003C637E" w:rsidRPr="00503AA2" w:rsidRDefault="003C637E" w:rsidP="003C637E">
      <w:pPr>
        <w:numPr>
          <w:ilvl w:val="0"/>
          <w:numId w:val="1"/>
        </w:numPr>
        <w:autoSpaceDE w:val="0"/>
        <w:autoSpaceDN w:val="0"/>
        <w:adjustRightInd w:val="0"/>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Fatimah, A.M.Z., Norazian, M.H. &amp; Rashidi, O. (2012). Identification of carotenoid composition in selected ‘ulam’ or traditional vegetables of Malaysia. </w:t>
      </w:r>
      <w:r w:rsidRPr="00503AA2">
        <w:rPr>
          <w:rFonts w:ascii="Times New Roman" w:hAnsi="Times New Roman"/>
          <w:i/>
          <w:iCs/>
          <w:sz w:val="20"/>
          <w:szCs w:val="20"/>
        </w:rPr>
        <w:t xml:space="preserve">International Food Research Journal, </w:t>
      </w:r>
      <w:r w:rsidRPr="00503AA2">
        <w:rPr>
          <w:rFonts w:ascii="Times New Roman" w:hAnsi="Times New Roman"/>
          <w:sz w:val="20"/>
          <w:szCs w:val="20"/>
        </w:rPr>
        <w:t>19(2): 527-530.</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Murashige, T. &amp; Skoog, F. (1962). A revised medium for rapid growth and bioassay with tobacco tissue cultures. </w:t>
      </w:r>
      <w:r w:rsidRPr="00503AA2">
        <w:rPr>
          <w:rFonts w:ascii="Times New Roman" w:hAnsi="Times New Roman"/>
          <w:i/>
          <w:iCs/>
          <w:sz w:val="20"/>
          <w:szCs w:val="20"/>
        </w:rPr>
        <w:t xml:space="preserve">Physiologia Plantarum, </w:t>
      </w:r>
      <w:r w:rsidRPr="00503AA2">
        <w:rPr>
          <w:rFonts w:ascii="Times New Roman" w:hAnsi="Times New Roman"/>
          <w:sz w:val="20"/>
          <w:szCs w:val="20"/>
        </w:rPr>
        <w:t>15: 473-497.</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lastRenderedPageBreak/>
        <w:t xml:space="preserve">Hannoufa, A. &amp; Hossain, Z. (2012). Regulation of carotenoid accumulation in plants. </w:t>
      </w:r>
      <w:r w:rsidRPr="00503AA2">
        <w:rPr>
          <w:rFonts w:ascii="Times New Roman" w:hAnsi="Times New Roman"/>
          <w:i/>
          <w:iCs/>
          <w:sz w:val="20"/>
          <w:szCs w:val="20"/>
        </w:rPr>
        <w:t>Biocatalysis and Agricultural Biotechnology</w:t>
      </w:r>
      <w:r w:rsidRPr="00503AA2">
        <w:rPr>
          <w:rFonts w:ascii="Times New Roman" w:hAnsi="Times New Roman"/>
          <w:sz w:val="20"/>
          <w:szCs w:val="20"/>
        </w:rPr>
        <w:t>, 1(3): 198–202.</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Lu, S. &amp; Li, L. (2008). Carotenoid metabolism: Biosynthesis, regulation and beyond. </w:t>
      </w:r>
      <w:r w:rsidRPr="00503AA2">
        <w:rPr>
          <w:rFonts w:ascii="Times New Roman" w:hAnsi="Times New Roman"/>
          <w:i/>
          <w:iCs/>
          <w:sz w:val="20"/>
          <w:szCs w:val="20"/>
        </w:rPr>
        <w:t xml:space="preserve">Journal of Integrative Plant Biology, </w:t>
      </w:r>
      <w:r w:rsidRPr="00503AA2">
        <w:rPr>
          <w:rFonts w:ascii="Times New Roman" w:hAnsi="Times New Roman"/>
          <w:sz w:val="20"/>
          <w:szCs w:val="20"/>
        </w:rPr>
        <w:t>50(7): 778-785.</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Demmig, B., Winter, K., Kruger, A. &amp; Czygan, F.C. (1987). Photoinhibition and zeaxanthin formation in intact leaves. </w:t>
      </w:r>
      <w:r w:rsidRPr="00503AA2">
        <w:rPr>
          <w:rFonts w:ascii="Times New Roman" w:hAnsi="Times New Roman"/>
          <w:i/>
          <w:iCs/>
          <w:sz w:val="20"/>
          <w:szCs w:val="20"/>
        </w:rPr>
        <w:t xml:space="preserve">Plant Physiology, </w:t>
      </w:r>
      <w:r w:rsidRPr="00503AA2">
        <w:rPr>
          <w:rFonts w:ascii="Times New Roman" w:hAnsi="Times New Roman"/>
          <w:sz w:val="20"/>
          <w:szCs w:val="20"/>
        </w:rPr>
        <w:t>84: 218-224.</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Yamamoto, H.Y., Bugos, R.C. &amp; Hieber, A.D. (1999). Biochemistry and molecular biology of the xanthophyll cycle. In, H. A. Frank, A. J. Young, G. Britton and R. J. Cogdell (Eds.), </w:t>
      </w:r>
      <w:r w:rsidRPr="00503AA2">
        <w:rPr>
          <w:rFonts w:ascii="Times New Roman" w:hAnsi="Times New Roman"/>
          <w:i/>
          <w:iCs/>
          <w:sz w:val="20"/>
          <w:szCs w:val="20"/>
        </w:rPr>
        <w:t>The Photochemistry of Carotenoids</w:t>
      </w:r>
      <w:r w:rsidRPr="00503AA2">
        <w:rPr>
          <w:rFonts w:ascii="Times New Roman" w:hAnsi="Times New Roman"/>
          <w:sz w:val="20"/>
          <w:szCs w:val="20"/>
        </w:rPr>
        <w:t>. Netherlands: Kluwer Academic Publishers, pp. 293-303.</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Frank, H. &amp; Cogdell, R.J. (1993). Photochemistry and function of carotenoids in photosynthesis. In, A.J. Young and G. Britton (Eds.), </w:t>
      </w:r>
      <w:r w:rsidRPr="00503AA2">
        <w:rPr>
          <w:rFonts w:ascii="Times New Roman" w:hAnsi="Times New Roman"/>
          <w:i/>
          <w:iCs/>
          <w:sz w:val="20"/>
          <w:szCs w:val="20"/>
        </w:rPr>
        <w:t>Carotenoids in Photosynthesis</w:t>
      </w:r>
      <w:r w:rsidRPr="00503AA2">
        <w:rPr>
          <w:rFonts w:ascii="Times New Roman" w:hAnsi="Times New Roman"/>
          <w:sz w:val="20"/>
          <w:szCs w:val="20"/>
        </w:rPr>
        <w:t>. London, UK: Chapman and Hall, pp. 253-326.</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Young, A.J. (1993). Factors that affect the carotenoid composition of higher plants and algae. In, A.J. Young and G. Britton (Eds.), </w:t>
      </w:r>
      <w:r w:rsidRPr="00503AA2">
        <w:rPr>
          <w:rFonts w:ascii="Times New Roman" w:hAnsi="Times New Roman"/>
          <w:i/>
          <w:iCs/>
          <w:sz w:val="20"/>
          <w:szCs w:val="20"/>
        </w:rPr>
        <w:t>Carotenoids in Photosynthesis</w:t>
      </w:r>
      <w:r w:rsidRPr="00503AA2">
        <w:rPr>
          <w:rFonts w:ascii="Times New Roman" w:hAnsi="Times New Roman"/>
          <w:sz w:val="20"/>
          <w:szCs w:val="20"/>
        </w:rPr>
        <w:t>. London, UK: Chapman and Hall, pp. 161-205.</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Sandmann, G., Römer, S. &amp; Fraser, P.D. (2006). Understanding carotenoid metabolism as a necessity for genetic engineering of crop plants. </w:t>
      </w:r>
      <w:r w:rsidRPr="00503AA2">
        <w:rPr>
          <w:rFonts w:ascii="Times New Roman" w:hAnsi="Times New Roman"/>
          <w:i/>
          <w:iCs/>
          <w:sz w:val="20"/>
          <w:szCs w:val="20"/>
        </w:rPr>
        <w:t>Metabolic Engineering</w:t>
      </w:r>
      <w:r w:rsidRPr="00503AA2">
        <w:rPr>
          <w:rFonts w:ascii="Times New Roman" w:hAnsi="Times New Roman"/>
          <w:sz w:val="20"/>
          <w:szCs w:val="20"/>
        </w:rPr>
        <w:t>, 8(4): 291-302.</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Horvath, E., Pal, M., Szalai, G., Paldi, E. &amp; Janda, T. (2007). Exogenous 4-hydroxybenzoic acid and salicylic acid modulate the effect of short-term drought and freezing stress on wheat plants. </w:t>
      </w:r>
      <w:r w:rsidRPr="00503AA2">
        <w:rPr>
          <w:rFonts w:ascii="Times New Roman" w:hAnsi="Times New Roman"/>
          <w:i/>
          <w:iCs/>
          <w:sz w:val="20"/>
          <w:szCs w:val="20"/>
        </w:rPr>
        <w:t>Biologia Plantarum, 51</w:t>
      </w:r>
      <w:r w:rsidRPr="00503AA2">
        <w:rPr>
          <w:rFonts w:ascii="Times New Roman" w:hAnsi="Times New Roman"/>
          <w:sz w:val="20"/>
          <w:szCs w:val="20"/>
        </w:rPr>
        <w:t>(3): 480-487.</w:t>
      </w:r>
    </w:p>
    <w:p w:rsidR="003C637E" w:rsidRPr="00503AA2"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Cag, S., Cevahir-Oz, G., Sarsag, M. &amp; Goren-Saglam, N. (2009). Effect of salicylic acid on pigment, protein content and peroxidase activity in excised sunflower cotyledons. </w:t>
      </w:r>
      <w:r w:rsidRPr="00503AA2">
        <w:rPr>
          <w:rFonts w:ascii="Times New Roman" w:hAnsi="Times New Roman"/>
          <w:i/>
          <w:iCs/>
          <w:sz w:val="20"/>
          <w:szCs w:val="20"/>
        </w:rPr>
        <w:t>Pakistan Journal of Botany, 41</w:t>
      </w:r>
      <w:r w:rsidRPr="00503AA2">
        <w:rPr>
          <w:rFonts w:ascii="Times New Roman" w:hAnsi="Times New Roman"/>
          <w:sz w:val="20"/>
          <w:szCs w:val="20"/>
        </w:rPr>
        <w:t>(5): 2297-2303.</w:t>
      </w:r>
    </w:p>
    <w:p w:rsidR="003C637E" w:rsidRPr="003C637E" w:rsidRDefault="003C637E" w:rsidP="003C637E">
      <w:pPr>
        <w:pStyle w:val="ListParagraph"/>
        <w:numPr>
          <w:ilvl w:val="0"/>
          <w:numId w:val="1"/>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Ashraf, M., Akram, N.A., Arteca, R.N. &amp; Foolad, M.R. (2010). The physiological, biochemical and molecular roles of brassinosteroids and salicylic acid in plant processes and salt tolerance. </w:t>
      </w:r>
      <w:r w:rsidRPr="00503AA2">
        <w:rPr>
          <w:rFonts w:ascii="Times New Roman" w:hAnsi="Times New Roman"/>
          <w:i/>
          <w:iCs/>
          <w:sz w:val="20"/>
          <w:szCs w:val="20"/>
        </w:rPr>
        <w:t>Critical Reviews in Plant Sciences, 29</w:t>
      </w:r>
      <w:r w:rsidRPr="00503AA2">
        <w:rPr>
          <w:rFonts w:ascii="Times New Roman" w:hAnsi="Times New Roman"/>
          <w:sz w:val="20"/>
          <w:szCs w:val="20"/>
        </w:rPr>
        <w:t>: 162-190.</w:t>
      </w:r>
    </w:p>
    <w:sectPr w:rsidR="003C637E" w:rsidRPr="003C637E" w:rsidSect="003C637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0620D"/>
    <w:multiLevelType w:val="hybridMultilevel"/>
    <w:tmpl w:val="8B16423C"/>
    <w:lvl w:ilvl="0" w:tplc="108ABFD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7E"/>
    <w:rsid w:val="003C637E"/>
    <w:rsid w:val="0044535B"/>
    <w:rsid w:val="00D0718B"/>
    <w:rsid w:val="00D40B1F"/>
    <w:rsid w:val="00F02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37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3C637E"/>
    <w:pPr>
      <w:spacing w:after="0" w:line="240" w:lineRule="auto"/>
    </w:pPr>
  </w:style>
  <w:style w:type="paragraph" w:customStyle="1" w:styleId="Default">
    <w:name w:val="Default"/>
    <w:rsid w:val="003C637E"/>
    <w:pPr>
      <w:autoSpaceDE w:val="0"/>
      <w:autoSpaceDN w:val="0"/>
      <w:adjustRightInd w:val="0"/>
      <w:spacing w:after="0" w:line="240" w:lineRule="auto"/>
    </w:pPr>
    <w:rPr>
      <w:rFonts w:ascii="Times New Roman" w:eastAsia="Times New Roman" w:hAnsi="Times New Roman" w:cs="Times New Roman"/>
      <w:color w:val="000000"/>
      <w:sz w:val="24"/>
      <w:szCs w:val="24"/>
      <w:lang w:bidi="th-TH"/>
    </w:rPr>
  </w:style>
  <w:style w:type="paragraph" w:styleId="ListParagraph">
    <w:name w:val="List Paragraph"/>
    <w:basedOn w:val="Normal"/>
    <w:uiPriority w:val="34"/>
    <w:qFormat/>
    <w:rsid w:val="003C637E"/>
    <w:pPr>
      <w:ind w:left="720"/>
      <w:contextualSpacing/>
    </w:pPr>
  </w:style>
  <w:style w:type="character" w:customStyle="1" w:styleId="apple-converted-space">
    <w:name w:val="apple-converted-space"/>
    <w:basedOn w:val="DefaultParagraphFont"/>
    <w:rsid w:val="003C63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37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3C637E"/>
    <w:pPr>
      <w:spacing w:after="0" w:line="240" w:lineRule="auto"/>
    </w:pPr>
  </w:style>
  <w:style w:type="paragraph" w:customStyle="1" w:styleId="Default">
    <w:name w:val="Default"/>
    <w:rsid w:val="003C637E"/>
    <w:pPr>
      <w:autoSpaceDE w:val="0"/>
      <w:autoSpaceDN w:val="0"/>
      <w:adjustRightInd w:val="0"/>
      <w:spacing w:after="0" w:line="240" w:lineRule="auto"/>
    </w:pPr>
    <w:rPr>
      <w:rFonts w:ascii="Times New Roman" w:eastAsia="Times New Roman" w:hAnsi="Times New Roman" w:cs="Times New Roman"/>
      <w:color w:val="000000"/>
      <w:sz w:val="24"/>
      <w:szCs w:val="24"/>
      <w:lang w:bidi="th-TH"/>
    </w:rPr>
  </w:style>
  <w:style w:type="paragraph" w:styleId="ListParagraph">
    <w:name w:val="List Paragraph"/>
    <w:basedOn w:val="Normal"/>
    <w:uiPriority w:val="34"/>
    <w:qFormat/>
    <w:rsid w:val="003C637E"/>
    <w:pPr>
      <w:ind w:left="720"/>
      <w:contextualSpacing/>
    </w:pPr>
  </w:style>
  <w:style w:type="character" w:customStyle="1" w:styleId="apple-converted-space">
    <w:name w:val="apple-converted-space"/>
    <w:basedOn w:val="DefaultParagraphFont"/>
    <w:rsid w:val="003C6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2015-03-25T07:41:00Z</dcterms:created>
  <dcterms:modified xsi:type="dcterms:W3CDTF">2015-04-01T02:06:00Z</dcterms:modified>
</cp:coreProperties>
</file>