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DF271A" w:rsidRPr="008474C4" w:rsidRDefault="00DF271A" w:rsidP="00DF271A">
      <w:pPr>
        <w:spacing w:after="0" w:line="240" w:lineRule="auto"/>
        <w:contextualSpacing/>
        <w:jc w:val="center"/>
        <w:rPr>
          <w:rFonts w:ascii="Times New Roman" w:hAnsi="Times New Roman"/>
          <w:bCs/>
          <w:sz w:val="28"/>
          <w:szCs w:val="28"/>
        </w:rPr>
      </w:pPr>
      <w:r w:rsidRPr="008474C4">
        <w:rPr>
          <w:rFonts w:ascii="Times New Roman" w:hAnsi="Times New Roman"/>
          <w:bCs/>
          <w:sz w:val="28"/>
          <w:szCs w:val="28"/>
        </w:rPr>
        <w:t xml:space="preserve">CONSTITUTIVE, INSTITUTIVE AND UP-REGULATION OF CAROTENOGENESIS REGULATORY MECHANISM VIA </w:t>
      </w:r>
      <w:r w:rsidRPr="008474C4">
        <w:rPr>
          <w:rFonts w:ascii="Times New Roman" w:hAnsi="Times New Roman"/>
          <w:bCs/>
          <w:i/>
          <w:sz w:val="28"/>
          <w:szCs w:val="28"/>
        </w:rPr>
        <w:t>IN VITRO</w:t>
      </w:r>
      <w:r w:rsidRPr="008474C4">
        <w:rPr>
          <w:rFonts w:ascii="Times New Roman" w:hAnsi="Times New Roman"/>
          <w:bCs/>
          <w:sz w:val="28"/>
          <w:szCs w:val="28"/>
        </w:rPr>
        <w:t xml:space="preserve"> CULTURE MODEL SYSTEM AND ELICITORS</w:t>
      </w:r>
    </w:p>
    <w:p w:rsidR="00DF271A" w:rsidRPr="00F447A7" w:rsidRDefault="00DF271A" w:rsidP="00DF271A">
      <w:pPr>
        <w:spacing w:after="0" w:line="240" w:lineRule="auto"/>
        <w:jc w:val="center"/>
        <w:rPr>
          <w:rFonts w:ascii="Times New Roman" w:hAnsi="Times New Roman"/>
          <w:noProof/>
          <w:sz w:val="24"/>
          <w:szCs w:val="24"/>
          <w:lang w:bidi="ar-SA"/>
        </w:rPr>
      </w:pPr>
    </w:p>
    <w:p w:rsidR="00DF271A" w:rsidRPr="008474C4" w:rsidRDefault="00DF271A" w:rsidP="00DF271A">
      <w:pPr>
        <w:spacing w:after="0" w:line="240" w:lineRule="auto"/>
        <w:jc w:val="center"/>
        <w:rPr>
          <w:rFonts w:ascii="Times New Roman" w:hAnsi="Times New Roman"/>
          <w:sz w:val="24"/>
          <w:szCs w:val="24"/>
        </w:rPr>
      </w:pPr>
      <w:r w:rsidRPr="008474C4">
        <w:rPr>
          <w:rFonts w:ascii="Times New Roman" w:hAnsi="Times New Roman"/>
          <w:sz w:val="24"/>
          <w:szCs w:val="24"/>
        </w:rPr>
        <w:t xml:space="preserve">(Mekanisme Regulatori dalam Pembentukan Karatenoid Secara Konsitutif, Institutif dan Regulasi Menaik Melalui Model Sistem </w:t>
      </w:r>
      <w:r w:rsidRPr="008474C4">
        <w:rPr>
          <w:rFonts w:ascii="Times New Roman" w:hAnsi="Times New Roman"/>
          <w:i/>
          <w:sz w:val="24"/>
          <w:szCs w:val="24"/>
        </w:rPr>
        <w:t>in vitro</w:t>
      </w:r>
      <w:r w:rsidRPr="008474C4">
        <w:rPr>
          <w:rFonts w:ascii="Times New Roman" w:hAnsi="Times New Roman"/>
          <w:sz w:val="24"/>
          <w:szCs w:val="24"/>
        </w:rPr>
        <w:t xml:space="preserve"> dan Pengelisit)</w:t>
      </w:r>
    </w:p>
    <w:p w:rsidR="00DF271A" w:rsidRPr="00F447A7" w:rsidRDefault="00DF271A" w:rsidP="00DF271A">
      <w:pPr>
        <w:spacing w:after="0" w:line="240" w:lineRule="auto"/>
        <w:jc w:val="center"/>
        <w:rPr>
          <w:rFonts w:ascii="Times New Roman" w:hAnsi="Times New Roman"/>
          <w:noProof/>
          <w:sz w:val="20"/>
          <w:szCs w:val="20"/>
          <w:lang w:bidi="ar-SA"/>
        </w:rPr>
      </w:pPr>
    </w:p>
    <w:p w:rsidR="00DF271A" w:rsidRPr="008474C4" w:rsidRDefault="00DF271A" w:rsidP="00DF271A">
      <w:pPr>
        <w:spacing w:after="0" w:line="240" w:lineRule="auto"/>
        <w:jc w:val="center"/>
        <w:rPr>
          <w:rFonts w:ascii="Times New Roman" w:hAnsi="Times New Roman"/>
          <w:bCs/>
          <w:sz w:val="20"/>
          <w:szCs w:val="20"/>
          <w:vertAlign w:val="superscript"/>
        </w:rPr>
      </w:pPr>
      <w:r>
        <w:rPr>
          <w:rFonts w:ascii="Times New Roman" w:hAnsi="Times New Roman"/>
          <w:bCs/>
          <w:sz w:val="20"/>
          <w:szCs w:val="20"/>
        </w:rPr>
        <w:t>Rashidi Othman</w:t>
      </w:r>
      <w:r w:rsidRPr="008474C4">
        <w:rPr>
          <w:rFonts w:ascii="Times New Roman" w:hAnsi="Times New Roman"/>
          <w:bCs/>
          <w:sz w:val="20"/>
          <w:szCs w:val="20"/>
          <w:vertAlign w:val="superscript"/>
        </w:rPr>
        <w:t>1</w:t>
      </w:r>
      <w:r>
        <w:rPr>
          <w:rFonts w:ascii="Times New Roman" w:hAnsi="Times New Roman"/>
          <w:bCs/>
          <w:sz w:val="20"/>
          <w:szCs w:val="20"/>
        </w:rPr>
        <w:t>*</w:t>
      </w:r>
      <w:r w:rsidRPr="008474C4">
        <w:rPr>
          <w:rFonts w:ascii="Times New Roman" w:hAnsi="Times New Roman"/>
          <w:bCs/>
          <w:sz w:val="20"/>
          <w:szCs w:val="20"/>
        </w:rPr>
        <w:t>, Fatimah Azzahra Mohd Zaifuddin</w:t>
      </w:r>
      <w:r w:rsidRPr="008474C4">
        <w:rPr>
          <w:rFonts w:ascii="Times New Roman" w:hAnsi="Times New Roman"/>
          <w:bCs/>
          <w:sz w:val="20"/>
          <w:szCs w:val="20"/>
          <w:vertAlign w:val="superscript"/>
        </w:rPr>
        <w:t>1</w:t>
      </w:r>
      <w:r w:rsidRPr="008474C4">
        <w:rPr>
          <w:rFonts w:ascii="Times New Roman" w:hAnsi="Times New Roman"/>
          <w:bCs/>
          <w:sz w:val="20"/>
          <w:szCs w:val="20"/>
        </w:rPr>
        <w:t>, Norazian Mohd Hassan</w:t>
      </w:r>
      <w:r w:rsidRPr="008474C4">
        <w:rPr>
          <w:rFonts w:ascii="Times New Roman" w:hAnsi="Times New Roman"/>
          <w:bCs/>
          <w:sz w:val="20"/>
          <w:szCs w:val="20"/>
          <w:vertAlign w:val="superscript"/>
        </w:rPr>
        <w:t>2</w:t>
      </w:r>
    </w:p>
    <w:p w:rsidR="00DF271A" w:rsidRPr="008474C4" w:rsidRDefault="00DF271A" w:rsidP="00DF271A">
      <w:pPr>
        <w:spacing w:after="0" w:line="240" w:lineRule="auto"/>
        <w:rPr>
          <w:rFonts w:ascii="Times New Roman" w:hAnsi="Times New Roman"/>
          <w:bCs/>
          <w:sz w:val="20"/>
          <w:szCs w:val="20"/>
        </w:rPr>
      </w:pPr>
    </w:p>
    <w:p w:rsidR="00DF271A" w:rsidRPr="008474C4" w:rsidRDefault="00DF271A" w:rsidP="00DF271A">
      <w:pPr>
        <w:pStyle w:val="NoSpacing"/>
        <w:jc w:val="center"/>
        <w:rPr>
          <w:rFonts w:ascii="Times New Roman" w:hAnsi="Times New Roman"/>
          <w:i/>
          <w:iCs/>
          <w:sz w:val="18"/>
          <w:szCs w:val="18"/>
          <w:vertAlign w:val="superscript"/>
        </w:rPr>
      </w:pPr>
      <w:r w:rsidRPr="008474C4">
        <w:rPr>
          <w:rFonts w:ascii="Times New Roman" w:hAnsi="Times New Roman"/>
          <w:i/>
          <w:iCs/>
          <w:sz w:val="18"/>
          <w:szCs w:val="18"/>
          <w:vertAlign w:val="superscript"/>
        </w:rPr>
        <w:t>1</w:t>
      </w:r>
      <w:r w:rsidRPr="008474C4">
        <w:rPr>
          <w:rFonts w:ascii="Times New Roman" w:hAnsi="Times New Roman"/>
          <w:i/>
          <w:iCs/>
          <w:sz w:val="18"/>
          <w:szCs w:val="18"/>
        </w:rPr>
        <w:t>International Institute for Halal Research and Training (INHART), Herbarium Unit,</w:t>
      </w:r>
      <w:r w:rsidRPr="008474C4">
        <w:rPr>
          <w:rFonts w:ascii="Times New Roman" w:hAnsi="Times New Roman"/>
          <w:i/>
          <w:iCs/>
          <w:sz w:val="18"/>
          <w:szCs w:val="18"/>
          <w:vertAlign w:val="superscript"/>
        </w:rPr>
        <w:t xml:space="preserve"> </w:t>
      </w:r>
    </w:p>
    <w:p w:rsidR="00DF271A" w:rsidRPr="008474C4" w:rsidRDefault="00DF271A" w:rsidP="00DF271A">
      <w:pPr>
        <w:pStyle w:val="NoSpacing"/>
        <w:jc w:val="center"/>
        <w:rPr>
          <w:rFonts w:ascii="Times New Roman" w:hAnsi="Times New Roman"/>
          <w:bCs/>
          <w:i/>
          <w:iCs/>
          <w:sz w:val="18"/>
          <w:szCs w:val="18"/>
        </w:rPr>
      </w:pPr>
      <w:r w:rsidRPr="008474C4">
        <w:rPr>
          <w:rFonts w:ascii="Times New Roman" w:hAnsi="Times New Roman"/>
          <w:bCs/>
          <w:i/>
          <w:iCs/>
          <w:sz w:val="18"/>
          <w:szCs w:val="18"/>
        </w:rPr>
        <w:t xml:space="preserve">Department of Landscape Architecture, Kulliyyah of Architecture and Environmental Design, </w:t>
      </w:r>
    </w:p>
    <w:p w:rsidR="00DF271A" w:rsidRPr="008474C4" w:rsidRDefault="00DF271A" w:rsidP="00DF271A">
      <w:pPr>
        <w:pStyle w:val="NoSpacing"/>
        <w:jc w:val="center"/>
        <w:rPr>
          <w:rFonts w:ascii="Times New Roman" w:hAnsi="Times New Roman"/>
          <w:i/>
          <w:iCs/>
          <w:sz w:val="18"/>
          <w:szCs w:val="18"/>
        </w:rPr>
      </w:pPr>
      <w:r w:rsidRPr="008474C4">
        <w:rPr>
          <w:rFonts w:ascii="Times New Roman" w:hAnsi="Times New Roman"/>
          <w:bCs/>
          <w:i/>
          <w:iCs/>
          <w:sz w:val="18"/>
          <w:szCs w:val="18"/>
        </w:rPr>
        <w:t xml:space="preserve">International Islamic University Malaysia, </w:t>
      </w:r>
      <w:r w:rsidRPr="008474C4">
        <w:rPr>
          <w:rFonts w:ascii="Times New Roman" w:hAnsi="Times New Roman"/>
          <w:i/>
          <w:iCs/>
          <w:sz w:val="18"/>
          <w:szCs w:val="18"/>
        </w:rPr>
        <w:t>53100 Kuala Lumpur, Malaysia</w:t>
      </w:r>
    </w:p>
    <w:p w:rsidR="00DF271A" w:rsidRPr="008474C4" w:rsidRDefault="00DF271A" w:rsidP="00DF271A">
      <w:pPr>
        <w:pStyle w:val="NoSpacing"/>
        <w:jc w:val="center"/>
        <w:rPr>
          <w:rFonts w:ascii="Times New Roman" w:hAnsi="Times New Roman"/>
          <w:i/>
          <w:iCs/>
          <w:sz w:val="18"/>
          <w:szCs w:val="18"/>
          <w:lang w:val="en-GB"/>
        </w:rPr>
      </w:pPr>
      <w:r w:rsidRPr="008474C4">
        <w:rPr>
          <w:rFonts w:ascii="Times New Roman" w:hAnsi="Times New Roman"/>
          <w:i/>
          <w:iCs/>
          <w:sz w:val="18"/>
          <w:szCs w:val="18"/>
          <w:vertAlign w:val="superscript"/>
          <w:lang w:val="en-GB"/>
        </w:rPr>
        <w:t>2</w:t>
      </w:r>
      <w:r w:rsidRPr="008474C4">
        <w:rPr>
          <w:rFonts w:ascii="Times New Roman" w:hAnsi="Times New Roman"/>
          <w:i/>
          <w:iCs/>
          <w:sz w:val="18"/>
          <w:szCs w:val="18"/>
          <w:lang w:val="en-GB"/>
        </w:rPr>
        <w:t xml:space="preserve">Department of Pharmaceutical Chemistry, Kulliyyah of Pharmacy, </w:t>
      </w:r>
    </w:p>
    <w:p w:rsidR="00DF271A" w:rsidRPr="008474C4" w:rsidRDefault="00DF271A" w:rsidP="00DF271A">
      <w:pPr>
        <w:pStyle w:val="NoSpacing"/>
        <w:jc w:val="center"/>
        <w:rPr>
          <w:rFonts w:ascii="Times New Roman" w:eastAsia="Calibri" w:hAnsi="Times New Roman"/>
          <w:i/>
          <w:iCs/>
          <w:sz w:val="18"/>
          <w:szCs w:val="18"/>
          <w:lang w:val="en-GB"/>
        </w:rPr>
      </w:pPr>
      <w:r w:rsidRPr="008474C4">
        <w:rPr>
          <w:rFonts w:ascii="Times New Roman" w:hAnsi="Times New Roman"/>
          <w:i/>
          <w:iCs/>
          <w:sz w:val="18"/>
          <w:szCs w:val="18"/>
          <w:lang w:val="en-GB"/>
        </w:rPr>
        <w:t xml:space="preserve">International </w:t>
      </w:r>
      <w:r w:rsidRPr="008474C4">
        <w:rPr>
          <w:rFonts w:ascii="Times New Roman" w:eastAsia="Calibri" w:hAnsi="Times New Roman"/>
          <w:i/>
          <w:iCs/>
          <w:sz w:val="18"/>
          <w:szCs w:val="18"/>
          <w:lang w:val="en-GB"/>
        </w:rPr>
        <w:t>Islamic University Malaysia, 25200 Kuantan, Malaysia</w:t>
      </w:r>
    </w:p>
    <w:p w:rsidR="00DF271A" w:rsidRPr="00F447A7" w:rsidRDefault="00DF271A" w:rsidP="00DF271A">
      <w:pPr>
        <w:spacing w:after="0" w:line="240" w:lineRule="auto"/>
        <w:jc w:val="center"/>
        <w:rPr>
          <w:rFonts w:ascii="Times New Roman" w:hAnsi="Times New Roman"/>
          <w:noProof/>
          <w:sz w:val="18"/>
          <w:szCs w:val="18"/>
          <w:lang w:bidi="ar-SA"/>
        </w:rPr>
      </w:pPr>
    </w:p>
    <w:p w:rsidR="00DF271A" w:rsidRPr="008474C4" w:rsidRDefault="00DF271A" w:rsidP="00DF271A">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Pr="008474C4">
        <w:rPr>
          <w:rFonts w:ascii="Times New Roman" w:hAnsi="Times New Roman"/>
          <w:i/>
          <w:iCs/>
          <w:sz w:val="18"/>
          <w:szCs w:val="18"/>
          <w:lang w:val="en-GB"/>
        </w:rPr>
        <w:t>rashidi@iium.edu.my</w:t>
      </w:r>
    </w:p>
    <w:p w:rsidR="00DF271A" w:rsidRPr="00F447A7" w:rsidRDefault="00DF271A" w:rsidP="00DF271A">
      <w:pPr>
        <w:spacing w:after="0" w:line="240" w:lineRule="auto"/>
        <w:jc w:val="center"/>
        <w:rPr>
          <w:rFonts w:ascii="Times New Roman" w:hAnsi="Times New Roman"/>
          <w:noProof/>
          <w:sz w:val="18"/>
          <w:szCs w:val="18"/>
          <w:lang w:bidi="ar-SA"/>
        </w:rPr>
      </w:pPr>
    </w:p>
    <w:p w:rsidR="00DF271A" w:rsidRDefault="00DF271A" w:rsidP="00DF271A">
      <w:pPr>
        <w:spacing w:after="0" w:line="240" w:lineRule="auto"/>
        <w:jc w:val="center"/>
        <w:rPr>
          <w:rFonts w:ascii="Times New Roman" w:hAnsi="Times New Roman"/>
          <w:noProof/>
          <w:sz w:val="18"/>
          <w:szCs w:val="18"/>
          <w:lang w:bidi="ar-SA"/>
        </w:rPr>
      </w:pPr>
    </w:p>
    <w:p w:rsidR="00DF271A" w:rsidRDefault="00DF271A" w:rsidP="00DF271A">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8 December 2014; Accepted: 14 January 2015</w:t>
      </w:r>
    </w:p>
    <w:p w:rsidR="00DF271A" w:rsidRDefault="00DF271A" w:rsidP="00DF271A">
      <w:pPr>
        <w:spacing w:after="0" w:line="240" w:lineRule="auto"/>
        <w:jc w:val="center"/>
        <w:rPr>
          <w:rFonts w:ascii="Times New Roman" w:hAnsi="Times New Roman"/>
          <w:noProof/>
          <w:sz w:val="18"/>
          <w:szCs w:val="18"/>
          <w:lang w:bidi="ar-SA"/>
        </w:rPr>
      </w:pPr>
    </w:p>
    <w:p w:rsidR="00DF271A" w:rsidRPr="00F447A7" w:rsidRDefault="00DF271A" w:rsidP="00DF271A">
      <w:pPr>
        <w:spacing w:after="0" w:line="240" w:lineRule="auto"/>
        <w:jc w:val="center"/>
        <w:rPr>
          <w:rFonts w:ascii="Times New Roman" w:hAnsi="Times New Roman"/>
          <w:noProof/>
          <w:sz w:val="18"/>
          <w:szCs w:val="18"/>
          <w:lang w:bidi="ar-SA"/>
        </w:rPr>
      </w:pPr>
    </w:p>
    <w:p w:rsidR="00DF271A" w:rsidRPr="00F447A7" w:rsidRDefault="00DF271A" w:rsidP="00DF271A">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F271A" w:rsidRPr="00E44031" w:rsidRDefault="00DF271A" w:rsidP="00DF271A">
      <w:pPr>
        <w:pStyle w:val="Default"/>
        <w:jc w:val="both"/>
        <w:rPr>
          <w:color w:val="auto"/>
          <w:sz w:val="18"/>
          <w:szCs w:val="18"/>
        </w:rPr>
      </w:pPr>
      <w:r w:rsidRPr="00E44031">
        <w:rPr>
          <w:color w:val="auto"/>
          <w:sz w:val="18"/>
          <w:szCs w:val="18"/>
        </w:rPr>
        <w:t xml:space="preserve">Phytohormone abscisic acid (ABA) plays a regulatory role in many physiological processes in plants and is regulated and controlled by specific key factors or genes. Different environmental stress conditions such as water, drought, cold, light, and temperature result in increased amounts of ABA. The action of ABA involves modification of gene expression and analysis of in vitro callus model system cultures revealed several potential </w:t>
      </w:r>
      <w:r w:rsidRPr="00E44031">
        <w:rPr>
          <w:iCs/>
          <w:color w:val="auto"/>
          <w:sz w:val="18"/>
          <w:szCs w:val="18"/>
        </w:rPr>
        <w:t>of constitutive, institutive and up-regulation</w:t>
      </w:r>
      <w:r w:rsidRPr="00E44031">
        <w:rPr>
          <w:i/>
          <w:iCs/>
          <w:color w:val="auto"/>
          <w:sz w:val="18"/>
          <w:szCs w:val="18"/>
        </w:rPr>
        <w:t xml:space="preserve"> </w:t>
      </w:r>
      <w:r w:rsidRPr="00E44031">
        <w:rPr>
          <w:color w:val="auto"/>
          <w:sz w:val="18"/>
          <w:szCs w:val="18"/>
        </w:rPr>
        <w:t xml:space="preserve">acting regulatory mechanisms. Therefore, this study was aimed at establishing </w:t>
      </w:r>
      <w:r w:rsidRPr="00E44031">
        <w:rPr>
          <w:i/>
          <w:color w:val="auto"/>
          <w:sz w:val="18"/>
          <w:szCs w:val="18"/>
        </w:rPr>
        <w:t>in vitro</w:t>
      </w:r>
      <w:r w:rsidRPr="00E44031">
        <w:rPr>
          <w:color w:val="auto"/>
          <w:sz w:val="18"/>
          <w:szCs w:val="18"/>
        </w:rPr>
        <w:t xml:space="preserve"> cultures as potential research tools to study the regulatory mechanisms of the carotenoid biosynthesis in selected plant species through a controlled environment. The presence and absence of zeaxanthin and neoxanthin in callus cultures and intact plants could be explained by changes in gene expression in response to stress. Abiotic stress can alter gene expression and trigger cellular metabolism in plants. This study suggested that the key factors which involved in regulatory mechanisms of individual carotenoid biosynthesis in a particular biology system of </w:t>
      </w:r>
      <w:r w:rsidRPr="00E44031">
        <w:rPr>
          <w:iCs/>
          <w:color w:val="auto"/>
          <w:sz w:val="18"/>
          <w:szCs w:val="18"/>
        </w:rPr>
        <w:t xml:space="preserve">plants </w:t>
      </w:r>
      <w:r w:rsidRPr="00E44031">
        <w:rPr>
          <w:color w:val="auto"/>
          <w:sz w:val="18"/>
          <w:szCs w:val="18"/>
        </w:rPr>
        <w:t>can be either be silenced or activated. Therefore, based on the results in this study environmental stress is made possible for enhancement or enrichment of certain carotenoid of interest in food crops without altering the genes.</w:t>
      </w:r>
    </w:p>
    <w:p w:rsidR="00DF271A" w:rsidRPr="00E44031" w:rsidRDefault="00DF271A" w:rsidP="00DF271A">
      <w:pPr>
        <w:pStyle w:val="Default"/>
        <w:jc w:val="both"/>
        <w:rPr>
          <w:color w:val="auto"/>
          <w:sz w:val="18"/>
          <w:szCs w:val="18"/>
        </w:rPr>
      </w:pPr>
    </w:p>
    <w:p w:rsidR="00DF271A" w:rsidRPr="00E44031" w:rsidRDefault="00DF271A" w:rsidP="00DF271A">
      <w:pPr>
        <w:spacing w:after="0" w:line="240" w:lineRule="auto"/>
        <w:jc w:val="both"/>
        <w:rPr>
          <w:rFonts w:ascii="Times New Roman" w:hAnsi="Times New Roman"/>
          <w:iCs/>
          <w:sz w:val="18"/>
          <w:szCs w:val="18"/>
        </w:rPr>
      </w:pPr>
      <w:r w:rsidRPr="00E44031">
        <w:rPr>
          <w:rFonts w:ascii="Times New Roman" w:hAnsi="Times New Roman"/>
          <w:b/>
          <w:sz w:val="18"/>
          <w:szCs w:val="18"/>
        </w:rPr>
        <w:t>Keywords:</w:t>
      </w:r>
      <w:r w:rsidRPr="00E44031">
        <w:rPr>
          <w:rFonts w:ascii="Times New Roman" w:hAnsi="Times New Roman"/>
          <w:b/>
          <w:bCs/>
          <w:sz w:val="18"/>
          <w:szCs w:val="18"/>
        </w:rPr>
        <w:t xml:space="preserve"> </w:t>
      </w:r>
      <w:r w:rsidRPr="00E44031">
        <w:rPr>
          <w:rFonts w:ascii="Times New Roman" w:hAnsi="Times New Roman"/>
          <w:iCs/>
          <w:sz w:val="18"/>
          <w:szCs w:val="18"/>
        </w:rPr>
        <w:t>carotenogenesis, elicitors, regulatory mechanisms, constitutive, institutive, up-regulation</w:t>
      </w:r>
    </w:p>
    <w:p w:rsidR="00DF271A" w:rsidRDefault="00DF271A" w:rsidP="00DF271A">
      <w:pPr>
        <w:spacing w:after="0" w:line="240" w:lineRule="auto"/>
        <w:jc w:val="center"/>
        <w:rPr>
          <w:rFonts w:ascii="Times New Roman" w:hAnsi="Times New Roman"/>
          <w:b/>
          <w:noProof/>
          <w:sz w:val="18"/>
          <w:szCs w:val="18"/>
          <w:lang w:bidi="ar-SA"/>
        </w:rPr>
      </w:pPr>
    </w:p>
    <w:p w:rsidR="00DF271A" w:rsidRPr="00F447A7" w:rsidRDefault="00DF271A" w:rsidP="00DF271A">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DF271A" w:rsidRPr="00F144A5" w:rsidRDefault="00DF271A" w:rsidP="00DF271A">
      <w:pPr>
        <w:pStyle w:val="Default"/>
        <w:jc w:val="both"/>
        <w:rPr>
          <w:rFonts w:eastAsiaTheme="minorHAnsi"/>
          <w:color w:val="auto"/>
          <w:sz w:val="18"/>
          <w:szCs w:val="18"/>
          <w:lang w:val="en-GB" w:bidi="ar-SA"/>
        </w:rPr>
      </w:pPr>
      <w:r w:rsidRPr="00F144A5">
        <w:rPr>
          <w:rFonts w:eastAsiaTheme="minorHAnsi"/>
          <w:color w:val="auto"/>
          <w:sz w:val="18"/>
          <w:szCs w:val="18"/>
          <w:lang w:val="en-GB" w:bidi="ar-SA"/>
        </w:rPr>
        <w:t xml:space="preserve">Di dalam kebanyakan proses regulasi fisiologi tumbuhan, fitohormon asid absisik (ABA) memainkan peranan penting dan mekanisme ini dikawal oleh gen-gen yang tertentu. Keadaan persekitaran yang ekstrem dan tegar seperti kemarau, banjir, kesejukan melampau, cahaya dan suhu juga akan mempengaruhi penghasilan ABA. Peningkatan ABA akan mengakibatkan perubahan dalam ekspresi genetik dan ini terbukti apabila analisis terhadap model sistem kalus secara </w:t>
      </w:r>
      <w:r w:rsidRPr="00F144A5">
        <w:rPr>
          <w:rFonts w:eastAsiaTheme="minorHAnsi"/>
          <w:i/>
          <w:iCs/>
          <w:color w:val="auto"/>
          <w:sz w:val="18"/>
          <w:szCs w:val="18"/>
          <w:lang w:val="en-GB" w:bidi="ar-SA"/>
        </w:rPr>
        <w:t>in vitro</w:t>
      </w:r>
      <w:r w:rsidRPr="00F144A5">
        <w:rPr>
          <w:rFonts w:eastAsiaTheme="minorHAnsi"/>
          <w:color w:val="auto"/>
          <w:sz w:val="18"/>
          <w:szCs w:val="18"/>
          <w:lang w:val="en-GB" w:bidi="ar-SA"/>
        </w:rPr>
        <w:t xml:space="preserve"> menghasilkan 3 jenis mekanisme regulasi tumbuhan yang dikenali sebagai konstitutif, institutif dan regulasi menaik. Justeru itu kajian ini bertujuan merekabentuk satu model sistem </w:t>
      </w:r>
      <w:r w:rsidRPr="00F144A5">
        <w:rPr>
          <w:rFonts w:eastAsiaTheme="minorHAnsi"/>
          <w:i/>
          <w:iCs/>
          <w:color w:val="auto"/>
          <w:sz w:val="18"/>
          <w:szCs w:val="18"/>
          <w:lang w:val="en-GB" w:bidi="ar-SA"/>
        </w:rPr>
        <w:t>in vitro</w:t>
      </w:r>
      <w:r w:rsidRPr="00F144A5">
        <w:rPr>
          <w:rFonts w:eastAsiaTheme="minorHAnsi"/>
          <w:color w:val="auto"/>
          <w:sz w:val="18"/>
          <w:szCs w:val="18"/>
          <w:lang w:val="en-GB" w:bidi="ar-SA"/>
        </w:rPr>
        <w:t xml:space="preserve"> menggunakan kultur kalus sebagai satu alat atau medium untuk mengkaji proses regulasi tumbuhan terpilih terhadap biosintesis karatenoid di dalam persekitaran terkawal. Hasil kajian mendapati kehadiran zeaxanthin dan neoxanthin di dalam kultur kalus dan tumbuhan asal merupakan petunjuk terhadap perubahan ekspresi genetik terhadap keadaan persekitaran yang ekstrem. Menariknya, mekanisme kehadiran sebatian ini boleh diaktifkan atau dihilangkan. Kepentingan hasil kajian ini adalah faktor persekitaran boleh dimanipulasi untuk meningkatkan produktiviti atau kualiti sesuatu tanaman tanpa melalui proses pengubahsuaian genetik.</w:t>
      </w:r>
    </w:p>
    <w:p w:rsidR="00DF271A" w:rsidRPr="00F144A5" w:rsidRDefault="00DF271A" w:rsidP="00DF271A">
      <w:pPr>
        <w:pStyle w:val="Default"/>
        <w:jc w:val="both"/>
        <w:rPr>
          <w:rFonts w:eastAsiaTheme="minorHAnsi"/>
          <w:color w:val="auto"/>
          <w:sz w:val="18"/>
          <w:szCs w:val="18"/>
          <w:lang w:val="en-GB" w:bidi="ar-SA"/>
        </w:rPr>
      </w:pPr>
    </w:p>
    <w:p w:rsidR="00DF271A" w:rsidRPr="00F144A5" w:rsidRDefault="00DF271A" w:rsidP="00DF271A">
      <w:pPr>
        <w:pStyle w:val="Default"/>
        <w:jc w:val="both"/>
        <w:rPr>
          <w:rFonts w:eastAsiaTheme="minorHAnsi"/>
          <w:color w:val="auto"/>
          <w:sz w:val="18"/>
          <w:szCs w:val="18"/>
          <w:lang w:val="en-GB" w:bidi="ar-SA"/>
        </w:rPr>
      </w:pPr>
      <w:r w:rsidRPr="00F144A5">
        <w:rPr>
          <w:b/>
          <w:color w:val="auto"/>
          <w:sz w:val="18"/>
          <w:szCs w:val="18"/>
        </w:rPr>
        <w:t>Kata kunci:</w:t>
      </w:r>
      <w:r w:rsidRPr="00F144A5">
        <w:rPr>
          <w:b/>
          <w:bCs/>
          <w:color w:val="auto"/>
          <w:sz w:val="18"/>
          <w:szCs w:val="18"/>
        </w:rPr>
        <w:t xml:space="preserve"> </w:t>
      </w:r>
      <w:r w:rsidRPr="00F144A5">
        <w:rPr>
          <w:iCs/>
          <w:color w:val="auto"/>
          <w:sz w:val="18"/>
          <w:szCs w:val="18"/>
        </w:rPr>
        <w:t>kerotenogenesis, pengelisit, mekanisme regulatori, konsitut</w:t>
      </w:r>
      <w:r>
        <w:rPr>
          <w:iCs/>
          <w:color w:val="auto"/>
          <w:sz w:val="18"/>
          <w:szCs w:val="18"/>
        </w:rPr>
        <w:t>if, institutif, regulasi menaik</w:t>
      </w:r>
    </w:p>
    <w:p w:rsidR="00DF271A" w:rsidRPr="00BE7C30" w:rsidRDefault="00DF271A" w:rsidP="00DF271A">
      <w:pPr>
        <w:spacing w:after="0" w:line="240" w:lineRule="auto"/>
        <w:jc w:val="center"/>
        <w:rPr>
          <w:rFonts w:ascii="Times New Roman" w:hAnsi="Times New Roman"/>
          <w:noProof/>
          <w:sz w:val="20"/>
          <w:szCs w:val="20"/>
          <w:lang w:bidi="ar-SA"/>
        </w:rPr>
      </w:pPr>
    </w:p>
    <w:p w:rsidR="00DF271A" w:rsidRPr="00F447A7" w:rsidRDefault="00DF271A" w:rsidP="00DF271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DF271A" w:rsidRPr="00E44031" w:rsidRDefault="00DF271A" w:rsidP="00DF271A">
      <w:pPr>
        <w:autoSpaceDE w:val="0"/>
        <w:autoSpaceDN w:val="0"/>
        <w:adjustRightInd w:val="0"/>
        <w:spacing w:after="0" w:line="240" w:lineRule="auto"/>
        <w:jc w:val="both"/>
        <w:rPr>
          <w:rFonts w:ascii="Times New Roman" w:hAnsi="Times New Roman"/>
          <w:sz w:val="20"/>
          <w:szCs w:val="20"/>
        </w:rPr>
      </w:pPr>
      <w:r w:rsidRPr="00E44031">
        <w:rPr>
          <w:rFonts w:ascii="Times New Roman" w:hAnsi="Times New Roman"/>
          <w:sz w:val="20"/>
          <w:szCs w:val="20"/>
        </w:rPr>
        <w:t xml:space="preserve">Carotenoids are yellow, orange and red pigments which secondly abundant in nature after the green chlorophylls. They exist with remarkable special properties as compared to other compounds, performing various functions and actions in enormous living organisms [1, 2]. Based on their highly double-bonded structures, carotenoids are not only important as potent antioxidants but some of them also serve as essential precursors to vitamin A formation such as β-carotene, α-carotene and β-cryptoxanthin. To date, there are more than 700 members of carotenoids’ family which have been characterised in nature [1]. The carotenoids biosynthesis often commences with the formation of phytoene from condensation of two blocks of geranyl geranyl diphosphate (GGPP) molecules by phytoene synthase [3]. Through four desaturation forms of phytofluene, ζ-carotene, neurosporene and finally red coloured lycopene are converted from colourless phytoene by phytoene desaturase [4, 5]. The cyclization of lycopene with lycopene cyclases (β-cyclase and  ε-cyclase) is a significant branch-point in carotenoid biosynthesis which resulted in the formation of  α-carotene and β-carotene. Hydroxylation of α- and β-carotene will produce the well-known xanthophyll pigments zeaxanthin and lutein respectively. Violaxanthin is formed from zeaxanthin through epoxidation. This reaction sequence is reversible and de-epoxydation can convert violaxanthin back to zeaxanthin. Neoxanthin is synthesised and derived from violaxanthin. Cleavage products of this last plant carotenoid serve as precursors in the production of an important plant hormone, abscisic acid [6 - 8]. </w:t>
      </w:r>
    </w:p>
    <w:p w:rsidR="00DF271A" w:rsidRPr="00E44031" w:rsidRDefault="00DF271A" w:rsidP="00DF271A">
      <w:pPr>
        <w:autoSpaceDE w:val="0"/>
        <w:autoSpaceDN w:val="0"/>
        <w:adjustRightInd w:val="0"/>
        <w:spacing w:after="0" w:line="240" w:lineRule="auto"/>
        <w:jc w:val="both"/>
        <w:rPr>
          <w:rFonts w:ascii="Times New Roman" w:hAnsi="Times New Roman"/>
          <w:sz w:val="20"/>
          <w:szCs w:val="20"/>
        </w:rPr>
      </w:pPr>
    </w:p>
    <w:p w:rsidR="00DF271A" w:rsidRPr="00E44031" w:rsidRDefault="00DF271A" w:rsidP="00DF271A">
      <w:pPr>
        <w:autoSpaceDE w:val="0"/>
        <w:autoSpaceDN w:val="0"/>
        <w:adjustRightInd w:val="0"/>
        <w:spacing w:after="0" w:line="240" w:lineRule="auto"/>
        <w:jc w:val="both"/>
        <w:rPr>
          <w:rFonts w:ascii="Times New Roman" w:hAnsi="Times New Roman"/>
          <w:sz w:val="20"/>
          <w:szCs w:val="20"/>
        </w:rPr>
      </w:pPr>
      <w:r w:rsidRPr="00E44031">
        <w:rPr>
          <w:rFonts w:ascii="Times New Roman" w:hAnsi="Times New Roman"/>
          <w:sz w:val="20"/>
          <w:szCs w:val="20"/>
        </w:rPr>
        <w:t xml:space="preserve">Over the past decade, several approaches of genetic manipulation or modification have been performed to increase the carotenoid content and composition in different plant species and tissues. As a result, many genes of the carotenoid biosynthetic pathway have been cloned such as dimethylallyl diphosphate synthase isomerase, geranylgeranyl diphosphate synthase, phytoene synthase, phytoene desaturase, ζ-carotene desaturase and β-carotene hydroxylase [6, 9-12]. When the first effort to engineer the rice endosperm was made, a gene encoding phytoene synthase was introduced. Unfortunately, no compounds </w:t>
      </w:r>
      <w:r w:rsidR="00136B42">
        <w:rPr>
          <w:rFonts w:ascii="Times New Roman" w:hAnsi="Times New Roman"/>
          <w:sz w:val="20"/>
          <w:szCs w:val="20"/>
        </w:rPr>
        <w:t>downstream of fiction such as Lu</w:t>
      </w:r>
      <w:r w:rsidRPr="00E44031">
        <w:rPr>
          <w:rFonts w:ascii="Times New Roman" w:hAnsi="Times New Roman"/>
          <w:sz w:val="20"/>
          <w:szCs w:val="20"/>
        </w:rPr>
        <w:t>t</w:t>
      </w:r>
      <w:r w:rsidR="00136B42">
        <w:rPr>
          <w:rFonts w:ascii="Times New Roman" w:hAnsi="Times New Roman"/>
          <w:sz w:val="20"/>
          <w:szCs w:val="20"/>
        </w:rPr>
        <w:t>e</w:t>
      </w:r>
      <w:r w:rsidRPr="00E44031">
        <w:rPr>
          <w:rFonts w:ascii="Times New Roman" w:hAnsi="Times New Roman"/>
          <w:sz w:val="20"/>
          <w:szCs w:val="20"/>
        </w:rPr>
        <w:t xml:space="preserve">in and β-carotene accumulated [13]. Subsequently, when the genes encoding phytoene synthase, lycopene β-cyclase and a bacterial phytoene desaturase (CrtI) were introduced, β-carotene accumulated, resulting in golden rice [14]. In recent work [15], expression of three </w:t>
      </w:r>
      <w:r w:rsidRPr="00E44031">
        <w:rPr>
          <w:rFonts w:ascii="Times New Roman" w:hAnsi="Times New Roman"/>
          <w:i/>
          <w:iCs/>
          <w:sz w:val="20"/>
          <w:szCs w:val="20"/>
        </w:rPr>
        <w:t xml:space="preserve">Erwinia </w:t>
      </w:r>
      <w:r w:rsidRPr="00E44031">
        <w:rPr>
          <w:rFonts w:ascii="Times New Roman" w:hAnsi="Times New Roman"/>
          <w:sz w:val="20"/>
          <w:szCs w:val="20"/>
        </w:rPr>
        <w:t xml:space="preserve">genes encoding phytoene synthase (CrtB), phytoene desaturase (CrtI) and of geranyl geranyl diphosphate (GGPP) into β-carotene which resulted golden potato with a deep yellow (golden) tubers. Similarly [16], revealed that through transformation of the </w:t>
      </w:r>
      <w:r w:rsidRPr="00E44031">
        <w:rPr>
          <w:rFonts w:ascii="Times New Roman" w:hAnsi="Times New Roman"/>
          <w:i/>
          <w:iCs/>
          <w:sz w:val="20"/>
          <w:szCs w:val="20"/>
        </w:rPr>
        <w:t xml:space="preserve">Or </w:t>
      </w:r>
      <w:r w:rsidRPr="00E44031">
        <w:rPr>
          <w:rFonts w:ascii="Times New Roman" w:hAnsi="Times New Roman"/>
          <w:sz w:val="20"/>
          <w:szCs w:val="20"/>
        </w:rPr>
        <w:t xml:space="preserve">gene into wild type cauliflower converts the white colour of curd tissue into distinct orange colour with increased levels of β-carotene. This result suggested that different plant species will react differently towards the stability of individual carotenoids accumulated in transgenic plants. Furthermore, the response in monocotyledonous and dicotyledonous species is also likely to differ. The overexpression of genes and modification of sink capacity in the carotenoid biosynthetic pathway have resulted in increased levels of carotenoids and proven as a new strategy to enhance carotenoids in food crops quantitatively and qualitatively but yet these techniques still need to become more precise to avoid the inadvertent introduction or expression of undesirable genes causing allergenicity, weediness or endanger natural ecosystems [17]. Hence, more detailed knowledge of the diversity of carotenoid pigments in plants and environmental factors influencing their accumulation is urgently required for better understanding of plant carotenogenesis regulation. The question remains, is which mechanism will stimulate carotenogenesis more effective. In order for this question to be answered, it is important to identify and to understand the key control factors for carotenoid accumulation in plants. </w:t>
      </w:r>
    </w:p>
    <w:p w:rsidR="00DF271A" w:rsidRPr="00E44031" w:rsidRDefault="00DF271A" w:rsidP="00DF271A">
      <w:pPr>
        <w:autoSpaceDE w:val="0"/>
        <w:autoSpaceDN w:val="0"/>
        <w:adjustRightInd w:val="0"/>
        <w:spacing w:after="0" w:line="240" w:lineRule="auto"/>
        <w:jc w:val="both"/>
        <w:rPr>
          <w:rFonts w:ascii="Times New Roman" w:hAnsi="Times New Roman"/>
          <w:sz w:val="20"/>
          <w:szCs w:val="20"/>
        </w:rPr>
      </w:pPr>
    </w:p>
    <w:p w:rsidR="00DF271A" w:rsidRPr="00E44031" w:rsidRDefault="00DF271A" w:rsidP="00DF271A">
      <w:pPr>
        <w:spacing w:after="0" w:line="240" w:lineRule="auto"/>
        <w:jc w:val="both"/>
        <w:rPr>
          <w:rFonts w:ascii="Times New Roman" w:hAnsi="Times New Roman"/>
          <w:sz w:val="20"/>
          <w:szCs w:val="20"/>
        </w:rPr>
      </w:pPr>
      <w:r w:rsidRPr="00E44031">
        <w:rPr>
          <w:rFonts w:ascii="Times New Roman" w:hAnsi="Times New Roman"/>
          <w:i/>
          <w:iCs/>
          <w:sz w:val="20"/>
          <w:szCs w:val="20"/>
        </w:rPr>
        <w:t xml:space="preserve">Ulam </w:t>
      </w:r>
      <w:r w:rsidRPr="00E44031">
        <w:rPr>
          <w:rFonts w:ascii="Times New Roman" w:hAnsi="Times New Roman"/>
          <w:sz w:val="20"/>
          <w:szCs w:val="20"/>
        </w:rPr>
        <w:t>or traditional vegetables may become major sources of carotenoids in the Malaysian diet, but the extent of environmental and genetic influences on their carotenoid biosynthesis are poorly understood. Carotenoid biosynthesis are regulated by several factors and is susceptible to geometric isomerisation in the presence of oxygen, light and heat which causes colour loss and oxidation. The main problems associated with carotenoid accumulation arise from the inherent instability of pigments [18, 19]. In this study carotenoid biogenesis is investigated in selected ulam callus and shoots cultures as a potential model system for rapid initiation, extraction and analysis of carotenoids by providing stringent control of genetic,</w:t>
      </w:r>
      <w:r w:rsidRPr="00E44031">
        <w:rPr>
          <w:rFonts w:ascii="Times New Roman" w:hAnsi="Times New Roman"/>
          <w:sz w:val="23"/>
          <w:szCs w:val="23"/>
        </w:rPr>
        <w:t xml:space="preserve"> </w:t>
      </w:r>
      <w:r w:rsidRPr="00E44031">
        <w:rPr>
          <w:rFonts w:ascii="Times New Roman" w:hAnsi="Times New Roman"/>
          <w:sz w:val="20"/>
          <w:szCs w:val="20"/>
        </w:rPr>
        <w:t>developmental and environmental factors. The value of this experimental system for investigating variables controlling carotenoid accumulation is then tested by assessing the effects of environmental variables, such as drought stress, light intensity and hormone strength on carotenoid accumulation.</w:t>
      </w:r>
    </w:p>
    <w:p w:rsidR="00DF271A" w:rsidRDefault="00DF271A" w:rsidP="00DF271A">
      <w:pPr>
        <w:spacing w:after="0" w:line="240" w:lineRule="auto"/>
        <w:jc w:val="center"/>
        <w:rPr>
          <w:rFonts w:ascii="Times New Roman" w:hAnsi="Times New Roman"/>
          <w:noProof/>
          <w:sz w:val="20"/>
          <w:szCs w:val="20"/>
          <w:lang w:bidi="ar-SA"/>
        </w:rPr>
      </w:pPr>
    </w:p>
    <w:p w:rsidR="00DF271A" w:rsidRDefault="00DF271A" w:rsidP="00DF271A">
      <w:pPr>
        <w:spacing w:after="0" w:line="240" w:lineRule="auto"/>
        <w:jc w:val="center"/>
        <w:rPr>
          <w:rFonts w:ascii="Times New Roman" w:hAnsi="Times New Roman"/>
          <w:noProof/>
          <w:sz w:val="20"/>
          <w:szCs w:val="20"/>
          <w:lang w:bidi="ar-SA"/>
        </w:rPr>
      </w:pPr>
    </w:p>
    <w:p w:rsidR="00DF271A" w:rsidRPr="00F447A7" w:rsidRDefault="00DF271A" w:rsidP="00DF271A">
      <w:pPr>
        <w:spacing w:after="0" w:line="240" w:lineRule="auto"/>
        <w:jc w:val="center"/>
        <w:rPr>
          <w:rFonts w:ascii="Times New Roman" w:hAnsi="Times New Roman"/>
          <w:noProof/>
          <w:sz w:val="20"/>
          <w:szCs w:val="20"/>
          <w:lang w:bidi="ar-SA"/>
        </w:rPr>
      </w:pPr>
    </w:p>
    <w:p w:rsidR="00DF271A" w:rsidRPr="00F447A7" w:rsidRDefault="00DF271A" w:rsidP="00DF271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Materials and Methods</w:t>
      </w:r>
    </w:p>
    <w:p w:rsidR="00DF271A" w:rsidRPr="00E44031" w:rsidRDefault="00DF271A" w:rsidP="00DF271A">
      <w:pPr>
        <w:autoSpaceDE w:val="0"/>
        <w:autoSpaceDN w:val="0"/>
        <w:adjustRightInd w:val="0"/>
        <w:spacing w:after="0" w:line="240" w:lineRule="auto"/>
        <w:jc w:val="both"/>
        <w:rPr>
          <w:rFonts w:ascii="Times New Roman" w:hAnsi="Times New Roman"/>
          <w:b/>
          <w:bCs/>
          <w:sz w:val="20"/>
          <w:szCs w:val="20"/>
        </w:rPr>
      </w:pPr>
      <w:r w:rsidRPr="00E44031">
        <w:rPr>
          <w:rFonts w:ascii="Times New Roman" w:hAnsi="Times New Roman"/>
          <w:b/>
          <w:bCs/>
          <w:sz w:val="20"/>
          <w:szCs w:val="20"/>
        </w:rPr>
        <w:t xml:space="preserve">Sample preparation </w:t>
      </w:r>
    </w:p>
    <w:p w:rsidR="00DF271A" w:rsidRPr="00E44031" w:rsidRDefault="00DF271A" w:rsidP="00DF271A">
      <w:pPr>
        <w:autoSpaceDE w:val="0"/>
        <w:autoSpaceDN w:val="0"/>
        <w:adjustRightInd w:val="0"/>
        <w:spacing w:after="0" w:line="240" w:lineRule="auto"/>
        <w:jc w:val="both"/>
        <w:rPr>
          <w:rFonts w:ascii="Times New Roman" w:hAnsi="Times New Roman"/>
          <w:sz w:val="20"/>
          <w:szCs w:val="20"/>
        </w:rPr>
      </w:pPr>
      <w:r w:rsidRPr="00E44031">
        <w:rPr>
          <w:rFonts w:ascii="Times New Roman" w:hAnsi="Times New Roman"/>
          <w:sz w:val="20"/>
          <w:szCs w:val="20"/>
        </w:rPr>
        <w:t xml:space="preserve">Intact leaves and callus cultures of </w:t>
      </w:r>
      <w:r w:rsidRPr="00E44031">
        <w:rPr>
          <w:rFonts w:ascii="Times New Roman" w:hAnsi="Times New Roman"/>
          <w:i/>
          <w:iCs/>
          <w:sz w:val="20"/>
          <w:szCs w:val="20"/>
        </w:rPr>
        <w:t xml:space="preserve">Morinda citrifolia </w:t>
      </w:r>
      <w:r w:rsidRPr="00E44031">
        <w:rPr>
          <w:rFonts w:ascii="Times New Roman" w:hAnsi="Times New Roman"/>
          <w:sz w:val="20"/>
          <w:szCs w:val="20"/>
        </w:rPr>
        <w:t xml:space="preserve">(mengkudu), </w:t>
      </w:r>
      <w:r w:rsidRPr="00E44031">
        <w:rPr>
          <w:rFonts w:ascii="Times New Roman" w:hAnsi="Times New Roman"/>
          <w:i/>
          <w:iCs/>
          <w:sz w:val="20"/>
          <w:szCs w:val="20"/>
        </w:rPr>
        <w:t xml:space="preserve">Ocimum basilicum </w:t>
      </w:r>
      <w:r w:rsidRPr="00E44031">
        <w:rPr>
          <w:rFonts w:ascii="Times New Roman" w:hAnsi="Times New Roman"/>
          <w:sz w:val="20"/>
          <w:szCs w:val="20"/>
        </w:rPr>
        <w:t xml:space="preserve">(selasih) and </w:t>
      </w:r>
      <w:r w:rsidRPr="00E44031">
        <w:rPr>
          <w:rFonts w:ascii="Times New Roman" w:hAnsi="Times New Roman"/>
          <w:i/>
          <w:iCs/>
          <w:sz w:val="20"/>
          <w:szCs w:val="20"/>
        </w:rPr>
        <w:t xml:space="preserve">Ruta angustifolia </w:t>
      </w:r>
      <w:r w:rsidRPr="00E44031">
        <w:rPr>
          <w:rFonts w:ascii="Times New Roman" w:hAnsi="Times New Roman"/>
          <w:sz w:val="20"/>
          <w:szCs w:val="20"/>
        </w:rPr>
        <w:t xml:space="preserve">(garuda) were freeze-dried for 72 hours, ground into fine powder and kept at -20°C until further analysis. </w:t>
      </w:r>
    </w:p>
    <w:p w:rsidR="00DF271A" w:rsidRPr="00E44031" w:rsidRDefault="00DF271A" w:rsidP="00DF271A">
      <w:pPr>
        <w:spacing w:after="0" w:line="240" w:lineRule="auto"/>
        <w:contextualSpacing/>
        <w:jc w:val="both"/>
        <w:rPr>
          <w:rFonts w:ascii="Times New Roman" w:hAnsi="Times New Roman"/>
          <w:sz w:val="20"/>
          <w:szCs w:val="20"/>
        </w:rPr>
      </w:pPr>
    </w:p>
    <w:p w:rsidR="00DF271A" w:rsidRPr="00E44031" w:rsidRDefault="00DF271A" w:rsidP="00DF271A">
      <w:pPr>
        <w:autoSpaceDE w:val="0"/>
        <w:autoSpaceDN w:val="0"/>
        <w:adjustRightInd w:val="0"/>
        <w:spacing w:after="0" w:line="240" w:lineRule="auto"/>
        <w:contextualSpacing/>
        <w:jc w:val="both"/>
        <w:rPr>
          <w:rFonts w:ascii="Times New Roman" w:hAnsi="Times New Roman"/>
          <w:b/>
          <w:bCs/>
          <w:sz w:val="20"/>
          <w:szCs w:val="20"/>
        </w:rPr>
      </w:pPr>
      <w:r w:rsidRPr="00E44031">
        <w:rPr>
          <w:rFonts w:ascii="Times New Roman" w:hAnsi="Times New Roman"/>
          <w:b/>
          <w:bCs/>
          <w:sz w:val="20"/>
          <w:szCs w:val="20"/>
        </w:rPr>
        <w:t xml:space="preserve">Extraction of carotenoid and saponification </w:t>
      </w:r>
    </w:p>
    <w:p w:rsidR="00DF271A" w:rsidRPr="00E44031" w:rsidRDefault="00DF271A" w:rsidP="00DF271A">
      <w:pPr>
        <w:autoSpaceDE w:val="0"/>
        <w:autoSpaceDN w:val="0"/>
        <w:adjustRightInd w:val="0"/>
        <w:spacing w:after="0" w:line="240" w:lineRule="auto"/>
        <w:jc w:val="both"/>
        <w:rPr>
          <w:rFonts w:ascii="Times New Roman" w:hAnsi="Times New Roman"/>
          <w:sz w:val="20"/>
          <w:szCs w:val="20"/>
        </w:rPr>
      </w:pPr>
      <w:r w:rsidRPr="00E44031">
        <w:rPr>
          <w:rFonts w:ascii="Times New Roman" w:hAnsi="Times New Roman"/>
          <w:sz w:val="20"/>
          <w:szCs w:val="20"/>
        </w:rPr>
        <w:t xml:space="preserve">0.1 grams of all samples were rehydrated with adequate amount of distilled water and extracted, partitioned to hexane and dried under a gentle stream of nitrogen free oxygen gas as detailed in Fatimah et al. [20]. Each of the samples was prepared in triplicate. The dried samples were saponified with a mixture of acetonitrile and water (9:1) and methanolic potassium hydroxide solution (10% w/v) in accordance to procedures described by Othman [17]. The extracts were then re-suspended in ethyl acetate (HPLC grade) prior to subsequent HPLC analysis. </w:t>
      </w:r>
    </w:p>
    <w:p w:rsidR="00DF271A" w:rsidRPr="00E44031" w:rsidRDefault="00DF271A" w:rsidP="00DF271A">
      <w:pPr>
        <w:spacing w:after="0" w:line="240" w:lineRule="auto"/>
        <w:contextualSpacing/>
        <w:jc w:val="both"/>
        <w:rPr>
          <w:rFonts w:ascii="Times New Roman" w:hAnsi="Times New Roman"/>
          <w:sz w:val="20"/>
          <w:szCs w:val="20"/>
        </w:rPr>
      </w:pPr>
    </w:p>
    <w:p w:rsidR="00DF271A" w:rsidRPr="00E44031" w:rsidRDefault="00DF271A" w:rsidP="00DF271A">
      <w:pPr>
        <w:autoSpaceDE w:val="0"/>
        <w:autoSpaceDN w:val="0"/>
        <w:adjustRightInd w:val="0"/>
        <w:spacing w:after="0" w:line="240" w:lineRule="auto"/>
        <w:jc w:val="both"/>
        <w:rPr>
          <w:rFonts w:ascii="Times New Roman" w:hAnsi="Times New Roman"/>
          <w:b/>
          <w:bCs/>
          <w:sz w:val="20"/>
          <w:szCs w:val="20"/>
        </w:rPr>
      </w:pPr>
      <w:r w:rsidRPr="00E44031">
        <w:rPr>
          <w:rFonts w:ascii="Times New Roman" w:hAnsi="Times New Roman"/>
          <w:b/>
          <w:bCs/>
          <w:sz w:val="20"/>
          <w:szCs w:val="20"/>
        </w:rPr>
        <w:t xml:space="preserve">HPLC analysis </w:t>
      </w:r>
    </w:p>
    <w:p w:rsidR="00DF271A" w:rsidRPr="00E44031" w:rsidRDefault="00DF271A" w:rsidP="00DF271A">
      <w:pPr>
        <w:autoSpaceDE w:val="0"/>
        <w:autoSpaceDN w:val="0"/>
        <w:adjustRightInd w:val="0"/>
        <w:spacing w:after="0" w:line="240" w:lineRule="auto"/>
        <w:jc w:val="both"/>
        <w:rPr>
          <w:rFonts w:ascii="Times New Roman" w:hAnsi="Times New Roman"/>
          <w:sz w:val="20"/>
          <w:szCs w:val="20"/>
        </w:rPr>
      </w:pPr>
      <w:r w:rsidRPr="00E44031">
        <w:rPr>
          <w:rFonts w:ascii="Times New Roman" w:hAnsi="Times New Roman"/>
          <w:sz w:val="20"/>
          <w:szCs w:val="20"/>
        </w:rPr>
        <w:t>The HPLC analysis of saponified carotenoids was performed on an Agilent model 1200 series comprised of a quaternary pump with auto-sampler injector, micro-degassers, column compartmen</w:t>
      </w:r>
      <w:r w:rsidR="00136B42">
        <w:rPr>
          <w:rFonts w:ascii="Times New Roman" w:hAnsi="Times New Roman"/>
          <w:sz w:val="20"/>
          <w:szCs w:val="20"/>
        </w:rPr>
        <w:t>t equipped with thermostat and photo</w:t>
      </w:r>
      <w:r w:rsidRPr="00E44031">
        <w:rPr>
          <w:rFonts w:ascii="Times New Roman" w:hAnsi="Times New Roman"/>
          <w:sz w:val="20"/>
          <w:szCs w:val="20"/>
        </w:rPr>
        <w:t>d</w:t>
      </w:r>
      <w:r w:rsidR="00136B42">
        <w:rPr>
          <w:rFonts w:ascii="Times New Roman" w:hAnsi="Times New Roman"/>
          <w:sz w:val="20"/>
          <w:szCs w:val="20"/>
        </w:rPr>
        <w:t>iod</w:t>
      </w:r>
      <w:r w:rsidRPr="00E44031">
        <w:rPr>
          <w:rFonts w:ascii="Times New Roman" w:hAnsi="Times New Roman"/>
          <w:sz w:val="20"/>
          <w:szCs w:val="20"/>
        </w:rPr>
        <w:t>e array detector. The column used was a ZORBAX Eclipse XDB-C</w:t>
      </w:r>
      <w:r w:rsidRPr="00E44031">
        <w:rPr>
          <w:rFonts w:ascii="Times New Roman" w:hAnsi="Times New Roman"/>
          <w:sz w:val="20"/>
          <w:szCs w:val="20"/>
          <w:vertAlign w:val="subscript"/>
        </w:rPr>
        <w:t>18</w:t>
      </w:r>
      <w:r w:rsidRPr="00E44031">
        <w:rPr>
          <w:rFonts w:ascii="Times New Roman" w:hAnsi="Times New Roman"/>
          <w:sz w:val="20"/>
          <w:szCs w:val="20"/>
        </w:rPr>
        <w:t xml:space="preserve"> end capped 5 μm, 4.6x150 mm reverse phase column (Agilent Technologies, USA). The eluents used were (A) acetonitrile:water (9:1 v/v) and (B) ethyl acetate. The column separation was allowed via a series of gradient such as follows: 0-40% solvent B (0-20 min), 40-60% solvent B (20-25 min), 60-100% solvent B (25-25.1 min), 100% solvent B (25.1-35 min) and 100-0% solvent B (35-35.1 min) at a flow rate of 1.0 mL min</w:t>
      </w:r>
      <w:r w:rsidRPr="00E44031">
        <w:rPr>
          <w:rFonts w:ascii="Times New Roman" w:hAnsi="Times New Roman"/>
          <w:sz w:val="20"/>
          <w:szCs w:val="20"/>
          <w:vertAlign w:val="superscript"/>
        </w:rPr>
        <w:t>-1</w:t>
      </w:r>
      <w:r w:rsidRPr="00E44031">
        <w:rPr>
          <w:rFonts w:ascii="Times New Roman" w:hAnsi="Times New Roman"/>
          <w:sz w:val="20"/>
          <w:szCs w:val="20"/>
        </w:rPr>
        <w:t xml:space="preserve">. The temperature of the column was maintained at 20°C. The injection volume is 10 μL each. Detection of individual carotenoids was made at the wavelengths of maximum absorption of the carotenoids in the mobile phase: neoxanthin (438 nm), violaxanthin (441 nm), lutein (447 nm), zeaxanthin (452 nm), β-carotene (454 nm), β-cryptoxanthin (450 nm) and α-carotene (456 nm). Compounds were identified by co-chromatography with standards and by elucidation of their spectral characteristics using a photo-diode array detector. Detection for carotenoid peaks was in the range of 350 to 550 nm. Individual carotenoid concentrations were calculated by comparing their relative proportions, as reflected by integrated HPLC peak areas, to total carotenoid content determined by spectrophotometry. The total and individual carotenoid concentration would be expressed in terms of milligram per 1.0 g dry weight of freeze-dried matter (mg/g DW). </w:t>
      </w:r>
    </w:p>
    <w:p w:rsidR="00DF271A" w:rsidRPr="00E44031" w:rsidRDefault="00DF271A" w:rsidP="00DF271A">
      <w:pPr>
        <w:autoSpaceDE w:val="0"/>
        <w:autoSpaceDN w:val="0"/>
        <w:adjustRightInd w:val="0"/>
        <w:spacing w:after="0" w:line="240" w:lineRule="auto"/>
        <w:jc w:val="both"/>
        <w:rPr>
          <w:rFonts w:ascii="Times New Roman" w:hAnsi="Times New Roman"/>
          <w:sz w:val="20"/>
          <w:szCs w:val="20"/>
        </w:rPr>
      </w:pPr>
    </w:p>
    <w:p w:rsidR="00DF271A" w:rsidRPr="00E44031" w:rsidRDefault="00DF271A" w:rsidP="00DF271A">
      <w:pPr>
        <w:autoSpaceDE w:val="0"/>
        <w:autoSpaceDN w:val="0"/>
        <w:adjustRightInd w:val="0"/>
        <w:spacing w:after="0" w:line="240" w:lineRule="auto"/>
        <w:jc w:val="both"/>
        <w:rPr>
          <w:rFonts w:ascii="Times New Roman" w:hAnsi="Times New Roman"/>
          <w:b/>
          <w:bCs/>
          <w:sz w:val="20"/>
          <w:szCs w:val="20"/>
        </w:rPr>
      </w:pPr>
      <w:r w:rsidRPr="00E44031">
        <w:rPr>
          <w:rFonts w:ascii="Times New Roman" w:hAnsi="Times New Roman"/>
          <w:b/>
          <w:bCs/>
          <w:sz w:val="20"/>
          <w:szCs w:val="20"/>
        </w:rPr>
        <w:t xml:space="preserve">Tissue culture, callus and shoot initiation </w:t>
      </w:r>
    </w:p>
    <w:p w:rsidR="00DF271A" w:rsidRPr="00E44031" w:rsidRDefault="00DF271A" w:rsidP="00DF271A">
      <w:pPr>
        <w:spacing w:after="0" w:line="240" w:lineRule="auto"/>
        <w:contextualSpacing/>
        <w:jc w:val="both"/>
        <w:rPr>
          <w:rFonts w:ascii="Times New Roman" w:hAnsi="Times New Roman"/>
          <w:sz w:val="20"/>
          <w:szCs w:val="20"/>
        </w:rPr>
      </w:pPr>
      <w:r w:rsidRPr="00E44031">
        <w:rPr>
          <w:rFonts w:ascii="Times New Roman" w:hAnsi="Times New Roman"/>
          <w:sz w:val="20"/>
          <w:szCs w:val="20"/>
        </w:rPr>
        <w:t xml:space="preserve">Virus-free </w:t>
      </w:r>
      <w:r w:rsidRPr="00E44031">
        <w:rPr>
          <w:rFonts w:ascii="Times New Roman" w:hAnsi="Times New Roman"/>
          <w:i/>
          <w:iCs/>
          <w:sz w:val="20"/>
          <w:szCs w:val="20"/>
        </w:rPr>
        <w:t xml:space="preserve">in vitro </w:t>
      </w:r>
      <w:r w:rsidRPr="00E44031">
        <w:rPr>
          <w:rFonts w:ascii="Times New Roman" w:hAnsi="Times New Roman"/>
          <w:sz w:val="20"/>
          <w:szCs w:val="20"/>
        </w:rPr>
        <w:t xml:space="preserve">callus and shoots of </w:t>
      </w:r>
      <w:r w:rsidRPr="00E44031">
        <w:rPr>
          <w:rFonts w:ascii="Times New Roman" w:hAnsi="Times New Roman"/>
          <w:i/>
          <w:iCs/>
          <w:sz w:val="20"/>
          <w:szCs w:val="20"/>
        </w:rPr>
        <w:t xml:space="preserve">M. citrifolia, O. basilicum </w:t>
      </w:r>
      <w:r w:rsidRPr="00E44031">
        <w:rPr>
          <w:rFonts w:ascii="Times New Roman" w:hAnsi="Times New Roman"/>
          <w:sz w:val="20"/>
          <w:szCs w:val="20"/>
        </w:rPr>
        <w:t xml:space="preserve">and </w:t>
      </w:r>
      <w:r w:rsidRPr="00E44031">
        <w:rPr>
          <w:rFonts w:ascii="Times New Roman" w:hAnsi="Times New Roman"/>
          <w:i/>
          <w:iCs/>
          <w:sz w:val="20"/>
          <w:szCs w:val="20"/>
        </w:rPr>
        <w:t xml:space="preserve">R. angustifolia </w:t>
      </w:r>
      <w:r w:rsidRPr="00E44031">
        <w:rPr>
          <w:rFonts w:ascii="Times New Roman" w:hAnsi="Times New Roman"/>
          <w:sz w:val="20"/>
          <w:szCs w:val="20"/>
        </w:rPr>
        <w:t>were induced from leaf explants cultured on MS medium [21] supplemented with 1.0, 1.5 and 2.0 mg/l BAP and 1.0 mg/l 2,4-D of plant growth regulators (PGR) and incubated in a growth room at 24ºC day and night temperature, with a 16-h photoperiod at 80-85 μmol m</w:t>
      </w:r>
      <w:r w:rsidRPr="00E44031">
        <w:rPr>
          <w:rFonts w:ascii="Times New Roman" w:hAnsi="Times New Roman"/>
          <w:sz w:val="20"/>
          <w:szCs w:val="20"/>
          <w:vertAlign w:val="superscript"/>
        </w:rPr>
        <w:t>-2</w:t>
      </w:r>
      <w:r w:rsidRPr="00E44031">
        <w:rPr>
          <w:rFonts w:ascii="Times New Roman" w:hAnsi="Times New Roman"/>
          <w:sz w:val="20"/>
          <w:szCs w:val="20"/>
        </w:rPr>
        <w:t xml:space="preserve"> s</w:t>
      </w:r>
      <w:r w:rsidRPr="00E44031">
        <w:rPr>
          <w:rFonts w:ascii="Times New Roman" w:hAnsi="Times New Roman"/>
          <w:sz w:val="20"/>
          <w:szCs w:val="20"/>
          <w:vertAlign w:val="superscript"/>
        </w:rPr>
        <w:t>-1</w:t>
      </w:r>
      <w:r w:rsidRPr="00E44031">
        <w:rPr>
          <w:rFonts w:ascii="Times New Roman" w:hAnsi="Times New Roman"/>
          <w:sz w:val="20"/>
          <w:szCs w:val="20"/>
        </w:rPr>
        <w:t xml:space="preserve"> under cool white fluorescent light. Every 4 weeks the </w:t>
      </w:r>
      <w:r w:rsidRPr="00E44031">
        <w:rPr>
          <w:rFonts w:ascii="Times New Roman" w:hAnsi="Times New Roman"/>
          <w:i/>
          <w:iCs/>
          <w:sz w:val="20"/>
          <w:szCs w:val="20"/>
        </w:rPr>
        <w:t xml:space="preserve">in vitro </w:t>
      </w:r>
      <w:r w:rsidRPr="00E44031">
        <w:rPr>
          <w:rFonts w:ascii="Times New Roman" w:hAnsi="Times New Roman"/>
          <w:sz w:val="20"/>
          <w:szCs w:val="20"/>
        </w:rPr>
        <w:t xml:space="preserve">callus and shoots were subcultured on MS medium supplemented with 30g/L sucrose, 10 g/L agar and plant growth regulators. Media were adjusted to pH 5.7 and sterilized by autoclaving (15 min, 121ºC) and 50 ml aliquots poured into pre-sterilised 250 ml polycarbonate culture vessels (7 cm diameter x 8 cm high). </w:t>
      </w:r>
    </w:p>
    <w:p w:rsidR="00DF271A" w:rsidRPr="00E44031" w:rsidRDefault="00DF271A" w:rsidP="00DF271A">
      <w:pPr>
        <w:spacing w:after="0" w:line="240" w:lineRule="auto"/>
        <w:contextualSpacing/>
        <w:jc w:val="both"/>
        <w:rPr>
          <w:rFonts w:ascii="Times New Roman" w:hAnsi="Times New Roman"/>
          <w:sz w:val="20"/>
          <w:szCs w:val="20"/>
        </w:rPr>
      </w:pPr>
    </w:p>
    <w:p w:rsidR="00DF271A" w:rsidRPr="00E44031" w:rsidRDefault="00DF271A" w:rsidP="00DF271A">
      <w:pPr>
        <w:autoSpaceDE w:val="0"/>
        <w:autoSpaceDN w:val="0"/>
        <w:adjustRightInd w:val="0"/>
        <w:spacing w:after="0" w:line="240" w:lineRule="auto"/>
        <w:jc w:val="both"/>
        <w:rPr>
          <w:rFonts w:ascii="Times New Roman" w:hAnsi="Times New Roman"/>
          <w:b/>
          <w:bCs/>
          <w:sz w:val="20"/>
          <w:szCs w:val="20"/>
        </w:rPr>
      </w:pPr>
      <w:r w:rsidRPr="00E44031">
        <w:rPr>
          <w:rFonts w:ascii="Times New Roman" w:hAnsi="Times New Roman"/>
          <w:b/>
          <w:bCs/>
          <w:sz w:val="20"/>
          <w:szCs w:val="20"/>
        </w:rPr>
        <w:t xml:space="preserve">Effect of environmental factors on carotenoid biosynthesis </w:t>
      </w:r>
    </w:p>
    <w:p w:rsidR="00DF271A" w:rsidRPr="00E44031" w:rsidRDefault="00DF271A" w:rsidP="00DF271A">
      <w:pPr>
        <w:autoSpaceDE w:val="0"/>
        <w:autoSpaceDN w:val="0"/>
        <w:adjustRightInd w:val="0"/>
        <w:spacing w:after="0" w:line="240" w:lineRule="auto"/>
        <w:jc w:val="both"/>
        <w:rPr>
          <w:rFonts w:ascii="Times New Roman" w:hAnsi="Times New Roman"/>
          <w:sz w:val="20"/>
          <w:szCs w:val="20"/>
        </w:rPr>
      </w:pPr>
      <w:r w:rsidRPr="00E44031">
        <w:rPr>
          <w:rFonts w:ascii="Times New Roman" w:hAnsi="Times New Roman"/>
          <w:sz w:val="20"/>
          <w:szCs w:val="20"/>
        </w:rPr>
        <w:t xml:space="preserve">In three independent experiments the influence of light, water-stress and PGRs availability on carotenoid biosynthesis were tested in </w:t>
      </w:r>
      <w:r w:rsidRPr="00E44031">
        <w:rPr>
          <w:rFonts w:ascii="Times New Roman" w:hAnsi="Times New Roman"/>
          <w:i/>
          <w:iCs/>
          <w:sz w:val="20"/>
          <w:szCs w:val="20"/>
        </w:rPr>
        <w:t xml:space="preserve">Morinda citrifolia, Ocimum basilicum </w:t>
      </w:r>
      <w:r w:rsidRPr="00E44031">
        <w:rPr>
          <w:rFonts w:ascii="Times New Roman" w:hAnsi="Times New Roman"/>
          <w:sz w:val="20"/>
          <w:szCs w:val="20"/>
        </w:rPr>
        <w:t xml:space="preserve">and </w:t>
      </w:r>
      <w:r w:rsidRPr="00E44031">
        <w:rPr>
          <w:rFonts w:ascii="Times New Roman" w:hAnsi="Times New Roman"/>
          <w:i/>
          <w:iCs/>
          <w:sz w:val="20"/>
          <w:szCs w:val="20"/>
        </w:rPr>
        <w:t>Ruta angustifolia</w:t>
      </w:r>
      <w:r w:rsidRPr="00E44031">
        <w:rPr>
          <w:rFonts w:ascii="Times New Roman" w:hAnsi="Times New Roman"/>
          <w:sz w:val="20"/>
          <w:szCs w:val="20"/>
        </w:rPr>
        <w:t xml:space="preserve">. Callus harvested after 4 weeks from two culture vessels were pooled for each of three replicates established under the following conditions: </w:t>
      </w:r>
    </w:p>
    <w:p w:rsidR="00DF271A" w:rsidRPr="00E44031" w:rsidRDefault="00DF271A" w:rsidP="00DF271A">
      <w:pPr>
        <w:autoSpaceDE w:val="0"/>
        <w:autoSpaceDN w:val="0"/>
        <w:adjustRightInd w:val="0"/>
        <w:spacing w:after="0" w:line="240" w:lineRule="auto"/>
        <w:jc w:val="both"/>
        <w:rPr>
          <w:rFonts w:ascii="Times New Roman" w:hAnsi="Times New Roman"/>
          <w:sz w:val="20"/>
          <w:szCs w:val="20"/>
        </w:rPr>
      </w:pPr>
    </w:p>
    <w:p w:rsidR="00DF271A" w:rsidRPr="00E44031" w:rsidRDefault="00DF271A" w:rsidP="00DF271A">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E44031">
        <w:rPr>
          <w:rFonts w:ascii="Times New Roman" w:hAnsi="Times New Roman"/>
          <w:sz w:val="20"/>
          <w:szCs w:val="20"/>
        </w:rPr>
        <w:t>Light incubation under cool-white, fluorescent lamps (80-85 μmol m</w:t>
      </w:r>
      <w:r w:rsidRPr="00E44031">
        <w:rPr>
          <w:rFonts w:ascii="Times New Roman" w:hAnsi="Times New Roman"/>
          <w:sz w:val="20"/>
          <w:szCs w:val="20"/>
          <w:vertAlign w:val="superscript"/>
        </w:rPr>
        <w:t>-2</w:t>
      </w:r>
      <w:r w:rsidRPr="00E44031">
        <w:rPr>
          <w:rFonts w:ascii="Times New Roman" w:hAnsi="Times New Roman"/>
          <w:sz w:val="20"/>
          <w:szCs w:val="20"/>
        </w:rPr>
        <w:t xml:space="preserve"> s</w:t>
      </w:r>
      <w:r w:rsidRPr="00E44031">
        <w:rPr>
          <w:rFonts w:ascii="Times New Roman" w:hAnsi="Times New Roman"/>
          <w:sz w:val="20"/>
          <w:szCs w:val="20"/>
          <w:vertAlign w:val="superscript"/>
        </w:rPr>
        <w:t>-1</w:t>
      </w:r>
      <w:r w:rsidRPr="00E44031">
        <w:rPr>
          <w:rFonts w:ascii="Times New Roman" w:hAnsi="Times New Roman"/>
          <w:sz w:val="20"/>
          <w:szCs w:val="20"/>
        </w:rPr>
        <w:t xml:space="preserve">; 16 h photoperiod) </w:t>
      </w:r>
    </w:p>
    <w:p w:rsidR="00DF271A" w:rsidRDefault="00DF271A" w:rsidP="00DF271A">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E44031">
        <w:rPr>
          <w:rFonts w:ascii="Times New Roman" w:hAnsi="Times New Roman"/>
          <w:sz w:val="20"/>
          <w:szCs w:val="20"/>
        </w:rPr>
        <w:t>Light incubation under cool-white, fluorescent lamps (80-85 μmol m</w:t>
      </w:r>
      <w:r w:rsidRPr="00E44031">
        <w:rPr>
          <w:rFonts w:ascii="Times New Roman" w:hAnsi="Times New Roman"/>
          <w:sz w:val="20"/>
          <w:szCs w:val="20"/>
          <w:vertAlign w:val="superscript"/>
        </w:rPr>
        <w:t>-2</w:t>
      </w:r>
      <w:r w:rsidRPr="00E44031">
        <w:rPr>
          <w:rFonts w:ascii="Times New Roman" w:hAnsi="Times New Roman"/>
          <w:sz w:val="20"/>
          <w:szCs w:val="20"/>
        </w:rPr>
        <w:t xml:space="preserve"> s</w:t>
      </w:r>
      <w:r w:rsidRPr="00E44031">
        <w:rPr>
          <w:rFonts w:ascii="Times New Roman" w:hAnsi="Times New Roman"/>
          <w:sz w:val="20"/>
          <w:szCs w:val="20"/>
          <w:vertAlign w:val="superscript"/>
        </w:rPr>
        <w:t>-1</w:t>
      </w:r>
      <w:r w:rsidRPr="00E44031">
        <w:rPr>
          <w:rFonts w:ascii="Times New Roman" w:hAnsi="Times New Roman"/>
          <w:sz w:val="20"/>
          <w:szCs w:val="20"/>
        </w:rPr>
        <w:t xml:space="preserve">; 16 h photoperiod) with and without 50mg and 100 mg methyl salicylate acid to impose water-stress. </w:t>
      </w:r>
    </w:p>
    <w:p w:rsidR="00DF271A" w:rsidRPr="00E44031" w:rsidRDefault="00DF271A" w:rsidP="00DF271A">
      <w:pPr>
        <w:pStyle w:val="ListParagraph"/>
        <w:numPr>
          <w:ilvl w:val="0"/>
          <w:numId w:val="2"/>
        </w:numPr>
        <w:autoSpaceDE w:val="0"/>
        <w:autoSpaceDN w:val="0"/>
        <w:adjustRightInd w:val="0"/>
        <w:spacing w:after="0" w:line="240" w:lineRule="auto"/>
        <w:ind w:left="360"/>
        <w:jc w:val="both"/>
        <w:rPr>
          <w:rFonts w:ascii="Times New Roman" w:hAnsi="Times New Roman"/>
          <w:sz w:val="20"/>
          <w:szCs w:val="20"/>
        </w:rPr>
      </w:pPr>
      <w:r w:rsidRPr="00E44031">
        <w:rPr>
          <w:rFonts w:ascii="Times New Roman" w:hAnsi="Times New Roman"/>
          <w:sz w:val="20"/>
          <w:szCs w:val="20"/>
        </w:rPr>
        <w:t>Light incubation under cool-white, fluorescent lamps (80-85 μmol m</w:t>
      </w:r>
      <w:r w:rsidRPr="00E44031">
        <w:rPr>
          <w:rFonts w:ascii="Times New Roman" w:hAnsi="Times New Roman"/>
          <w:sz w:val="20"/>
          <w:szCs w:val="20"/>
          <w:vertAlign w:val="superscript"/>
        </w:rPr>
        <w:t>-2</w:t>
      </w:r>
      <w:r w:rsidRPr="00E44031">
        <w:rPr>
          <w:rFonts w:ascii="Times New Roman" w:hAnsi="Times New Roman"/>
          <w:sz w:val="20"/>
          <w:szCs w:val="20"/>
        </w:rPr>
        <w:t xml:space="preserve"> s</w:t>
      </w:r>
      <w:r w:rsidRPr="00E44031">
        <w:rPr>
          <w:rFonts w:ascii="Times New Roman" w:hAnsi="Times New Roman"/>
          <w:sz w:val="20"/>
          <w:szCs w:val="20"/>
          <w:vertAlign w:val="superscript"/>
        </w:rPr>
        <w:t>-1</w:t>
      </w:r>
      <w:r w:rsidRPr="00E44031">
        <w:rPr>
          <w:rFonts w:ascii="Times New Roman" w:hAnsi="Times New Roman"/>
          <w:sz w:val="20"/>
          <w:szCs w:val="20"/>
        </w:rPr>
        <w:t>; 16 h photoperiod) at three concentrations of PGR strength (1.0, 1.5 and 2.0).</w:t>
      </w:r>
    </w:p>
    <w:p w:rsidR="00DF271A" w:rsidRPr="00E44031" w:rsidRDefault="00DF271A" w:rsidP="00DF271A">
      <w:pPr>
        <w:spacing w:after="0" w:line="240" w:lineRule="auto"/>
        <w:jc w:val="center"/>
        <w:rPr>
          <w:rFonts w:ascii="Times New Roman" w:hAnsi="Times New Roman"/>
          <w:noProof/>
          <w:sz w:val="20"/>
          <w:szCs w:val="20"/>
          <w:lang w:bidi="ar-SA"/>
        </w:rPr>
      </w:pPr>
    </w:p>
    <w:p w:rsidR="00DF271A" w:rsidRPr="00F447A7" w:rsidRDefault="00DF271A" w:rsidP="00DF271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DF271A" w:rsidRPr="00E44031" w:rsidRDefault="00DF271A" w:rsidP="00DF271A">
      <w:pPr>
        <w:spacing w:after="0" w:line="240" w:lineRule="auto"/>
        <w:jc w:val="both"/>
        <w:rPr>
          <w:rFonts w:ascii="Times New Roman" w:hAnsi="Times New Roman"/>
          <w:sz w:val="20"/>
          <w:szCs w:val="20"/>
        </w:rPr>
      </w:pPr>
      <w:r w:rsidRPr="00E44031">
        <w:rPr>
          <w:rFonts w:ascii="Times New Roman" w:hAnsi="Times New Roman"/>
          <w:sz w:val="20"/>
          <w:szCs w:val="20"/>
        </w:rPr>
        <w:t xml:space="preserve">In this study, three plant species were selected for evaluation of carotenoid biosynthesis in their respective </w:t>
      </w:r>
      <w:r w:rsidRPr="00E44031">
        <w:rPr>
          <w:rFonts w:ascii="Times New Roman" w:hAnsi="Times New Roman"/>
          <w:i/>
          <w:iCs/>
          <w:sz w:val="20"/>
          <w:szCs w:val="20"/>
        </w:rPr>
        <w:t>in vitro</w:t>
      </w:r>
      <w:r w:rsidRPr="00E44031">
        <w:rPr>
          <w:rFonts w:ascii="Times New Roman" w:hAnsi="Times New Roman"/>
          <w:sz w:val="20"/>
          <w:szCs w:val="20"/>
        </w:rPr>
        <w:t xml:space="preserve"> cultures; </w:t>
      </w:r>
      <w:r w:rsidRPr="00E44031">
        <w:rPr>
          <w:rFonts w:ascii="Times New Roman" w:hAnsi="Times New Roman"/>
          <w:i/>
          <w:iCs/>
          <w:sz w:val="20"/>
          <w:szCs w:val="20"/>
        </w:rPr>
        <w:t>M. citrifolia</w:t>
      </w:r>
      <w:r w:rsidRPr="00E44031">
        <w:rPr>
          <w:rFonts w:ascii="Times New Roman" w:hAnsi="Times New Roman"/>
          <w:sz w:val="20"/>
          <w:szCs w:val="20"/>
        </w:rPr>
        <w:t xml:space="preserve"> (mengkudu), </w:t>
      </w:r>
      <w:r w:rsidRPr="00E44031">
        <w:rPr>
          <w:rFonts w:ascii="Times New Roman" w:hAnsi="Times New Roman"/>
          <w:i/>
          <w:iCs/>
          <w:sz w:val="20"/>
          <w:szCs w:val="20"/>
        </w:rPr>
        <w:t>R. angustifolia</w:t>
      </w:r>
      <w:r w:rsidRPr="00E44031">
        <w:rPr>
          <w:rFonts w:ascii="Times New Roman" w:hAnsi="Times New Roman"/>
          <w:sz w:val="20"/>
          <w:szCs w:val="20"/>
        </w:rPr>
        <w:t xml:space="preserve"> (garuda) and </w:t>
      </w:r>
      <w:r w:rsidRPr="00E44031">
        <w:rPr>
          <w:rFonts w:ascii="Times New Roman" w:hAnsi="Times New Roman"/>
          <w:i/>
          <w:iCs/>
          <w:sz w:val="20"/>
          <w:szCs w:val="20"/>
        </w:rPr>
        <w:t>O. basilicum</w:t>
      </w:r>
      <w:r w:rsidRPr="00E44031">
        <w:rPr>
          <w:rFonts w:ascii="Times New Roman" w:hAnsi="Times New Roman"/>
          <w:sz w:val="20"/>
          <w:szCs w:val="20"/>
        </w:rPr>
        <w:t xml:space="preserve"> (selasih). These three species were </w:t>
      </w:r>
      <w:r w:rsidRPr="00E44031">
        <w:rPr>
          <w:rFonts w:ascii="Times New Roman" w:hAnsi="Times New Roman"/>
          <w:sz w:val="20"/>
          <w:szCs w:val="20"/>
        </w:rPr>
        <w:lastRenderedPageBreak/>
        <w:t xml:space="preserve">selected because of the following reasons: a) they are classified under three different families, namely Rutaceae, Rubiaceae and Lamiaceae, respectively; b) a preliminary study on </w:t>
      </w:r>
      <w:r w:rsidRPr="00E44031">
        <w:rPr>
          <w:rFonts w:ascii="Times New Roman" w:hAnsi="Times New Roman"/>
          <w:i/>
          <w:iCs/>
          <w:sz w:val="20"/>
          <w:szCs w:val="20"/>
        </w:rPr>
        <w:t>in vitro</w:t>
      </w:r>
      <w:r w:rsidRPr="00E44031">
        <w:rPr>
          <w:rFonts w:ascii="Times New Roman" w:hAnsi="Times New Roman"/>
          <w:sz w:val="20"/>
          <w:szCs w:val="20"/>
        </w:rPr>
        <w:t xml:space="preserve"> cultures of </w:t>
      </w:r>
      <w:r w:rsidRPr="00E44031">
        <w:rPr>
          <w:rFonts w:ascii="Times New Roman" w:hAnsi="Times New Roman"/>
          <w:i/>
          <w:iCs/>
          <w:sz w:val="20"/>
          <w:szCs w:val="20"/>
        </w:rPr>
        <w:t>R. angustifolia</w:t>
      </w:r>
      <w:r w:rsidRPr="00E44031">
        <w:rPr>
          <w:rFonts w:ascii="Times New Roman" w:hAnsi="Times New Roman"/>
          <w:sz w:val="20"/>
          <w:szCs w:val="20"/>
        </w:rPr>
        <w:t xml:space="preserve"> contained high amount of lutein, callus cultures of </w:t>
      </w:r>
      <w:r w:rsidRPr="00E44031">
        <w:rPr>
          <w:rFonts w:ascii="Times New Roman" w:hAnsi="Times New Roman"/>
          <w:i/>
          <w:iCs/>
          <w:sz w:val="20"/>
          <w:szCs w:val="20"/>
        </w:rPr>
        <w:t>M. citrifolia</w:t>
      </w:r>
      <w:r w:rsidRPr="00E44031">
        <w:rPr>
          <w:rFonts w:ascii="Times New Roman" w:hAnsi="Times New Roman"/>
          <w:sz w:val="20"/>
          <w:szCs w:val="20"/>
        </w:rPr>
        <w:t xml:space="preserve"> had high levels of zeaxanthin whereas callus cultures of </w:t>
      </w:r>
      <w:r w:rsidRPr="00E44031">
        <w:rPr>
          <w:rFonts w:ascii="Times New Roman" w:hAnsi="Times New Roman"/>
          <w:i/>
          <w:iCs/>
          <w:sz w:val="20"/>
          <w:szCs w:val="20"/>
        </w:rPr>
        <w:t>O. basilicum</w:t>
      </w:r>
      <w:r w:rsidRPr="00E44031">
        <w:rPr>
          <w:rFonts w:ascii="Times New Roman" w:hAnsi="Times New Roman"/>
          <w:sz w:val="20"/>
          <w:szCs w:val="20"/>
        </w:rPr>
        <w:t xml:space="preserve"> acummulated considerably high content of neoxanthin [Fatimah, unpublished data]. The preliminary studies have shown that different species accumulated different types of individual carotenoids, which was significantly affected by the enzymatic branching of lycopene in the biosynthetic pathway in combination with types of stress experienced by the plants [22].</w:t>
      </w:r>
    </w:p>
    <w:p w:rsidR="00DF271A" w:rsidRPr="00E44031" w:rsidRDefault="00DF271A" w:rsidP="00DF271A">
      <w:pPr>
        <w:spacing w:after="0" w:line="240" w:lineRule="auto"/>
        <w:jc w:val="both"/>
        <w:rPr>
          <w:rFonts w:ascii="Times New Roman" w:hAnsi="Times New Roman"/>
          <w:sz w:val="20"/>
          <w:szCs w:val="20"/>
        </w:rPr>
      </w:pPr>
    </w:p>
    <w:p w:rsidR="00DF271A" w:rsidRPr="00E44031" w:rsidRDefault="00DF271A" w:rsidP="00DF271A">
      <w:pPr>
        <w:pStyle w:val="ListParagraph"/>
        <w:tabs>
          <w:tab w:val="left" w:pos="440"/>
        </w:tabs>
        <w:autoSpaceDE w:val="0"/>
        <w:autoSpaceDN w:val="0"/>
        <w:adjustRightInd w:val="0"/>
        <w:spacing w:after="0" w:line="240" w:lineRule="auto"/>
        <w:ind w:left="0"/>
        <w:jc w:val="both"/>
        <w:rPr>
          <w:rFonts w:ascii="Times New Roman" w:hAnsi="Times New Roman"/>
          <w:b/>
          <w:bCs/>
          <w:sz w:val="20"/>
          <w:szCs w:val="20"/>
        </w:rPr>
      </w:pPr>
      <w:r w:rsidRPr="00E44031">
        <w:rPr>
          <w:rFonts w:ascii="Times New Roman" w:hAnsi="Times New Roman"/>
          <w:b/>
          <w:bCs/>
          <w:sz w:val="20"/>
          <w:szCs w:val="20"/>
        </w:rPr>
        <w:t xml:space="preserve">Carotenoid accumulation in intact leaves and callus cultures of different colour strains of </w:t>
      </w:r>
      <w:r w:rsidRPr="00E44031">
        <w:rPr>
          <w:rFonts w:ascii="Times New Roman" w:hAnsi="Times New Roman"/>
          <w:b/>
          <w:bCs/>
          <w:i/>
          <w:sz w:val="20"/>
          <w:szCs w:val="20"/>
        </w:rPr>
        <w:t>M. citrifolia</w:t>
      </w:r>
      <w:r w:rsidRPr="00E44031">
        <w:rPr>
          <w:rFonts w:ascii="Times New Roman" w:hAnsi="Times New Roman"/>
          <w:b/>
          <w:bCs/>
          <w:sz w:val="20"/>
          <w:szCs w:val="20"/>
        </w:rPr>
        <w:t xml:space="preserve"> in response to light.</w:t>
      </w:r>
    </w:p>
    <w:p w:rsidR="00DF271A" w:rsidRPr="00E44031" w:rsidRDefault="00DF271A" w:rsidP="00DF271A">
      <w:pPr>
        <w:autoSpaceDE w:val="0"/>
        <w:autoSpaceDN w:val="0"/>
        <w:adjustRightInd w:val="0"/>
        <w:spacing w:after="0" w:line="240" w:lineRule="auto"/>
        <w:jc w:val="both"/>
        <w:rPr>
          <w:rFonts w:ascii="Times New Roman" w:hAnsi="Times New Roman"/>
          <w:sz w:val="20"/>
          <w:szCs w:val="20"/>
          <w:lang w:val="pt-BR"/>
        </w:rPr>
      </w:pPr>
      <w:r w:rsidRPr="00E44031">
        <w:rPr>
          <w:rFonts w:ascii="Times New Roman" w:hAnsi="Times New Roman"/>
          <w:sz w:val="20"/>
          <w:szCs w:val="20"/>
        </w:rPr>
        <w:t xml:space="preserve">When developing in the natural environment, the intact leaves of </w:t>
      </w:r>
      <w:r w:rsidRPr="00E44031">
        <w:rPr>
          <w:rFonts w:ascii="Times New Roman" w:hAnsi="Times New Roman"/>
          <w:i/>
          <w:iCs/>
          <w:sz w:val="20"/>
          <w:szCs w:val="20"/>
        </w:rPr>
        <w:t xml:space="preserve">M. citrifolia </w:t>
      </w:r>
      <w:r w:rsidRPr="00E44031">
        <w:rPr>
          <w:rFonts w:ascii="Times New Roman" w:hAnsi="Times New Roman"/>
          <w:sz w:val="20"/>
          <w:szCs w:val="20"/>
        </w:rPr>
        <w:t xml:space="preserve">accumulated predominantly zeaxanthin followed by lutein and β-carotene. The callus cultures of </w:t>
      </w:r>
      <w:r w:rsidRPr="00E44031">
        <w:rPr>
          <w:rFonts w:ascii="Times New Roman" w:hAnsi="Times New Roman"/>
          <w:i/>
          <w:iCs/>
          <w:sz w:val="20"/>
          <w:szCs w:val="20"/>
        </w:rPr>
        <w:t>M. citrifolia</w:t>
      </w:r>
      <w:r w:rsidRPr="00E44031">
        <w:rPr>
          <w:rFonts w:ascii="Times New Roman" w:hAnsi="Times New Roman"/>
          <w:sz w:val="20"/>
          <w:szCs w:val="20"/>
        </w:rPr>
        <w:t xml:space="preserve"> possessed lesser carotenoids as compared to the leaves as shown in Table 1. The intact leaves were found to accumulate highest amount of total carotenoid content of about 58.59 ± 0.26 mg/g DW, followed by yellow callus (13.00 ± 0.08 mg/g DW) and green callus (2.17 ± 0.01 mg/g DW). This might be due to larger carotenoid biosynthetic capacity of the leaves in response to various external and internal stimuli in the natural environment. Referring to Table 1, highest accumulation of three individual carotenoids; lutein, zeaxanthin and β-carotene was observed in the intact leaves and the yellow calli seem to carry the characteristic of the intact leaves with additional accumulation of β-cryptoxanthin albeit in quite low concentration. Carotenoid accumulation in green calli was found to differ from the yellow ones. From the results, high level of zeaxanthin in the leaves might indicate that they have been exposed to strong light intensity because zeaxanthin is one component of the reversible reaction in the xanthophyll cycle where the synthesis of violaxanthin and zeaxanthin were made alternately in accordance to light conditions [23]. </w:t>
      </w:r>
    </w:p>
    <w:p w:rsidR="00DF271A" w:rsidRDefault="00DF271A" w:rsidP="00DF271A">
      <w:pPr>
        <w:pStyle w:val="ListParagraph"/>
        <w:tabs>
          <w:tab w:val="left" w:pos="440"/>
        </w:tabs>
        <w:autoSpaceDE w:val="0"/>
        <w:autoSpaceDN w:val="0"/>
        <w:adjustRightInd w:val="0"/>
        <w:spacing w:after="0" w:line="240" w:lineRule="auto"/>
        <w:ind w:left="0"/>
        <w:jc w:val="both"/>
        <w:rPr>
          <w:rFonts w:ascii="Times New Roman" w:hAnsi="Times New Roman"/>
          <w:sz w:val="20"/>
          <w:szCs w:val="20"/>
        </w:rPr>
      </w:pPr>
    </w:p>
    <w:p w:rsidR="00DF271A" w:rsidRPr="00E44031" w:rsidRDefault="00DF271A" w:rsidP="00DF271A">
      <w:pPr>
        <w:pStyle w:val="ListParagraph"/>
        <w:tabs>
          <w:tab w:val="left" w:pos="440"/>
        </w:tabs>
        <w:autoSpaceDE w:val="0"/>
        <w:autoSpaceDN w:val="0"/>
        <w:adjustRightInd w:val="0"/>
        <w:spacing w:after="0" w:line="240" w:lineRule="auto"/>
        <w:ind w:left="0"/>
        <w:jc w:val="both"/>
        <w:rPr>
          <w:rFonts w:ascii="Times New Roman" w:hAnsi="Times New Roman"/>
          <w:sz w:val="20"/>
          <w:szCs w:val="20"/>
        </w:rPr>
      </w:pPr>
    </w:p>
    <w:p w:rsidR="00DF271A" w:rsidRPr="00E44031" w:rsidRDefault="00DF271A" w:rsidP="00DF271A">
      <w:pPr>
        <w:pStyle w:val="ListParagraph"/>
        <w:tabs>
          <w:tab w:val="left" w:pos="440"/>
        </w:tabs>
        <w:autoSpaceDE w:val="0"/>
        <w:autoSpaceDN w:val="0"/>
        <w:adjustRightInd w:val="0"/>
        <w:spacing w:after="120" w:line="240" w:lineRule="auto"/>
        <w:ind w:left="0"/>
        <w:jc w:val="center"/>
        <w:rPr>
          <w:rFonts w:ascii="Times New Roman" w:hAnsi="Times New Roman"/>
          <w:sz w:val="20"/>
          <w:szCs w:val="20"/>
        </w:rPr>
      </w:pPr>
      <w:r w:rsidRPr="00E44031">
        <w:rPr>
          <w:rFonts w:ascii="Times New Roman" w:hAnsi="Times New Roman"/>
          <w:sz w:val="20"/>
          <w:szCs w:val="20"/>
        </w:rPr>
        <w:t xml:space="preserve">Table 1. </w:t>
      </w:r>
      <w:r>
        <w:rPr>
          <w:rFonts w:ascii="Times New Roman" w:hAnsi="Times New Roman"/>
          <w:sz w:val="20"/>
          <w:szCs w:val="20"/>
        </w:rPr>
        <w:t xml:space="preserve"> </w:t>
      </w:r>
      <w:r w:rsidRPr="00E44031">
        <w:rPr>
          <w:rFonts w:ascii="Times New Roman" w:hAnsi="Times New Roman"/>
          <w:sz w:val="20"/>
          <w:szCs w:val="20"/>
        </w:rPr>
        <w:t xml:space="preserve">Carotenoid accumulation in intact leaves and callus cultures of </w:t>
      </w:r>
      <w:r w:rsidRPr="00E44031">
        <w:rPr>
          <w:rFonts w:ascii="Times New Roman" w:hAnsi="Times New Roman"/>
          <w:i/>
          <w:sz w:val="20"/>
          <w:szCs w:val="20"/>
        </w:rPr>
        <w:t>M. citrifolia</w:t>
      </w:r>
    </w:p>
    <w:tbl>
      <w:tblPr>
        <w:tblW w:w="0" w:type="auto"/>
        <w:jc w:val="center"/>
        <w:tblLook w:val="04A0" w:firstRow="1" w:lastRow="0" w:firstColumn="1" w:lastColumn="0" w:noHBand="0" w:noVBand="1"/>
      </w:tblPr>
      <w:tblGrid>
        <w:gridCol w:w="1322"/>
        <w:gridCol w:w="1633"/>
        <w:gridCol w:w="1126"/>
        <w:gridCol w:w="1226"/>
        <w:gridCol w:w="1600"/>
        <w:gridCol w:w="1126"/>
      </w:tblGrid>
      <w:tr w:rsidR="00DF271A" w:rsidRPr="00E44031" w:rsidTr="00A30457">
        <w:trPr>
          <w:trHeight w:val="20"/>
          <w:jc w:val="center"/>
        </w:trPr>
        <w:tc>
          <w:tcPr>
            <w:tcW w:w="0" w:type="auto"/>
            <w:vMerge w:val="restart"/>
            <w:tcBorders>
              <w:top w:val="single" w:sz="4" w:space="0" w:color="3C3C3C"/>
              <w:left w:val="nil"/>
              <w:bottom w:val="single" w:sz="12" w:space="0" w:color="1F497D"/>
              <w:right w:val="nil"/>
            </w:tcBorders>
            <w:vAlign w:val="center"/>
          </w:tcPr>
          <w:p w:rsidR="00DF271A" w:rsidRPr="00E44031" w:rsidRDefault="00DF271A" w:rsidP="00A30457">
            <w:pPr>
              <w:spacing w:after="0" w:line="240" w:lineRule="auto"/>
              <w:jc w:val="both"/>
              <w:rPr>
                <w:rFonts w:ascii="Times New Roman" w:hAnsi="Times New Roman"/>
                <w:sz w:val="20"/>
                <w:szCs w:val="20"/>
                <w:lang w:bidi="th-TH"/>
              </w:rPr>
            </w:pPr>
          </w:p>
        </w:tc>
        <w:tc>
          <w:tcPr>
            <w:tcW w:w="0" w:type="auto"/>
            <w:gridSpan w:val="5"/>
            <w:tcBorders>
              <w:top w:val="single" w:sz="4" w:space="0" w:color="3C3C3C"/>
              <w:left w:val="nil"/>
              <w:bottom w:val="nil"/>
            </w:tcBorders>
            <w:vAlign w:val="center"/>
            <w:hideMark/>
          </w:tcPr>
          <w:p w:rsidR="00DF271A" w:rsidRPr="00E44031" w:rsidRDefault="00DF271A" w:rsidP="00A30457">
            <w:pPr>
              <w:spacing w:before="120" w:after="0" w:line="240" w:lineRule="auto"/>
              <w:jc w:val="center"/>
              <w:rPr>
                <w:rFonts w:ascii="Times New Roman" w:hAnsi="Times New Roman"/>
                <w:b/>
                <w:sz w:val="20"/>
                <w:szCs w:val="20"/>
                <w:lang w:bidi="th-TH"/>
              </w:rPr>
            </w:pPr>
            <w:r w:rsidRPr="00E44031">
              <w:rPr>
                <w:rFonts w:ascii="Times New Roman" w:hAnsi="Times New Roman"/>
                <w:b/>
                <w:sz w:val="20"/>
                <w:szCs w:val="20"/>
              </w:rPr>
              <w:t>Carotenoid content (mg/g DW)</w:t>
            </w:r>
          </w:p>
        </w:tc>
      </w:tr>
      <w:tr w:rsidR="00DF271A" w:rsidRPr="00E44031" w:rsidTr="00A30457">
        <w:trPr>
          <w:trHeight w:val="20"/>
          <w:jc w:val="center"/>
        </w:trPr>
        <w:tc>
          <w:tcPr>
            <w:tcW w:w="0" w:type="auto"/>
            <w:vMerge/>
            <w:tcBorders>
              <w:top w:val="single" w:sz="18" w:space="0" w:color="1F497D"/>
              <w:left w:val="nil"/>
              <w:bottom w:val="single" w:sz="4" w:space="0" w:color="3C3C3C"/>
              <w:right w:val="nil"/>
            </w:tcBorders>
            <w:vAlign w:val="center"/>
            <w:hideMark/>
          </w:tcPr>
          <w:p w:rsidR="00DF271A" w:rsidRPr="00E44031" w:rsidRDefault="00DF271A" w:rsidP="00A30457">
            <w:pPr>
              <w:spacing w:after="0" w:line="240" w:lineRule="auto"/>
              <w:jc w:val="both"/>
              <w:rPr>
                <w:rFonts w:ascii="Times New Roman" w:hAnsi="Times New Roman"/>
                <w:sz w:val="20"/>
                <w:szCs w:val="20"/>
                <w:lang w:bidi="th-TH"/>
              </w:rPr>
            </w:pPr>
          </w:p>
        </w:tc>
        <w:tc>
          <w:tcPr>
            <w:tcW w:w="0" w:type="auto"/>
            <w:tcBorders>
              <w:top w:val="single" w:sz="4" w:space="0" w:color="3C3C3C"/>
              <w:left w:val="nil"/>
              <w:bottom w:val="single" w:sz="4" w:space="0" w:color="3C3C3C"/>
              <w:right w:val="nil"/>
            </w:tcBorders>
            <w:vAlign w:val="center"/>
            <w:hideMark/>
          </w:tcPr>
          <w:p w:rsidR="00DF271A" w:rsidRPr="00E44031" w:rsidRDefault="00DF271A" w:rsidP="00A30457">
            <w:pPr>
              <w:spacing w:before="120" w:after="120" w:line="240" w:lineRule="auto"/>
              <w:jc w:val="both"/>
              <w:rPr>
                <w:rFonts w:ascii="Times New Roman" w:hAnsi="Times New Roman"/>
                <w:b/>
                <w:sz w:val="20"/>
                <w:szCs w:val="20"/>
                <w:lang w:bidi="th-TH"/>
              </w:rPr>
            </w:pPr>
            <w:r w:rsidRPr="00E44031">
              <w:rPr>
                <w:rFonts w:ascii="Times New Roman" w:hAnsi="Times New Roman"/>
                <w:b/>
                <w:sz w:val="20"/>
                <w:szCs w:val="20"/>
              </w:rPr>
              <w:t>Total carotenoid</w:t>
            </w:r>
          </w:p>
        </w:tc>
        <w:tc>
          <w:tcPr>
            <w:tcW w:w="0" w:type="auto"/>
            <w:tcBorders>
              <w:top w:val="single" w:sz="4" w:space="0" w:color="3C3C3C"/>
              <w:left w:val="nil"/>
              <w:bottom w:val="single" w:sz="4" w:space="0" w:color="3C3C3C"/>
              <w:right w:val="nil"/>
            </w:tcBorders>
            <w:vAlign w:val="center"/>
            <w:hideMark/>
          </w:tcPr>
          <w:p w:rsidR="00DF271A" w:rsidRPr="00E44031" w:rsidRDefault="00DF271A" w:rsidP="00A30457">
            <w:pPr>
              <w:spacing w:before="120" w:after="120" w:line="240" w:lineRule="auto"/>
              <w:jc w:val="both"/>
              <w:rPr>
                <w:rFonts w:ascii="Times New Roman" w:hAnsi="Times New Roman"/>
                <w:b/>
                <w:sz w:val="20"/>
                <w:szCs w:val="20"/>
                <w:lang w:bidi="th-TH"/>
              </w:rPr>
            </w:pPr>
            <w:r w:rsidRPr="00E44031">
              <w:rPr>
                <w:rFonts w:ascii="Times New Roman" w:hAnsi="Times New Roman"/>
                <w:b/>
                <w:sz w:val="20"/>
                <w:szCs w:val="20"/>
              </w:rPr>
              <w:t>Lutein</w:t>
            </w:r>
          </w:p>
        </w:tc>
        <w:tc>
          <w:tcPr>
            <w:tcW w:w="0" w:type="auto"/>
            <w:tcBorders>
              <w:top w:val="single" w:sz="4" w:space="0" w:color="3C3C3C"/>
              <w:left w:val="nil"/>
              <w:bottom w:val="single" w:sz="4" w:space="0" w:color="3C3C3C"/>
              <w:right w:val="nil"/>
            </w:tcBorders>
            <w:vAlign w:val="center"/>
            <w:hideMark/>
          </w:tcPr>
          <w:p w:rsidR="00DF271A" w:rsidRPr="00E44031" w:rsidRDefault="00DF271A" w:rsidP="00A30457">
            <w:pPr>
              <w:spacing w:before="120" w:after="120" w:line="240" w:lineRule="auto"/>
              <w:jc w:val="both"/>
              <w:rPr>
                <w:rFonts w:ascii="Times New Roman" w:hAnsi="Times New Roman"/>
                <w:b/>
                <w:sz w:val="20"/>
                <w:szCs w:val="20"/>
                <w:lang w:bidi="th-TH"/>
              </w:rPr>
            </w:pPr>
            <w:r w:rsidRPr="00E44031">
              <w:rPr>
                <w:rFonts w:ascii="Times New Roman" w:hAnsi="Times New Roman"/>
                <w:b/>
                <w:sz w:val="20"/>
                <w:szCs w:val="20"/>
              </w:rPr>
              <w:t>Zeaxanthin</w:t>
            </w:r>
          </w:p>
        </w:tc>
        <w:tc>
          <w:tcPr>
            <w:tcW w:w="0" w:type="auto"/>
            <w:tcBorders>
              <w:top w:val="single" w:sz="4" w:space="0" w:color="3C3C3C"/>
              <w:left w:val="nil"/>
              <w:bottom w:val="single" w:sz="4" w:space="0" w:color="3C3C3C"/>
              <w:right w:val="nil"/>
            </w:tcBorders>
            <w:vAlign w:val="center"/>
            <w:hideMark/>
          </w:tcPr>
          <w:p w:rsidR="00DF271A" w:rsidRPr="00E44031" w:rsidRDefault="00DF271A" w:rsidP="00A30457">
            <w:pPr>
              <w:spacing w:before="120" w:after="120" w:line="240" w:lineRule="auto"/>
              <w:jc w:val="both"/>
              <w:rPr>
                <w:rFonts w:ascii="Times New Roman" w:hAnsi="Times New Roman"/>
                <w:b/>
                <w:sz w:val="20"/>
                <w:szCs w:val="20"/>
                <w:lang w:bidi="th-TH"/>
              </w:rPr>
            </w:pPr>
            <w:r w:rsidRPr="00E44031">
              <w:rPr>
                <w:rFonts w:ascii="Times New Roman" w:hAnsi="Times New Roman"/>
                <w:b/>
                <w:sz w:val="20"/>
                <w:szCs w:val="20"/>
              </w:rPr>
              <w:t>β-cryptoxanthin</w:t>
            </w:r>
          </w:p>
        </w:tc>
        <w:tc>
          <w:tcPr>
            <w:tcW w:w="0" w:type="auto"/>
            <w:tcBorders>
              <w:top w:val="single" w:sz="4" w:space="0" w:color="3C3C3C"/>
              <w:left w:val="nil"/>
              <w:bottom w:val="single" w:sz="4" w:space="0" w:color="3C3C3C"/>
            </w:tcBorders>
            <w:vAlign w:val="center"/>
            <w:hideMark/>
          </w:tcPr>
          <w:p w:rsidR="00DF271A" w:rsidRPr="00E44031" w:rsidRDefault="00DF271A" w:rsidP="00A30457">
            <w:pPr>
              <w:spacing w:before="120" w:after="120" w:line="240" w:lineRule="auto"/>
              <w:jc w:val="both"/>
              <w:rPr>
                <w:rFonts w:ascii="Times New Roman" w:hAnsi="Times New Roman"/>
                <w:b/>
                <w:sz w:val="20"/>
                <w:szCs w:val="20"/>
                <w:lang w:bidi="th-TH"/>
              </w:rPr>
            </w:pPr>
            <w:r w:rsidRPr="00E44031">
              <w:rPr>
                <w:rFonts w:ascii="Times New Roman" w:hAnsi="Times New Roman"/>
                <w:b/>
                <w:sz w:val="20"/>
                <w:szCs w:val="20"/>
              </w:rPr>
              <w:t>β-carotene</w:t>
            </w:r>
          </w:p>
        </w:tc>
      </w:tr>
      <w:tr w:rsidR="00DF271A" w:rsidRPr="00E44031" w:rsidTr="00A30457">
        <w:trPr>
          <w:trHeight w:val="20"/>
          <w:jc w:val="center"/>
        </w:trPr>
        <w:tc>
          <w:tcPr>
            <w:tcW w:w="0" w:type="auto"/>
            <w:tcBorders>
              <w:top w:val="single" w:sz="4" w:space="0" w:color="3C3C3C"/>
              <w:left w:val="nil"/>
              <w:bottom w:val="nil"/>
              <w:right w:val="nil"/>
            </w:tcBorders>
            <w:vAlign w:val="center"/>
            <w:hideMark/>
          </w:tcPr>
          <w:p w:rsidR="00DF271A" w:rsidRPr="00E44031" w:rsidRDefault="00DF271A" w:rsidP="00A30457">
            <w:pPr>
              <w:spacing w:before="120" w:after="0" w:line="240" w:lineRule="auto"/>
              <w:jc w:val="both"/>
              <w:rPr>
                <w:rFonts w:ascii="Times New Roman" w:hAnsi="Times New Roman"/>
                <w:sz w:val="20"/>
                <w:szCs w:val="20"/>
                <w:lang w:bidi="th-TH"/>
              </w:rPr>
            </w:pPr>
            <w:r w:rsidRPr="00E44031">
              <w:rPr>
                <w:rFonts w:ascii="Times New Roman" w:hAnsi="Times New Roman"/>
                <w:sz w:val="20"/>
                <w:szCs w:val="20"/>
              </w:rPr>
              <w:t>Intact leaves</w:t>
            </w:r>
          </w:p>
        </w:tc>
        <w:tc>
          <w:tcPr>
            <w:tcW w:w="0" w:type="auto"/>
            <w:tcBorders>
              <w:top w:val="single" w:sz="4" w:space="0" w:color="3C3C3C"/>
              <w:left w:val="nil"/>
              <w:bottom w:val="nil"/>
              <w:right w:val="nil"/>
            </w:tcBorders>
            <w:vAlign w:val="center"/>
            <w:hideMark/>
          </w:tcPr>
          <w:p w:rsidR="00DF271A" w:rsidRPr="00E44031" w:rsidRDefault="00DF271A" w:rsidP="00A30457">
            <w:pPr>
              <w:spacing w:before="120" w:after="0" w:line="240" w:lineRule="auto"/>
              <w:jc w:val="both"/>
              <w:rPr>
                <w:rFonts w:ascii="Times New Roman" w:hAnsi="Times New Roman"/>
                <w:sz w:val="20"/>
                <w:szCs w:val="20"/>
                <w:lang w:bidi="th-TH"/>
              </w:rPr>
            </w:pPr>
            <w:r w:rsidRPr="00E44031">
              <w:rPr>
                <w:rFonts w:ascii="Times New Roman" w:hAnsi="Times New Roman"/>
                <w:sz w:val="20"/>
                <w:szCs w:val="20"/>
              </w:rPr>
              <w:t>58.59 ± 0.26</w:t>
            </w:r>
          </w:p>
        </w:tc>
        <w:tc>
          <w:tcPr>
            <w:tcW w:w="0" w:type="auto"/>
            <w:tcBorders>
              <w:top w:val="single" w:sz="4" w:space="0" w:color="3C3C3C"/>
              <w:left w:val="nil"/>
              <w:bottom w:val="nil"/>
              <w:right w:val="nil"/>
            </w:tcBorders>
            <w:vAlign w:val="center"/>
            <w:hideMark/>
          </w:tcPr>
          <w:p w:rsidR="00DF271A" w:rsidRPr="00E44031" w:rsidRDefault="00DF271A" w:rsidP="00A30457">
            <w:pPr>
              <w:spacing w:before="120" w:after="0" w:line="240" w:lineRule="auto"/>
              <w:jc w:val="both"/>
              <w:rPr>
                <w:rFonts w:ascii="Times New Roman" w:hAnsi="Times New Roman"/>
                <w:sz w:val="20"/>
                <w:szCs w:val="20"/>
                <w:lang w:bidi="th-TH"/>
              </w:rPr>
            </w:pPr>
            <w:r w:rsidRPr="00E44031">
              <w:rPr>
                <w:rFonts w:ascii="Times New Roman" w:hAnsi="Times New Roman"/>
                <w:sz w:val="20"/>
                <w:szCs w:val="20"/>
              </w:rPr>
              <w:t>5.20 ± 0.00</w:t>
            </w:r>
          </w:p>
        </w:tc>
        <w:tc>
          <w:tcPr>
            <w:tcW w:w="0" w:type="auto"/>
            <w:tcBorders>
              <w:top w:val="single" w:sz="4" w:space="0" w:color="3C3C3C"/>
              <w:left w:val="nil"/>
              <w:bottom w:val="nil"/>
              <w:right w:val="nil"/>
            </w:tcBorders>
            <w:vAlign w:val="center"/>
            <w:hideMark/>
          </w:tcPr>
          <w:p w:rsidR="00DF271A" w:rsidRPr="00E44031" w:rsidRDefault="00DF271A" w:rsidP="00A30457">
            <w:pPr>
              <w:spacing w:before="120" w:after="0" w:line="240" w:lineRule="auto"/>
              <w:jc w:val="both"/>
              <w:rPr>
                <w:rFonts w:ascii="Times New Roman" w:hAnsi="Times New Roman"/>
                <w:sz w:val="20"/>
                <w:szCs w:val="20"/>
                <w:lang w:bidi="th-TH"/>
              </w:rPr>
            </w:pPr>
            <w:r w:rsidRPr="00E44031">
              <w:rPr>
                <w:rFonts w:ascii="Times New Roman" w:hAnsi="Times New Roman"/>
                <w:sz w:val="20"/>
                <w:szCs w:val="20"/>
              </w:rPr>
              <w:t>52.08 ± 0.25</w:t>
            </w:r>
          </w:p>
        </w:tc>
        <w:tc>
          <w:tcPr>
            <w:tcW w:w="0" w:type="auto"/>
            <w:tcBorders>
              <w:top w:val="single" w:sz="4" w:space="0" w:color="3C3C3C"/>
              <w:left w:val="nil"/>
              <w:bottom w:val="nil"/>
              <w:right w:val="nil"/>
            </w:tcBorders>
            <w:vAlign w:val="center"/>
            <w:hideMark/>
          </w:tcPr>
          <w:p w:rsidR="00DF271A" w:rsidRPr="00E44031" w:rsidRDefault="00DF271A" w:rsidP="00A30457">
            <w:pPr>
              <w:spacing w:before="120" w:after="0" w:line="240" w:lineRule="auto"/>
              <w:jc w:val="both"/>
              <w:rPr>
                <w:rFonts w:ascii="Times New Roman" w:hAnsi="Times New Roman"/>
                <w:sz w:val="20"/>
                <w:szCs w:val="20"/>
                <w:lang w:bidi="th-TH"/>
              </w:rPr>
            </w:pPr>
            <w:r w:rsidRPr="00E44031">
              <w:rPr>
                <w:rFonts w:ascii="Times New Roman" w:hAnsi="Times New Roman"/>
                <w:sz w:val="20"/>
                <w:szCs w:val="20"/>
              </w:rPr>
              <w:t>nd</w:t>
            </w:r>
          </w:p>
        </w:tc>
        <w:tc>
          <w:tcPr>
            <w:tcW w:w="0" w:type="auto"/>
            <w:tcBorders>
              <w:top w:val="single" w:sz="4" w:space="0" w:color="3C3C3C"/>
              <w:left w:val="nil"/>
              <w:bottom w:val="nil"/>
            </w:tcBorders>
            <w:vAlign w:val="center"/>
            <w:hideMark/>
          </w:tcPr>
          <w:p w:rsidR="00DF271A" w:rsidRPr="00E44031" w:rsidRDefault="00DF271A" w:rsidP="00A30457">
            <w:pPr>
              <w:spacing w:before="120" w:after="0" w:line="240" w:lineRule="auto"/>
              <w:jc w:val="both"/>
              <w:rPr>
                <w:rFonts w:ascii="Times New Roman" w:hAnsi="Times New Roman"/>
                <w:sz w:val="20"/>
                <w:szCs w:val="20"/>
                <w:lang w:bidi="th-TH"/>
              </w:rPr>
            </w:pPr>
            <w:r w:rsidRPr="00E44031">
              <w:rPr>
                <w:rFonts w:ascii="Times New Roman" w:hAnsi="Times New Roman"/>
                <w:sz w:val="20"/>
                <w:szCs w:val="20"/>
              </w:rPr>
              <w:t>1.31 ± 0.00</w:t>
            </w:r>
          </w:p>
        </w:tc>
      </w:tr>
      <w:tr w:rsidR="00DF271A" w:rsidRPr="00E44031" w:rsidTr="00A30457">
        <w:trPr>
          <w:trHeight w:val="20"/>
          <w:jc w:val="center"/>
        </w:trPr>
        <w:tc>
          <w:tcPr>
            <w:tcW w:w="0" w:type="auto"/>
            <w:vAlign w:val="center"/>
            <w:hideMark/>
          </w:tcPr>
          <w:p w:rsidR="00DF271A" w:rsidRPr="00E44031" w:rsidRDefault="00DF271A" w:rsidP="00A30457">
            <w:pPr>
              <w:spacing w:before="120" w:after="0" w:line="240" w:lineRule="auto"/>
              <w:jc w:val="both"/>
              <w:rPr>
                <w:rFonts w:ascii="Times New Roman" w:hAnsi="Times New Roman"/>
                <w:sz w:val="20"/>
                <w:szCs w:val="20"/>
                <w:lang w:bidi="th-TH"/>
              </w:rPr>
            </w:pPr>
            <w:r w:rsidRPr="00E44031">
              <w:rPr>
                <w:rFonts w:ascii="Times New Roman" w:hAnsi="Times New Roman"/>
                <w:sz w:val="20"/>
                <w:szCs w:val="20"/>
              </w:rPr>
              <w:t>Green callus</w:t>
            </w:r>
          </w:p>
        </w:tc>
        <w:tc>
          <w:tcPr>
            <w:tcW w:w="0" w:type="auto"/>
            <w:vAlign w:val="center"/>
            <w:hideMark/>
          </w:tcPr>
          <w:p w:rsidR="00DF271A" w:rsidRPr="00E44031" w:rsidRDefault="00DF271A" w:rsidP="00A30457">
            <w:pPr>
              <w:spacing w:before="120" w:after="0" w:line="240" w:lineRule="auto"/>
              <w:jc w:val="both"/>
              <w:rPr>
                <w:rFonts w:ascii="Times New Roman" w:hAnsi="Times New Roman"/>
                <w:sz w:val="20"/>
                <w:szCs w:val="20"/>
                <w:lang w:bidi="th-TH"/>
              </w:rPr>
            </w:pPr>
            <w:r w:rsidRPr="00E44031">
              <w:rPr>
                <w:rFonts w:ascii="Times New Roman" w:hAnsi="Times New Roman"/>
                <w:sz w:val="20"/>
                <w:szCs w:val="20"/>
              </w:rPr>
              <w:t>2.17 ± 0.01</w:t>
            </w:r>
          </w:p>
        </w:tc>
        <w:tc>
          <w:tcPr>
            <w:tcW w:w="0" w:type="auto"/>
            <w:vAlign w:val="center"/>
            <w:hideMark/>
          </w:tcPr>
          <w:p w:rsidR="00DF271A" w:rsidRPr="00E44031" w:rsidRDefault="00DF271A" w:rsidP="00A30457">
            <w:pPr>
              <w:spacing w:before="120" w:after="0" w:line="240" w:lineRule="auto"/>
              <w:jc w:val="both"/>
              <w:rPr>
                <w:rFonts w:ascii="Times New Roman" w:hAnsi="Times New Roman"/>
                <w:sz w:val="20"/>
                <w:szCs w:val="20"/>
                <w:lang w:bidi="th-TH"/>
              </w:rPr>
            </w:pPr>
            <w:r w:rsidRPr="00E44031">
              <w:rPr>
                <w:rFonts w:ascii="Times New Roman" w:hAnsi="Times New Roman"/>
                <w:sz w:val="20"/>
                <w:szCs w:val="20"/>
              </w:rPr>
              <w:t>2.00 ± 0.00</w:t>
            </w:r>
          </w:p>
        </w:tc>
        <w:tc>
          <w:tcPr>
            <w:tcW w:w="0" w:type="auto"/>
            <w:vAlign w:val="center"/>
            <w:hideMark/>
          </w:tcPr>
          <w:p w:rsidR="00DF271A" w:rsidRPr="00E44031" w:rsidRDefault="00DF271A" w:rsidP="00A30457">
            <w:pPr>
              <w:spacing w:before="120" w:after="0" w:line="240" w:lineRule="auto"/>
              <w:jc w:val="both"/>
              <w:rPr>
                <w:rFonts w:ascii="Times New Roman" w:hAnsi="Times New Roman"/>
                <w:sz w:val="20"/>
                <w:szCs w:val="20"/>
                <w:lang w:bidi="th-TH"/>
              </w:rPr>
            </w:pPr>
            <w:r w:rsidRPr="00E44031">
              <w:rPr>
                <w:rFonts w:ascii="Times New Roman" w:hAnsi="Times New Roman"/>
                <w:sz w:val="20"/>
                <w:szCs w:val="20"/>
              </w:rPr>
              <w:t>nd</w:t>
            </w:r>
          </w:p>
        </w:tc>
        <w:tc>
          <w:tcPr>
            <w:tcW w:w="0" w:type="auto"/>
            <w:vAlign w:val="center"/>
            <w:hideMark/>
          </w:tcPr>
          <w:p w:rsidR="00DF271A" w:rsidRPr="00E44031" w:rsidRDefault="00DF271A" w:rsidP="00A30457">
            <w:pPr>
              <w:spacing w:before="120" w:after="0" w:line="240" w:lineRule="auto"/>
              <w:jc w:val="both"/>
              <w:rPr>
                <w:rFonts w:ascii="Times New Roman" w:hAnsi="Times New Roman"/>
                <w:sz w:val="20"/>
                <w:szCs w:val="20"/>
                <w:lang w:bidi="th-TH"/>
              </w:rPr>
            </w:pPr>
            <w:r w:rsidRPr="00E44031">
              <w:rPr>
                <w:rFonts w:ascii="Times New Roman" w:hAnsi="Times New Roman"/>
                <w:sz w:val="20"/>
                <w:szCs w:val="20"/>
              </w:rPr>
              <w:t>nd</w:t>
            </w:r>
          </w:p>
        </w:tc>
        <w:tc>
          <w:tcPr>
            <w:tcW w:w="0" w:type="auto"/>
            <w:vAlign w:val="center"/>
            <w:hideMark/>
          </w:tcPr>
          <w:p w:rsidR="00DF271A" w:rsidRPr="00E44031" w:rsidRDefault="00DF271A" w:rsidP="00A30457">
            <w:pPr>
              <w:spacing w:before="120" w:after="0" w:line="240" w:lineRule="auto"/>
              <w:jc w:val="both"/>
              <w:rPr>
                <w:rFonts w:ascii="Times New Roman" w:hAnsi="Times New Roman"/>
                <w:sz w:val="20"/>
                <w:szCs w:val="20"/>
                <w:lang w:bidi="th-TH"/>
              </w:rPr>
            </w:pPr>
            <w:r w:rsidRPr="00E44031">
              <w:rPr>
                <w:rFonts w:ascii="Times New Roman" w:hAnsi="Times New Roman"/>
                <w:sz w:val="20"/>
                <w:szCs w:val="20"/>
              </w:rPr>
              <w:t>0.16 ± 0.00</w:t>
            </w:r>
          </w:p>
        </w:tc>
      </w:tr>
      <w:tr w:rsidR="00DF271A" w:rsidRPr="00E44031" w:rsidTr="00A30457">
        <w:trPr>
          <w:trHeight w:val="20"/>
          <w:jc w:val="center"/>
        </w:trPr>
        <w:tc>
          <w:tcPr>
            <w:tcW w:w="0" w:type="auto"/>
            <w:tcBorders>
              <w:top w:val="nil"/>
              <w:left w:val="nil"/>
              <w:bottom w:val="single" w:sz="4" w:space="0" w:color="3C3C3C"/>
              <w:right w:val="nil"/>
            </w:tcBorders>
            <w:vAlign w:val="center"/>
            <w:hideMark/>
          </w:tcPr>
          <w:p w:rsidR="00DF271A" w:rsidRPr="00E44031" w:rsidRDefault="00DF271A" w:rsidP="00A30457">
            <w:pPr>
              <w:spacing w:before="120" w:after="120" w:line="240" w:lineRule="auto"/>
              <w:jc w:val="both"/>
              <w:rPr>
                <w:rFonts w:ascii="Times New Roman" w:hAnsi="Times New Roman"/>
                <w:sz w:val="20"/>
                <w:szCs w:val="20"/>
                <w:lang w:bidi="th-TH"/>
              </w:rPr>
            </w:pPr>
            <w:r w:rsidRPr="00E44031">
              <w:rPr>
                <w:rFonts w:ascii="Times New Roman" w:hAnsi="Times New Roman"/>
                <w:sz w:val="20"/>
                <w:szCs w:val="20"/>
              </w:rPr>
              <w:t>Yellow callus</w:t>
            </w:r>
          </w:p>
        </w:tc>
        <w:tc>
          <w:tcPr>
            <w:tcW w:w="0" w:type="auto"/>
            <w:tcBorders>
              <w:top w:val="nil"/>
              <w:left w:val="nil"/>
              <w:bottom w:val="single" w:sz="4" w:space="0" w:color="3C3C3C"/>
              <w:right w:val="nil"/>
            </w:tcBorders>
            <w:vAlign w:val="center"/>
            <w:hideMark/>
          </w:tcPr>
          <w:p w:rsidR="00DF271A" w:rsidRPr="00E44031" w:rsidRDefault="00DF271A" w:rsidP="00A30457">
            <w:pPr>
              <w:spacing w:before="120" w:after="120" w:line="240" w:lineRule="auto"/>
              <w:jc w:val="both"/>
              <w:rPr>
                <w:rFonts w:ascii="Times New Roman" w:hAnsi="Times New Roman"/>
                <w:sz w:val="20"/>
                <w:szCs w:val="20"/>
                <w:lang w:bidi="th-TH"/>
              </w:rPr>
            </w:pPr>
            <w:r w:rsidRPr="00E44031">
              <w:rPr>
                <w:rFonts w:ascii="Times New Roman" w:hAnsi="Times New Roman"/>
                <w:sz w:val="20"/>
                <w:szCs w:val="20"/>
              </w:rPr>
              <w:t>13.00 ± 0.08</w:t>
            </w:r>
          </w:p>
        </w:tc>
        <w:tc>
          <w:tcPr>
            <w:tcW w:w="0" w:type="auto"/>
            <w:tcBorders>
              <w:top w:val="nil"/>
              <w:left w:val="nil"/>
              <w:bottom w:val="single" w:sz="4" w:space="0" w:color="3C3C3C"/>
              <w:right w:val="nil"/>
            </w:tcBorders>
            <w:vAlign w:val="center"/>
            <w:hideMark/>
          </w:tcPr>
          <w:p w:rsidR="00DF271A" w:rsidRPr="00E44031" w:rsidRDefault="00DF271A" w:rsidP="00A30457">
            <w:pPr>
              <w:spacing w:before="120" w:after="120" w:line="240" w:lineRule="auto"/>
              <w:jc w:val="both"/>
              <w:rPr>
                <w:rFonts w:ascii="Times New Roman" w:hAnsi="Times New Roman"/>
                <w:sz w:val="20"/>
                <w:szCs w:val="20"/>
                <w:lang w:bidi="th-TH"/>
              </w:rPr>
            </w:pPr>
            <w:r w:rsidRPr="00E44031">
              <w:rPr>
                <w:rFonts w:ascii="Times New Roman" w:hAnsi="Times New Roman"/>
                <w:sz w:val="20"/>
                <w:szCs w:val="20"/>
              </w:rPr>
              <w:t>1.29 ± 0.00</w:t>
            </w:r>
          </w:p>
        </w:tc>
        <w:tc>
          <w:tcPr>
            <w:tcW w:w="0" w:type="auto"/>
            <w:tcBorders>
              <w:top w:val="nil"/>
              <w:left w:val="nil"/>
              <w:bottom w:val="single" w:sz="4" w:space="0" w:color="3C3C3C"/>
              <w:right w:val="nil"/>
            </w:tcBorders>
            <w:vAlign w:val="center"/>
            <w:hideMark/>
          </w:tcPr>
          <w:p w:rsidR="00DF271A" w:rsidRPr="00E44031" w:rsidRDefault="00DF271A" w:rsidP="00A30457">
            <w:pPr>
              <w:spacing w:before="120" w:after="120" w:line="240" w:lineRule="auto"/>
              <w:jc w:val="both"/>
              <w:rPr>
                <w:rFonts w:ascii="Times New Roman" w:hAnsi="Times New Roman"/>
                <w:sz w:val="20"/>
                <w:szCs w:val="20"/>
                <w:lang w:bidi="th-TH"/>
              </w:rPr>
            </w:pPr>
            <w:r w:rsidRPr="00E44031">
              <w:rPr>
                <w:rFonts w:ascii="Times New Roman" w:hAnsi="Times New Roman"/>
                <w:sz w:val="20"/>
                <w:szCs w:val="20"/>
              </w:rPr>
              <w:t>11.53 ± 0.09</w:t>
            </w:r>
          </w:p>
        </w:tc>
        <w:tc>
          <w:tcPr>
            <w:tcW w:w="0" w:type="auto"/>
            <w:tcBorders>
              <w:top w:val="nil"/>
              <w:left w:val="nil"/>
              <w:bottom w:val="single" w:sz="4" w:space="0" w:color="3C3C3C"/>
              <w:right w:val="nil"/>
            </w:tcBorders>
            <w:vAlign w:val="center"/>
            <w:hideMark/>
          </w:tcPr>
          <w:p w:rsidR="00DF271A" w:rsidRPr="00E44031" w:rsidRDefault="00DF271A" w:rsidP="00A30457">
            <w:pPr>
              <w:spacing w:before="120" w:after="120" w:line="240" w:lineRule="auto"/>
              <w:jc w:val="both"/>
              <w:rPr>
                <w:rFonts w:ascii="Times New Roman" w:hAnsi="Times New Roman"/>
                <w:sz w:val="20"/>
                <w:szCs w:val="20"/>
                <w:lang w:bidi="th-TH"/>
              </w:rPr>
            </w:pPr>
            <w:r w:rsidRPr="00E44031">
              <w:rPr>
                <w:rFonts w:ascii="Times New Roman" w:hAnsi="Times New Roman"/>
                <w:sz w:val="20"/>
                <w:szCs w:val="20"/>
              </w:rPr>
              <w:t>0.05 ± 0.00</w:t>
            </w:r>
          </w:p>
        </w:tc>
        <w:tc>
          <w:tcPr>
            <w:tcW w:w="0" w:type="auto"/>
            <w:tcBorders>
              <w:top w:val="nil"/>
              <w:left w:val="nil"/>
              <w:bottom w:val="single" w:sz="4" w:space="0" w:color="3C3C3C"/>
            </w:tcBorders>
            <w:vAlign w:val="center"/>
            <w:hideMark/>
          </w:tcPr>
          <w:p w:rsidR="00DF271A" w:rsidRPr="00E44031" w:rsidRDefault="00DF271A" w:rsidP="00A30457">
            <w:pPr>
              <w:spacing w:before="120" w:after="120" w:line="240" w:lineRule="auto"/>
              <w:jc w:val="both"/>
              <w:rPr>
                <w:rFonts w:ascii="Times New Roman" w:hAnsi="Times New Roman"/>
                <w:sz w:val="20"/>
                <w:szCs w:val="20"/>
                <w:lang w:bidi="th-TH"/>
              </w:rPr>
            </w:pPr>
            <w:r w:rsidRPr="00E44031">
              <w:rPr>
                <w:rFonts w:ascii="Times New Roman" w:hAnsi="Times New Roman"/>
                <w:sz w:val="20"/>
                <w:szCs w:val="20"/>
              </w:rPr>
              <w:t>0.14 ± 0.00</w:t>
            </w:r>
          </w:p>
        </w:tc>
      </w:tr>
      <w:tr w:rsidR="00DF271A" w:rsidRPr="00E44031" w:rsidTr="00A30457">
        <w:trPr>
          <w:trHeight w:val="20"/>
          <w:jc w:val="center"/>
        </w:trPr>
        <w:tc>
          <w:tcPr>
            <w:tcW w:w="0" w:type="auto"/>
            <w:gridSpan w:val="6"/>
            <w:tcBorders>
              <w:top w:val="single" w:sz="4" w:space="0" w:color="3C3C3C"/>
              <w:left w:val="nil"/>
            </w:tcBorders>
            <w:vAlign w:val="center"/>
            <w:hideMark/>
          </w:tcPr>
          <w:p w:rsidR="00DF271A" w:rsidRPr="00E44031" w:rsidRDefault="00DF271A" w:rsidP="00A30457">
            <w:pPr>
              <w:spacing w:before="120" w:after="0" w:line="240" w:lineRule="auto"/>
              <w:jc w:val="both"/>
              <w:rPr>
                <w:rFonts w:ascii="Times New Roman" w:hAnsi="Times New Roman"/>
                <w:sz w:val="18"/>
                <w:szCs w:val="18"/>
                <w:lang w:bidi="th-TH"/>
              </w:rPr>
            </w:pPr>
            <w:r w:rsidRPr="00E44031">
              <w:rPr>
                <w:rFonts w:ascii="Times New Roman" w:hAnsi="Times New Roman"/>
                <w:sz w:val="18"/>
                <w:szCs w:val="18"/>
              </w:rPr>
              <w:t xml:space="preserve">nd - non-detectable, not significantly different at </w:t>
            </w:r>
            <w:r w:rsidRPr="00E44031">
              <w:rPr>
                <w:rFonts w:ascii="Times New Roman" w:hAnsi="Times New Roman"/>
                <w:i/>
                <w:sz w:val="18"/>
                <w:szCs w:val="18"/>
              </w:rPr>
              <w:t xml:space="preserve">p </w:t>
            </w:r>
            <w:r w:rsidRPr="00E44031">
              <w:rPr>
                <w:rFonts w:ascii="Times New Roman" w:hAnsi="Times New Roman"/>
                <w:sz w:val="18"/>
                <w:szCs w:val="18"/>
              </w:rPr>
              <w:t>&lt;0.0001</w:t>
            </w:r>
          </w:p>
        </w:tc>
      </w:tr>
    </w:tbl>
    <w:p w:rsidR="00DF271A" w:rsidRDefault="00DF271A" w:rsidP="00DF271A">
      <w:pPr>
        <w:spacing w:after="0" w:line="240" w:lineRule="auto"/>
        <w:jc w:val="both"/>
        <w:rPr>
          <w:rFonts w:ascii="Times New Roman" w:hAnsi="Times New Roman"/>
          <w:sz w:val="20"/>
          <w:szCs w:val="20"/>
        </w:rPr>
      </w:pPr>
    </w:p>
    <w:p w:rsidR="00DF271A" w:rsidRPr="00E44031" w:rsidRDefault="00DF271A" w:rsidP="00DF271A">
      <w:pPr>
        <w:spacing w:after="0" w:line="240" w:lineRule="auto"/>
        <w:jc w:val="both"/>
        <w:rPr>
          <w:rFonts w:ascii="Times New Roman" w:hAnsi="Times New Roman"/>
          <w:sz w:val="20"/>
          <w:szCs w:val="20"/>
        </w:rPr>
      </w:pPr>
    </w:p>
    <w:p w:rsidR="00DF271A" w:rsidRPr="00E44031" w:rsidRDefault="00DF271A" w:rsidP="00DF271A">
      <w:pPr>
        <w:pStyle w:val="ListParagraph"/>
        <w:tabs>
          <w:tab w:val="left" w:pos="440"/>
        </w:tabs>
        <w:autoSpaceDE w:val="0"/>
        <w:autoSpaceDN w:val="0"/>
        <w:adjustRightInd w:val="0"/>
        <w:spacing w:after="0" w:line="240" w:lineRule="auto"/>
        <w:ind w:left="0"/>
        <w:jc w:val="both"/>
        <w:rPr>
          <w:rFonts w:ascii="Times New Roman" w:hAnsi="Times New Roman"/>
          <w:b/>
          <w:sz w:val="20"/>
          <w:szCs w:val="20"/>
        </w:rPr>
      </w:pPr>
      <w:r w:rsidRPr="00E44031">
        <w:rPr>
          <w:rFonts w:ascii="Times New Roman" w:hAnsi="Times New Roman"/>
          <w:b/>
          <w:sz w:val="20"/>
          <w:szCs w:val="20"/>
        </w:rPr>
        <w:t xml:space="preserve">Carotenoid accumulation in intact leaves and callus cultures of </w:t>
      </w:r>
      <w:r w:rsidRPr="00E44031">
        <w:rPr>
          <w:rFonts w:ascii="Times New Roman" w:hAnsi="Times New Roman"/>
          <w:b/>
          <w:i/>
          <w:sz w:val="20"/>
          <w:szCs w:val="20"/>
        </w:rPr>
        <w:t>O. basilicum</w:t>
      </w:r>
      <w:r w:rsidRPr="00E44031">
        <w:rPr>
          <w:rFonts w:ascii="Times New Roman" w:hAnsi="Times New Roman"/>
          <w:b/>
          <w:sz w:val="20"/>
          <w:szCs w:val="20"/>
        </w:rPr>
        <w:t xml:space="preserve"> of different sources of explants and PGRs supplementation in response to light</w:t>
      </w:r>
    </w:p>
    <w:p w:rsidR="00DF271A" w:rsidRPr="00E44031" w:rsidRDefault="00DF271A" w:rsidP="00DF271A">
      <w:pPr>
        <w:pStyle w:val="ListParagraph"/>
        <w:tabs>
          <w:tab w:val="left" w:pos="0"/>
        </w:tabs>
        <w:autoSpaceDE w:val="0"/>
        <w:autoSpaceDN w:val="0"/>
        <w:adjustRightInd w:val="0"/>
        <w:spacing w:after="0" w:line="240" w:lineRule="auto"/>
        <w:ind w:left="0"/>
        <w:jc w:val="both"/>
        <w:rPr>
          <w:rFonts w:ascii="Times New Roman" w:hAnsi="Times New Roman"/>
          <w:sz w:val="20"/>
          <w:szCs w:val="20"/>
        </w:rPr>
      </w:pPr>
      <w:r w:rsidRPr="00E44031">
        <w:rPr>
          <w:rFonts w:ascii="Times New Roman" w:hAnsi="Times New Roman"/>
          <w:sz w:val="20"/>
          <w:szCs w:val="20"/>
        </w:rPr>
        <w:t xml:space="preserve">Intact leaves of </w:t>
      </w:r>
      <w:r w:rsidRPr="00E44031">
        <w:rPr>
          <w:rFonts w:ascii="Times New Roman" w:hAnsi="Times New Roman"/>
          <w:i/>
          <w:iCs/>
          <w:sz w:val="20"/>
          <w:szCs w:val="20"/>
        </w:rPr>
        <w:t xml:space="preserve">O. basilicum </w:t>
      </w:r>
      <w:r w:rsidRPr="00E44031">
        <w:rPr>
          <w:rFonts w:ascii="Times New Roman" w:hAnsi="Times New Roman"/>
          <w:sz w:val="20"/>
          <w:szCs w:val="20"/>
        </w:rPr>
        <w:t xml:space="preserve">accumulated five individual carotenoids particularly neoxanthin, violaxanthin, lutein, α-carotene and β-carotene when grown in nature as shown in Table 2. The total carotenoid content of all samples was showing that the leaves accumulated more than 90-fold of total carotenoid content in comparison to all six batches of callus cultures. Different source of explants and PGR supplementation in this experiment resulted in more or less the same level carotenoids. Carotenoids are vital for protecting the photosynthetic system from oxidative destruction by light and other factors. In the natural environment, there are multiple of random stresses experienced by the plants, thus leading to high concentration of carotenoids residing in the intact leaves as shown in Table 2. Contrarily, many of the stresses are kept under control in the laboratory. This could possibly cause the callus cultures are behaving in the same manner and accumulated low content of lutein and β-carotene. Besides, the biosynthetic flux in the β, β branching of lycopene is inferred to stop at the formation of β-carotene since the light intensity was maintained. This is due to the fact that the formation of downstream carotenoid was meant for dissipating excess solar energy as heat [24, 25]. </w:t>
      </w:r>
    </w:p>
    <w:p w:rsidR="00DF271A" w:rsidRPr="00E44031" w:rsidRDefault="00DF271A" w:rsidP="00DF271A">
      <w:pPr>
        <w:pStyle w:val="ListParagraph"/>
        <w:tabs>
          <w:tab w:val="left" w:pos="0"/>
        </w:tabs>
        <w:autoSpaceDE w:val="0"/>
        <w:autoSpaceDN w:val="0"/>
        <w:adjustRightInd w:val="0"/>
        <w:spacing w:after="0" w:line="240" w:lineRule="auto"/>
        <w:ind w:left="0"/>
        <w:jc w:val="both"/>
        <w:rPr>
          <w:rFonts w:ascii="Times New Roman" w:hAnsi="Times New Roman"/>
          <w:sz w:val="20"/>
          <w:szCs w:val="20"/>
        </w:rPr>
      </w:pPr>
    </w:p>
    <w:p w:rsidR="00DF271A" w:rsidRPr="00E44031" w:rsidRDefault="00DF271A" w:rsidP="00DF271A">
      <w:pPr>
        <w:pStyle w:val="ListParagraph"/>
        <w:tabs>
          <w:tab w:val="left" w:pos="440"/>
        </w:tabs>
        <w:autoSpaceDE w:val="0"/>
        <w:autoSpaceDN w:val="0"/>
        <w:adjustRightInd w:val="0"/>
        <w:spacing w:after="120" w:line="240" w:lineRule="auto"/>
        <w:ind w:left="0"/>
        <w:jc w:val="center"/>
        <w:rPr>
          <w:rFonts w:ascii="Times New Roman" w:hAnsi="Times New Roman"/>
          <w:sz w:val="20"/>
          <w:szCs w:val="20"/>
        </w:rPr>
      </w:pPr>
      <w:r w:rsidRPr="00E44031">
        <w:rPr>
          <w:rFonts w:ascii="Times New Roman" w:hAnsi="Times New Roman"/>
          <w:sz w:val="20"/>
          <w:szCs w:val="20"/>
        </w:rPr>
        <w:lastRenderedPageBreak/>
        <w:t xml:space="preserve">Table 2. </w:t>
      </w:r>
      <w:r>
        <w:rPr>
          <w:rFonts w:ascii="Times New Roman" w:hAnsi="Times New Roman"/>
          <w:sz w:val="20"/>
          <w:szCs w:val="20"/>
        </w:rPr>
        <w:t xml:space="preserve"> </w:t>
      </w:r>
      <w:r w:rsidRPr="00E44031">
        <w:rPr>
          <w:rFonts w:ascii="Times New Roman" w:hAnsi="Times New Roman"/>
          <w:sz w:val="20"/>
          <w:szCs w:val="20"/>
        </w:rPr>
        <w:t xml:space="preserve">Carotenoid accumulation in intact leaves and callus cultures of </w:t>
      </w:r>
      <w:r w:rsidRPr="00E44031">
        <w:rPr>
          <w:rFonts w:ascii="Times New Roman" w:hAnsi="Times New Roman"/>
          <w:i/>
          <w:sz w:val="20"/>
          <w:szCs w:val="20"/>
        </w:rPr>
        <w:t>O. basilicum</w:t>
      </w:r>
      <w:r w:rsidRPr="00E44031">
        <w:rPr>
          <w:rFonts w:ascii="Times New Roman" w:hAnsi="Times New Roman"/>
          <w:sz w:val="20"/>
          <w:szCs w:val="20"/>
        </w:rPr>
        <w:t>.</w:t>
      </w:r>
    </w:p>
    <w:tbl>
      <w:tblPr>
        <w:tblW w:w="4943" w:type="pct"/>
        <w:jc w:val="center"/>
        <w:tblLook w:val="04A0" w:firstRow="1" w:lastRow="0" w:firstColumn="1" w:lastColumn="0" w:noHBand="0" w:noVBand="1"/>
      </w:tblPr>
      <w:tblGrid>
        <w:gridCol w:w="928"/>
        <w:gridCol w:w="1210"/>
        <w:gridCol w:w="1208"/>
        <w:gridCol w:w="1210"/>
        <w:gridCol w:w="1328"/>
        <w:gridCol w:w="1144"/>
        <w:gridCol w:w="1206"/>
        <w:gridCol w:w="1204"/>
      </w:tblGrid>
      <w:tr w:rsidR="00DF271A" w:rsidRPr="004A287C" w:rsidTr="00A30457">
        <w:trPr>
          <w:trHeight w:val="20"/>
          <w:jc w:val="center"/>
        </w:trPr>
        <w:tc>
          <w:tcPr>
            <w:tcW w:w="492" w:type="pct"/>
            <w:vMerge w:val="restart"/>
            <w:tcBorders>
              <w:top w:val="single" w:sz="4" w:space="0" w:color="3C3C3C"/>
            </w:tcBorders>
            <w:vAlign w:val="center"/>
            <w:hideMark/>
          </w:tcPr>
          <w:p w:rsidR="00DF271A" w:rsidRPr="004A287C" w:rsidRDefault="00DF271A" w:rsidP="00A30457">
            <w:pPr>
              <w:spacing w:after="0" w:line="240" w:lineRule="auto"/>
              <w:jc w:val="both"/>
              <w:rPr>
                <w:rFonts w:ascii="Times New Roman" w:hAnsi="Times New Roman"/>
                <w:b/>
                <w:sz w:val="20"/>
                <w:szCs w:val="20"/>
                <w:lang w:bidi="th-TH"/>
              </w:rPr>
            </w:pPr>
            <w:r w:rsidRPr="004A287C">
              <w:rPr>
                <w:rFonts w:ascii="Times New Roman" w:hAnsi="Times New Roman"/>
                <w:b/>
                <w:sz w:val="20"/>
                <w:szCs w:val="20"/>
              </w:rPr>
              <w:t>Source of explants</w:t>
            </w:r>
          </w:p>
        </w:tc>
        <w:tc>
          <w:tcPr>
            <w:tcW w:w="641" w:type="pct"/>
            <w:vMerge w:val="restart"/>
            <w:tcBorders>
              <w:top w:val="single" w:sz="4" w:space="0" w:color="3C3C3C"/>
            </w:tcBorders>
            <w:vAlign w:val="center"/>
            <w:hideMark/>
          </w:tcPr>
          <w:p w:rsidR="00DF271A" w:rsidRPr="004A287C" w:rsidRDefault="00DF271A" w:rsidP="00A30457">
            <w:pPr>
              <w:spacing w:after="0" w:line="240" w:lineRule="auto"/>
              <w:jc w:val="both"/>
              <w:rPr>
                <w:rFonts w:ascii="Times New Roman" w:hAnsi="Times New Roman"/>
                <w:b/>
                <w:sz w:val="20"/>
                <w:szCs w:val="20"/>
                <w:lang w:bidi="th-TH"/>
              </w:rPr>
            </w:pPr>
            <w:r w:rsidRPr="004A287C">
              <w:rPr>
                <w:rFonts w:ascii="Times New Roman" w:hAnsi="Times New Roman"/>
                <w:b/>
                <w:sz w:val="20"/>
                <w:szCs w:val="20"/>
              </w:rPr>
              <w:t>Samples</w:t>
            </w:r>
          </w:p>
        </w:tc>
        <w:tc>
          <w:tcPr>
            <w:tcW w:w="3867" w:type="pct"/>
            <w:gridSpan w:val="6"/>
            <w:tcBorders>
              <w:top w:val="single" w:sz="4" w:space="0" w:color="3C3C3C"/>
              <w:bottom w:val="single" w:sz="4" w:space="0" w:color="3C3C3C"/>
            </w:tcBorders>
            <w:vAlign w:val="center"/>
            <w:hideMark/>
          </w:tcPr>
          <w:p w:rsidR="00DF271A" w:rsidRPr="004A287C" w:rsidRDefault="00DF271A" w:rsidP="00A30457">
            <w:pPr>
              <w:spacing w:before="120" w:after="120" w:line="240" w:lineRule="auto"/>
              <w:jc w:val="center"/>
              <w:rPr>
                <w:rFonts w:ascii="Times New Roman" w:hAnsi="Times New Roman"/>
                <w:b/>
                <w:sz w:val="20"/>
                <w:szCs w:val="20"/>
                <w:lang w:bidi="th-TH"/>
              </w:rPr>
            </w:pPr>
            <w:r w:rsidRPr="004A287C">
              <w:rPr>
                <w:rFonts w:ascii="Times New Roman" w:hAnsi="Times New Roman"/>
                <w:b/>
                <w:sz w:val="20"/>
                <w:szCs w:val="20"/>
              </w:rPr>
              <w:t>Carotenoid content (mg/g DW)</w:t>
            </w:r>
          </w:p>
        </w:tc>
      </w:tr>
      <w:tr w:rsidR="00DF271A" w:rsidRPr="004A287C" w:rsidTr="00A30457">
        <w:trPr>
          <w:trHeight w:val="20"/>
          <w:jc w:val="center"/>
        </w:trPr>
        <w:tc>
          <w:tcPr>
            <w:tcW w:w="0" w:type="auto"/>
            <w:vMerge/>
            <w:tcBorders>
              <w:bottom w:val="single" w:sz="4" w:space="0" w:color="3C3C3C"/>
            </w:tcBorders>
            <w:vAlign w:val="center"/>
            <w:hideMark/>
          </w:tcPr>
          <w:p w:rsidR="00DF271A" w:rsidRPr="004A287C" w:rsidRDefault="00DF271A" w:rsidP="00A30457">
            <w:pPr>
              <w:spacing w:after="0" w:line="240" w:lineRule="auto"/>
              <w:jc w:val="both"/>
              <w:rPr>
                <w:rFonts w:ascii="Times New Roman" w:hAnsi="Times New Roman"/>
                <w:b/>
                <w:sz w:val="20"/>
                <w:szCs w:val="20"/>
                <w:lang w:bidi="th-TH"/>
              </w:rPr>
            </w:pPr>
          </w:p>
        </w:tc>
        <w:tc>
          <w:tcPr>
            <w:tcW w:w="0" w:type="auto"/>
            <w:vMerge/>
            <w:tcBorders>
              <w:bottom w:val="single" w:sz="4" w:space="0" w:color="3C3C3C"/>
            </w:tcBorders>
            <w:vAlign w:val="center"/>
            <w:hideMark/>
          </w:tcPr>
          <w:p w:rsidR="00DF271A" w:rsidRPr="004A287C" w:rsidRDefault="00DF271A" w:rsidP="00A30457">
            <w:pPr>
              <w:spacing w:after="0" w:line="240" w:lineRule="auto"/>
              <w:jc w:val="both"/>
              <w:rPr>
                <w:rFonts w:ascii="Times New Roman" w:hAnsi="Times New Roman"/>
                <w:b/>
                <w:sz w:val="20"/>
                <w:szCs w:val="20"/>
                <w:lang w:bidi="th-TH"/>
              </w:rPr>
            </w:pPr>
          </w:p>
        </w:tc>
        <w:tc>
          <w:tcPr>
            <w:tcW w:w="640" w:type="pct"/>
            <w:tcBorders>
              <w:top w:val="single" w:sz="4" w:space="0" w:color="3C3C3C"/>
              <w:bottom w:val="single" w:sz="4" w:space="0" w:color="3C3C3C"/>
            </w:tcBorders>
            <w:vAlign w:val="center"/>
            <w:hideMark/>
          </w:tcPr>
          <w:p w:rsidR="00DF271A" w:rsidRPr="004A287C" w:rsidRDefault="00DF271A" w:rsidP="00A30457">
            <w:pPr>
              <w:spacing w:after="120" w:line="240" w:lineRule="auto"/>
              <w:jc w:val="center"/>
              <w:rPr>
                <w:rFonts w:ascii="Times New Roman" w:hAnsi="Times New Roman"/>
                <w:b/>
                <w:sz w:val="20"/>
                <w:szCs w:val="20"/>
                <w:lang w:bidi="th-TH"/>
              </w:rPr>
            </w:pPr>
            <w:r w:rsidRPr="004A287C">
              <w:rPr>
                <w:rFonts w:ascii="Times New Roman" w:hAnsi="Times New Roman"/>
                <w:b/>
                <w:sz w:val="20"/>
                <w:szCs w:val="20"/>
              </w:rPr>
              <w:t>Total carotenoid</w:t>
            </w:r>
          </w:p>
        </w:tc>
        <w:tc>
          <w:tcPr>
            <w:tcW w:w="641" w:type="pct"/>
            <w:tcBorders>
              <w:top w:val="single" w:sz="4" w:space="0" w:color="3C3C3C"/>
              <w:bottom w:val="single" w:sz="4" w:space="0" w:color="3C3C3C"/>
            </w:tcBorders>
            <w:vAlign w:val="center"/>
            <w:hideMark/>
          </w:tcPr>
          <w:p w:rsidR="00DF271A" w:rsidRPr="004A287C" w:rsidRDefault="00DF271A" w:rsidP="00A30457">
            <w:pPr>
              <w:spacing w:after="120" w:line="240" w:lineRule="auto"/>
              <w:jc w:val="both"/>
              <w:rPr>
                <w:rFonts w:ascii="Times New Roman" w:hAnsi="Times New Roman"/>
                <w:b/>
                <w:sz w:val="20"/>
                <w:szCs w:val="20"/>
                <w:lang w:bidi="th-TH"/>
              </w:rPr>
            </w:pPr>
            <w:r w:rsidRPr="004A287C">
              <w:rPr>
                <w:rFonts w:ascii="Times New Roman" w:hAnsi="Times New Roman"/>
                <w:b/>
                <w:sz w:val="20"/>
                <w:szCs w:val="20"/>
              </w:rPr>
              <w:t>Neoxanthin</w:t>
            </w:r>
          </w:p>
        </w:tc>
        <w:tc>
          <w:tcPr>
            <w:tcW w:w="703" w:type="pct"/>
            <w:tcBorders>
              <w:top w:val="single" w:sz="4" w:space="0" w:color="3C3C3C"/>
              <w:bottom w:val="single" w:sz="4" w:space="0" w:color="3C3C3C"/>
            </w:tcBorders>
            <w:vAlign w:val="center"/>
            <w:hideMark/>
          </w:tcPr>
          <w:p w:rsidR="00DF271A" w:rsidRPr="004A287C" w:rsidRDefault="00DF271A" w:rsidP="00A30457">
            <w:pPr>
              <w:spacing w:after="120" w:line="240" w:lineRule="auto"/>
              <w:jc w:val="both"/>
              <w:rPr>
                <w:rFonts w:ascii="Times New Roman" w:hAnsi="Times New Roman"/>
                <w:b/>
                <w:sz w:val="20"/>
                <w:szCs w:val="20"/>
                <w:lang w:bidi="th-TH"/>
              </w:rPr>
            </w:pPr>
            <w:r w:rsidRPr="004A287C">
              <w:rPr>
                <w:rFonts w:ascii="Times New Roman" w:hAnsi="Times New Roman"/>
                <w:b/>
                <w:sz w:val="20"/>
                <w:szCs w:val="20"/>
              </w:rPr>
              <w:t>Violaxanthin</w:t>
            </w:r>
          </w:p>
        </w:tc>
        <w:tc>
          <w:tcPr>
            <w:tcW w:w="606" w:type="pct"/>
            <w:tcBorders>
              <w:top w:val="single" w:sz="4" w:space="0" w:color="3C3C3C"/>
              <w:bottom w:val="single" w:sz="4" w:space="0" w:color="3C3C3C"/>
            </w:tcBorders>
            <w:vAlign w:val="center"/>
            <w:hideMark/>
          </w:tcPr>
          <w:p w:rsidR="00DF271A" w:rsidRPr="004A287C" w:rsidRDefault="00DF271A" w:rsidP="00A30457">
            <w:pPr>
              <w:spacing w:after="120" w:line="240" w:lineRule="auto"/>
              <w:jc w:val="both"/>
              <w:rPr>
                <w:rFonts w:ascii="Times New Roman" w:hAnsi="Times New Roman"/>
                <w:b/>
                <w:sz w:val="20"/>
                <w:szCs w:val="20"/>
                <w:lang w:bidi="th-TH"/>
              </w:rPr>
            </w:pPr>
            <w:r w:rsidRPr="004A287C">
              <w:rPr>
                <w:rFonts w:ascii="Times New Roman" w:hAnsi="Times New Roman"/>
                <w:b/>
                <w:sz w:val="20"/>
                <w:szCs w:val="20"/>
              </w:rPr>
              <w:t>Lutein</w:t>
            </w:r>
          </w:p>
        </w:tc>
        <w:tc>
          <w:tcPr>
            <w:tcW w:w="639" w:type="pct"/>
            <w:tcBorders>
              <w:top w:val="single" w:sz="4" w:space="0" w:color="3C3C3C"/>
              <w:bottom w:val="single" w:sz="4" w:space="0" w:color="3C3C3C"/>
            </w:tcBorders>
            <w:vAlign w:val="center"/>
            <w:hideMark/>
          </w:tcPr>
          <w:p w:rsidR="00DF271A" w:rsidRPr="004A287C" w:rsidRDefault="00DF271A" w:rsidP="00A30457">
            <w:pPr>
              <w:spacing w:after="120" w:line="240" w:lineRule="auto"/>
              <w:jc w:val="both"/>
              <w:rPr>
                <w:rFonts w:ascii="Times New Roman" w:hAnsi="Times New Roman"/>
                <w:b/>
                <w:sz w:val="20"/>
                <w:szCs w:val="20"/>
                <w:lang w:bidi="th-TH"/>
              </w:rPr>
            </w:pPr>
            <w:r w:rsidRPr="004A287C">
              <w:rPr>
                <w:rFonts w:ascii="Times New Roman" w:hAnsi="Times New Roman"/>
                <w:b/>
                <w:sz w:val="20"/>
                <w:szCs w:val="20"/>
              </w:rPr>
              <w:t>α-carotene</w:t>
            </w:r>
          </w:p>
        </w:tc>
        <w:tc>
          <w:tcPr>
            <w:tcW w:w="638" w:type="pct"/>
            <w:tcBorders>
              <w:top w:val="single" w:sz="4" w:space="0" w:color="3C3C3C"/>
              <w:bottom w:val="single" w:sz="4" w:space="0" w:color="3C3C3C"/>
            </w:tcBorders>
            <w:vAlign w:val="center"/>
            <w:hideMark/>
          </w:tcPr>
          <w:p w:rsidR="00DF271A" w:rsidRPr="004A287C" w:rsidRDefault="00DF271A" w:rsidP="00A30457">
            <w:pPr>
              <w:spacing w:after="120" w:line="240" w:lineRule="auto"/>
              <w:jc w:val="both"/>
              <w:rPr>
                <w:rFonts w:ascii="Times New Roman" w:hAnsi="Times New Roman"/>
                <w:b/>
                <w:sz w:val="20"/>
                <w:szCs w:val="20"/>
                <w:lang w:bidi="th-TH"/>
              </w:rPr>
            </w:pPr>
            <w:r w:rsidRPr="004A287C">
              <w:rPr>
                <w:rFonts w:ascii="Times New Roman" w:hAnsi="Times New Roman"/>
                <w:b/>
                <w:sz w:val="20"/>
                <w:szCs w:val="20"/>
              </w:rPr>
              <w:t>β-carotene</w:t>
            </w:r>
          </w:p>
        </w:tc>
      </w:tr>
      <w:tr w:rsidR="00DF271A" w:rsidRPr="004A287C" w:rsidTr="00A30457">
        <w:trPr>
          <w:trHeight w:val="20"/>
          <w:jc w:val="center"/>
        </w:trPr>
        <w:tc>
          <w:tcPr>
            <w:tcW w:w="492" w:type="pct"/>
            <w:tcBorders>
              <w:top w:val="single" w:sz="4" w:space="0" w:color="3C3C3C"/>
            </w:tcBorders>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w:t>
            </w:r>
          </w:p>
        </w:tc>
        <w:tc>
          <w:tcPr>
            <w:tcW w:w="641" w:type="pct"/>
            <w:tcBorders>
              <w:top w:val="single" w:sz="4" w:space="0" w:color="3C3C3C"/>
            </w:tcBorders>
            <w:vAlign w:val="center"/>
            <w:hideMark/>
          </w:tcPr>
          <w:p w:rsidR="00DF271A" w:rsidRPr="004A287C" w:rsidRDefault="00DF271A" w:rsidP="00A30457">
            <w:pPr>
              <w:spacing w:before="120" w:after="0" w:line="240" w:lineRule="auto"/>
              <w:jc w:val="both"/>
              <w:rPr>
                <w:rFonts w:ascii="Times New Roman" w:hAnsi="Times New Roman"/>
                <w:sz w:val="20"/>
                <w:szCs w:val="20"/>
                <w:lang w:bidi="th-TH"/>
              </w:rPr>
            </w:pPr>
            <w:r w:rsidRPr="004A287C">
              <w:rPr>
                <w:rFonts w:ascii="Times New Roman" w:hAnsi="Times New Roman"/>
                <w:sz w:val="20"/>
                <w:szCs w:val="20"/>
              </w:rPr>
              <w:t>Intact     leaves</w:t>
            </w:r>
          </w:p>
        </w:tc>
        <w:tc>
          <w:tcPr>
            <w:tcW w:w="640" w:type="pct"/>
            <w:tcBorders>
              <w:top w:val="single" w:sz="4" w:space="0" w:color="3C3C3C"/>
            </w:tcBorders>
            <w:vAlign w:val="center"/>
            <w:hideMark/>
          </w:tcPr>
          <w:p w:rsidR="00DF271A" w:rsidRPr="004A287C" w:rsidRDefault="00DF271A" w:rsidP="00A30457">
            <w:pPr>
              <w:spacing w:after="0" w:line="240" w:lineRule="auto"/>
              <w:rPr>
                <w:rFonts w:ascii="Times New Roman" w:hAnsi="Times New Roman"/>
                <w:sz w:val="20"/>
                <w:szCs w:val="20"/>
                <w:lang w:bidi="th-TH"/>
              </w:rPr>
            </w:pPr>
            <w:r w:rsidRPr="004A287C">
              <w:rPr>
                <w:rFonts w:ascii="Times New Roman" w:hAnsi="Times New Roman"/>
                <w:sz w:val="20"/>
                <w:szCs w:val="20"/>
              </w:rPr>
              <w:t>95.28 ±3.25</w:t>
            </w:r>
          </w:p>
        </w:tc>
        <w:tc>
          <w:tcPr>
            <w:tcW w:w="641" w:type="pct"/>
            <w:tcBorders>
              <w:top w:val="single" w:sz="4" w:space="0" w:color="3C3C3C"/>
            </w:tcBorders>
            <w:vAlign w:val="center"/>
            <w:hideMark/>
          </w:tcPr>
          <w:p w:rsidR="00DF271A" w:rsidRPr="004A287C" w:rsidRDefault="00DF271A" w:rsidP="00A30457">
            <w:pPr>
              <w:spacing w:after="0" w:line="240" w:lineRule="auto"/>
              <w:rPr>
                <w:rFonts w:ascii="Times New Roman" w:hAnsi="Times New Roman"/>
                <w:sz w:val="20"/>
                <w:szCs w:val="20"/>
                <w:lang w:bidi="th-TH"/>
              </w:rPr>
            </w:pPr>
            <w:r w:rsidRPr="004A287C">
              <w:rPr>
                <w:rFonts w:ascii="Times New Roman" w:hAnsi="Times New Roman"/>
                <w:sz w:val="20"/>
                <w:szCs w:val="20"/>
              </w:rPr>
              <w:t>65.16 ±3.22</w:t>
            </w:r>
          </w:p>
        </w:tc>
        <w:tc>
          <w:tcPr>
            <w:tcW w:w="703" w:type="pct"/>
            <w:tcBorders>
              <w:top w:val="single" w:sz="4" w:space="0" w:color="3C3C3C"/>
            </w:tcBorders>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17.97 ± 0.50</w:t>
            </w:r>
          </w:p>
        </w:tc>
        <w:tc>
          <w:tcPr>
            <w:tcW w:w="606" w:type="pct"/>
            <w:tcBorders>
              <w:top w:val="single" w:sz="4" w:space="0" w:color="3C3C3C"/>
            </w:tcBorders>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9.66 ± 0.00</w:t>
            </w:r>
          </w:p>
        </w:tc>
        <w:tc>
          <w:tcPr>
            <w:tcW w:w="639" w:type="pct"/>
            <w:tcBorders>
              <w:top w:val="single" w:sz="4" w:space="0" w:color="3C3C3C"/>
            </w:tcBorders>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0.53 ± 0.11</w:t>
            </w:r>
          </w:p>
        </w:tc>
        <w:tc>
          <w:tcPr>
            <w:tcW w:w="638" w:type="pct"/>
            <w:tcBorders>
              <w:top w:val="single" w:sz="4" w:space="0" w:color="3C3C3C"/>
            </w:tcBorders>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1.95 ± 0.00</w:t>
            </w:r>
          </w:p>
        </w:tc>
      </w:tr>
      <w:tr w:rsidR="00DF271A" w:rsidRPr="004A287C" w:rsidTr="00A30457">
        <w:trPr>
          <w:trHeight w:val="20"/>
          <w:jc w:val="center"/>
        </w:trPr>
        <w:tc>
          <w:tcPr>
            <w:tcW w:w="492" w:type="pct"/>
            <w:vMerge w:val="restart"/>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Shoot tips</w:t>
            </w:r>
          </w:p>
        </w:tc>
        <w:tc>
          <w:tcPr>
            <w:tcW w:w="641"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S1</w:t>
            </w:r>
          </w:p>
        </w:tc>
        <w:tc>
          <w:tcPr>
            <w:tcW w:w="640"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1.81 ± 0.01</w:t>
            </w:r>
          </w:p>
        </w:tc>
        <w:tc>
          <w:tcPr>
            <w:tcW w:w="641"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703"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606"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1.62 ± 0.01</w:t>
            </w:r>
          </w:p>
        </w:tc>
        <w:tc>
          <w:tcPr>
            <w:tcW w:w="639"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638"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0.19 ± 0.00</w:t>
            </w:r>
          </w:p>
        </w:tc>
      </w:tr>
      <w:tr w:rsidR="00DF271A" w:rsidRPr="004A287C" w:rsidTr="00A30457">
        <w:trPr>
          <w:trHeight w:val="20"/>
          <w:jc w:val="center"/>
        </w:trPr>
        <w:tc>
          <w:tcPr>
            <w:tcW w:w="0" w:type="auto"/>
            <w:vMerge/>
            <w:vAlign w:val="center"/>
            <w:hideMark/>
          </w:tcPr>
          <w:p w:rsidR="00DF271A" w:rsidRPr="004A287C" w:rsidRDefault="00DF271A" w:rsidP="00A30457">
            <w:pPr>
              <w:spacing w:after="0" w:line="240" w:lineRule="auto"/>
              <w:jc w:val="both"/>
              <w:rPr>
                <w:rFonts w:ascii="Times New Roman" w:hAnsi="Times New Roman"/>
                <w:sz w:val="20"/>
                <w:szCs w:val="20"/>
                <w:lang w:bidi="th-TH"/>
              </w:rPr>
            </w:pPr>
          </w:p>
        </w:tc>
        <w:tc>
          <w:tcPr>
            <w:tcW w:w="641"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S2</w:t>
            </w:r>
          </w:p>
        </w:tc>
        <w:tc>
          <w:tcPr>
            <w:tcW w:w="640"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1.65 ± 0.03</w:t>
            </w:r>
          </w:p>
        </w:tc>
        <w:tc>
          <w:tcPr>
            <w:tcW w:w="641"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703"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606"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1.52 ± 0.02</w:t>
            </w:r>
          </w:p>
        </w:tc>
        <w:tc>
          <w:tcPr>
            <w:tcW w:w="639"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638"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0.14 ± 0.00</w:t>
            </w:r>
          </w:p>
        </w:tc>
      </w:tr>
      <w:tr w:rsidR="00DF271A" w:rsidRPr="004A287C" w:rsidTr="00A30457">
        <w:trPr>
          <w:trHeight w:val="20"/>
          <w:jc w:val="center"/>
        </w:trPr>
        <w:tc>
          <w:tcPr>
            <w:tcW w:w="0" w:type="auto"/>
            <w:vMerge/>
            <w:vAlign w:val="center"/>
            <w:hideMark/>
          </w:tcPr>
          <w:p w:rsidR="00DF271A" w:rsidRPr="004A287C" w:rsidRDefault="00DF271A" w:rsidP="00A30457">
            <w:pPr>
              <w:spacing w:after="0" w:line="240" w:lineRule="auto"/>
              <w:jc w:val="both"/>
              <w:rPr>
                <w:rFonts w:ascii="Times New Roman" w:hAnsi="Times New Roman"/>
                <w:sz w:val="20"/>
                <w:szCs w:val="20"/>
                <w:lang w:bidi="th-TH"/>
              </w:rPr>
            </w:pPr>
          </w:p>
        </w:tc>
        <w:tc>
          <w:tcPr>
            <w:tcW w:w="641"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S3</w:t>
            </w:r>
          </w:p>
        </w:tc>
        <w:tc>
          <w:tcPr>
            <w:tcW w:w="640"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1.66 ± 0.01</w:t>
            </w:r>
          </w:p>
        </w:tc>
        <w:tc>
          <w:tcPr>
            <w:tcW w:w="641"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703"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606"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1.51 ± 0.01</w:t>
            </w:r>
          </w:p>
        </w:tc>
        <w:tc>
          <w:tcPr>
            <w:tcW w:w="639"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638"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0.15 ± 0.00</w:t>
            </w:r>
          </w:p>
        </w:tc>
      </w:tr>
      <w:tr w:rsidR="00DF271A" w:rsidRPr="004A287C" w:rsidTr="00A30457">
        <w:trPr>
          <w:trHeight w:val="20"/>
          <w:jc w:val="center"/>
        </w:trPr>
        <w:tc>
          <w:tcPr>
            <w:tcW w:w="492" w:type="pct"/>
            <w:vMerge w:val="restart"/>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Leaves</w:t>
            </w:r>
          </w:p>
        </w:tc>
        <w:tc>
          <w:tcPr>
            <w:tcW w:w="641"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L1</w:t>
            </w:r>
          </w:p>
        </w:tc>
        <w:tc>
          <w:tcPr>
            <w:tcW w:w="640"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1.71 ± 0.00</w:t>
            </w:r>
          </w:p>
        </w:tc>
        <w:tc>
          <w:tcPr>
            <w:tcW w:w="641"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703"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606"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1.57 ± 0.00</w:t>
            </w:r>
          </w:p>
        </w:tc>
        <w:tc>
          <w:tcPr>
            <w:tcW w:w="639"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638"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0.14 ± 0.00</w:t>
            </w:r>
          </w:p>
        </w:tc>
      </w:tr>
      <w:tr w:rsidR="00DF271A" w:rsidRPr="004A287C" w:rsidTr="00A30457">
        <w:trPr>
          <w:trHeight w:val="20"/>
          <w:jc w:val="center"/>
        </w:trPr>
        <w:tc>
          <w:tcPr>
            <w:tcW w:w="0" w:type="auto"/>
            <w:vMerge/>
            <w:vAlign w:val="center"/>
            <w:hideMark/>
          </w:tcPr>
          <w:p w:rsidR="00DF271A" w:rsidRPr="004A287C" w:rsidRDefault="00DF271A" w:rsidP="00A30457">
            <w:pPr>
              <w:spacing w:after="0" w:line="240" w:lineRule="auto"/>
              <w:jc w:val="both"/>
              <w:rPr>
                <w:rFonts w:ascii="Times New Roman" w:hAnsi="Times New Roman"/>
                <w:sz w:val="20"/>
                <w:szCs w:val="20"/>
                <w:lang w:bidi="th-TH"/>
              </w:rPr>
            </w:pPr>
          </w:p>
        </w:tc>
        <w:tc>
          <w:tcPr>
            <w:tcW w:w="641"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L2</w:t>
            </w:r>
          </w:p>
        </w:tc>
        <w:tc>
          <w:tcPr>
            <w:tcW w:w="640"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1.70 ± 0.01</w:t>
            </w:r>
          </w:p>
        </w:tc>
        <w:tc>
          <w:tcPr>
            <w:tcW w:w="641"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703"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606"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1.55 ± 0.00</w:t>
            </w:r>
          </w:p>
        </w:tc>
        <w:tc>
          <w:tcPr>
            <w:tcW w:w="639"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638" w:type="pct"/>
            <w:vAlign w:val="center"/>
            <w:hideMark/>
          </w:tcPr>
          <w:p w:rsidR="00DF271A" w:rsidRPr="004A287C" w:rsidRDefault="00DF271A" w:rsidP="00A30457">
            <w:pPr>
              <w:spacing w:after="0" w:line="240" w:lineRule="auto"/>
              <w:jc w:val="both"/>
              <w:rPr>
                <w:rFonts w:ascii="Times New Roman" w:hAnsi="Times New Roman"/>
                <w:sz w:val="20"/>
                <w:szCs w:val="20"/>
                <w:lang w:bidi="th-TH"/>
              </w:rPr>
            </w:pPr>
            <w:r w:rsidRPr="004A287C">
              <w:rPr>
                <w:rFonts w:ascii="Times New Roman" w:hAnsi="Times New Roman"/>
                <w:sz w:val="20"/>
                <w:szCs w:val="20"/>
              </w:rPr>
              <w:t>0.15 ± 0.01</w:t>
            </w:r>
          </w:p>
        </w:tc>
      </w:tr>
      <w:tr w:rsidR="00DF271A" w:rsidRPr="004A287C" w:rsidTr="00A30457">
        <w:trPr>
          <w:trHeight w:val="20"/>
          <w:jc w:val="center"/>
        </w:trPr>
        <w:tc>
          <w:tcPr>
            <w:tcW w:w="0" w:type="auto"/>
            <w:vMerge/>
            <w:tcBorders>
              <w:bottom w:val="single" w:sz="4" w:space="0" w:color="3C3C3C"/>
            </w:tcBorders>
            <w:vAlign w:val="center"/>
            <w:hideMark/>
          </w:tcPr>
          <w:p w:rsidR="00DF271A" w:rsidRPr="004A287C" w:rsidRDefault="00DF271A" w:rsidP="00A30457">
            <w:pPr>
              <w:spacing w:after="0" w:line="240" w:lineRule="auto"/>
              <w:jc w:val="both"/>
              <w:rPr>
                <w:rFonts w:ascii="Times New Roman" w:hAnsi="Times New Roman"/>
                <w:sz w:val="20"/>
                <w:szCs w:val="20"/>
                <w:lang w:bidi="th-TH"/>
              </w:rPr>
            </w:pPr>
          </w:p>
        </w:tc>
        <w:tc>
          <w:tcPr>
            <w:tcW w:w="641" w:type="pct"/>
            <w:tcBorders>
              <w:bottom w:val="single" w:sz="4" w:space="0" w:color="3C3C3C"/>
            </w:tcBorders>
            <w:vAlign w:val="center"/>
            <w:hideMark/>
          </w:tcPr>
          <w:p w:rsidR="00DF271A" w:rsidRPr="004A287C" w:rsidRDefault="00DF271A" w:rsidP="00A30457">
            <w:pPr>
              <w:spacing w:after="120" w:line="240" w:lineRule="auto"/>
              <w:jc w:val="both"/>
              <w:rPr>
                <w:rFonts w:ascii="Times New Roman" w:hAnsi="Times New Roman"/>
                <w:sz w:val="20"/>
                <w:szCs w:val="20"/>
                <w:lang w:bidi="th-TH"/>
              </w:rPr>
            </w:pPr>
            <w:r w:rsidRPr="004A287C">
              <w:rPr>
                <w:rFonts w:ascii="Times New Roman" w:hAnsi="Times New Roman"/>
                <w:sz w:val="20"/>
                <w:szCs w:val="20"/>
              </w:rPr>
              <w:t>L3</w:t>
            </w:r>
          </w:p>
        </w:tc>
        <w:tc>
          <w:tcPr>
            <w:tcW w:w="640" w:type="pct"/>
            <w:tcBorders>
              <w:bottom w:val="single" w:sz="4" w:space="0" w:color="3C3C3C"/>
            </w:tcBorders>
            <w:vAlign w:val="center"/>
            <w:hideMark/>
          </w:tcPr>
          <w:p w:rsidR="00DF271A" w:rsidRPr="004A287C" w:rsidRDefault="00DF271A" w:rsidP="00A30457">
            <w:pPr>
              <w:spacing w:after="120" w:line="240" w:lineRule="auto"/>
              <w:jc w:val="both"/>
              <w:rPr>
                <w:rFonts w:ascii="Times New Roman" w:hAnsi="Times New Roman"/>
                <w:sz w:val="20"/>
                <w:szCs w:val="20"/>
                <w:lang w:bidi="th-TH"/>
              </w:rPr>
            </w:pPr>
            <w:r w:rsidRPr="004A287C">
              <w:rPr>
                <w:rFonts w:ascii="Times New Roman" w:hAnsi="Times New Roman"/>
                <w:sz w:val="20"/>
                <w:szCs w:val="20"/>
              </w:rPr>
              <w:t>1.68 ± 0.00</w:t>
            </w:r>
          </w:p>
        </w:tc>
        <w:tc>
          <w:tcPr>
            <w:tcW w:w="641" w:type="pct"/>
            <w:tcBorders>
              <w:bottom w:val="single" w:sz="4" w:space="0" w:color="3C3C3C"/>
            </w:tcBorders>
            <w:vAlign w:val="center"/>
            <w:hideMark/>
          </w:tcPr>
          <w:p w:rsidR="00DF271A" w:rsidRPr="004A287C" w:rsidRDefault="00DF271A" w:rsidP="00A30457">
            <w:pPr>
              <w:spacing w:after="12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703" w:type="pct"/>
            <w:tcBorders>
              <w:bottom w:val="single" w:sz="4" w:space="0" w:color="3C3C3C"/>
            </w:tcBorders>
            <w:vAlign w:val="center"/>
            <w:hideMark/>
          </w:tcPr>
          <w:p w:rsidR="00DF271A" w:rsidRPr="004A287C" w:rsidRDefault="00DF271A" w:rsidP="00A30457">
            <w:pPr>
              <w:spacing w:after="12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606" w:type="pct"/>
            <w:tcBorders>
              <w:bottom w:val="single" w:sz="4" w:space="0" w:color="3C3C3C"/>
            </w:tcBorders>
            <w:vAlign w:val="center"/>
            <w:hideMark/>
          </w:tcPr>
          <w:p w:rsidR="00DF271A" w:rsidRPr="004A287C" w:rsidRDefault="00DF271A" w:rsidP="00A30457">
            <w:pPr>
              <w:spacing w:after="120" w:line="240" w:lineRule="auto"/>
              <w:jc w:val="both"/>
              <w:rPr>
                <w:rFonts w:ascii="Times New Roman" w:hAnsi="Times New Roman"/>
                <w:sz w:val="20"/>
                <w:szCs w:val="20"/>
                <w:lang w:bidi="th-TH"/>
              </w:rPr>
            </w:pPr>
            <w:r w:rsidRPr="004A287C">
              <w:rPr>
                <w:rFonts w:ascii="Times New Roman" w:hAnsi="Times New Roman"/>
                <w:sz w:val="20"/>
                <w:szCs w:val="20"/>
              </w:rPr>
              <w:t>1.54 ± 0.03</w:t>
            </w:r>
          </w:p>
        </w:tc>
        <w:tc>
          <w:tcPr>
            <w:tcW w:w="639" w:type="pct"/>
            <w:tcBorders>
              <w:bottom w:val="single" w:sz="4" w:space="0" w:color="3C3C3C"/>
            </w:tcBorders>
            <w:vAlign w:val="center"/>
            <w:hideMark/>
          </w:tcPr>
          <w:p w:rsidR="00DF271A" w:rsidRPr="004A287C" w:rsidRDefault="00DF271A" w:rsidP="00A30457">
            <w:pPr>
              <w:spacing w:after="120" w:line="240" w:lineRule="auto"/>
              <w:jc w:val="both"/>
              <w:rPr>
                <w:rFonts w:ascii="Times New Roman" w:hAnsi="Times New Roman"/>
                <w:sz w:val="20"/>
                <w:szCs w:val="20"/>
                <w:lang w:bidi="th-TH"/>
              </w:rPr>
            </w:pPr>
            <w:r w:rsidRPr="004A287C">
              <w:rPr>
                <w:rFonts w:ascii="Times New Roman" w:hAnsi="Times New Roman"/>
                <w:sz w:val="20"/>
                <w:szCs w:val="20"/>
              </w:rPr>
              <w:t>nd</w:t>
            </w:r>
          </w:p>
        </w:tc>
        <w:tc>
          <w:tcPr>
            <w:tcW w:w="638" w:type="pct"/>
            <w:tcBorders>
              <w:bottom w:val="single" w:sz="4" w:space="0" w:color="3C3C3C"/>
            </w:tcBorders>
            <w:vAlign w:val="center"/>
            <w:hideMark/>
          </w:tcPr>
          <w:p w:rsidR="00DF271A" w:rsidRPr="004A287C" w:rsidRDefault="00DF271A" w:rsidP="00A30457">
            <w:pPr>
              <w:spacing w:after="120" w:line="240" w:lineRule="auto"/>
              <w:jc w:val="both"/>
              <w:rPr>
                <w:rFonts w:ascii="Times New Roman" w:hAnsi="Times New Roman"/>
                <w:sz w:val="20"/>
                <w:szCs w:val="20"/>
                <w:lang w:bidi="th-TH"/>
              </w:rPr>
            </w:pPr>
            <w:r w:rsidRPr="004A287C">
              <w:rPr>
                <w:rFonts w:ascii="Times New Roman" w:hAnsi="Times New Roman"/>
                <w:sz w:val="20"/>
                <w:szCs w:val="20"/>
              </w:rPr>
              <w:t>0.16 ± 0.00</w:t>
            </w:r>
          </w:p>
        </w:tc>
      </w:tr>
      <w:tr w:rsidR="00DF271A" w:rsidRPr="004A287C" w:rsidTr="00A30457">
        <w:trPr>
          <w:trHeight w:val="20"/>
          <w:jc w:val="center"/>
        </w:trPr>
        <w:tc>
          <w:tcPr>
            <w:tcW w:w="5000" w:type="pct"/>
            <w:gridSpan w:val="8"/>
            <w:vAlign w:val="center"/>
            <w:hideMark/>
          </w:tcPr>
          <w:p w:rsidR="00DF271A" w:rsidRPr="004A287C" w:rsidRDefault="00DF271A" w:rsidP="00A30457">
            <w:pPr>
              <w:spacing w:before="120" w:after="0" w:line="240" w:lineRule="auto"/>
              <w:jc w:val="both"/>
              <w:rPr>
                <w:rFonts w:ascii="Times New Roman" w:hAnsi="Times New Roman"/>
                <w:sz w:val="18"/>
                <w:szCs w:val="18"/>
                <w:lang w:bidi="th-TH"/>
              </w:rPr>
            </w:pPr>
            <w:r w:rsidRPr="004A287C">
              <w:rPr>
                <w:rFonts w:ascii="Times New Roman" w:hAnsi="Times New Roman"/>
                <w:sz w:val="18"/>
                <w:szCs w:val="18"/>
              </w:rPr>
              <w:t xml:space="preserve">nd - non-detectable, significantly different at </w:t>
            </w:r>
            <w:r w:rsidRPr="004A287C">
              <w:rPr>
                <w:rFonts w:ascii="Times New Roman" w:hAnsi="Times New Roman"/>
                <w:i/>
                <w:sz w:val="18"/>
                <w:szCs w:val="18"/>
              </w:rPr>
              <w:t xml:space="preserve">p </w:t>
            </w:r>
            <w:r w:rsidRPr="004A287C">
              <w:rPr>
                <w:rFonts w:ascii="Times New Roman" w:hAnsi="Times New Roman"/>
                <w:sz w:val="18"/>
                <w:szCs w:val="18"/>
              </w:rPr>
              <w:t>&lt;0.0001</w:t>
            </w:r>
          </w:p>
        </w:tc>
      </w:tr>
    </w:tbl>
    <w:p w:rsidR="00DF271A" w:rsidRDefault="00DF271A" w:rsidP="00DF271A">
      <w:pPr>
        <w:pStyle w:val="ListParagraph"/>
        <w:tabs>
          <w:tab w:val="left" w:pos="440"/>
        </w:tabs>
        <w:autoSpaceDE w:val="0"/>
        <w:autoSpaceDN w:val="0"/>
        <w:adjustRightInd w:val="0"/>
        <w:spacing w:after="0" w:line="240" w:lineRule="auto"/>
        <w:ind w:left="0"/>
        <w:jc w:val="both"/>
        <w:rPr>
          <w:rFonts w:ascii="Times New Roman" w:hAnsi="Times New Roman"/>
          <w:b/>
          <w:bCs/>
          <w:sz w:val="20"/>
          <w:szCs w:val="20"/>
        </w:rPr>
      </w:pPr>
    </w:p>
    <w:p w:rsidR="00DF271A" w:rsidRPr="00E44031" w:rsidRDefault="00DF271A" w:rsidP="00DF271A">
      <w:pPr>
        <w:pStyle w:val="ListParagraph"/>
        <w:tabs>
          <w:tab w:val="left" w:pos="440"/>
        </w:tabs>
        <w:autoSpaceDE w:val="0"/>
        <w:autoSpaceDN w:val="0"/>
        <w:adjustRightInd w:val="0"/>
        <w:spacing w:after="0" w:line="240" w:lineRule="auto"/>
        <w:ind w:left="0"/>
        <w:jc w:val="both"/>
        <w:rPr>
          <w:rFonts w:ascii="Times New Roman" w:hAnsi="Times New Roman"/>
          <w:b/>
          <w:bCs/>
          <w:sz w:val="20"/>
          <w:szCs w:val="20"/>
        </w:rPr>
      </w:pPr>
    </w:p>
    <w:p w:rsidR="00DF271A" w:rsidRPr="00E44031" w:rsidRDefault="00DF271A" w:rsidP="00DF271A">
      <w:pPr>
        <w:pStyle w:val="ListParagraph"/>
        <w:tabs>
          <w:tab w:val="left" w:pos="440"/>
        </w:tabs>
        <w:autoSpaceDE w:val="0"/>
        <w:autoSpaceDN w:val="0"/>
        <w:adjustRightInd w:val="0"/>
        <w:spacing w:after="0" w:line="240" w:lineRule="auto"/>
        <w:ind w:left="0"/>
        <w:jc w:val="both"/>
        <w:rPr>
          <w:rFonts w:ascii="Times New Roman" w:hAnsi="Times New Roman"/>
          <w:b/>
          <w:bCs/>
          <w:sz w:val="20"/>
          <w:szCs w:val="20"/>
        </w:rPr>
      </w:pPr>
      <w:r w:rsidRPr="00E44031">
        <w:rPr>
          <w:rFonts w:ascii="Times New Roman" w:hAnsi="Times New Roman"/>
          <w:b/>
          <w:bCs/>
          <w:sz w:val="20"/>
          <w:szCs w:val="20"/>
        </w:rPr>
        <w:t xml:space="preserve">Carotenoid accumulation in intact leaves and </w:t>
      </w:r>
      <w:r w:rsidRPr="00E44031">
        <w:rPr>
          <w:rFonts w:ascii="Times New Roman" w:hAnsi="Times New Roman"/>
          <w:b/>
          <w:bCs/>
          <w:i/>
          <w:sz w:val="20"/>
          <w:szCs w:val="20"/>
        </w:rPr>
        <w:t>in vitro</w:t>
      </w:r>
      <w:r w:rsidRPr="00E44031">
        <w:rPr>
          <w:rFonts w:ascii="Times New Roman" w:hAnsi="Times New Roman"/>
          <w:b/>
          <w:bCs/>
          <w:sz w:val="20"/>
          <w:szCs w:val="20"/>
        </w:rPr>
        <w:t xml:space="preserve"> cultures of </w:t>
      </w:r>
      <w:r w:rsidRPr="00E44031">
        <w:rPr>
          <w:rFonts w:ascii="Times New Roman" w:hAnsi="Times New Roman"/>
          <w:b/>
          <w:bCs/>
          <w:i/>
          <w:sz w:val="20"/>
          <w:szCs w:val="20"/>
        </w:rPr>
        <w:t>R. angustifolia</w:t>
      </w:r>
      <w:r w:rsidRPr="00E44031">
        <w:rPr>
          <w:rFonts w:ascii="Times New Roman" w:hAnsi="Times New Roman"/>
          <w:b/>
          <w:bCs/>
          <w:sz w:val="20"/>
          <w:szCs w:val="20"/>
        </w:rPr>
        <w:t xml:space="preserve"> in response to light</w:t>
      </w:r>
    </w:p>
    <w:p w:rsidR="00DF271A" w:rsidRPr="00E44031" w:rsidRDefault="00DF271A" w:rsidP="00DF271A">
      <w:pPr>
        <w:autoSpaceDE w:val="0"/>
        <w:autoSpaceDN w:val="0"/>
        <w:adjustRightInd w:val="0"/>
        <w:spacing w:after="0" w:line="240" w:lineRule="auto"/>
        <w:jc w:val="both"/>
        <w:rPr>
          <w:rFonts w:ascii="Times New Roman" w:hAnsi="Times New Roman"/>
          <w:sz w:val="20"/>
          <w:szCs w:val="20"/>
        </w:rPr>
      </w:pPr>
      <w:r w:rsidRPr="00E44031">
        <w:rPr>
          <w:rFonts w:ascii="Times New Roman" w:hAnsi="Times New Roman"/>
          <w:iCs/>
          <w:sz w:val="20"/>
          <w:szCs w:val="20"/>
        </w:rPr>
        <w:t xml:space="preserve">The leaves of </w:t>
      </w:r>
      <w:r w:rsidRPr="00E44031">
        <w:rPr>
          <w:rFonts w:ascii="Times New Roman" w:hAnsi="Times New Roman"/>
          <w:i/>
          <w:iCs/>
          <w:sz w:val="20"/>
          <w:szCs w:val="20"/>
        </w:rPr>
        <w:t xml:space="preserve">R. angustifolia </w:t>
      </w:r>
      <w:r w:rsidRPr="00E44031">
        <w:rPr>
          <w:rFonts w:ascii="Times New Roman" w:hAnsi="Times New Roman"/>
          <w:sz w:val="20"/>
          <w:szCs w:val="20"/>
        </w:rPr>
        <w:t xml:space="preserve">accumulated three major carotenoids where lutein was found in the highest level. The shoot cultures derived from stems contained the highest level of total carotenoids while callus cultures have the least carotenoid accumulation as tabulated in Table 3. The carotenoid accumulation of callus cultures was seen to be quite similar to that of intact leaves, although in varying concentrations. HPLC analysis has shown that lutein and β-carotene are two common carotenoids synthesized in all of the samples in comparable amounts. The retention of lutein and β-carotene as common carotenoids in each of the samples might be strongly correlated to their main functions in photosynthesis where the former is vital for its light-harvesting properties [26] while the latter is the first protective measures against free-radicals by-produced in the electron transport chain reaction [27]. There are other possibilities that could be significantly resulted in the carotenoid accumulation in the </w:t>
      </w:r>
      <w:r w:rsidRPr="00E44031">
        <w:rPr>
          <w:rFonts w:ascii="Times New Roman" w:hAnsi="Times New Roman"/>
          <w:i/>
          <w:iCs/>
          <w:sz w:val="20"/>
          <w:szCs w:val="20"/>
        </w:rPr>
        <w:t>in vitro</w:t>
      </w:r>
      <w:r w:rsidRPr="00E44031">
        <w:rPr>
          <w:rFonts w:ascii="Times New Roman" w:hAnsi="Times New Roman"/>
          <w:sz w:val="20"/>
          <w:szCs w:val="20"/>
        </w:rPr>
        <w:t xml:space="preserve"> cultures; a) developmental factors might significantly affect the activity of lycopene β-cyclase, lycopene ε-cyclase and carotenoid hydroxylases to limit the supply of lutein [28], b) competing cyclization steps of lycopene by both β-cyclase and ε-cyclase enzymes which determined channelling of lycopene into respective branching in the pathway [22].</w:t>
      </w:r>
    </w:p>
    <w:p w:rsidR="00DF271A" w:rsidRPr="00E44031" w:rsidRDefault="00DF271A" w:rsidP="00DF271A">
      <w:pPr>
        <w:autoSpaceDE w:val="0"/>
        <w:autoSpaceDN w:val="0"/>
        <w:adjustRightInd w:val="0"/>
        <w:spacing w:after="0" w:line="240" w:lineRule="auto"/>
        <w:jc w:val="both"/>
        <w:rPr>
          <w:rFonts w:ascii="Times New Roman" w:hAnsi="Times New Roman"/>
          <w:sz w:val="20"/>
          <w:szCs w:val="20"/>
        </w:rPr>
      </w:pPr>
    </w:p>
    <w:p w:rsidR="00DF271A" w:rsidRPr="00E44031" w:rsidRDefault="00DF271A" w:rsidP="00DF271A">
      <w:pPr>
        <w:autoSpaceDE w:val="0"/>
        <w:autoSpaceDN w:val="0"/>
        <w:adjustRightInd w:val="0"/>
        <w:spacing w:after="0" w:line="240" w:lineRule="auto"/>
        <w:jc w:val="both"/>
        <w:rPr>
          <w:rFonts w:ascii="Times New Roman" w:hAnsi="Times New Roman"/>
          <w:sz w:val="20"/>
          <w:szCs w:val="20"/>
        </w:rPr>
      </w:pPr>
    </w:p>
    <w:p w:rsidR="00DF271A" w:rsidRPr="00503AA2" w:rsidRDefault="00DF271A" w:rsidP="00DF271A">
      <w:pPr>
        <w:autoSpaceDE w:val="0"/>
        <w:autoSpaceDN w:val="0"/>
        <w:adjustRightInd w:val="0"/>
        <w:spacing w:after="120" w:line="240" w:lineRule="auto"/>
        <w:jc w:val="center"/>
        <w:rPr>
          <w:rFonts w:ascii="Times New Roman" w:hAnsi="Times New Roman"/>
          <w:sz w:val="20"/>
          <w:szCs w:val="20"/>
        </w:rPr>
      </w:pPr>
      <w:r w:rsidRPr="00503AA2">
        <w:rPr>
          <w:rFonts w:ascii="Times New Roman" w:hAnsi="Times New Roman"/>
          <w:sz w:val="20"/>
          <w:szCs w:val="20"/>
          <w:lang w:val="pt-BR"/>
        </w:rPr>
        <w:t xml:space="preserve">Table 3.  </w:t>
      </w:r>
      <w:r w:rsidRPr="00503AA2">
        <w:rPr>
          <w:rFonts w:ascii="Times New Roman" w:hAnsi="Times New Roman"/>
          <w:sz w:val="20"/>
          <w:szCs w:val="20"/>
        </w:rPr>
        <w:t xml:space="preserve">Carotenoid accumulation in intact leaves and </w:t>
      </w:r>
      <w:r w:rsidRPr="00503AA2">
        <w:rPr>
          <w:rFonts w:ascii="Times New Roman" w:hAnsi="Times New Roman"/>
          <w:i/>
          <w:sz w:val="20"/>
          <w:szCs w:val="20"/>
        </w:rPr>
        <w:t>in vitro</w:t>
      </w:r>
      <w:r w:rsidRPr="00503AA2">
        <w:rPr>
          <w:rFonts w:ascii="Times New Roman" w:hAnsi="Times New Roman"/>
          <w:sz w:val="20"/>
          <w:szCs w:val="20"/>
        </w:rPr>
        <w:t xml:space="preserve"> cultures of </w:t>
      </w:r>
      <w:r w:rsidRPr="00503AA2">
        <w:rPr>
          <w:rFonts w:ascii="Times New Roman" w:hAnsi="Times New Roman"/>
          <w:i/>
          <w:sz w:val="20"/>
          <w:szCs w:val="20"/>
        </w:rPr>
        <w:t>R. angustifolia</w:t>
      </w:r>
    </w:p>
    <w:tbl>
      <w:tblPr>
        <w:tblW w:w="5000" w:type="pct"/>
        <w:jc w:val="center"/>
        <w:tblLook w:val="04A0" w:firstRow="1" w:lastRow="0" w:firstColumn="1" w:lastColumn="0" w:noHBand="0" w:noVBand="1"/>
      </w:tblPr>
      <w:tblGrid>
        <w:gridCol w:w="1660"/>
        <w:gridCol w:w="1865"/>
        <w:gridCol w:w="1484"/>
        <w:gridCol w:w="1359"/>
        <w:gridCol w:w="1820"/>
        <w:gridCol w:w="1359"/>
      </w:tblGrid>
      <w:tr w:rsidR="00DF271A" w:rsidRPr="004A287C" w:rsidTr="00A30457">
        <w:trPr>
          <w:trHeight w:val="20"/>
          <w:jc w:val="center"/>
        </w:trPr>
        <w:tc>
          <w:tcPr>
            <w:tcW w:w="869" w:type="pct"/>
            <w:vMerge w:val="restart"/>
            <w:tcBorders>
              <w:top w:val="single" w:sz="4" w:space="0" w:color="3C3C3C"/>
            </w:tcBorders>
            <w:vAlign w:val="center"/>
          </w:tcPr>
          <w:p w:rsidR="00DF271A" w:rsidRPr="004A287C" w:rsidRDefault="00DF271A" w:rsidP="00A30457">
            <w:pPr>
              <w:spacing w:after="0" w:line="240" w:lineRule="auto"/>
              <w:jc w:val="center"/>
              <w:rPr>
                <w:rFonts w:ascii="Times New Roman" w:hAnsi="Times New Roman"/>
                <w:sz w:val="20"/>
                <w:szCs w:val="20"/>
                <w:lang w:bidi="th-TH"/>
              </w:rPr>
            </w:pPr>
          </w:p>
        </w:tc>
        <w:tc>
          <w:tcPr>
            <w:tcW w:w="4131" w:type="pct"/>
            <w:gridSpan w:val="5"/>
            <w:tcBorders>
              <w:top w:val="single" w:sz="4" w:space="0" w:color="3C3C3C"/>
            </w:tcBorders>
            <w:vAlign w:val="center"/>
            <w:hideMark/>
          </w:tcPr>
          <w:p w:rsidR="00DF271A" w:rsidRPr="004A287C" w:rsidRDefault="00DF271A" w:rsidP="00A30457">
            <w:pPr>
              <w:spacing w:before="120" w:after="0" w:line="240" w:lineRule="auto"/>
              <w:jc w:val="center"/>
              <w:rPr>
                <w:rFonts w:ascii="Times New Roman" w:hAnsi="Times New Roman"/>
                <w:b/>
                <w:sz w:val="20"/>
                <w:szCs w:val="20"/>
                <w:lang w:bidi="th-TH"/>
              </w:rPr>
            </w:pPr>
            <w:r w:rsidRPr="004A287C">
              <w:rPr>
                <w:rFonts w:ascii="Times New Roman" w:hAnsi="Times New Roman"/>
                <w:b/>
                <w:sz w:val="20"/>
                <w:szCs w:val="20"/>
              </w:rPr>
              <w:t>Carotenoid content (mg/g DW)</w:t>
            </w:r>
          </w:p>
        </w:tc>
      </w:tr>
      <w:tr w:rsidR="00DF271A" w:rsidRPr="004A287C" w:rsidTr="00A30457">
        <w:trPr>
          <w:trHeight w:val="20"/>
          <w:jc w:val="center"/>
        </w:trPr>
        <w:tc>
          <w:tcPr>
            <w:tcW w:w="0" w:type="auto"/>
            <w:vMerge/>
            <w:tcBorders>
              <w:bottom w:val="single" w:sz="4" w:space="0" w:color="3C3C3C"/>
            </w:tcBorders>
            <w:vAlign w:val="center"/>
            <w:hideMark/>
          </w:tcPr>
          <w:p w:rsidR="00DF271A" w:rsidRPr="004A287C" w:rsidRDefault="00DF271A" w:rsidP="00A30457">
            <w:pPr>
              <w:spacing w:after="0" w:line="240" w:lineRule="auto"/>
              <w:rPr>
                <w:rFonts w:ascii="Times New Roman" w:hAnsi="Times New Roman"/>
                <w:sz w:val="20"/>
                <w:szCs w:val="20"/>
                <w:lang w:bidi="th-TH"/>
              </w:rPr>
            </w:pPr>
          </w:p>
        </w:tc>
        <w:tc>
          <w:tcPr>
            <w:tcW w:w="977" w:type="pct"/>
            <w:tcBorders>
              <w:top w:val="single" w:sz="4" w:space="0" w:color="3C3C3C"/>
              <w:bottom w:val="single" w:sz="4" w:space="0" w:color="3C3C3C"/>
            </w:tcBorders>
            <w:vAlign w:val="center"/>
            <w:hideMark/>
          </w:tcPr>
          <w:p w:rsidR="00DF271A" w:rsidRPr="004A287C" w:rsidRDefault="00DF271A" w:rsidP="00A30457">
            <w:pPr>
              <w:spacing w:before="120" w:after="120" w:line="240" w:lineRule="auto"/>
              <w:jc w:val="center"/>
              <w:rPr>
                <w:rFonts w:ascii="Times New Roman" w:hAnsi="Times New Roman"/>
                <w:b/>
                <w:sz w:val="20"/>
                <w:szCs w:val="20"/>
                <w:lang w:bidi="th-TH"/>
              </w:rPr>
            </w:pPr>
            <w:r w:rsidRPr="004A287C">
              <w:rPr>
                <w:rFonts w:ascii="Times New Roman" w:hAnsi="Times New Roman"/>
                <w:b/>
                <w:sz w:val="20"/>
                <w:szCs w:val="20"/>
              </w:rPr>
              <w:t>Total carotenoid</w:t>
            </w:r>
          </w:p>
        </w:tc>
        <w:tc>
          <w:tcPr>
            <w:tcW w:w="777" w:type="pct"/>
            <w:tcBorders>
              <w:top w:val="single" w:sz="4" w:space="0" w:color="3C3C3C"/>
              <w:bottom w:val="single" w:sz="4" w:space="0" w:color="3C3C3C"/>
            </w:tcBorders>
            <w:vAlign w:val="center"/>
            <w:hideMark/>
          </w:tcPr>
          <w:p w:rsidR="00DF271A" w:rsidRPr="004A287C" w:rsidRDefault="00DF271A" w:rsidP="00A30457">
            <w:pPr>
              <w:spacing w:before="120" w:after="120" w:line="240" w:lineRule="auto"/>
              <w:jc w:val="center"/>
              <w:rPr>
                <w:rFonts w:ascii="Times New Roman" w:hAnsi="Times New Roman"/>
                <w:b/>
                <w:sz w:val="20"/>
                <w:szCs w:val="20"/>
                <w:lang w:bidi="th-TH"/>
              </w:rPr>
            </w:pPr>
            <w:r w:rsidRPr="004A287C">
              <w:rPr>
                <w:rFonts w:ascii="Times New Roman" w:hAnsi="Times New Roman"/>
                <w:b/>
                <w:sz w:val="20"/>
                <w:szCs w:val="20"/>
              </w:rPr>
              <w:t>Neoxanthin</w:t>
            </w:r>
          </w:p>
        </w:tc>
        <w:tc>
          <w:tcPr>
            <w:tcW w:w="712" w:type="pct"/>
            <w:tcBorders>
              <w:top w:val="single" w:sz="4" w:space="0" w:color="3C3C3C"/>
              <w:bottom w:val="single" w:sz="4" w:space="0" w:color="3C3C3C"/>
            </w:tcBorders>
            <w:vAlign w:val="center"/>
            <w:hideMark/>
          </w:tcPr>
          <w:p w:rsidR="00DF271A" w:rsidRPr="004A287C" w:rsidRDefault="00DF271A" w:rsidP="00A30457">
            <w:pPr>
              <w:spacing w:before="120" w:after="120" w:line="240" w:lineRule="auto"/>
              <w:jc w:val="center"/>
              <w:rPr>
                <w:rFonts w:ascii="Times New Roman" w:hAnsi="Times New Roman"/>
                <w:b/>
                <w:sz w:val="20"/>
                <w:szCs w:val="20"/>
                <w:lang w:bidi="th-TH"/>
              </w:rPr>
            </w:pPr>
            <w:r w:rsidRPr="004A287C">
              <w:rPr>
                <w:rFonts w:ascii="Times New Roman" w:hAnsi="Times New Roman"/>
                <w:b/>
                <w:sz w:val="20"/>
                <w:szCs w:val="20"/>
              </w:rPr>
              <w:t>Lutein</w:t>
            </w:r>
          </w:p>
        </w:tc>
        <w:tc>
          <w:tcPr>
            <w:tcW w:w="953" w:type="pct"/>
            <w:tcBorders>
              <w:top w:val="single" w:sz="4" w:space="0" w:color="3C3C3C"/>
              <w:bottom w:val="single" w:sz="4" w:space="0" w:color="3C3C3C"/>
            </w:tcBorders>
            <w:vAlign w:val="center"/>
            <w:hideMark/>
          </w:tcPr>
          <w:p w:rsidR="00DF271A" w:rsidRPr="004A287C" w:rsidRDefault="00DF271A" w:rsidP="00A30457">
            <w:pPr>
              <w:spacing w:before="120" w:after="120" w:line="240" w:lineRule="auto"/>
              <w:jc w:val="center"/>
              <w:rPr>
                <w:rFonts w:ascii="Times New Roman" w:hAnsi="Times New Roman"/>
                <w:b/>
                <w:sz w:val="20"/>
                <w:szCs w:val="20"/>
                <w:lang w:bidi="th-TH"/>
              </w:rPr>
            </w:pPr>
            <w:r w:rsidRPr="004A287C">
              <w:rPr>
                <w:rFonts w:ascii="Times New Roman" w:hAnsi="Times New Roman"/>
                <w:b/>
                <w:sz w:val="20"/>
                <w:szCs w:val="20"/>
              </w:rPr>
              <w:t>β-cryptoxanthin</w:t>
            </w:r>
          </w:p>
        </w:tc>
        <w:tc>
          <w:tcPr>
            <w:tcW w:w="712" w:type="pct"/>
            <w:tcBorders>
              <w:top w:val="single" w:sz="4" w:space="0" w:color="3C3C3C"/>
              <w:bottom w:val="single" w:sz="4" w:space="0" w:color="3C3C3C"/>
            </w:tcBorders>
            <w:vAlign w:val="center"/>
            <w:hideMark/>
          </w:tcPr>
          <w:p w:rsidR="00DF271A" w:rsidRPr="004A287C" w:rsidRDefault="00DF271A" w:rsidP="00A30457">
            <w:pPr>
              <w:spacing w:before="120" w:after="120" w:line="240" w:lineRule="auto"/>
              <w:jc w:val="center"/>
              <w:rPr>
                <w:rFonts w:ascii="Times New Roman" w:hAnsi="Times New Roman"/>
                <w:b/>
                <w:sz w:val="20"/>
                <w:szCs w:val="20"/>
                <w:lang w:bidi="th-TH"/>
              </w:rPr>
            </w:pPr>
            <w:r w:rsidRPr="004A287C">
              <w:rPr>
                <w:rFonts w:ascii="Times New Roman" w:hAnsi="Times New Roman"/>
                <w:b/>
                <w:sz w:val="20"/>
                <w:szCs w:val="20"/>
              </w:rPr>
              <w:t>β-carotene</w:t>
            </w:r>
          </w:p>
        </w:tc>
      </w:tr>
      <w:tr w:rsidR="00DF271A" w:rsidRPr="004A287C" w:rsidTr="00A30457">
        <w:trPr>
          <w:trHeight w:val="20"/>
          <w:jc w:val="center"/>
        </w:trPr>
        <w:tc>
          <w:tcPr>
            <w:tcW w:w="869" w:type="pct"/>
            <w:tcBorders>
              <w:top w:val="single" w:sz="4" w:space="0" w:color="3C3C3C"/>
            </w:tcBorders>
            <w:vAlign w:val="center"/>
            <w:hideMark/>
          </w:tcPr>
          <w:p w:rsidR="00DF271A" w:rsidRPr="004A287C" w:rsidRDefault="00DF271A" w:rsidP="00A30457">
            <w:pPr>
              <w:spacing w:before="120" w:after="0" w:line="240" w:lineRule="auto"/>
              <w:rPr>
                <w:rFonts w:ascii="Times New Roman" w:hAnsi="Times New Roman"/>
                <w:sz w:val="20"/>
                <w:szCs w:val="20"/>
                <w:lang w:bidi="th-TH"/>
              </w:rPr>
            </w:pPr>
            <w:r w:rsidRPr="004A287C">
              <w:rPr>
                <w:rFonts w:ascii="Times New Roman" w:hAnsi="Times New Roman"/>
                <w:sz w:val="20"/>
                <w:szCs w:val="20"/>
              </w:rPr>
              <w:t>Intact leaves</w:t>
            </w:r>
          </w:p>
        </w:tc>
        <w:tc>
          <w:tcPr>
            <w:tcW w:w="977" w:type="pct"/>
            <w:tcBorders>
              <w:top w:val="single" w:sz="4" w:space="0" w:color="3C3C3C"/>
            </w:tcBorders>
            <w:vAlign w:val="center"/>
            <w:hideMark/>
          </w:tcPr>
          <w:p w:rsidR="00DF271A" w:rsidRPr="004A287C" w:rsidRDefault="00DF271A" w:rsidP="00A30457">
            <w:pPr>
              <w:spacing w:before="120" w:after="0" w:line="240" w:lineRule="auto"/>
              <w:jc w:val="center"/>
              <w:rPr>
                <w:rFonts w:ascii="Times New Roman" w:hAnsi="Times New Roman"/>
                <w:sz w:val="20"/>
                <w:szCs w:val="20"/>
                <w:lang w:bidi="th-TH"/>
              </w:rPr>
            </w:pPr>
            <w:r w:rsidRPr="004A287C">
              <w:rPr>
                <w:rFonts w:ascii="Times New Roman" w:hAnsi="Times New Roman"/>
                <w:sz w:val="20"/>
                <w:szCs w:val="20"/>
              </w:rPr>
              <w:t>6.45 ± 0.56</w:t>
            </w:r>
          </w:p>
        </w:tc>
        <w:tc>
          <w:tcPr>
            <w:tcW w:w="777" w:type="pct"/>
            <w:tcBorders>
              <w:top w:val="single" w:sz="4" w:space="0" w:color="3C3C3C"/>
            </w:tcBorders>
            <w:vAlign w:val="center"/>
            <w:hideMark/>
          </w:tcPr>
          <w:p w:rsidR="00DF271A" w:rsidRPr="004A287C" w:rsidRDefault="00DF271A" w:rsidP="00A30457">
            <w:pPr>
              <w:spacing w:before="120" w:after="0" w:line="240" w:lineRule="auto"/>
              <w:jc w:val="center"/>
              <w:rPr>
                <w:rFonts w:ascii="Times New Roman" w:hAnsi="Times New Roman"/>
                <w:sz w:val="20"/>
                <w:szCs w:val="20"/>
                <w:lang w:bidi="th-TH"/>
              </w:rPr>
            </w:pPr>
            <w:r w:rsidRPr="004A287C">
              <w:rPr>
                <w:rFonts w:ascii="Times New Roman" w:hAnsi="Times New Roman"/>
                <w:sz w:val="20"/>
                <w:szCs w:val="20"/>
              </w:rPr>
              <w:t>nd</w:t>
            </w:r>
          </w:p>
        </w:tc>
        <w:tc>
          <w:tcPr>
            <w:tcW w:w="712" w:type="pct"/>
            <w:tcBorders>
              <w:top w:val="single" w:sz="4" w:space="0" w:color="3C3C3C"/>
            </w:tcBorders>
            <w:vAlign w:val="center"/>
            <w:hideMark/>
          </w:tcPr>
          <w:p w:rsidR="00DF271A" w:rsidRPr="004A287C" w:rsidRDefault="00DF271A" w:rsidP="00A30457">
            <w:pPr>
              <w:spacing w:before="120" w:after="0" w:line="240" w:lineRule="auto"/>
              <w:jc w:val="center"/>
              <w:rPr>
                <w:rFonts w:ascii="Times New Roman" w:hAnsi="Times New Roman"/>
                <w:sz w:val="20"/>
                <w:szCs w:val="20"/>
                <w:lang w:bidi="th-TH"/>
              </w:rPr>
            </w:pPr>
            <w:r w:rsidRPr="004A287C">
              <w:rPr>
                <w:rFonts w:ascii="Times New Roman" w:hAnsi="Times New Roman"/>
                <w:sz w:val="20"/>
                <w:szCs w:val="20"/>
              </w:rPr>
              <w:t>6.00 ± 0.11</w:t>
            </w:r>
          </w:p>
        </w:tc>
        <w:tc>
          <w:tcPr>
            <w:tcW w:w="953" w:type="pct"/>
            <w:tcBorders>
              <w:top w:val="single" w:sz="4" w:space="0" w:color="3C3C3C"/>
            </w:tcBorders>
            <w:vAlign w:val="center"/>
            <w:hideMark/>
          </w:tcPr>
          <w:p w:rsidR="00DF271A" w:rsidRPr="004A287C" w:rsidRDefault="00DF271A" w:rsidP="00A30457">
            <w:pPr>
              <w:spacing w:before="120" w:after="0" w:line="240" w:lineRule="auto"/>
              <w:jc w:val="center"/>
              <w:rPr>
                <w:rFonts w:ascii="Times New Roman" w:hAnsi="Times New Roman"/>
                <w:sz w:val="20"/>
                <w:szCs w:val="20"/>
                <w:lang w:bidi="th-TH"/>
              </w:rPr>
            </w:pPr>
            <w:r w:rsidRPr="004A287C">
              <w:rPr>
                <w:rFonts w:ascii="Times New Roman" w:hAnsi="Times New Roman"/>
                <w:sz w:val="20"/>
                <w:szCs w:val="20"/>
              </w:rPr>
              <w:t>0.04 ± 0.00</w:t>
            </w:r>
          </w:p>
        </w:tc>
        <w:tc>
          <w:tcPr>
            <w:tcW w:w="712" w:type="pct"/>
            <w:tcBorders>
              <w:top w:val="single" w:sz="4" w:space="0" w:color="3C3C3C"/>
            </w:tcBorders>
            <w:vAlign w:val="center"/>
            <w:hideMark/>
          </w:tcPr>
          <w:p w:rsidR="00DF271A" w:rsidRPr="004A287C" w:rsidRDefault="00DF271A" w:rsidP="00A30457">
            <w:pPr>
              <w:spacing w:before="120" w:after="0" w:line="240" w:lineRule="auto"/>
              <w:jc w:val="center"/>
              <w:rPr>
                <w:rFonts w:ascii="Times New Roman" w:hAnsi="Times New Roman"/>
                <w:sz w:val="20"/>
                <w:szCs w:val="20"/>
                <w:lang w:bidi="th-TH"/>
              </w:rPr>
            </w:pPr>
            <w:r w:rsidRPr="004A287C">
              <w:rPr>
                <w:rFonts w:ascii="Times New Roman" w:hAnsi="Times New Roman"/>
                <w:sz w:val="20"/>
                <w:szCs w:val="20"/>
              </w:rPr>
              <w:t>1.10 ± 0.01</w:t>
            </w:r>
          </w:p>
        </w:tc>
      </w:tr>
      <w:tr w:rsidR="00DF271A" w:rsidRPr="004A287C" w:rsidTr="00A30457">
        <w:trPr>
          <w:trHeight w:val="20"/>
          <w:jc w:val="center"/>
        </w:trPr>
        <w:tc>
          <w:tcPr>
            <w:tcW w:w="869" w:type="pct"/>
            <w:vAlign w:val="center"/>
            <w:hideMark/>
          </w:tcPr>
          <w:p w:rsidR="00DF271A" w:rsidRPr="004A287C" w:rsidRDefault="00DF271A" w:rsidP="00A30457">
            <w:pPr>
              <w:spacing w:after="0" w:line="240" w:lineRule="auto"/>
              <w:rPr>
                <w:rFonts w:ascii="Times New Roman" w:hAnsi="Times New Roman"/>
                <w:sz w:val="20"/>
                <w:szCs w:val="20"/>
                <w:lang w:bidi="th-TH"/>
              </w:rPr>
            </w:pPr>
            <w:r w:rsidRPr="004A287C">
              <w:rPr>
                <w:rFonts w:ascii="Times New Roman" w:hAnsi="Times New Roman"/>
                <w:sz w:val="20"/>
                <w:szCs w:val="20"/>
              </w:rPr>
              <w:t>Shoot cultures</w:t>
            </w:r>
          </w:p>
        </w:tc>
        <w:tc>
          <w:tcPr>
            <w:tcW w:w="977" w:type="pct"/>
            <w:vAlign w:val="center"/>
            <w:hideMark/>
          </w:tcPr>
          <w:p w:rsidR="00DF271A" w:rsidRPr="004A287C" w:rsidRDefault="00DF271A" w:rsidP="00A30457">
            <w:pPr>
              <w:spacing w:after="0" w:line="240" w:lineRule="auto"/>
              <w:jc w:val="center"/>
              <w:rPr>
                <w:rFonts w:ascii="Times New Roman" w:hAnsi="Times New Roman"/>
                <w:sz w:val="20"/>
                <w:szCs w:val="20"/>
                <w:lang w:bidi="th-TH"/>
              </w:rPr>
            </w:pPr>
            <w:r w:rsidRPr="004A287C">
              <w:rPr>
                <w:rFonts w:ascii="Times New Roman" w:hAnsi="Times New Roman"/>
                <w:sz w:val="20"/>
                <w:szCs w:val="20"/>
              </w:rPr>
              <w:t>14.70 ± 0.84</w:t>
            </w:r>
          </w:p>
        </w:tc>
        <w:tc>
          <w:tcPr>
            <w:tcW w:w="777" w:type="pct"/>
            <w:vAlign w:val="center"/>
            <w:hideMark/>
          </w:tcPr>
          <w:p w:rsidR="00DF271A" w:rsidRPr="004A287C" w:rsidRDefault="00DF271A" w:rsidP="00A30457">
            <w:pPr>
              <w:spacing w:after="0" w:line="240" w:lineRule="auto"/>
              <w:jc w:val="center"/>
              <w:rPr>
                <w:rFonts w:ascii="Times New Roman" w:hAnsi="Times New Roman"/>
                <w:sz w:val="20"/>
                <w:szCs w:val="20"/>
                <w:lang w:bidi="th-TH"/>
              </w:rPr>
            </w:pPr>
            <w:r w:rsidRPr="004A287C">
              <w:rPr>
                <w:rFonts w:ascii="Times New Roman" w:hAnsi="Times New Roman"/>
                <w:sz w:val="20"/>
                <w:szCs w:val="20"/>
              </w:rPr>
              <w:t>10.27 ± 0.62</w:t>
            </w:r>
          </w:p>
        </w:tc>
        <w:tc>
          <w:tcPr>
            <w:tcW w:w="712" w:type="pct"/>
            <w:vAlign w:val="center"/>
            <w:hideMark/>
          </w:tcPr>
          <w:p w:rsidR="00DF271A" w:rsidRPr="004A287C" w:rsidRDefault="00DF271A" w:rsidP="00A30457">
            <w:pPr>
              <w:spacing w:after="0" w:line="240" w:lineRule="auto"/>
              <w:jc w:val="center"/>
              <w:rPr>
                <w:rFonts w:ascii="Times New Roman" w:hAnsi="Times New Roman"/>
                <w:sz w:val="20"/>
                <w:szCs w:val="20"/>
                <w:lang w:bidi="th-TH"/>
              </w:rPr>
            </w:pPr>
            <w:r w:rsidRPr="004A287C">
              <w:rPr>
                <w:rFonts w:ascii="Times New Roman" w:hAnsi="Times New Roman"/>
                <w:sz w:val="20"/>
                <w:szCs w:val="20"/>
              </w:rPr>
              <w:t>2.75 ± 0.12</w:t>
            </w:r>
          </w:p>
        </w:tc>
        <w:tc>
          <w:tcPr>
            <w:tcW w:w="953" w:type="pct"/>
            <w:vAlign w:val="center"/>
            <w:hideMark/>
          </w:tcPr>
          <w:p w:rsidR="00DF271A" w:rsidRPr="004A287C" w:rsidRDefault="00DF271A" w:rsidP="00A30457">
            <w:pPr>
              <w:spacing w:after="0" w:line="240" w:lineRule="auto"/>
              <w:jc w:val="center"/>
              <w:rPr>
                <w:rFonts w:ascii="Times New Roman" w:hAnsi="Times New Roman"/>
                <w:sz w:val="20"/>
                <w:szCs w:val="20"/>
                <w:lang w:bidi="th-TH"/>
              </w:rPr>
            </w:pPr>
            <w:r w:rsidRPr="004A287C">
              <w:rPr>
                <w:rFonts w:ascii="Times New Roman" w:hAnsi="Times New Roman"/>
                <w:sz w:val="20"/>
                <w:szCs w:val="20"/>
              </w:rPr>
              <w:t>nd</w:t>
            </w:r>
          </w:p>
        </w:tc>
        <w:tc>
          <w:tcPr>
            <w:tcW w:w="712" w:type="pct"/>
            <w:vAlign w:val="center"/>
            <w:hideMark/>
          </w:tcPr>
          <w:p w:rsidR="00DF271A" w:rsidRPr="004A287C" w:rsidRDefault="00DF271A" w:rsidP="00A30457">
            <w:pPr>
              <w:spacing w:after="0" w:line="240" w:lineRule="auto"/>
              <w:jc w:val="center"/>
              <w:rPr>
                <w:rFonts w:ascii="Times New Roman" w:hAnsi="Times New Roman"/>
                <w:sz w:val="20"/>
                <w:szCs w:val="20"/>
                <w:lang w:bidi="th-TH"/>
              </w:rPr>
            </w:pPr>
            <w:r w:rsidRPr="004A287C">
              <w:rPr>
                <w:rFonts w:ascii="Times New Roman" w:hAnsi="Times New Roman"/>
                <w:sz w:val="20"/>
                <w:szCs w:val="20"/>
              </w:rPr>
              <w:t>1.68 ± 0.11</w:t>
            </w:r>
          </w:p>
        </w:tc>
      </w:tr>
      <w:tr w:rsidR="00DF271A" w:rsidRPr="004A287C" w:rsidTr="00A30457">
        <w:trPr>
          <w:trHeight w:val="20"/>
          <w:jc w:val="center"/>
        </w:trPr>
        <w:tc>
          <w:tcPr>
            <w:tcW w:w="869" w:type="pct"/>
            <w:tcBorders>
              <w:bottom w:val="single" w:sz="4" w:space="0" w:color="3C3C3C"/>
            </w:tcBorders>
            <w:vAlign w:val="center"/>
            <w:hideMark/>
          </w:tcPr>
          <w:p w:rsidR="00DF271A" w:rsidRPr="004A287C" w:rsidRDefault="00DF271A" w:rsidP="00A30457">
            <w:pPr>
              <w:spacing w:after="120" w:line="240" w:lineRule="auto"/>
              <w:rPr>
                <w:rFonts w:ascii="Times New Roman" w:hAnsi="Times New Roman"/>
                <w:sz w:val="20"/>
                <w:szCs w:val="20"/>
                <w:lang w:bidi="th-TH"/>
              </w:rPr>
            </w:pPr>
            <w:r w:rsidRPr="004A287C">
              <w:rPr>
                <w:rFonts w:ascii="Times New Roman" w:hAnsi="Times New Roman"/>
                <w:sz w:val="20"/>
                <w:szCs w:val="20"/>
              </w:rPr>
              <w:t>Callus cultures</w:t>
            </w:r>
          </w:p>
        </w:tc>
        <w:tc>
          <w:tcPr>
            <w:tcW w:w="977" w:type="pct"/>
            <w:tcBorders>
              <w:bottom w:val="single" w:sz="4" w:space="0" w:color="3C3C3C"/>
            </w:tcBorders>
            <w:vAlign w:val="center"/>
            <w:hideMark/>
          </w:tcPr>
          <w:p w:rsidR="00DF271A" w:rsidRPr="004A287C" w:rsidRDefault="00DF271A" w:rsidP="00A30457">
            <w:pPr>
              <w:spacing w:after="120" w:line="240" w:lineRule="auto"/>
              <w:jc w:val="center"/>
              <w:rPr>
                <w:rFonts w:ascii="Times New Roman" w:hAnsi="Times New Roman"/>
                <w:sz w:val="20"/>
                <w:szCs w:val="20"/>
                <w:lang w:bidi="th-TH"/>
              </w:rPr>
            </w:pPr>
            <w:r w:rsidRPr="004A287C">
              <w:rPr>
                <w:rFonts w:ascii="Times New Roman" w:hAnsi="Times New Roman"/>
                <w:sz w:val="20"/>
                <w:szCs w:val="20"/>
              </w:rPr>
              <w:t>1.76 ± 0.01</w:t>
            </w:r>
          </w:p>
        </w:tc>
        <w:tc>
          <w:tcPr>
            <w:tcW w:w="777" w:type="pct"/>
            <w:tcBorders>
              <w:bottom w:val="single" w:sz="4" w:space="0" w:color="3C3C3C"/>
            </w:tcBorders>
            <w:vAlign w:val="center"/>
            <w:hideMark/>
          </w:tcPr>
          <w:p w:rsidR="00DF271A" w:rsidRPr="004A287C" w:rsidRDefault="00DF271A" w:rsidP="00A30457">
            <w:pPr>
              <w:spacing w:after="120" w:line="240" w:lineRule="auto"/>
              <w:jc w:val="center"/>
              <w:rPr>
                <w:rFonts w:ascii="Times New Roman" w:hAnsi="Times New Roman"/>
                <w:sz w:val="20"/>
                <w:szCs w:val="20"/>
                <w:lang w:bidi="th-TH"/>
              </w:rPr>
            </w:pPr>
            <w:r w:rsidRPr="004A287C">
              <w:rPr>
                <w:rFonts w:ascii="Times New Roman" w:hAnsi="Times New Roman"/>
                <w:sz w:val="20"/>
                <w:szCs w:val="20"/>
              </w:rPr>
              <w:t>nd</w:t>
            </w:r>
          </w:p>
        </w:tc>
        <w:tc>
          <w:tcPr>
            <w:tcW w:w="712" w:type="pct"/>
            <w:tcBorders>
              <w:bottom w:val="single" w:sz="4" w:space="0" w:color="3C3C3C"/>
            </w:tcBorders>
            <w:vAlign w:val="center"/>
            <w:hideMark/>
          </w:tcPr>
          <w:p w:rsidR="00DF271A" w:rsidRPr="004A287C" w:rsidRDefault="00DF271A" w:rsidP="00A30457">
            <w:pPr>
              <w:spacing w:after="120" w:line="240" w:lineRule="auto"/>
              <w:jc w:val="center"/>
              <w:rPr>
                <w:rFonts w:ascii="Times New Roman" w:hAnsi="Times New Roman"/>
                <w:sz w:val="20"/>
                <w:szCs w:val="20"/>
                <w:lang w:bidi="th-TH"/>
              </w:rPr>
            </w:pPr>
            <w:r w:rsidRPr="004A287C">
              <w:rPr>
                <w:rFonts w:ascii="Times New Roman" w:hAnsi="Times New Roman"/>
                <w:sz w:val="20"/>
                <w:szCs w:val="20"/>
              </w:rPr>
              <w:t>1.54 ± 0.01</w:t>
            </w:r>
          </w:p>
        </w:tc>
        <w:tc>
          <w:tcPr>
            <w:tcW w:w="953" w:type="pct"/>
            <w:tcBorders>
              <w:bottom w:val="single" w:sz="4" w:space="0" w:color="3C3C3C"/>
            </w:tcBorders>
            <w:vAlign w:val="center"/>
            <w:hideMark/>
          </w:tcPr>
          <w:p w:rsidR="00DF271A" w:rsidRPr="004A287C" w:rsidRDefault="00DF271A" w:rsidP="00A30457">
            <w:pPr>
              <w:spacing w:after="120" w:line="240" w:lineRule="auto"/>
              <w:jc w:val="center"/>
              <w:rPr>
                <w:rFonts w:ascii="Times New Roman" w:hAnsi="Times New Roman"/>
                <w:sz w:val="20"/>
                <w:szCs w:val="20"/>
                <w:lang w:bidi="th-TH"/>
              </w:rPr>
            </w:pPr>
            <w:r w:rsidRPr="004A287C">
              <w:rPr>
                <w:rFonts w:ascii="Times New Roman" w:hAnsi="Times New Roman"/>
                <w:sz w:val="20"/>
                <w:szCs w:val="20"/>
              </w:rPr>
              <w:t>nd</w:t>
            </w:r>
          </w:p>
        </w:tc>
        <w:tc>
          <w:tcPr>
            <w:tcW w:w="712" w:type="pct"/>
            <w:tcBorders>
              <w:bottom w:val="single" w:sz="4" w:space="0" w:color="3C3C3C"/>
            </w:tcBorders>
            <w:vAlign w:val="center"/>
            <w:hideMark/>
          </w:tcPr>
          <w:p w:rsidR="00DF271A" w:rsidRPr="004A287C" w:rsidRDefault="00DF271A" w:rsidP="00A30457">
            <w:pPr>
              <w:spacing w:after="120" w:line="240" w:lineRule="auto"/>
              <w:jc w:val="center"/>
              <w:rPr>
                <w:rFonts w:ascii="Times New Roman" w:hAnsi="Times New Roman"/>
                <w:sz w:val="20"/>
                <w:szCs w:val="20"/>
                <w:lang w:bidi="th-TH"/>
              </w:rPr>
            </w:pPr>
            <w:r w:rsidRPr="004A287C">
              <w:rPr>
                <w:rFonts w:ascii="Times New Roman" w:hAnsi="Times New Roman"/>
                <w:sz w:val="20"/>
                <w:szCs w:val="20"/>
              </w:rPr>
              <w:t>0.22 ± 0.00</w:t>
            </w:r>
          </w:p>
        </w:tc>
      </w:tr>
      <w:tr w:rsidR="00DF271A" w:rsidRPr="004A287C" w:rsidTr="00A30457">
        <w:trPr>
          <w:trHeight w:val="20"/>
          <w:jc w:val="center"/>
        </w:trPr>
        <w:tc>
          <w:tcPr>
            <w:tcW w:w="5000" w:type="pct"/>
            <w:gridSpan w:val="6"/>
            <w:vAlign w:val="center"/>
            <w:hideMark/>
          </w:tcPr>
          <w:p w:rsidR="00DF271A" w:rsidRPr="004A287C" w:rsidRDefault="00DF271A" w:rsidP="00A30457">
            <w:pPr>
              <w:spacing w:before="120" w:after="0" w:line="240" w:lineRule="auto"/>
              <w:rPr>
                <w:rFonts w:ascii="Times New Roman" w:hAnsi="Times New Roman"/>
                <w:sz w:val="18"/>
                <w:szCs w:val="18"/>
                <w:lang w:bidi="th-TH"/>
              </w:rPr>
            </w:pPr>
            <w:r w:rsidRPr="004A287C">
              <w:rPr>
                <w:rFonts w:ascii="Times New Roman" w:hAnsi="Times New Roman"/>
                <w:sz w:val="18"/>
                <w:szCs w:val="18"/>
              </w:rPr>
              <w:t xml:space="preserve">nd - non-detectable, significantly different at </w:t>
            </w:r>
            <w:r w:rsidRPr="004A287C">
              <w:rPr>
                <w:rFonts w:ascii="Times New Roman" w:hAnsi="Times New Roman"/>
                <w:i/>
                <w:sz w:val="18"/>
                <w:szCs w:val="18"/>
              </w:rPr>
              <w:t xml:space="preserve">p </w:t>
            </w:r>
            <w:r w:rsidRPr="004A287C">
              <w:rPr>
                <w:rFonts w:ascii="Times New Roman" w:hAnsi="Times New Roman"/>
                <w:sz w:val="18"/>
                <w:szCs w:val="18"/>
              </w:rPr>
              <w:t>&lt;0.0001</w:t>
            </w:r>
          </w:p>
        </w:tc>
      </w:tr>
    </w:tbl>
    <w:p w:rsidR="00DF271A" w:rsidRDefault="00DF271A" w:rsidP="00DF271A">
      <w:pPr>
        <w:autoSpaceDE w:val="0"/>
        <w:autoSpaceDN w:val="0"/>
        <w:adjustRightInd w:val="0"/>
        <w:spacing w:after="0" w:line="240" w:lineRule="auto"/>
        <w:rPr>
          <w:sz w:val="20"/>
          <w:szCs w:val="20"/>
          <w:lang w:val="pt-BR" w:bidi="th-TH"/>
        </w:rPr>
      </w:pPr>
    </w:p>
    <w:p w:rsidR="00DF271A" w:rsidRPr="00F144A5" w:rsidRDefault="00DF271A" w:rsidP="00DF271A">
      <w:pPr>
        <w:autoSpaceDE w:val="0"/>
        <w:autoSpaceDN w:val="0"/>
        <w:adjustRightInd w:val="0"/>
        <w:spacing w:after="0" w:line="240" w:lineRule="auto"/>
        <w:rPr>
          <w:sz w:val="20"/>
          <w:szCs w:val="20"/>
          <w:lang w:val="pt-BR" w:bidi="th-TH"/>
        </w:rPr>
      </w:pPr>
    </w:p>
    <w:p w:rsidR="00DF271A" w:rsidRPr="00503AA2" w:rsidRDefault="00DF271A" w:rsidP="00DF271A">
      <w:pPr>
        <w:autoSpaceDE w:val="0"/>
        <w:autoSpaceDN w:val="0"/>
        <w:adjustRightInd w:val="0"/>
        <w:spacing w:after="0" w:line="240" w:lineRule="auto"/>
        <w:rPr>
          <w:rFonts w:ascii="Times New Roman" w:hAnsi="Times New Roman"/>
          <w:b/>
          <w:sz w:val="20"/>
          <w:szCs w:val="20"/>
          <w:lang w:val="pt-BR"/>
        </w:rPr>
      </w:pPr>
      <w:r w:rsidRPr="00503AA2">
        <w:rPr>
          <w:rFonts w:ascii="Times New Roman" w:hAnsi="Times New Roman"/>
          <w:b/>
          <w:sz w:val="20"/>
          <w:szCs w:val="20"/>
        </w:rPr>
        <w:t xml:space="preserve">Carotenoid accumulation in shoot cultures of </w:t>
      </w:r>
      <w:r w:rsidRPr="00503AA2">
        <w:rPr>
          <w:rFonts w:ascii="Times New Roman" w:hAnsi="Times New Roman"/>
          <w:b/>
          <w:i/>
          <w:sz w:val="20"/>
          <w:szCs w:val="20"/>
        </w:rPr>
        <w:t>R. angustifolia</w:t>
      </w:r>
      <w:r w:rsidRPr="00503AA2">
        <w:rPr>
          <w:rFonts w:ascii="Times New Roman" w:hAnsi="Times New Roman"/>
          <w:b/>
          <w:sz w:val="20"/>
          <w:szCs w:val="20"/>
        </w:rPr>
        <w:t xml:space="preserve"> in response to light and elicitor</w:t>
      </w:r>
    </w:p>
    <w:p w:rsidR="00DF271A" w:rsidRPr="00503AA2" w:rsidRDefault="00DF271A" w:rsidP="00DF271A">
      <w:pPr>
        <w:autoSpaceDE w:val="0"/>
        <w:autoSpaceDN w:val="0"/>
        <w:adjustRightInd w:val="0"/>
        <w:spacing w:after="0" w:line="240" w:lineRule="auto"/>
        <w:jc w:val="both"/>
        <w:rPr>
          <w:rFonts w:ascii="Times New Roman" w:hAnsi="Times New Roman"/>
          <w:sz w:val="20"/>
          <w:szCs w:val="20"/>
          <w:lang w:val="pt-BR"/>
        </w:rPr>
      </w:pPr>
      <w:r w:rsidRPr="00503AA2">
        <w:rPr>
          <w:rFonts w:ascii="Times New Roman" w:hAnsi="Times New Roman"/>
          <w:sz w:val="20"/>
          <w:szCs w:val="20"/>
          <w:lang w:val="pt-BR"/>
        </w:rPr>
        <w:t xml:space="preserve">The results for a preliminary experiment to study the effect of salicylic acid (SA) on carotenogenesis in the shoot cultures was tabulated in Table 4. The salicylic acid was used as an elicitor to impose water stress onto the cultures [29]. The growth rate of the shoots has been found to be inversely proportionate with the SA concentrations. There were two interesting observations here: a) increasing neoxanthin production in treatment with 50 mg/L SA, and b) dropping of the other three carotenoids as SA concentration increased. Endogenously, SA may serve as a cellular </w:t>
      </w:r>
      <w:r w:rsidRPr="00503AA2">
        <w:rPr>
          <w:rFonts w:ascii="Times New Roman" w:hAnsi="Times New Roman"/>
          <w:sz w:val="20"/>
          <w:szCs w:val="20"/>
          <w:lang w:val="pt-BR"/>
        </w:rPr>
        <w:lastRenderedPageBreak/>
        <w:t>growth and death controller [30]. Apart from that, employing the SA exogenously could trigger stresses to the plants which would significantly change the regulatory mechanisms of photosynthesis [31]. An increased amount of phytohormone abscisic acid (ABA) can be seen in the plants while responding to different stress conditions like drought, water, temperature and light and activates the signal transduction pathways to transmit the information among cellular components. Eventually, changes in genes expression were induced which influence the carotenoid biosynthesis in plants. Therefore, from Table 4, it can be observed that cellular metabolism in the shoot cultures may have been altered to form more neoxanthin in Treatment 1 whereas the enzyme (zeaxanthin epoxidase) activity that catalyzes the irreversible formation of violaxanthin to neoxanthin significantly reduced due to high concentration of SA and restricting the supply of the ABA precursors.</w:t>
      </w:r>
    </w:p>
    <w:p w:rsidR="00DF271A" w:rsidRPr="00503AA2" w:rsidRDefault="00DF271A" w:rsidP="00DF271A">
      <w:pPr>
        <w:autoSpaceDE w:val="0"/>
        <w:autoSpaceDN w:val="0"/>
        <w:adjustRightInd w:val="0"/>
        <w:spacing w:after="0" w:line="240" w:lineRule="auto"/>
        <w:rPr>
          <w:rFonts w:ascii="Times New Roman" w:hAnsi="Times New Roman"/>
          <w:sz w:val="20"/>
          <w:szCs w:val="20"/>
          <w:lang w:val="pt-BR"/>
        </w:rPr>
      </w:pPr>
    </w:p>
    <w:p w:rsidR="00DF271A" w:rsidRPr="00503AA2" w:rsidRDefault="00DF271A" w:rsidP="00DF271A">
      <w:pPr>
        <w:autoSpaceDE w:val="0"/>
        <w:autoSpaceDN w:val="0"/>
        <w:adjustRightInd w:val="0"/>
        <w:spacing w:after="0" w:line="240" w:lineRule="auto"/>
        <w:rPr>
          <w:rFonts w:ascii="Times New Roman" w:hAnsi="Times New Roman"/>
          <w:sz w:val="20"/>
          <w:szCs w:val="20"/>
          <w:lang w:val="pt-BR"/>
        </w:rPr>
      </w:pPr>
    </w:p>
    <w:p w:rsidR="00136B42" w:rsidRDefault="00DF271A" w:rsidP="00136B42">
      <w:pPr>
        <w:autoSpaceDE w:val="0"/>
        <w:autoSpaceDN w:val="0"/>
        <w:adjustRightInd w:val="0"/>
        <w:spacing w:after="0" w:line="240" w:lineRule="auto"/>
        <w:ind w:left="720" w:hanging="720"/>
        <w:jc w:val="center"/>
        <w:rPr>
          <w:rFonts w:ascii="Times New Roman" w:hAnsi="Times New Roman"/>
          <w:sz w:val="20"/>
          <w:szCs w:val="20"/>
        </w:rPr>
      </w:pPr>
      <w:r w:rsidRPr="00503AA2">
        <w:rPr>
          <w:rFonts w:ascii="Times New Roman" w:hAnsi="Times New Roman"/>
          <w:sz w:val="20"/>
          <w:szCs w:val="20"/>
          <w:lang w:val="pt-BR"/>
        </w:rPr>
        <w:t xml:space="preserve">Table 4. </w:t>
      </w:r>
      <w:r>
        <w:rPr>
          <w:rFonts w:ascii="Times New Roman" w:hAnsi="Times New Roman"/>
          <w:sz w:val="20"/>
          <w:szCs w:val="20"/>
          <w:lang w:val="pt-BR"/>
        </w:rPr>
        <w:t xml:space="preserve"> </w:t>
      </w:r>
      <w:r w:rsidRPr="00503AA2">
        <w:rPr>
          <w:rFonts w:ascii="Times New Roman" w:hAnsi="Times New Roman"/>
          <w:sz w:val="20"/>
          <w:szCs w:val="20"/>
        </w:rPr>
        <w:t xml:space="preserve">Carotenoid accumulation in shoot cultures of </w:t>
      </w:r>
      <w:r w:rsidRPr="00503AA2">
        <w:rPr>
          <w:rFonts w:ascii="Times New Roman" w:hAnsi="Times New Roman"/>
          <w:i/>
          <w:sz w:val="20"/>
          <w:szCs w:val="20"/>
        </w:rPr>
        <w:t>R. angustifolia</w:t>
      </w:r>
      <w:r w:rsidRPr="00503AA2">
        <w:rPr>
          <w:rFonts w:ascii="Times New Roman" w:hAnsi="Times New Roman"/>
          <w:sz w:val="20"/>
          <w:szCs w:val="20"/>
        </w:rPr>
        <w:t xml:space="preserve"> in response</w:t>
      </w:r>
      <w:r w:rsidR="00136B42">
        <w:rPr>
          <w:rFonts w:ascii="Times New Roman" w:hAnsi="Times New Roman"/>
          <w:sz w:val="20"/>
          <w:szCs w:val="20"/>
        </w:rPr>
        <w:t xml:space="preserve"> </w:t>
      </w:r>
      <w:r w:rsidRPr="00503AA2">
        <w:rPr>
          <w:rFonts w:ascii="Times New Roman" w:hAnsi="Times New Roman"/>
          <w:sz w:val="20"/>
          <w:szCs w:val="20"/>
        </w:rPr>
        <w:t>t</w:t>
      </w:r>
      <w:r w:rsidR="00136B42">
        <w:rPr>
          <w:rFonts w:ascii="Times New Roman" w:hAnsi="Times New Roman"/>
          <w:sz w:val="20"/>
          <w:szCs w:val="20"/>
        </w:rPr>
        <w:t xml:space="preserve">o light and elicitor </w:t>
      </w:r>
    </w:p>
    <w:p w:rsidR="00DF271A" w:rsidRPr="00503AA2" w:rsidRDefault="00136B42" w:rsidP="00136B42">
      <w:pPr>
        <w:autoSpaceDE w:val="0"/>
        <w:autoSpaceDN w:val="0"/>
        <w:adjustRightInd w:val="0"/>
        <w:spacing w:after="120" w:line="240" w:lineRule="auto"/>
        <w:ind w:left="720" w:hanging="720"/>
        <w:jc w:val="center"/>
        <w:rPr>
          <w:rFonts w:ascii="Times New Roman" w:hAnsi="Times New Roman"/>
          <w:sz w:val="20"/>
          <w:szCs w:val="20"/>
        </w:rPr>
      </w:pPr>
      <w:r>
        <w:rPr>
          <w:rFonts w:ascii="Times New Roman" w:hAnsi="Times New Roman"/>
          <w:sz w:val="20"/>
          <w:szCs w:val="20"/>
        </w:rPr>
        <w:t xml:space="preserve">(salicylic </w:t>
      </w:r>
      <w:r w:rsidR="00DF271A" w:rsidRPr="00503AA2">
        <w:rPr>
          <w:rFonts w:ascii="Times New Roman" w:hAnsi="Times New Roman"/>
          <w:sz w:val="20"/>
          <w:szCs w:val="20"/>
        </w:rPr>
        <w:t>acid)</w:t>
      </w:r>
    </w:p>
    <w:tbl>
      <w:tblPr>
        <w:tblW w:w="4959" w:type="pct"/>
        <w:jc w:val="center"/>
        <w:tblLook w:val="04A0" w:firstRow="1" w:lastRow="0" w:firstColumn="1" w:lastColumn="0" w:noHBand="0" w:noVBand="1"/>
      </w:tblPr>
      <w:tblGrid>
        <w:gridCol w:w="2147"/>
        <w:gridCol w:w="1640"/>
        <w:gridCol w:w="1320"/>
        <w:gridCol w:w="1481"/>
        <w:gridCol w:w="1481"/>
        <w:gridCol w:w="1400"/>
      </w:tblGrid>
      <w:tr w:rsidR="00DF271A" w:rsidRPr="00503AA2" w:rsidTr="00A30457">
        <w:trPr>
          <w:trHeight w:val="20"/>
          <w:jc w:val="center"/>
        </w:trPr>
        <w:tc>
          <w:tcPr>
            <w:tcW w:w="1134" w:type="pct"/>
            <w:vMerge w:val="restart"/>
            <w:tcBorders>
              <w:top w:val="single" w:sz="4" w:space="0" w:color="3C3C3C"/>
            </w:tcBorders>
            <w:vAlign w:val="center"/>
          </w:tcPr>
          <w:p w:rsidR="00DF271A" w:rsidRPr="00503AA2" w:rsidRDefault="00DF271A" w:rsidP="00A30457">
            <w:pPr>
              <w:spacing w:after="0" w:line="240" w:lineRule="auto"/>
              <w:rPr>
                <w:rFonts w:ascii="Times New Roman" w:hAnsi="Times New Roman"/>
                <w:sz w:val="20"/>
                <w:szCs w:val="20"/>
                <w:lang w:bidi="th-TH"/>
              </w:rPr>
            </w:pPr>
          </w:p>
        </w:tc>
        <w:tc>
          <w:tcPr>
            <w:tcW w:w="3866" w:type="pct"/>
            <w:gridSpan w:val="5"/>
            <w:tcBorders>
              <w:top w:val="single" w:sz="4" w:space="0" w:color="3C3C3C"/>
            </w:tcBorders>
            <w:vAlign w:val="center"/>
            <w:hideMark/>
          </w:tcPr>
          <w:p w:rsidR="00DF271A" w:rsidRPr="00503AA2" w:rsidRDefault="00DF271A" w:rsidP="00136B42">
            <w:pPr>
              <w:spacing w:before="120" w:after="0" w:line="240" w:lineRule="auto"/>
              <w:jc w:val="center"/>
              <w:rPr>
                <w:rFonts w:ascii="Times New Roman" w:hAnsi="Times New Roman"/>
                <w:b/>
                <w:sz w:val="20"/>
                <w:szCs w:val="20"/>
                <w:lang w:bidi="th-TH"/>
              </w:rPr>
            </w:pPr>
            <w:r w:rsidRPr="00503AA2">
              <w:rPr>
                <w:rFonts w:ascii="Times New Roman" w:hAnsi="Times New Roman"/>
                <w:b/>
                <w:sz w:val="20"/>
                <w:szCs w:val="20"/>
              </w:rPr>
              <w:t>Carotenoid content (mg/g DW)</w:t>
            </w:r>
          </w:p>
        </w:tc>
      </w:tr>
      <w:tr w:rsidR="00DF271A" w:rsidRPr="00503AA2" w:rsidTr="00A30457">
        <w:trPr>
          <w:trHeight w:val="20"/>
          <w:jc w:val="center"/>
        </w:trPr>
        <w:tc>
          <w:tcPr>
            <w:tcW w:w="0" w:type="auto"/>
            <w:vMerge/>
            <w:tcBorders>
              <w:bottom w:val="single" w:sz="4" w:space="0" w:color="3C3C3C"/>
            </w:tcBorders>
            <w:vAlign w:val="center"/>
            <w:hideMark/>
          </w:tcPr>
          <w:p w:rsidR="00DF271A" w:rsidRPr="00503AA2" w:rsidRDefault="00DF271A" w:rsidP="00A30457">
            <w:pPr>
              <w:spacing w:after="0" w:line="240" w:lineRule="auto"/>
              <w:rPr>
                <w:rFonts w:ascii="Times New Roman" w:hAnsi="Times New Roman"/>
                <w:sz w:val="20"/>
                <w:szCs w:val="20"/>
                <w:lang w:bidi="th-TH"/>
              </w:rPr>
            </w:pPr>
          </w:p>
        </w:tc>
        <w:tc>
          <w:tcPr>
            <w:tcW w:w="866" w:type="pct"/>
            <w:tcBorders>
              <w:top w:val="single" w:sz="4" w:space="0" w:color="3C3C3C"/>
              <w:bottom w:val="single" w:sz="4" w:space="0" w:color="3C3C3C"/>
            </w:tcBorders>
            <w:vAlign w:val="center"/>
            <w:hideMark/>
          </w:tcPr>
          <w:p w:rsidR="00DF271A" w:rsidRPr="00503AA2" w:rsidRDefault="00DF271A" w:rsidP="00136B42">
            <w:pPr>
              <w:spacing w:before="120" w:after="120" w:line="240" w:lineRule="auto"/>
              <w:jc w:val="center"/>
              <w:rPr>
                <w:rFonts w:ascii="Times New Roman" w:hAnsi="Times New Roman"/>
                <w:b/>
                <w:sz w:val="20"/>
                <w:szCs w:val="20"/>
                <w:lang w:bidi="th-TH"/>
              </w:rPr>
            </w:pPr>
            <w:r w:rsidRPr="00503AA2">
              <w:rPr>
                <w:rFonts w:ascii="Times New Roman" w:hAnsi="Times New Roman"/>
                <w:b/>
                <w:sz w:val="20"/>
                <w:szCs w:val="20"/>
              </w:rPr>
              <w:t>Total carotenoid</w:t>
            </w:r>
          </w:p>
        </w:tc>
        <w:tc>
          <w:tcPr>
            <w:tcW w:w="697" w:type="pct"/>
            <w:tcBorders>
              <w:top w:val="single" w:sz="4" w:space="0" w:color="3C3C3C"/>
              <w:bottom w:val="single" w:sz="4" w:space="0" w:color="3C3C3C"/>
            </w:tcBorders>
            <w:vAlign w:val="center"/>
            <w:hideMark/>
          </w:tcPr>
          <w:p w:rsidR="00DF271A" w:rsidRPr="00503AA2" w:rsidRDefault="00DF271A" w:rsidP="00136B42">
            <w:pPr>
              <w:spacing w:before="120" w:after="120" w:line="240" w:lineRule="auto"/>
              <w:jc w:val="center"/>
              <w:rPr>
                <w:rFonts w:ascii="Times New Roman" w:hAnsi="Times New Roman"/>
                <w:b/>
                <w:sz w:val="20"/>
                <w:szCs w:val="20"/>
                <w:lang w:bidi="th-TH"/>
              </w:rPr>
            </w:pPr>
            <w:r w:rsidRPr="00503AA2">
              <w:rPr>
                <w:rFonts w:ascii="Times New Roman" w:hAnsi="Times New Roman"/>
                <w:b/>
                <w:sz w:val="20"/>
                <w:szCs w:val="20"/>
              </w:rPr>
              <w:t>Neoxanthin</w:t>
            </w:r>
          </w:p>
        </w:tc>
        <w:tc>
          <w:tcPr>
            <w:tcW w:w="782" w:type="pct"/>
            <w:tcBorders>
              <w:top w:val="single" w:sz="4" w:space="0" w:color="3C3C3C"/>
              <w:bottom w:val="single" w:sz="4" w:space="0" w:color="3C3C3C"/>
            </w:tcBorders>
            <w:vAlign w:val="center"/>
            <w:hideMark/>
          </w:tcPr>
          <w:p w:rsidR="00DF271A" w:rsidRPr="00503AA2" w:rsidRDefault="00DF271A" w:rsidP="00136B42">
            <w:pPr>
              <w:spacing w:before="120" w:after="120" w:line="240" w:lineRule="auto"/>
              <w:jc w:val="center"/>
              <w:rPr>
                <w:rFonts w:ascii="Times New Roman" w:hAnsi="Times New Roman"/>
                <w:b/>
                <w:sz w:val="20"/>
                <w:szCs w:val="20"/>
                <w:lang w:bidi="th-TH"/>
              </w:rPr>
            </w:pPr>
            <w:r w:rsidRPr="00503AA2">
              <w:rPr>
                <w:rFonts w:ascii="Times New Roman" w:hAnsi="Times New Roman"/>
                <w:b/>
                <w:sz w:val="20"/>
                <w:szCs w:val="20"/>
              </w:rPr>
              <w:t>Violaxanthin</w:t>
            </w:r>
          </w:p>
        </w:tc>
        <w:tc>
          <w:tcPr>
            <w:tcW w:w="782" w:type="pct"/>
            <w:tcBorders>
              <w:top w:val="single" w:sz="4" w:space="0" w:color="3C3C3C"/>
              <w:bottom w:val="single" w:sz="4" w:space="0" w:color="3C3C3C"/>
            </w:tcBorders>
            <w:vAlign w:val="center"/>
            <w:hideMark/>
          </w:tcPr>
          <w:p w:rsidR="00DF271A" w:rsidRPr="00503AA2" w:rsidRDefault="00DF271A" w:rsidP="00136B42">
            <w:pPr>
              <w:spacing w:before="120" w:after="120" w:line="240" w:lineRule="auto"/>
              <w:jc w:val="center"/>
              <w:rPr>
                <w:rFonts w:ascii="Times New Roman" w:hAnsi="Times New Roman"/>
                <w:b/>
                <w:sz w:val="20"/>
                <w:szCs w:val="20"/>
                <w:lang w:bidi="th-TH"/>
              </w:rPr>
            </w:pPr>
            <w:r w:rsidRPr="00503AA2">
              <w:rPr>
                <w:rFonts w:ascii="Times New Roman" w:hAnsi="Times New Roman"/>
                <w:b/>
                <w:sz w:val="20"/>
                <w:szCs w:val="20"/>
              </w:rPr>
              <w:t>Lutein</w:t>
            </w:r>
          </w:p>
        </w:tc>
        <w:tc>
          <w:tcPr>
            <w:tcW w:w="740" w:type="pct"/>
            <w:tcBorders>
              <w:top w:val="single" w:sz="4" w:space="0" w:color="3C3C3C"/>
              <w:bottom w:val="single" w:sz="4" w:space="0" w:color="3C3C3C"/>
            </w:tcBorders>
            <w:vAlign w:val="center"/>
            <w:hideMark/>
          </w:tcPr>
          <w:p w:rsidR="00DF271A" w:rsidRPr="00503AA2" w:rsidRDefault="00DF271A" w:rsidP="00136B42">
            <w:pPr>
              <w:spacing w:before="120" w:after="120" w:line="240" w:lineRule="auto"/>
              <w:jc w:val="center"/>
              <w:rPr>
                <w:rFonts w:ascii="Times New Roman" w:hAnsi="Times New Roman"/>
                <w:b/>
                <w:sz w:val="20"/>
                <w:szCs w:val="20"/>
                <w:lang w:bidi="th-TH"/>
              </w:rPr>
            </w:pPr>
            <w:r w:rsidRPr="00503AA2">
              <w:rPr>
                <w:rFonts w:ascii="Times New Roman" w:hAnsi="Times New Roman"/>
                <w:b/>
                <w:sz w:val="20"/>
                <w:szCs w:val="20"/>
              </w:rPr>
              <w:t>β-carotene</w:t>
            </w:r>
          </w:p>
        </w:tc>
      </w:tr>
      <w:tr w:rsidR="00DF271A" w:rsidRPr="00503AA2" w:rsidTr="00A30457">
        <w:trPr>
          <w:trHeight w:val="20"/>
          <w:jc w:val="center"/>
        </w:trPr>
        <w:tc>
          <w:tcPr>
            <w:tcW w:w="1134" w:type="pct"/>
            <w:tcBorders>
              <w:top w:val="single" w:sz="4" w:space="0" w:color="3C3C3C"/>
            </w:tcBorders>
            <w:vAlign w:val="center"/>
            <w:hideMark/>
          </w:tcPr>
          <w:p w:rsidR="00DF271A" w:rsidRPr="00503AA2" w:rsidRDefault="00DF271A" w:rsidP="00A30457">
            <w:pPr>
              <w:spacing w:before="120" w:after="0" w:line="240" w:lineRule="auto"/>
              <w:rPr>
                <w:rFonts w:ascii="Times New Roman" w:hAnsi="Times New Roman"/>
                <w:sz w:val="20"/>
                <w:szCs w:val="20"/>
                <w:lang w:bidi="th-TH"/>
              </w:rPr>
            </w:pPr>
            <w:r w:rsidRPr="00503AA2">
              <w:rPr>
                <w:rFonts w:ascii="Times New Roman" w:hAnsi="Times New Roman"/>
                <w:sz w:val="20"/>
                <w:szCs w:val="20"/>
              </w:rPr>
              <w:t>Control</w:t>
            </w:r>
          </w:p>
          <w:p w:rsidR="00DF271A" w:rsidRPr="00503AA2" w:rsidRDefault="00DF271A" w:rsidP="00A30457">
            <w:pPr>
              <w:spacing w:after="0" w:line="240" w:lineRule="auto"/>
              <w:rPr>
                <w:rFonts w:ascii="Times New Roman" w:hAnsi="Times New Roman"/>
                <w:sz w:val="20"/>
                <w:szCs w:val="20"/>
                <w:lang w:bidi="th-TH"/>
              </w:rPr>
            </w:pPr>
            <w:r w:rsidRPr="00503AA2">
              <w:rPr>
                <w:rFonts w:ascii="Times New Roman" w:hAnsi="Times New Roman"/>
                <w:sz w:val="20"/>
                <w:szCs w:val="20"/>
              </w:rPr>
              <w:t>(0 mg SA/L media)</w:t>
            </w:r>
          </w:p>
        </w:tc>
        <w:tc>
          <w:tcPr>
            <w:tcW w:w="866" w:type="pct"/>
            <w:tcBorders>
              <w:top w:val="single" w:sz="4" w:space="0" w:color="3C3C3C"/>
            </w:tcBorders>
            <w:vAlign w:val="center"/>
            <w:hideMark/>
          </w:tcPr>
          <w:p w:rsidR="00DF271A" w:rsidRPr="00503AA2" w:rsidRDefault="00DF271A" w:rsidP="00A30457">
            <w:pPr>
              <w:spacing w:after="0" w:line="240" w:lineRule="auto"/>
              <w:jc w:val="center"/>
              <w:rPr>
                <w:rFonts w:ascii="Times New Roman" w:hAnsi="Times New Roman"/>
                <w:sz w:val="20"/>
                <w:szCs w:val="20"/>
                <w:lang w:bidi="th-TH"/>
              </w:rPr>
            </w:pPr>
            <w:r w:rsidRPr="00503AA2">
              <w:rPr>
                <w:rFonts w:ascii="Times New Roman" w:hAnsi="Times New Roman"/>
                <w:sz w:val="20"/>
                <w:szCs w:val="20"/>
              </w:rPr>
              <w:t>12.49 ± 0.40</w:t>
            </w:r>
          </w:p>
        </w:tc>
        <w:tc>
          <w:tcPr>
            <w:tcW w:w="697" w:type="pct"/>
            <w:tcBorders>
              <w:top w:val="single" w:sz="4" w:space="0" w:color="3C3C3C"/>
            </w:tcBorders>
            <w:vAlign w:val="center"/>
            <w:hideMark/>
          </w:tcPr>
          <w:p w:rsidR="00DF271A" w:rsidRPr="00503AA2" w:rsidRDefault="00DF271A" w:rsidP="00A30457">
            <w:pPr>
              <w:spacing w:after="0" w:line="240" w:lineRule="auto"/>
              <w:jc w:val="center"/>
              <w:rPr>
                <w:rFonts w:ascii="Times New Roman" w:hAnsi="Times New Roman"/>
                <w:sz w:val="20"/>
                <w:szCs w:val="20"/>
                <w:lang w:bidi="th-TH"/>
              </w:rPr>
            </w:pPr>
            <w:r w:rsidRPr="00503AA2">
              <w:rPr>
                <w:rFonts w:ascii="Times New Roman" w:hAnsi="Times New Roman"/>
                <w:sz w:val="20"/>
                <w:szCs w:val="20"/>
              </w:rPr>
              <w:t>7.47 ± 0.35</w:t>
            </w:r>
          </w:p>
        </w:tc>
        <w:tc>
          <w:tcPr>
            <w:tcW w:w="782" w:type="pct"/>
            <w:tcBorders>
              <w:top w:val="single" w:sz="4" w:space="0" w:color="3C3C3C"/>
            </w:tcBorders>
            <w:vAlign w:val="center"/>
            <w:hideMark/>
          </w:tcPr>
          <w:p w:rsidR="00DF271A" w:rsidRPr="00503AA2" w:rsidRDefault="00DF271A" w:rsidP="00A30457">
            <w:pPr>
              <w:spacing w:after="0" w:line="240" w:lineRule="auto"/>
              <w:jc w:val="center"/>
              <w:rPr>
                <w:rFonts w:ascii="Times New Roman" w:hAnsi="Times New Roman"/>
                <w:sz w:val="20"/>
                <w:szCs w:val="20"/>
                <w:lang w:bidi="th-TH"/>
              </w:rPr>
            </w:pPr>
            <w:r w:rsidRPr="00503AA2">
              <w:rPr>
                <w:rFonts w:ascii="Times New Roman" w:hAnsi="Times New Roman"/>
                <w:sz w:val="20"/>
                <w:szCs w:val="20"/>
              </w:rPr>
              <w:t>1.30 ± 0.04</w:t>
            </w:r>
          </w:p>
        </w:tc>
        <w:tc>
          <w:tcPr>
            <w:tcW w:w="782" w:type="pct"/>
            <w:tcBorders>
              <w:top w:val="single" w:sz="4" w:space="0" w:color="3C3C3C"/>
            </w:tcBorders>
            <w:vAlign w:val="center"/>
            <w:hideMark/>
          </w:tcPr>
          <w:p w:rsidR="00DF271A" w:rsidRPr="00503AA2" w:rsidRDefault="00DF271A" w:rsidP="00A30457">
            <w:pPr>
              <w:spacing w:after="0" w:line="240" w:lineRule="auto"/>
              <w:jc w:val="center"/>
              <w:rPr>
                <w:rFonts w:ascii="Times New Roman" w:hAnsi="Times New Roman"/>
                <w:sz w:val="20"/>
                <w:szCs w:val="20"/>
                <w:lang w:bidi="th-TH"/>
              </w:rPr>
            </w:pPr>
            <w:r w:rsidRPr="00503AA2">
              <w:rPr>
                <w:rFonts w:ascii="Times New Roman" w:hAnsi="Times New Roman"/>
                <w:sz w:val="20"/>
                <w:szCs w:val="20"/>
              </w:rPr>
              <w:t>2.94 ± 0.08</w:t>
            </w:r>
          </w:p>
        </w:tc>
        <w:tc>
          <w:tcPr>
            <w:tcW w:w="740" w:type="pct"/>
            <w:tcBorders>
              <w:top w:val="single" w:sz="4" w:space="0" w:color="3C3C3C"/>
            </w:tcBorders>
            <w:vAlign w:val="center"/>
            <w:hideMark/>
          </w:tcPr>
          <w:p w:rsidR="00DF271A" w:rsidRPr="00503AA2" w:rsidRDefault="00DF271A" w:rsidP="00A30457">
            <w:pPr>
              <w:spacing w:after="0" w:line="240" w:lineRule="auto"/>
              <w:jc w:val="center"/>
              <w:rPr>
                <w:rFonts w:ascii="Times New Roman" w:hAnsi="Times New Roman"/>
                <w:sz w:val="20"/>
                <w:szCs w:val="20"/>
                <w:lang w:bidi="th-TH"/>
              </w:rPr>
            </w:pPr>
            <w:r w:rsidRPr="00503AA2">
              <w:rPr>
                <w:rFonts w:ascii="Times New Roman" w:hAnsi="Times New Roman"/>
                <w:sz w:val="20"/>
                <w:szCs w:val="20"/>
              </w:rPr>
              <w:t>0.79 ± 0.02</w:t>
            </w:r>
          </w:p>
        </w:tc>
      </w:tr>
      <w:tr w:rsidR="00DF271A" w:rsidRPr="00503AA2" w:rsidTr="00A30457">
        <w:trPr>
          <w:trHeight w:val="20"/>
          <w:jc w:val="center"/>
        </w:trPr>
        <w:tc>
          <w:tcPr>
            <w:tcW w:w="1134" w:type="pct"/>
            <w:vAlign w:val="center"/>
            <w:hideMark/>
          </w:tcPr>
          <w:p w:rsidR="00DF271A" w:rsidRPr="00503AA2" w:rsidRDefault="00DF271A" w:rsidP="00A30457">
            <w:pPr>
              <w:spacing w:after="0" w:line="240" w:lineRule="auto"/>
              <w:rPr>
                <w:rFonts w:ascii="Times New Roman" w:hAnsi="Times New Roman"/>
                <w:sz w:val="20"/>
                <w:szCs w:val="20"/>
                <w:lang w:bidi="th-TH"/>
              </w:rPr>
            </w:pPr>
            <w:r w:rsidRPr="00503AA2">
              <w:rPr>
                <w:rFonts w:ascii="Times New Roman" w:hAnsi="Times New Roman"/>
                <w:sz w:val="20"/>
                <w:szCs w:val="20"/>
              </w:rPr>
              <w:t>Treatment 1</w:t>
            </w:r>
          </w:p>
          <w:p w:rsidR="00DF271A" w:rsidRPr="00503AA2" w:rsidRDefault="00DF271A" w:rsidP="00A30457">
            <w:pPr>
              <w:spacing w:after="0" w:line="240" w:lineRule="auto"/>
              <w:rPr>
                <w:rFonts w:ascii="Times New Roman" w:hAnsi="Times New Roman"/>
                <w:sz w:val="20"/>
                <w:szCs w:val="20"/>
                <w:lang w:bidi="th-TH"/>
              </w:rPr>
            </w:pPr>
            <w:r w:rsidRPr="00503AA2">
              <w:rPr>
                <w:rFonts w:ascii="Times New Roman" w:hAnsi="Times New Roman"/>
                <w:sz w:val="20"/>
                <w:szCs w:val="20"/>
              </w:rPr>
              <w:t>(50 mg SA/L media)</w:t>
            </w:r>
          </w:p>
        </w:tc>
        <w:tc>
          <w:tcPr>
            <w:tcW w:w="866" w:type="pct"/>
            <w:vAlign w:val="center"/>
            <w:hideMark/>
          </w:tcPr>
          <w:p w:rsidR="00DF271A" w:rsidRPr="00503AA2" w:rsidRDefault="00DF271A" w:rsidP="00A30457">
            <w:pPr>
              <w:spacing w:after="0" w:line="240" w:lineRule="auto"/>
              <w:jc w:val="center"/>
              <w:rPr>
                <w:rFonts w:ascii="Times New Roman" w:hAnsi="Times New Roman"/>
                <w:sz w:val="20"/>
                <w:szCs w:val="20"/>
                <w:lang w:bidi="th-TH"/>
              </w:rPr>
            </w:pPr>
            <w:r w:rsidRPr="00503AA2">
              <w:rPr>
                <w:rFonts w:ascii="Times New Roman" w:hAnsi="Times New Roman"/>
                <w:sz w:val="20"/>
                <w:szCs w:val="20"/>
              </w:rPr>
              <w:t>16.51 ± 4.24</w:t>
            </w:r>
          </w:p>
        </w:tc>
        <w:tc>
          <w:tcPr>
            <w:tcW w:w="697" w:type="pct"/>
            <w:vAlign w:val="center"/>
            <w:hideMark/>
          </w:tcPr>
          <w:p w:rsidR="00DF271A" w:rsidRPr="00503AA2" w:rsidRDefault="00DF271A" w:rsidP="00A30457">
            <w:pPr>
              <w:spacing w:after="0" w:line="240" w:lineRule="auto"/>
              <w:jc w:val="center"/>
              <w:rPr>
                <w:rFonts w:ascii="Times New Roman" w:hAnsi="Times New Roman"/>
                <w:sz w:val="20"/>
                <w:szCs w:val="20"/>
                <w:lang w:bidi="th-TH"/>
              </w:rPr>
            </w:pPr>
            <w:r w:rsidRPr="00503AA2">
              <w:rPr>
                <w:rFonts w:ascii="Times New Roman" w:hAnsi="Times New Roman"/>
                <w:sz w:val="20"/>
                <w:szCs w:val="20"/>
              </w:rPr>
              <w:t>15.88 ± 2.16</w:t>
            </w:r>
          </w:p>
        </w:tc>
        <w:tc>
          <w:tcPr>
            <w:tcW w:w="782" w:type="pct"/>
            <w:vAlign w:val="center"/>
            <w:hideMark/>
          </w:tcPr>
          <w:p w:rsidR="00DF271A" w:rsidRPr="00503AA2" w:rsidRDefault="00DF271A" w:rsidP="00A30457">
            <w:pPr>
              <w:spacing w:after="0" w:line="240" w:lineRule="auto"/>
              <w:jc w:val="center"/>
              <w:rPr>
                <w:rFonts w:ascii="Times New Roman" w:hAnsi="Times New Roman"/>
                <w:sz w:val="20"/>
                <w:szCs w:val="20"/>
                <w:lang w:bidi="th-TH"/>
              </w:rPr>
            </w:pPr>
            <w:r w:rsidRPr="00503AA2">
              <w:rPr>
                <w:rFonts w:ascii="Times New Roman" w:hAnsi="Times New Roman"/>
                <w:sz w:val="20"/>
                <w:szCs w:val="20"/>
              </w:rPr>
              <w:t>0.75 ± 0.00</w:t>
            </w:r>
          </w:p>
        </w:tc>
        <w:tc>
          <w:tcPr>
            <w:tcW w:w="782" w:type="pct"/>
            <w:vAlign w:val="center"/>
            <w:hideMark/>
          </w:tcPr>
          <w:p w:rsidR="00DF271A" w:rsidRPr="00503AA2" w:rsidRDefault="00DF271A" w:rsidP="00A30457">
            <w:pPr>
              <w:spacing w:after="0" w:line="240" w:lineRule="auto"/>
              <w:jc w:val="center"/>
              <w:rPr>
                <w:rFonts w:ascii="Times New Roman" w:hAnsi="Times New Roman"/>
                <w:sz w:val="20"/>
                <w:szCs w:val="20"/>
                <w:lang w:bidi="th-TH"/>
              </w:rPr>
            </w:pPr>
            <w:r w:rsidRPr="00503AA2">
              <w:rPr>
                <w:rFonts w:ascii="Times New Roman" w:hAnsi="Times New Roman"/>
                <w:sz w:val="20"/>
                <w:szCs w:val="20"/>
              </w:rPr>
              <w:t>1.98 ± 0.01</w:t>
            </w:r>
          </w:p>
        </w:tc>
        <w:tc>
          <w:tcPr>
            <w:tcW w:w="740" w:type="pct"/>
            <w:vAlign w:val="center"/>
            <w:hideMark/>
          </w:tcPr>
          <w:p w:rsidR="00DF271A" w:rsidRPr="00503AA2" w:rsidRDefault="00DF271A" w:rsidP="00A30457">
            <w:pPr>
              <w:spacing w:after="0" w:line="240" w:lineRule="auto"/>
              <w:jc w:val="center"/>
              <w:rPr>
                <w:rFonts w:ascii="Times New Roman" w:hAnsi="Times New Roman"/>
                <w:sz w:val="20"/>
                <w:szCs w:val="20"/>
                <w:lang w:bidi="th-TH"/>
              </w:rPr>
            </w:pPr>
            <w:r w:rsidRPr="00503AA2">
              <w:rPr>
                <w:rFonts w:ascii="Times New Roman" w:hAnsi="Times New Roman"/>
                <w:sz w:val="20"/>
                <w:szCs w:val="20"/>
              </w:rPr>
              <w:t>0.18 ± 0.00</w:t>
            </w:r>
          </w:p>
        </w:tc>
      </w:tr>
      <w:tr w:rsidR="00DF271A" w:rsidRPr="00503AA2" w:rsidTr="00A30457">
        <w:trPr>
          <w:trHeight w:val="20"/>
          <w:jc w:val="center"/>
        </w:trPr>
        <w:tc>
          <w:tcPr>
            <w:tcW w:w="1134" w:type="pct"/>
            <w:tcBorders>
              <w:bottom w:val="single" w:sz="4" w:space="0" w:color="3C3C3C"/>
            </w:tcBorders>
            <w:vAlign w:val="center"/>
            <w:hideMark/>
          </w:tcPr>
          <w:p w:rsidR="00DF271A" w:rsidRPr="00503AA2" w:rsidRDefault="00DF271A" w:rsidP="00A30457">
            <w:pPr>
              <w:spacing w:after="0" w:line="240" w:lineRule="auto"/>
              <w:rPr>
                <w:rFonts w:ascii="Times New Roman" w:hAnsi="Times New Roman"/>
                <w:sz w:val="20"/>
                <w:szCs w:val="20"/>
                <w:lang w:bidi="th-TH"/>
              </w:rPr>
            </w:pPr>
            <w:r w:rsidRPr="00503AA2">
              <w:rPr>
                <w:rFonts w:ascii="Times New Roman" w:hAnsi="Times New Roman"/>
                <w:sz w:val="20"/>
                <w:szCs w:val="20"/>
              </w:rPr>
              <w:t>Treatment 2</w:t>
            </w:r>
          </w:p>
          <w:p w:rsidR="00DF271A" w:rsidRPr="00503AA2" w:rsidRDefault="00DF271A" w:rsidP="00A30457">
            <w:pPr>
              <w:spacing w:after="120" w:line="240" w:lineRule="auto"/>
              <w:rPr>
                <w:rFonts w:ascii="Times New Roman" w:hAnsi="Times New Roman"/>
                <w:sz w:val="20"/>
                <w:szCs w:val="20"/>
                <w:lang w:bidi="th-TH"/>
              </w:rPr>
            </w:pPr>
            <w:r w:rsidRPr="00503AA2">
              <w:rPr>
                <w:rFonts w:ascii="Times New Roman" w:hAnsi="Times New Roman"/>
                <w:sz w:val="20"/>
                <w:szCs w:val="20"/>
              </w:rPr>
              <w:t>(100 mg SA/L media)</w:t>
            </w:r>
          </w:p>
        </w:tc>
        <w:tc>
          <w:tcPr>
            <w:tcW w:w="866" w:type="pct"/>
            <w:tcBorders>
              <w:bottom w:val="single" w:sz="4" w:space="0" w:color="3C3C3C"/>
            </w:tcBorders>
            <w:vAlign w:val="center"/>
            <w:hideMark/>
          </w:tcPr>
          <w:p w:rsidR="00DF271A" w:rsidRPr="00503AA2" w:rsidRDefault="00DF271A" w:rsidP="00A30457">
            <w:pPr>
              <w:spacing w:after="0" w:line="240" w:lineRule="auto"/>
              <w:jc w:val="center"/>
              <w:rPr>
                <w:rFonts w:ascii="Times New Roman" w:hAnsi="Times New Roman"/>
                <w:sz w:val="20"/>
                <w:szCs w:val="20"/>
                <w:lang w:bidi="th-TH"/>
              </w:rPr>
            </w:pPr>
            <w:r w:rsidRPr="00503AA2">
              <w:rPr>
                <w:rFonts w:ascii="Times New Roman" w:hAnsi="Times New Roman"/>
                <w:sz w:val="20"/>
                <w:szCs w:val="20"/>
              </w:rPr>
              <w:t>1.50 ± 0.01</w:t>
            </w:r>
          </w:p>
        </w:tc>
        <w:tc>
          <w:tcPr>
            <w:tcW w:w="697" w:type="pct"/>
            <w:tcBorders>
              <w:bottom w:val="single" w:sz="4" w:space="0" w:color="3C3C3C"/>
            </w:tcBorders>
            <w:vAlign w:val="center"/>
            <w:hideMark/>
          </w:tcPr>
          <w:p w:rsidR="00DF271A" w:rsidRPr="00503AA2" w:rsidRDefault="00DF271A" w:rsidP="00A30457">
            <w:pPr>
              <w:spacing w:after="0" w:line="240" w:lineRule="auto"/>
              <w:jc w:val="center"/>
              <w:rPr>
                <w:rFonts w:ascii="Times New Roman" w:hAnsi="Times New Roman"/>
                <w:sz w:val="20"/>
                <w:szCs w:val="20"/>
                <w:lang w:bidi="th-TH"/>
              </w:rPr>
            </w:pPr>
            <w:r w:rsidRPr="00503AA2">
              <w:rPr>
                <w:rFonts w:ascii="Times New Roman" w:hAnsi="Times New Roman"/>
                <w:sz w:val="20"/>
                <w:szCs w:val="20"/>
              </w:rPr>
              <w:t>nd</w:t>
            </w:r>
          </w:p>
        </w:tc>
        <w:tc>
          <w:tcPr>
            <w:tcW w:w="782" w:type="pct"/>
            <w:tcBorders>
              <w:bottom w:val="single" w:sz="4" w:space="0" w:color="3C3C3C"/>
            </w:tcBorders>
            <w:vAlign w:val="center"/>
            <w:hideMark/>
          </w:tcPr>
          <w:p w:rsidR="00DF271A" w:rsidRPr="00503AA2" w:rsidRDefault="00DF271A" w:rsidP="00A30457">
            <w:pPr>
              <w:spacing w:after="0" w:line="240" w:lineRule="auto"/>
              <w:jc w:val="center"/>
              <w:rPr>
                <w:rFonts w:ascii="Times New Roman" w:hAnsi="Times New Roman"/>
                <w:sz w:val="20"/>
                <w:szCs w:val="20"/>
                <w:lang w:bidi="th-TH"/>
              </w:rPr>
            </w:pPr>
            <w:r w:rsidRPr="00503AA2">
              <w:rPr>
                <w:rFonts w:ascii="Times New Roman" w:hAnsi="Times New Roman"/>
                <w:sz w:val="20"/>
                <w:szCs w:val="20"/>
              </w:rPr>
              <w:t>nd</w:t>
            </w:r>
          </w:p>
        </w:tc>
        <w:tc>
          <w:tcPr>
            <w:tcW w:w="782" w:type="pct"/>
            <w:tcBorders>
              <w:bottom w:val="single" w:sz="4" w:space="0" w:color="3C3C3C"/>
            </w:tcBorders>
            <w:vAlign w:val="center"/>
            <w:hideMark/>
          </w:tcPr>
          <w:p w:rsidR="00DF271A" w:rsidRPr="00503AA2" w:rsidRDefault="00DF271A" w:rsidP="00A30457">
            <w:pPr>
              <w:spacing w:after="0" w:line="240" w:lineRule="auto"/>
              <w:jc w:val="center"/>
              <w:rPr>
                <w:rFonts w:ascii="Times New Roman" w:hAnsi="Times New Roman"/>
                <w:sz w:val="20"/>
                <w:szCs w:val="20"/>
                <w:lang w:bidi="th-TH"/>
              </w:rPr>
            </w:pPr>
            <w:r w:rsidRPr="00503AA2">
              <w:rPr>
                <w:rFonts w:ascii="Times New Roman" w:hAnsi="Times New Roman"/>
                <w:sz w:val="20"/>
                <w:szCs w:val="20"/>
              </w:rPr>
              <w:t>1.42 ± 0.00</w:t>
            </w:r>
          </w:p>
        </w:tc>
        <w:tc>
          <w:tcPr>
            <w:tcW w:w="740" w:type="pct"/>
            <w:tcBorders>
              <w:bottom w:val="single" w:sz="4" w:space="0" w:color="3C3C3C"/>
            </w:tcBorders>
            <w:vAlign w:val="center"/>
            <w:hideMark/>
          </w:tcPr>
          <w:p w:rsidR="00DF271A" w:rsidRPr="00503AA2" w:rsidRDefault="00DF271A" w:rsidP="00A30457">
            <w:pPr>
              <w:spacing w:after="0" w:line="240" w:lineRule="auto"/>
              <w:jc w:val="center"/>
              <w:rPr>
                <w:rFonts w:ascii="Times New Roman" w:hAnsi="Times New Roman"/>
                <w:sz w:val="20"/>
                <w:szCs w:val="20"/>
                <w:lang w:bidi="th-TH"/>
              </w:rPr>
            </w:pPr>
            <w:r w:rsidRPr="00503AA2">
              <w:rPr>
                <w:rFonts w:ascii="Times New Roman" w:hAnsi="Times New Roman"/>
                <w:sz w:val="20"/>
                <w:szCs w:val="20"/>
              </w:rPr>
              <w:t>0.07 ± 0.00</w:t>
            </w:r>
          </w:p>
        </w:tc>
      </w:tr>
      <w:tr w:rsidR="00DF271A" w:rsidRPr="00503AA2" w:rsidTr="00A30457">
        <w:trPr>
          <w:trHeight w:val="20"/>
          <w:jc w:val="center"/>
        </w:trPr>
        <w:tc>
          <w:tcPr>
            <w:tcW w:w="5000" w:type="pct"/>
            <w:gridSpan w:val="6"/>
            <w:vAlign w:val="center"/>
            <w:hideMark/>
          </w:tcPr>
          <w:p w:rsidR="00DF271A" w:rsidRPr="00503AA2" w:rsidRDefault="00DF271A" w:rsidP="00A30457">
            <w:pPr>
              <w:spacing w:before="120" w:after="0" w:line="240" w:lineRule="auto"/>
              <w:rPr>
                <w:rFonts w:ascii="Times New Roman" w:hAnsi="Times New Roman"/>
                <w:sz w:val="18"/>
                <w:szCs w:val="18"/>
                <w:lang w:bidi="th-TH"/>
              </w:rPr>
            </w:pPr>
            <w:r w:rsidRPr="00503AA2">
              <w:rPr>
                <w:rFonts w:ascii="Times New Roman" w:hAnsi="Times New Roman"/>
                <w:sz w:val="18"/>
                <w:szCs w:val="18"/>
              </w:rPr>
              <w:t xml:space="preserve">nd - non-detectable, significantly different at </w:t>
            </w:r>
            <w:r w:rsidRPr="00503AA2">
              <w:rPr>
                <w:rFonts w:ascii="Times New Roman" w:hAnsi="Times New Roman"/>
                <w:i/>
                <w:sz w:val="18"/>
                <w:szCs w:val="18"/>
              </w:rPr>
              <w:t xml:space="preserve">p </w:t>
            </w:r>
            <w:r w:rsidRPr="00503AA2">
              <w:rPr>
                <w:rFonts w:ascii="Times New Roman" w:hAnsi="Times New Roman"/>
                <w:sz w:val="18"/>
                <w:szCs w:val="18"/>
              </w:rPr>
              <w:t>&lt;0.0001</w:t>
            </w:r>
          </w:p>
        </w:tc>
      </w:tr>
    </w:tbl>
    <w:p w:rsidR="00DF271A" w:rsidRDefault="00DF271A" w:rsidP="00DF271A">
      <w:pPr>
        <w:autoSpaceDE w:val="0"/>
        <w:autoSpaceDN w:val="0"/>
        <w:adjustRightInd w:val="0"/>
        <w:spacing w:after="0" w:line="240" w:lineRule="auto"/>
        <w:contextualSpacing/>
        <w:rPr>
          <w:rFonts w:ascii="Times New Roman" w:hAnsi="Times New Roman"/>
          <w:sz w:val="20"/>
          <w:szCs w:val="20"/>
          <w:lang w:val="pt-BR" w:bidi="th-TH"/>
        </w:rPr>
      </w:pPr>
    </w:p>
    <w:p w:rsidR="00DF271A" w:rsidRPr="00503AA2" w:rsidRDefault="00DF271A" w:rsidP="00DF271A">
      <w:pPr>
        <w:autoSpaceDE w:val="0"/>
        <w:autoSpaceDN w:val="0"/>
        <w:adjustRightInd w:val="0"/>
        <w:spacing w:after="0" w:line="240" w:lineRule="auto"/>
        <w:contextualSpacing/>
        <w:rPr>
          <w:rFonts w:ascii="Times New Roman" w:hAnsi="Times New Roman"/>
          <w:sz w:val="20"/>
          <w:szCs w:val="20"/>
          <w:lang w:val="pt-BR" w:bidi="th-TH"/>
        </w:rPr>
      </w:pPr>
    </w:p>
    <w:p w:rsidR="00DF271A" w:rsidRPr="00503AA2" w:rsidRDefault="00DF271A" w:rsidP="00DF271A">
      <w:pPr>
        <w:spacing w:after="0" w:line="240" w:lineRule="auto"/>
        <w:jc w:val="both"/>
        <w:rPr>
          <w:rFonts w:ascii="Times New Roman" w:hAnsi="Times New Roman"/>
          <w:sz w:val="20"/>
          <w:szCs w:val="20"/>
        </w:rPr>
      </w:pPr>
      <w:r w:rsidRPr="00503AA2">
        <w:rPr>
          <w:rFonts w:ascii="Times New Roman" w:hAnsi="Times New Roman"/>
          <w:sz w:val="20"/>
          <w:szCs w:val="20"/>
        </w:rPr>
        <w:t xml:space="preserve">The individual carotenoid biosynthesis in a particular species may greatly differ due to many factors such as climate change, nutritional conditions, acidity or alkalinity of the soils, manipulating the biosynthetic pathway through the employment of </w:t>
      </w:r>
      <w:r w:rsidRPr="00503AA2">
        <w:rPr>
          <w:rFonts w:ascii="Times New Roman" w:hAnsi="Times New Roman"/>
          <w:i/>
          <w:sz w:val="20"/>
          <w:szCs w:val="20"/>
        </w:rPr>
        <w:t>in vitro</w:t>
      </w:r>
      <w:r w:rsidRPr="00503AA2">
        <w:rPr>
          <w:rFonts w:ascii="Times New Roman" w:hAnsi="Times New Roman"/>
          <w:sz w:val="20"/>
          <w:szCs w:val="20"/>
        </w:rPr>
        <w:t xml:space="preserve"> culturing systems seems to offer benefits of keeping random environmental stresses at a minimal level. In the future, this system could help researchers in promoting better understanding to a complete regulatory mechanism of carotenoid biosynthesis.</w:t>
      </w:r>
    </w:p>
    <w:p w:rsidR="00DF271A" w:rsidRPr="00F447A7" w:rsidRDefault="00DF271A" w:rsidP="00DF271A">
      <w:pPr>
        <w:spacing w:after="0" w:line="240" w:lineRule="auto"/>
        <w:jc w:val="center"/>
        <w:rPr>
          <w:rFonts w:ascii="Times New Roman" w:hAnsi="Times New Roman"/>
          <w:noProof/>
          <w:sz w:val="20"/>
          <w:szCs w:val="20"/>
          <w:lang w:bidi="ar-SA"/>
        </w:rPr>
      </w:pPr>
    </w:p>
    <w:p w:rsidR="00DF271A" w:rsidRPr="00F447A7" w:rsidRDefault="00DF271A" w:rsidP="00DF271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F271A" w:rsidRPr="00503AA2" w:rsidRDefault="00DF271A" w:rsidP="00DF271A">
      <w:pPr>
        <w:spacing w:after="0" w:line="240" w:lineRule="auto"/>
        <w:jc w:val="both"/>
        <w:rPr>
          <w:rFonts w:ascii="Times New Roman" w:hAnsi="Times New Roman"/>
          <w:sz w:val="20"/>
          <w:szCs w:val="20"/>
        </w:rPr>
      </w:pPr>
      <w:r w:rsidRPr="00503AA2">
        <w:rPr>
          <w:rFonts w:ascii="Times New Roman" w:hAnsi="Times New Roman"/>
          <w:sz w:val="20"/>
          <w:szCs w:val="20"/>
        </w:rPr>
        <w:t xml:space="preserve">The results suggest that a regulatory step in the carotenoid biosynthetic pathway versus environmental stress is mediated by ABA and involves the epoxidation of zeaxanthin to violaxanthin by zeaxanthin epoxidase during the first committed step in ABA biosynthesis. Zeaxanthin appears to be a key factor and indicator for the presence of environmental stress. Due to the presence and time of occurrence of environmental stress, some genotypes accumulated merely violaxanthin and neoxanthin in order to generate xanthoxin or precursors of ABA biosynthesis pathway. Not surprisingly, the response to such environments appeared to be highly genotype dependent and time duration exposed to stress. Another factor is the activity of functional enzymes and candidate enzymes that regulate carotenoid biosynthesis which will determine the type and quantity of individual carotenoids. By understanding the environmental factors that affected carotenoid biosynthesis, it should be possible to enhance the amount and type of carotenoid that accumulates in food crops. In conclusion, resistance or sensitivity of plants to stress depends on the species, type of stress and development age. </w:t>
      </w:r>
    </w:p>
    <w:p w:rsidR="00DF271A" w:rsidRPr="00F447A7" w:rsidRDefault="00DF271A" w:rsidP="00DF271A">
      <w:pPr>
        <w:spacing w:after="0" w:line="240" w:lineRule="auto"/>
        <w:jc w:val="center"/>
        <w:rPr>
          <w:rFonts w:ascii="Times New Roman" w:hAnsi="Times New Roman"/>
          <w:noProof/>
          <w:sz w:val="20"/>
          <w:szCs w:val="20"/>
          <w:lang w:bidi="ar-SA"/>
        </w:rPr>
      </w:pPr>
    </w:p>
    <w:p w:rsidR="00DF271A" w:rsidRPr="00F447A7" w:rsidRDefault="00DF271A" w:rsidP="00DF271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DF271A" w:rsidRPr="00503AA2" w:rsidRDefault="00DF271A" w:rsidP="00DF271A">
      <w:pPr>
        <w:spacing w:after="0" w:line="240" w:lineRule="auto"/>
        <w:jc w:val="both"/>
        <w:rPr>
          <w:rFonts w:ascii="Times New Roman" w:hAnsi="Times New Roman"/>
          <w:sz w:val="20"/>
          <w:szCs w:val="20"/>
        </w:rPr>
      </w:pPr>
      <w:r w:rsidRPr="00503AA2">
        <w:rPr>
          <w:rFonts w:ascii="Times New Roman" w:hAnsi="Times New Roman"/>
          <w:sz w:val="20"/>
          <w:szCs w:val="20"/>
        </w:rPr>
        <w:t>The authors would like to thank the Ministry of Higher Education (MOHE) and International Islamic University Malaysia (IIUM) for the Research Grant RACE12-001-0001, RACE14-001-0007, EDW B11-111-0589 and MIRGS13-01-002-0004.</w:t>
      </w:r>
    </w:p>
    <w:p w:rsidR="00DF271A" w:rsidRDefault="00DF271A" w:rsidP="00DF271A">
      <w:pPr>
        <w:spacing w:after="0" w:line="240" w:lineRule="auto"/>
        <w:jc w:val="center"/>
        <w:rPr>
          <w:rFonts w:ascii="Times New Roman" w:hAnsi="Times New Roman"/>
          <w:noProof/>
          <w:sz w:val="20"/>
          <w:szCs w:val="20"/>
          <w:lang w:bidi="ar-SA"/>
        </w:rPr>
      </w:pPr>
    </w:p>
    <w:p w:rsidR="00136B42" w:rsidRPr="00F447A7" w:rsidRDefault="00136B42" w:rsidP="00DF271A">
      <w:pPr>
        <w:spacing w:after="0" w:line="240" w:lineRule="auto"/>
        <w:jc w:val="center"/>
        <w:rPr>
          <w:rFonts w:ascii="Times New Roman" w:hAnsi="Times New Roman"/>
          <w:noProof/>
          <w:sz w:val="20"/>
          <w:szCs w:val="20"/>
          <w:lang w:bidi="ar-SA"/>
        </w:rPr>
      </w:pPr>
      <w:bookmarkStart w:id="0" w:name="_GoBack"/>
      <w:bookmarkEnd w:id="0"/>
    </w:p>
    <w:p w:rsidR="00DF271A" w:rsidRPr="00F447A7" w:rsidRDefault="00DF271A" w:rsidP="00DF271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Britton, G., Liaaen-Jensen, S. &amp; Pfander, H. (1995). </w:t>
      </w:r>
      <w:r w:rsidRPr="00503AA2">
        <w:rPr>
          <w:rFonts w:ascii="Times New Roman" w:hAnsi="Times New Roman"/>
          <w:i/>
          <w:iCs/>
          <w:sz w:val="20"/>
          <w:szCs w:val="20"/>
        </w:rPr>
        <w:t>Carotenoids. Vol. 1A: Isolation and Analysis</w:t>
      </w:r>
      <w:r w:rsidRPr="00503AA2">
        <w:rPr>
          <w:rFonts w:ascii="Times New Roman" w:hAnsi="Times New Roman"/>
          <w:sz w:val="20"/>
          <w:szCs w:val="20"/>
        </w:rPr>
        <w:t xml:space="preserve">. Boston, USA: Birkhuser-Verlag. </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Chandrika, U.G. (2009). Carotenoid dyes-properties. In, T. Bechtold and R. Mussak (Eds.), </w:t>
      </w:r>
      <w:r w:rsidRPr="00503AA2">
        <w:rPr>
          <w:rFonts w:ascii="Times New Roman" w:hAnsi="Times New Roman"/>
          <w:i/>
          <w:iCs/>
          <w:sz w:val="20"/>
          <w:szCs w:val="20"/>
        </w:rPr>
        <w:t>Handbook of Natural Colorant</w:t>
      </w:r>
      <w:r w:rsidRPr="00503AA2">
        <w:rPr>
          <w:rFonts w:ascii="Times New Roman" w:hAnsi="Times New Roman"/>
          <w:sz w:val="20"/>
          <w:szCs w:val="20"/>
        </w:rPr>
        <w:t>. Chichester, United Kingdom: John Wiley &amp; Sons, pp. 221-224.</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Taylor, M.A. &amp; Ramsay, G. (2005). Carotenoid biosynthesis in plant storage organs: Recent advances and prospects for improving plant food quality. </w:t>
      </w:r>
      <w:r w:rsidRPr="00503AA2">
        <w:rPr>
          <w:rFonts w:ascii="Times New Roman" w:hAnsi="Times New Roman"/>
          <w:i/>
          <w:iCs/>
          <w:sz w:val="20"/>
          <w:szCs w:val="20"/>
        </w:rPr>
        <w:t xml:space="preserve">Physiologia Plantarum, </w:t>
      </w:r>
      <w:r w:rsidRPr="00503AA2">
        <w:rPr>
          <w:rFonts w:ascii="Times New Roman" w:hAnsi="Times New Roman"/>
          <w:sz w:val="20"/>
          <w:szCs w:val="20"/>
        </w:rPr>
        <w:t>124(2): 143–151.</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Bartley, G.E. &amp; Scolnik, P.A. (1995). Plant carotenoids: Pigments for photoprotection, visual attraction and human health. </w:t>
      </w:r>
      <w:r w:rsidRPr="00503AA2">
        <w:rPr>
          <w:rFonts w:ascii="Times New Roman" w:hAnsi="Times New Roman"/>
          <w:i/>
          <w:iCs/>
          <w:sz w:val="20"/>
          <w:szCs w:val="20"/>
        </w:rPr>
        <w:t xml:space="preserve">The Plant Cell, </w:t>
      </w:r>
      <w:r w:rsidRPr="00503AA2">
        <w:rPr>
          <w:rFonts w:ascii="Times New Roman" w:hAnsi="Times New Roman"/>
          <w:sz w:val="20"/>
          <w:szCs w:val="20"/>
        </w:rPr>
        <w:t>7: 1027-1038.</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Römer, S. &amp; Fraser, P.D. (2005). Recent advances in carotenoid biosynthesis, regulation and manipulation. </w:t>
      </w:r>
      <w:r w:rsidRPr="00503AA2">
        <w:rPr>
          <w:rFonts w:ascii="Times New Roman" w:hAnsi="Times New Roman"/>
          <w:i/>
          <w:iCs/>
          <w:sz w:val="20"/>
          <w:szCs w:val="20"/>
        </w:rPr>
        <w:t>Planta</w:t>
      </w:r>
      <w:r w:rsidRPr="00503AA2">
        <w:rPr>
          <w:rFonts w:ascii="Times New Roman" w:hAnsi="Times New Roman"/>
          <w:sz w:val="20"/>
          <w:szCs w:val="20"/>
        </w:rPr>
        <w:t>, 221: 305-308.</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shd w:val="clear" w:color="auto" w:fill="FFFFFF"/>
        </w:rPr>
        <w:t>Cunningham Jr,F.X. &amp; Gantt, E. (1998). Genes and enzymes of carotenoid biosynthesis in plants.</w:t>
      </w:r>
      <w:r w:rsidRPr="00503AA2">
        <w:rPr>
          <w:rStyle w:val="apple-converted-space"/>
          <w:rFonts w:ascii="Times New Roman" w:hAnsi="Times New Roman"/>
          <w:sz w:val="20"/>
          <w:szCs w:val="20"/>
          <w:shd w:val="clear" w:color="auto" w:fill="FFFFFF"/>
        </w:rPr>
        <w:t xml:space="preserve"> </w:t>
      </w:r>
      <w:r w:rsidRPr="00503AA2">
        <w:rPr>
          <w:rFonts w:ascii="Times New Roman" w:hAnsi="Times New Roman"/>
          <w:i/>
          <w:iCs/>
          <w:sz w:val="20"/>
          <w:szCs w:val="20"/>
          <w:shd w:val="clear" w:color="auto" w:fill="FFFFFF"/>
        </w:rPr>
        <w:t>Annual Review of Plant Biology</w:t>
      </w:r>
      <w:r w:rsidRPr="00503AA2">
        <w:rPr>
          <w:rFonts w:ascii="Times New Roman" w:hAnsi="Times New Roman"/>
          <w:sz w:val="20"/>
          <w:szCs w:val="20"/>
          <w:shd w:val="clear" w:color="auto" w:fill="FFFFFF"/>
        </w:rPr>
        <w:t>,</w:t>
      </w:r>
      <w:r w:rsidRPr="00503AA2">
        <w:rPr>
          <w:rStyle w:val="apple-converted-space"/>
          <w:rFonts w:ascii="Times New Roman" w:hAnsi="Times New Roman"/>
          <w:sz w:val="20"/>
          <w:szCs w:val="20"/>
          <w:shd w:val="clear" w:color="auto" w:fill="FFFFFF"/>
        </w:rPr>
        <w:t xml:space="preserve"> </w:t>
      </w:r>
      <w:r w:rsidRPr="00503AA2">
        <w:rPr>
          <w:rFonts w:ascii="Times New Roman" w:hAnsi="Times New Roman"/>
          <w:sz w:val="20"/>
          <w:szCs w:val="20"/>
          <w:shd w:val="clear" w:color="auto" w:fill="FFFFFF"/>
        </w:rPr>
        <w:t>49(1): 557-583.</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Lopez, A.B., Van Eck, J., Conlin, B.J., Paolillo, D.J., O'Neill, J. &amp; Li, L. (2008). Effect of the cauliflower </w:t>
      </w:r>
      <w:r w:rsidRPr="00503AA2">
        <w:rPr>
          <w:rFonts w:ascii="Times New Roman" w:hAnsi="Times New Roman"/>
          <w:i/>
          <w:iCs/>
          <w:sz w:val="20"/>
          <w:szCs w:val="20"/>
        </w:rPr>
        <w:t>Or</w:t>
      </w:r>
      <w:r w:rsidRPr="00503AA2">
        <w:rPr>
          <w:rFonts w:ascii="Times New Roman" w:hAnsi="Times New Roman"/>
          <w:sz w:val="20"/>
          <w:szCs w:val="20"/>
        </w:rPr>
        <w:t xml:space="preserve"> transgene on carotenoid accumulation and chromoplast formation in transgenic potato tubers. </w:t>
      </w:r>
      <w:r w:rsidRPr="00503AA2">
        <w:rPr>
          <w:rFonts w:ascii="Times New Roman" w:hAnsi="Times New Roman"/>
          <w:i/>
          <w:iCs/>
          <w:sz w:val="20"/>
          <w:szCs w:val="20"/>
        </w:rPr>
        <w:t xml:space="preserve">Journal of Experimental Botany, </w:t>
      </w:r>
      <w:r w:rsidRPr="00503AA2">
        <w:rPr>
          <w:rFonts w:ascii="Times New Roman" w:hAnsi="Times New Roman"/>
          <w:sz w:val="20"/>
          <w:szCs w:val="20"/>
        </w:rPr>
        <w:t>59(2): 213-223.</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Othman, R., Mohd Zaifuddin, F.A. &amp; Hassan, N.M. (2014). Carotenoid biosynthesis regulatory mechanisms in plants. </w:t>
      </w:r>
      <w:r w:rsidRPr="00503AA2">
        <w:rPr>
          <w:rFonts w:ascii="Times New Roman" w:hAnsi="Times New Roman"/>
          <w:i/>
          <w:iCs/>
          <w:sz w:val="20"/>
          <w:szCs w:val="20"/>
        </w:rPr>
        <w:t>Journal of Oleo Science</w:t>
      </w:r>
      <w:r w:rsidRPr="00503AA2">
        <w:rPr>
          <w:rFonts w:ascii="Times New Roman" w:hAnsi="Times New Roman"/>
          <w:sz w:val="20"/>
          <w:szCs w:val="20"/>
        </w:rPr>
        <w:t>, 63(8): 753-760.</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Al-Babili, S., Hugueney, P., Schledz, M., Welsch, R., Frohnmeyer, H., Laule, O. &amp; Beyer, P. (2000). Identification of a novel gene coding for neoxanthin synthase from </w:t>
      </w:r>
      <w:r w:rsidRPr="00503AA2">
        <w:rPr>
          <w:rFonts w:ascii="Times New Roman" w:hAnsi="Times New Roman"/>
          <w:i/>
          <w:iCs/>
          <w:sz w:val="20"/>
          <w:szCs w:val="20"/>
        </w:rPr>
        <w:t>Solanum tuberosum</w:t>
      </w:r>
      <w:r w:rsidRPr="00503AA2">
        <w:rPr>
          <w:rFonts w:ascii="Times New Roman" w:hAnsi="Times New Roman"/>
          <w:sz w:val="20"/>
          <w:szCs w:val="20"/>
        </w:rPr>
        <w:t xml:space="preserve">. </w:t>
      </w:r>
      <w:r w:rsidRPr="00503AA2">
        <w:rPr>
          <w:rFonts w:ascii="Times New Roman" w:hAnsi="Times New Roman"/>
          <w:i/>
          <w:iCs/>
          <w:sz w:val="20"/>
          <w:szCs w:val="20"/>
        </w:rPr>
        <w:t xml:space="preserve">FEBS letters, </w:t>
      </w:r>
      <w:r w:rsidRPr="00503AA2">
        <w:rPr>
          <w:rFonts w:ascii="Times New Roman" w:hAnsi="Times New Roman"/>
          <w:sz w:val="20"/>
          <w:szCs w:val="20"/>
        </w:rPr>
        <w:t>485(2): 168-172.</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Fraser, P.D. &amp; Bramley, P.M. (2004). The biosynthesis and nutritional uses of carotenoids. </w:t>
      </w:r>
      <w:r w:rsidRPr="00503AA2">
        <w:rPr>
          <w:rFonts w:ascii="Times New Roman" w:hAnsi="Times New Roman"/>
          <w:i/>
          <w:iCs/>
          <w:sz w:val="20"/>
          <w:szCs w:val="20"/>
        </w:rPr>
        <w:t xml:space="preserve">Progress in Lipid Research, </w:t>
      </w:r>
      <w:r w:rsidRPr="00503AA2">
        <w:rPr>
          <w:rFonts w:ascii="Times New Roman" w:hAnsi="Times New Roman"/>
          <w:sz w:val="20"/>
          <w:szCs w:val="20"/>
        </w:rPr>
        <w:t>43(3): 228-265.</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Herbers, K. (2003). Vitamin production in transgenic plants. </w:t>
      </w:r>
      <w:r w:rsidRPr="00503AA2">
        <w:rPr>
          <w:rFonts w:ascii="Times New Roman" w:hAnsi="Times New Roman"/>
          <w:i/>
          <w:iCs/>
          <w:sz w:val="20"/>
          <w:szCs w:val="20"/>
        </w:rPr>
        <w:t xml:space="preserve">Journal of Plant Physiology, </w:t>
      </w:r>
      <w:r w:rsidRPr="00503AA2">
        <w:rPr>
          <w:rFonts w:ascii="Times New Roman" w:hAnsi="Times New Roman"/>
          <w:sz w:val="20"/>
          <w:szCs w:val="20"/>
        </w:rPr>
        <w:t>160(7): 821-829.</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Hirschberg, J. (2001). Carotenoid biosynthesis in flowering plants. </w:t>
      </w:r>
      <w:r w:rsidRPr="00503AA2">
        <w:rPr>
          <w:rFonts w:ascii="Times New Roman" w:hAnsi="Times New Roman"/>
          <w:i/>
          <w:iCs/>
          <w:sz w:val="20"/>
          <w:szCs w:val="20"/>
        </w:rPr>
        <w:t xml:space="preserve">Current Opinion in Plant Biology, </w:t>
      </w:r>
      <w:r w:rsidRPr="00503AA2">
        <w:rPr>
          <w:rFonts w:ascii="Times New Roman" w:hAnsi="Times New Roman"/>
          <w:sz w:val="20"/>
          <w:szCs w:val="20"/>
        </w:rPr>
        <w:t>4(3): 210-218.</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Burkhardt, P.K., Beyer, P., Wünn, J., Klöti, A., Armstrong, G.A., Schledz, M.  (1997). Transgenic rice (</w:t>
      </w:r>
      <w:r w:rsidRPr="00503AA2">
        <w:rPr>
          <w:rFonts w:ascii="Times New Roman" w:hAnsi="Times New Roman"/>
          <w:i/>
          <w:iCs/>
          <w:sz w:val="20"/>
          <w:szCs w:val="20"/>
        </w:rPr>
        <w:t>Oryza sativa</w:t>
      </w:r>
      <w:r w:rsidRPr="00503AA2">
        <w:rPr>
          <w:rFonts w:ascii="Times New Roman" w:hAnsi="Times New Roman"/>
          <w:sz w:val="20"/>
          <w:szCs w:val="20"/>
        </w:rPr>
        <w:t>) endosperm expressing daffodil (</w:t>
      </w:r>
      <w:r w:rsidRPr="00503AA2">
        <w:rPr>
          <w:rFonts w:ascii="Times New Roman" w:hAnsi="Times New Roman"/>
          <w:i/>
          <w:iCs/>
          <w:sz w:val="20"/>
          <w:szCs w:val="20"/>
        </w:rPr>
        <w:t>Narcissus pseudonarcissus</w:t>
      </w:r>
      <w:r w:rsidRPr="00503AA2">
        <w:rPr>
          <w:rFonts w:ascii="Times New Roman" w:hAnsi="Times New Roman"/>
          <w:sz w:val="20"/>
          <w:szCs w:val="20"/>
        </w:rPr>
        <w:t xml:space="preserve">) phytoene synthase accumulates phytoene, a key intermediate of provitamin A biosynthesis. </w:t>
      </w:r>
      <w:r w:rsidRPr="00503AA2">
        <w:rPr>
          <w:rFonts w:ascii="Times New Roman" w:hAnsi="Times New Roman"/>
          <w:i/>
          <w:iCs/>
          <w:sz w:val="20"/>
          <w:szCs w:val="20"/>
        </w:rPr>
        <w:t>The Plant Journal</w:t>
      </w:r>
      <w:r w:rsidRPr="00503AA2">
        <w:rPr>
          <w:rFonts w:ascii="Times New Roman" w:hAnsi="Times New Roman"/>
          <w:sz w:val="20"/>
          <w:szCs w:val="20"/>
        </w:rPr>
        <w:t>, 11(5): 1071-1078.</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Ye, X., Al-Babili, S., Klöti, A., Zhang, J., Lucca, P., Beyer, P., Beyer, P. &amp; Potrykus, I. (2000). Engineering the provitamin A (β-carotene) biosynthetic pathway into (carotenoid-free) rice endosperm. </w:t>
      </w:r>
      <w:r w:rsidRPr="00503AA2">
        <w:rPr>
          <w:rFonts w:ascii="Times New Roman" w:hAnsi="Times New Roman"/>
          <w:i/>
          <w:iCs/>
          <w:sz w:val="20"/>
          <w:szCs w:val="20"/>
        </w:rPr>
        <w:t>Science</w:t>
      </w:r>
      <w:r w:rsidRPr="00503AA2">
        <w:rPr>
          <w:rFonts w:ascii="Times New Roman" w:hAnsi="Times New Roman"/>
          <w:sz w:val="20"/>
          <w:szCs w:val="20"/>
        </w:rPr>
        <w:t>, 287: 303-305.</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Diretto, G., Al-Babili, S., Tavazza, R., Papacchioli, V., Beyer, P. &amp; Giuliano, G. (2007). Metabolic engineering of potato carotenoid content through tuber-specific overexpression of a bacterial mini-pathway. </w:t>
      </w:r>
      <w:r w:rsidRPr="00503AA2">
        <w:rPr>
          <w:rFonts w:ascii="Times New Roman" w:hAnsi="Times New Roman"/>
          <w:i/>
          <w:iCs/>
          <w:sz w:val="20"/>
          <w:szCs w:val="20"/>
        </w:rPr>
        <w:t>PLoS One</w:t>
      </w:r>
      <w:r w:rsidRPr="00503AA2">
        <w:rPr>
          <w:rFonts w:ascii="Times New Roman" w:hAnsi="Times New Roman"/>
          <w:sz w:val="20"/>
          <w:szCs w:val="20"/>
        </w:rPr>
        <w:t>, 2(4): e350.</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Lu, S., Van Eck, J., Zhou, X., Lopez, A.B., O'Halloran, D.M., Cosman, K.M. et al. (2006). The cauliflower </w:t>
      </w:r>
      <w:r w:rsidRPr="00503AA2">
        <w:rPr>
          <w:rFonts w:ascii="Times New Roman" w:hAnsi="Times New Roman"/>
          <w:i/>
          <w:iCs/>
          <w:sz w:val="20"/>
          <w:szCs w:val="20"/>
        </w:rPr>
        <w:t>Or</w:t>
      </w:r>
      <w:r w:rsidRPr="00503AA2">
        <w:rPr>
          <w:rFonts w:ascii="Times New Roman" w:hAnsi="Times New Roman"/>
          <w:sz w:val="20"/>
          <w:szCs w:val="20"/>
        </w:rPr>
        <w:t xml:space="preserve"> gene encodes a DnaJ cysteine-rich domain-containing protein that mediates high levels of β-carotene accumulation. </w:t>
      </w:r>
      <w:r w:rsidRPr="00503AA2">
        <w:rPr>
          <w:rFonts w:ascii="Times New Roman" w:hAnsi="Times New Roman"/>
          <w:i/>
          <w:iCs/>
          <w:sz w:val="20"/>
          <w:szCs w:val="20"/>
        </w:rPr>
        <w:t>The Plant Cell Online</w:t>
      </w:r>
      <w:r w:rsidRPr="00503AA2">
        <w:rPr>
          <w:rFonts w:ascii="Times New Roman" w:hAnsi="Times New Roman"/>
          <w:sz w:val="20"/>
          <w:szCs w:val="20"/>
        </w:rPr>
        <w:t>, 18(12): 3594-3605.</w:t>
      </w:r>
    </w:p>
    <w:p w:rsidR="00DF271A" w:rsidRPr="00503AA2" w:rsidRDefault="00DF271A" w:rsidP="00DF271A">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503AA2">
        <w:rPr>
          <w:rFonts w:ascii="Times New Roman" w:hAnsi="Times New Roman"/>
          <w:sz w:val="20"/>
          <w:szCs w:val="20"/>
        </w:rPr>
        <w:t>Othman, R. (2009). Biochemistry and genetics of carotenoid composition in potato tubers. Christchurch, New Zealand: Lincoln University, PhD thesis.</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Bramley, P.M. &amp; Mackenzie, A. (1988). Regulation of carotenoid biosynthesis. </w:t>
      </w:r>
      <w:r w:rsidRPr="00503AA2">
        <w:rPr>
          <w:rFonts w:ascii="Times New Roman" w:hAnsi="Times New Roman"/>
          <w:i/>
          <w:iCs/>
          <w:sz w:val="20"/>
          <w:szCs w:val="20"/>
        </w:rPr>
        <w:t>Current Topics in Cellular Regulation</w:t>
      </w:r>
      <w:r w:rsidRPr="00503AA2">
        <w:rPr>
          <w:rFonts w:ascii="Times New Roman" w:hAnsi="Times New Roman"/>
          <w:sz w:val="20"/>
          <w:szCs w:val="20"/>
        </w:rPr>
        <w:t>, 29: 291-343.</w:t>
      </w:r>
    </w:p>
    <w:p w:rsidR="00DF271A" w:rsidRPr="00503AA2" w:rsidRDefault="00DF271A" w:rsidP="00DF271A">
      <w:pPr>
        <w:pStyle w:val="ListParagraph"/>
        <w:numPr>
          <w:ilvl w:val="0"/>
          <w:numId w:val="3"/>
        </w:numPr>
        <w:autoSpaceDE w:val="0"/>
        <w:autoSpaceDN w:val="0"/>
        <w:adjustRightInd w:val="0"/>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Çinar, I. (2004). Carotenoid pigment loss of freeze-dried plant samples under different storage conditions. </w:t>
      </w:r>
      <w:r w:rsidRPr="00503AA2">
        <w:rPr>
          <w:rFonts w:ascii="Times New Roman" w:hAnsi="Times New Roman"/>
          <w:i/>
          <w:iCs/>
          <w:sz w:val="20"/>
          <w:szCs w:val="20"/>
        </w:rPr>
        <w:t xml:space="preserve">LWT - Food Science and Technology, </w:t>
      </w:r>
      <w:r w:rsidRPr="00503AA2">
        <w:rPr>
          <w:rFonts w:ascii="Times New Roman" w:hAnsi="Times New Roman"/>
          <w:sz w:val="20"/>
          <w:szCs w:val="20"/>
        </w:rPr>
        <w:t>37(3): 363-367.</w:t>
      </w:r>
    </w:p>
    <w:p w:rsidR="00DF271A" w:rsidRPr="00503AA2" w:rsidRDefault="00DF271A" w:rsidP="00DF271A">
      <w:pPr>
        <w:numPr>
          <w:ilvl w:val="0"/>
          <w:numId w:val="3"/>
        </w:numPr>
        <w:autoSpaceDE w:val="0"/>
        <w:autoSpaceDN w:val="0"/>
        <w:adjustRightInd w:val="0"/>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Fatimah, A.M.Z., Norazian, M.H. &amp; Rashidi, O. (2012). Identification of carotenoid composition in selected ‘ulam’ or traditional vegetables of Malaysia. </w:t>
      </w:r>
      <w:r w:rsidRPr="00503AA2">
        <w:rPr>
          <w:rFonts w:ascii="Times New Roman" w:hAnsi="Times New Roman"/>
          <w:i/>
          <w:iCs/>
          <w:sz w:val="20"/>
          <w:szCs w:val="20"/>
        </w:rPr>
        <w:t xml:space="preserve">International Food Research Journal, </w:t>
      </w:r>
      <w:r w:rsidRPr="00503AA2">
        <w:rPr>
          <w:rFonts w:ascii="Times New Roman" w:hAnsi="Times New Roman"/>
          <w:sz w:val="20"/>
          <w:szCs w:val="20"/>
        </w:rPr>
        <w:t>19(2): 527-530.</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Murashige, T. &amp; Skoog, F. (1962). A revised medium for rapid growth and bioassay with tobacco tissue cultures. </w:t>
      </w:r>
      <w:r w:rsidRPr="00503AA2">
        <w:rPr>
          <w:rFonts w:ascii="Times New Roman" w:hAnsi="Times New Roman"/>
          <w:i/>
          <w:iCs/>
          <w:sz w:val="20"/>
          <w:szCs w:val="20"/>
        </w:rPr>
        <w:t xml:space="preserve">Physiologia Plantarum, </w:t>
      </w:r>
      <w:r w:rsidRPr="00503AA2">
        <w:rPr>
          <w:rFonts w:ascii="Times New Roman" w:hAnsi="Times New Roman"/>
          <w:sz w:val="20"/>
          <w:szCs w:val="20"/>
        </w:rPr>
        <w:t>15: 473-497.</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Hannoufa, A. &amp; Hossain, Z. (2012). Regulation of carotenoid accumulation in plants. </w:t>
      </w:r>
      <w:r w:rsidRPr="00503AA2">
        <w:rPr>
          <w:rFonts w:ascii="Times New Roman" w:hAnsi="Times New Roman"/>
          <w:i/>
          <w:iCs/>
          <w:sz w:val="20"/>
          <w:szCs w:val="20"/>
        </w:rPr>
        <w:t>Biocatalysis and Agricultural Biotechnology</w:t>
      </w:r>
      <w:r w:rsidRPr="00503AA2">
        <w:rPr>
          <w:rFonts w:ascii="Times New Roman" w:hAnsi="Times New Roman"/>
          <w:sz w:val="20"/>
          <w:szCs w:val="20"/>
        </w:rPr>
        <w:t>, 1(3): 198–202.</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Lu, S. &amp; Li, L. (2008). Carotenoid metabolism: Biosynthesis, regulation and beyond. </w:t>
      </w:r>
      <w:r w:rsidRPr="00503AA2">
        <w:rPr>
          <w:rFonts w:ascii="Times New Roman" w:hAnsi="Times New Roman"/>
          <w:i/>
          <w:iCs/>
          <w:sz w:val="20"/>
          <w:szCs w:val="20"/>
        </w:rPr>
        <w:t xml:space="preserve">Journal of Integrative Plant Biology, </w:t>
      </w:r>
      <w:r w:rsidRPr="00503AA2">
        <w:rPr>
          <w:rFonts w:ascii="Times New Roman" w:hAnsi="Times New Roman"/>
          <w:sz w:val="20"/>
          <w:szCs w:val="20"/>
        </w:rPr>
        <w:t>50(7): 778-785.</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Demmig, B., Winter, K., Kruger, A. &amp; Czygan, F.C. (1987). Photoinhibition and zeaxanthin formation in intact leaves. </w:t>
      </w:r>
      <w:r w:rsidRPr="00503AA2">
        <w:rPr>
          <w:rFonts w:ascii="Times New Roman" w:hAnsi="Times New Roman"/>
          <w:i/>
          <w:iCs/>
          <w:sz w:val="20"/>
          <w:szCs w:val="20"/>
        </w:rPr>
        <w:t xml:space="preserve">Plant Physiology, </w:t>
      </w:r>
      <w:r w:rsidRPr="00503AA2">
        <w:rPr>
          <w:rFonts w:ascii="Times New Roman" w:hAnsi="Times New Roman"/>
          <w:sz w:val="20"/>
          <w:szCs w:val="20"/>
        </w:rPr>
        <w:t>84: 218-224.</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lastRenderedPageBreak/>
        <w:t xml:space="preserve">Yamamoto, H.Y., Bugos, R.C. &amp; Hieber, A.D. (1999). Biochemistry and molecular biology of the xanthophyll cycle. In, H. A. Frank, A. J. Young, G. Britton and R. J. Cogdell (Eds.), </w:t>
      </w:r>
      <w:r w:rsidRPr="00503AA2">
        <w:rPr>
          <w:rFonts w:ascii="Times New Roman" w:hAnsi="Times New Roman"/>
          <w:i/>
          <w:iCs/>
          <w:sz w:val="20"/>
          <w:szCs w:val="20"/>
        </w:rPr>
        <w:t>The Photochemistry of Carotenoids</w:t>
      </w:r>
      <w:r w:rsidRPr="00503AA2">
        <w:rPr>
          <w:rFonts w:ascii="Times New Roman" w:hAnsi="Times New Roman"/>
          <w:sz w:val="20"/>
          <w:szCs w:val="20"/>
        </w:rPr>
        <w:t>. Netherlands: Kluwer Academic Publishers, pp. 293-303.</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Frank, H. &amp; Cogdell, R.J. (1993). Photochemistry and function of carotenoids in photosynthesis. In, A.J. Young and G. Britton (Eds.), </w:t>
      </w:r>
      <w:r w:rsidRPr="00503AA2">
        <w:rPr>
          <w:rFonts w:ascii="Times New Roman" w:hAnsi="Times New Roman"/>
          <w:i/>
          <w:iCs/>
          <w:sz w:val="20"/>
          <w:szCs w:val="20"/>
        </w:rPr>
        <w:t>Carotenoids in Photosynthesis</w:t>
      </w:r>
      <w:r w:rsidRPr="00503AA2">
        <w:rPr>
          <w:rFonts w:ascii="Times New Roman" w:hAnsi="Times New Roman"/>
          <w:sz w:val="20"/>
          <w:szCs w:val="20"/>
        </w:rPr>
        <w:t>. London, UK: Chapman and Hall, pp. 253-326.</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Young, A.J. (1993). Factors that affect the carotenoid composition of higher plants and algae. In, A.J. Young and G. Britton (Eds.), </w:t>
      </w:r>
      <w:r w:rsidRPr="00503AA2">
        <w:rPr>
          <w:rFonts w:ascii="Times New Roman" w:hAnsi="Times New Roman"/>
          <w:i/>
          <w:iCs/>
          <w:sz w:val="20"/>
          <w:szCs w:val="20"/>
        </w:rPr>
        <w:t>Carotenoids in Photosynthesis</w:t>
      </w:r>
      <w:r w:rsidRPr="00503AA2">
        <w:rPr>
          <w:rFonts w:ascii="Times New Roman" w:hAnsi="Times New Roman"/>
          <w:sz w:val="20"/>
          <w:szCs w:val="20"/>
        </w:rPr>
        <w:t>. London, UK: Chapman and Hall, pp. 161-205.</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Sandmann, G., Römer, S. &amp; Fraser, P.D. (2006). Understanding carotenoid metabolism as a necessity for genetic engineering of crop plants. </w:t>
      </w:r>
      <w:r w:rsidRPr="00503AA2">
        <w:rPr>
          <w:rFonts w:ascii="Times New Roman" w:hAnsi="Times New Roman"/>
          <w:i/>
          <w:iCs/>
          <w:sz w:val="20"/>
          <w:szCs w:val="20"/>
        </w:rPr>
        <w:t>Metabolic Engineering</w:t>
      </w:r>
      <w:r w:rsidRPr="00503AA2">
        <w:rPr>
          <w:rFonts w:ascii="Times New Roman" w:hAnsi="Times New Roman"/>
          <w:sz w:val="20"/>
          <w:szCs w:val="20"/>
        </w:rPr>
        <w:t>, 8(4): 291-302.</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Horvath, E., Pal, M., Szalai, G., Paldi, E. &amp; Janda, T. (2007). Exogenous 4-hydroxybenzoic acid and salicylic acid modulate the effect of short-term drought and freezing stress on wheat plants. </w:t>
      </w:r>
      <w:r w:rsidRPr="00503AA2">
        <w:rPr>
          <w:rFonts w:ascii="Times New Roman" w:hAnsi="Times New Roman"/>
          <w:i/>
          <w:iCs/>
          <w:sz w:val="20"/>
          <w:szCs w:val="20"/>
        </w:rPr>
        <w:t>Biologia Plantarum, 51</w:t>
      </w:r>
      <w:r w:rsidRPr="00503AA2">
        <w:rPr>
          <w:rFonts w:ascii="Times New Roman" w:hAnsi="Times New Roman"/>
          <w:sz w:val="20"/>
          <w:szCs w:val="20"/>
        </w:rPr>
        <w:t>(3): 480-487.</w:t>
      </w:r>
    </w:p>
    <w:p w:rsidR="00DF271A" w:rsidRPr="00503AA2" w:rsidRDefault="00DF271A" w:rsidP="00DF271A">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Cag, S., Cevahir-Oz, G., Sarsag, M. &amp; Goren-Saglam, N. (2009). Effect of salicylic acid on pigment, protein content and peroxidase activity in excised sunflower cotyledons. </w:t>
      </w:r>
      <w:r w:rsidRPr="00503AA2">
        <w:rPr>
          <w:rFonts w:ascii="Times New Roman" w:hAnsi="Times New Roman"/>
          <w:i/>
          <w:iCs/>
          <w:sz w:val="20"/>
          <w:szCs w:val="20"/>
        </w:rPr>
        <w:t>Pakistan Journal of Botany, 41</w:t>
      </w:r>
      <w:r w:rsidRPr="00503AA2">
        <w:rPr>
          <w:rFonts w:ascii="Times New Roman" w:hAnsi="Times New Roman"/>
          <w:sz w:val="20"/>
          <w:szCs w:val="20"/>
        </w:rPr>
        <w:t>(5): 2297-2303.</w:t>
      </w:r>
    </w:p>
    <w:p w:rsidR="00F31093" w:rsidRPr="00DF271A" w:rsidRDefault="00DF271A" w:rsidP="006B1068">
      <w:pPr>
        <w:pStyle w:val="ListParagraph"/>
        <w:numPr>
          <w:ilvl w:val="0"/>
          <w:numId w:val="3"/>
        </w:numPr>
        <w:spacing w:after="0" w:line="240" w:lineRule="auto"/>
        <w:ind w:left="360"/>
        <w:jc w:val="both"/>
        <w:rPr>
          <w:rFonts w:ascii="Times New Roman" w:hAnsi="Times New Roman"/>
          <w:sz w:val="20"/>
          <w:szCs w:val="20"/>
        </w:rPr>
      </w:pPr>
      <w:r w:rsidRPr="00503AA2">
        <w:rPr>
          <w:rFonts w:ascii="Times New Roman" w:hAnsi="Times New Roman"/>
          <w:sz w:val="20"/>
          <w:szCs w:val="20"/>
        </w:rPr>
        <w:t xml:space="preserve">Ashraf, M., Akram, N.A., Arteca, R.N. &amp; Foolad, M.R. (2010). The physiological, biochemical and molecular roles of brassinosteroids and salicylic acid in plant processes and salt tolerance. </w:t>
      </w:r>
      <w:r w:rsidRPr="00503AA2">
        <w:rPr>
          <w:rFonts w:ascii="Times New Roman" w:hAnsi="Times New Roman"/>
          <w:i/>
          <w:iCs/>
          <w:sz w:val="20"/>
          <w:szCs w:val="20"/>
        </w:rPr>
        <w:t>Critical Reviews in Plant Sciences, 29</w:t>
      </w:r>
      <w:r w:rsidRPr="00503AA2">
        <w:rPr>
          <w:rFonts w:ascii="Times New Roman" w:hAnsi="Times New Roman"/>
          <w:sz w:val="20"/>
          <w:szCs w:val="20"/>
        </w:rPr>
        <w:t>: 162-190.</w:t>
      </w:r>
      <w:r w:rsidR="00E66197" w:rsidRPr="00DF271A">
        <w:rPr>
          <w:rFonts w:ascii="Times New Roman" w:hAnsi="Times New Roman"/>
          <w:noProof/>
          <w:lang w:bidi="ar-SA"/>
        </w:rPr>
        <w:t xml:space="preserve">                                                          </w:t>
      </w:r>
      <w:r w:rsidR="0082181A" w:rsidRPr="00DF271A">
        <w:rPr>
          <w:rFonts w:ascii="Times New Roman" w:hAnsi="Times New Roman"/>
          <w:noProof/>
          <w:lang w:bidi="ar-SA"/>
        </w:rPr>
        <w:t xml:space="preserve">                       </w:t>
      </w:r>
    </w:p>
    <w:p w:rsidR="00E66197" w:rsidRPr="00136AC1" w:rsidRDefault="00E66197" w:rsidP="00136AC1">
      <w:pPr>
        <w:spacing w:after="0" w:line="240" w:lineRule="auto"/>
        <w:rPr>
          <w:rFonts w:ascii="Times New Roman" w:hAnsi="Times New Roman"/>
          <w:noProof/>
          <w:lang w:bidi="ar-SA"/>
        </w:rPr>
      </w:pPr>
    </w:p>
    <w:sectPr w:rsidR="00E66197" w:rsidRPr="00136AC1" w:rsidSect="00DF271A">
      <w:headerReference w:type="even" r:id="rId10"/>
      <w:headerReference w:type="default" r:id="rId11"/>
      <w:footerReference w:type="even" r:id="rId12"/>
      <w:footerReference w:type="default" r:id="rId13"/>
      <w:pgSz w:w="12240" w:h="15840" w:code="1"/>
      <w:pgMar w:top="1800" w:right="1469" w:bottom="1699" w:left="1440" w:header="706" w:footer="706" w:gutter="0"/>
      <w:pgNumType w:start="43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136B42">
      <w:rPr>
        <w:rFonts w:ascii="Times New Roman" w:hAnsi="Times New Roman"/>
        <w:noProof/>
      </w:rPr>
      <w:t>438</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136B42">
      <w:rPr>
        <w:rFonts w:ascii="Times New Roman" w:hAnsi="Times New Roman"/>
        <w:noProof/>
      </w:rPr>
      <w:t>437</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71A" w:rsidRPr="00DF271A" w:rsidRDefault="00DF271A" w:rsidP="00DF271A">
    <w:pPr>
      <w:spacing w:after="0" w:line="240" w:lineRule="auto"/>
      <w:ind w:left="1170" w:hanging="1170"/>
      <w:contextualSpacing/>
      <w:rPr>
        <w:rFonts w:ascii="Times New Roman" w:hAnsi="Times New Roman"/>
        <w:bCs/>
        <w:sz w:val="20"/>
        <w:szCs w:val="20"/>
      </w:rPr>
    </w:pPr>
    <w:r>
      <w:rPr>
        <w:rFonts w:ascii="Times New Roman" w:hAnsi="Times New Roman"/>
        <w:sz w:val="20"/>
        <w:szCs w:val="20"/>
      </w:rPr>
      <w:t>Rashidi et al</w:t>
    </w:r>
    <w:r w:rsidR="00A14DB9" w:rsidRPr="00DF271A">
      <w:rPr>
        <w:rFonts w:ascii="Times New Roman" w:hAnsi="Times New Roman"/>
        <w:sz w:val="20"/>
        <w:szCs w:val="20"/>
      </w:rPr>
      <w:t xml:space="preserve">:  </w:t>
    </w:r>
    <w:r w:rsidRPr="00DF271A">
      <w:rPr>
        <w:rFonts w:ascii="Times New Roman" w:hAnsi="Times New Roman"/>
        <w:bCs/>
        <w:sz w:val="20"/>
        <w:szCs w:val="20"/>
      </w:rPr>
      <w:t xml:space="preserve">CONSTITUTIVE, INSTITUTIVE AND UP-REGULATION OF CAROTENOGENESIS REGULATORY MECHANISM VIA </w:t>
    </w:r>
    <w:r w:rsidRPr="00DF271A">
      <w:rPr>
        <w:rFonts w:ascii="Times New Roman" w:hAnsi="Times New Roman"/>
        <w:bCs/>
        <w:i/>
        <w:sz w:val="20"/>
        <w:szCs w:val="20"/>
      </w:rPr>
      <w:t>IN VITRO</w:t>
    </w:r>
    <w:r w:rsidRPr="00DF271A">
      <w:rPr>
        <w:rFonts w:ascii="Times New Roman" w:hAnsi="Times New Roman"/>
        <w:bCs/>
        <w:sz w:val="20"/>
        <w:szCs w:val="20"/>
      </w:rPr>
      <w:t xml:space="preserve"> CULTURE MODEL SYSTEM AND ELICITORS</w:t>
    </w:r>
  </w:p>
  <w:p w:rsidR="00A14DB9" w:rsidRPr="008C77F2" w:rsidRDefault="00A14DB9">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DF271A"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2C30C6">
      <w:rPr>
        <w:rFonts w:ascii="Times New Roman" w:hAnsi="Times New Roman"/>
        <w:i/>
        <w:lang w:val="en-US"/>
      </w:rPr>
      <w:t>2</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DF271A">
      <w:rPr>
        <w:rFonts w:ascii="Times New Roman" w:hAnsi="Times New Roman"/>
        <w:i/>
        <w:lang w:val="en-US"/>
      </w:rPr>
      <w:t>437 - 444</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0620D"/>
    <w:multiLevelType w:val="hybridMultilevel"/>
    <w:tmpl w:val="8B16423C"/>
    <w:lvl w:ilvl="0" w:tplc="108ABFD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DF93A2A"/>
    <w:multiLevelType w:val="hybridMultilevel"/>
    <w:tmpl w:val="8592C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36B42"/>
    <w:rsid w:val="001B35D1"/>
    <w:rsid w:val="001D035A"/>
    <w:rsid w:val="001E6B6A"/>
    <w:rsid w:val="00295A67"/>
    <w:rsid w:val="002B188F"/>
    <w:rsid w:val="002C30C6"/>
    <w:rsid w:val="002F2505"/>
    <w:rsid w:val="00317C2D"/>
    <w:rsid w:val="00330EFD"/>
    <w:rsid w:val="00361BAF"/>
    <w:rsid w:val="003D585B"/>
    <w:rsid w:val="003E7DA6"/>
    <w:rsid w:val="00461C5C"/>
    <w:rsid w:val="00522681"/>
    <w:rsid w:val="00531BCF"/>
    <w:rsid w:val="005367DB"/>
    <w:rsid w:val="00544B69"/>
    <w:rsid w:val="005E552B"/>
    <w:rsid w:val="006768E9"/>
    <w:rsid w:val="006B1068"/>
    <w:rsid w:val="006C64F5"/>
    <w:rsid w:val="006C780C"/>
    <w:rsid w:val="006D0052"/>
    <w:rsid w:val="006D695E"/>
    <w:rsid w:val="00725A6A"/>
    <w:rsid w:val="00762D11"/>
    <w:rsid w:val="00802DCC"/>
    <w:rsid w:val="00805D1F"/>
    <w:rsid w:val="0082181A"/>
    <w:rsid w:val="00822688"/>
    <w:rsid w:val="00862958"/>
    <w:rsid w:val="008B1EAF"/>
    <w:rsid w:val="008B3A1F"/>
    <w:rsid w:val="008B470E"/>
    <w:rsid w:val="008C77F2"/>
    <w:rsid w:val="008E5BBF"/>
    <w:rsid w:val="009B140D"/>
    <w:rsid w:val="00A14DB9"/>
    <w:rsid w:val="00A42874"/>
    <w:rsid w:val="00A43654"/>
    <w:rsid w:val="00A4762A"/>
    <w:rsid w:val="00B1121C"/>
    <w:rsid w:val="00B2639F"/>
    <w:rsid w:val="00B2770A"/>
    <w:rsid w:val="00B314AD"/>
    <w:rsid w:val="00BA35F1"/>
    <w:rsid w:val="00BB58AF"/>
    <w:rsid w:val="00BC3ED2"/>
    <w:rsid w:val="00BF0954"/>
    <w:rsid w:val="00C31E76"/>
    <w:rsid w:val="00C43D22"/>
    <w:rsid w:val="00C5417D"/>
    <w:rsid w:val="00CA513F"/>
    <w:rsid w:val="00D4023F"/>
    <w:rsid w:val="00D75B35"/>
    <w:rsid w:val="00D878E4"/>
    <w:rsid w:val="00D9792A"/>
    <w:rsid w:val="00DF271A"/>
    <w:rsid w:val="00E41EE7"/>
    <w:rsid w:val="00E66197"/>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DF271A"/>
    <w:pPr>
      <w:autoSpaceDE w:val="0"/>
      <w:autoSpaceDN w:val="0"/>
      <w:adjustRightInd w:val="0"/>
    </w:pPr>
    <w:rPr>
      <w:rFonts w:ascii="Times New Roman" w:eastAsia="Times New Roman" w:hAnsi="Times New Roman"/>
      <w:color w:val="000000"/>
      <w:sz w:val="24"/>
      <w:szCs w:val="24"/>
      <w:lang w:bidi="th-TH"/>
    </w:rPr>
  </w:style>
  <w:style w:type="character" w:customStyle="1" w:styleId="apple-converted-space">
    <w:name w:val="apple-converted-space"/>
    <w:basedOn w:val="DefaultParagraphFont"/>
    <w:rsid w:val="00DF27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DF271A"/>
    <w:pPr>
      <w:autoSpaceDE w:val="0"/>
      <w:autoSpaceDN w:val="0"/>
      <w:adjustRightInd w:val="0"/>
    </w:pPr>
    <w:rPr>
      <w:rFonts w:ascii="Times New Roman" w:eastAsia="Times New Roman" w:hAnsi="Times New Roman"/>
      <w:color w:val="000000"/>
      <w:sz w:val="24"/>
      <w:szCs w:val="24"/>
      <w:lang w:bidi="th-TH"/>
    </w:rPr>
  </w:style>
  <w:style w:type="character" w:customStyle="1" w:styleId="apple-converted-space">
    <w:name w:val="apple-converted-space"/>
    <w:basedOn w:val="DefaultParagraphFont"/>
    <w:rsid w:val="00DF2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5FA19-81BD-48C9-9CFC-234A4B408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4455</Words>
  <Characters>25397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4</cp:revision>
  <dcterms:created xsi:type="dcterms:W3CDTF">2015-04-01T02:01:00Z</dcterms:created>
  <dcterms:modified xsi:type="dcterms:W3CDTF">2015-04-02T03:04:00Z</dcterms:modified>
</cp:coreProperties>
</file>