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B12F84" w:rsidRPr="009D348A" w:rsidRDefault="00B12F84" w:rsidP="00B12F84">
      <w:pPr>
        <w:spacing w:after="0" w:line="240" w:lineRule="auto"/>
        <w:jc w:val="center"/>
        <w:rPr>
          <w:rFonts w:ascii="Times New Roman" w:hAnsi="Times New Roman"/>
          <w:sz w:val="28"/>
          <w:szCs w:val="32"/>
          <w:lang w:eastAsia="en-GB"/>
        </w:rPr>
      </w:pPr>
      <w:r w:rsidRPr="009D348A">
        <w:rPr>
          <w:rFonts w:ascii="Times New Roman" w:hAnsi="Times New Roman"/>
          <w:sz w:val="28"/>
          <w:szCs w:val="32"/>
          <w:lang w:eastAsia="en-GB"/>
        </w:rPr>
        <w:t>EFFECT OF RADIATION ON THE VIABILITY OF HepG2 CANCER CELL LINE TARGETED WITH DIFFERENT AMOUNT OF RADIOSENSITIZER</w:t>
      </w:r>
    </w:p>
    <w:p w:rsidR="00B12F84" w:rsidRPr="00802DCC" w:rsidRDefault="00B12F84" w:rsidP="00B12F84">
      <w:pPr>
        <w:spacing w:after="0" w:line="240" w:lineRule="auto"/>
        <w:jc w:val="center"/>
        <w:rPr>
          <w:rFonts w:ascii="Times New Roman" w:hAnsi="Times New Roman"/>
          <w:noProof/>
          <w:sz w:val="24"/>
          <w:szCs w:val="24"/>
          <w:lang w:bidi="ar-SA"/>
        </w:rPr>
      </w:pPr>
    </w:p>
    <w:p w:rsidR="00B12F84" w:rsidRPr="00802DCC" w:rsidRDefault="00B12F84" w:rsidP="00B12F84">
      <w:pPr>
        <w:spacing w:after="0" w:line="240" w:lineRule="auto"/>
        <w:jc w:val="center"/>
        <w:rPr>
          <w:rFonts w:ascii="Times New Roman" w:hAnsi="Times New Roman"/>
          <w:noProof/>
          <w:sz w:val="20"/>
          <w:szCs w:val="20"/>
          <w:lang w:bidi="ar-SA"/>
        </w:rPr>
      </w:pPr>
      <w:r w:rsidRPr="009D348A">
        <w:rPr>
          <w:rFonts w:ascii="Times New Roman" w:hAnsi="Times New Roman"/>
          <w:sz w:val="24"/>
          <w:szCs w:val="24"/>
          <w:lang w:eastAsia="en-GB"/>
        </w:rPr>
        <w:t>(</w:t>
      </w:r>
      <w:r w:rsidRPr="009D348A">
        <w:rPr>
          <w:rFonts w:ascii="Times New Roman" w:hAnsi="Times New Roman"/>
          <w:sz w:val="24"/>
          <w:szCs w:val="24"/>
        </w:rPr>
        <w:t>Kesan Sinaran Terhadap Kemandirian Sel Kanser HepG2 Yang Disasar Dengan Pelbagai Isipadu Pemeka Sinaran)</w:t>
      </w:r>
      <w:r w:rsidRPr="009D348A">
        <w:rPr>
          <w:rFonts w:ascii="Times New Roman" w:hAnsi="Times New Roman"/>
          <w:sz w:val="24"/>
          <w:szCs w:val="24"/>
          <w:lang w:eastAsia="en-GB"/>
        </w:rPr>
        <w:t xml:space="preserve"> </w:t>
      </w:r>
      <w:r w:rsidRPr="009D348A">
        <w:rPr>
          <w:rFonts w:ascii="Times New Roman" w:hAnsi="Times New Roman"/>
          <w:sz w:val="24"/>
          <w:szCs w:val="24"/>
          <w:lang w:eastAsia="en-GB"/>
        </w:rPr>
        <w:br/>
      </w:r>
    </w:p>
    <w:p w:rsidR="00B12F84" w:rsidRPr="00891CF7" w:rsidRDefault="00B12F84" w:rsidP="00B12F84">
      <w:pPr>
        <w:spacing w:after="0" w:line="240" w:lineRule="auto"/>
        <w:jc w:val="center"/>
        <w:rPr>
          <w:rFonts w:ascii="Times New Roman" w:hAnsi="Times New Roman"/>
          <w:color w:val="000000"/>
          <w:sz w:val="20"/>
          <w:szCs w:val="20"/>
          <w:shd w:val="clear" w:color="auto" w:fill="FFFFFF"/>
          <w:vertAlign w:val="superscript"/>
        </w:rPr>
      </w:pPr>
      <w:r w:rsidRPr="00891CF7">
        <w:rPr>
          <w:rFonts w:ascii="Times New Roman" w:hAnsi="Times New Roman"/>
          <w:color w:val="000000"/>
          <w:sz w:val="20"/>
          <w:szCs w:val="20"/>
          <w:shd w:val="clear" w:color="auto" w:fill="FFFFFF"/>
        </w:rPr>
        <w:t>Cheong Kai Heng, Faizal Mohamed</w:t>
      </w:r>
      <w:r>
        <w:rPr>
          <w:rFonts w:ascii="Times New Roman" w:hAnsi="Times New Roman"/>
          <w:color w:val="000000"/>
          <w:sz w:val="20"/>
          <w:szCs w:val="20"/>
          <w:shd w:val="clear" w:color="auto" w:fill="FFFFFF"/>
        </w:rPr>
        <w:t xml:space="preserve">*,  </w:t>
      </w:r>
      <w:r w:rsidRPr="00891CF7">
        <w:rPr>
          <w:rFonts w:ascii="Times New Roman" w:hAnsi="Times New Roman"/>
          <w:color w:val="000000"/>
          <w:sz w:val="20"/>
          <w:szCs w:val="20"/>
          <w:shd w:val="clear" w:color="auto" w:fill="FFFFFF"/>
        </w:rPr>
        <w:t>Irman Abdul Rahman</w:t>
      </w:r>
    </w:p>
    <w:p w:rsidR="00B12F84" w:rsidRPr="00802DCC" w:rsidRDefault="00B12F84" w:rsidP="00B12F84">
      <w:pPr>
        <w:spacing w:after="0" w:line="240" w:lineRule="auto"/>
        <w:jc w:val="center"/>
        <w:rPr>
          <w:rFonts w:ascii="Times New Roman" w:hAnsi="Times New Roman"/>
          <w:noProof/>
          <w:sz w:val="18"/>
          <w:szCs w:val="18"/>
          <w:lang w:bidi="ar-SA"/>
        </w:rPr>
      </w:pPr>
    </w:p>
    <w:p w:rsidR="00B12F84" w:rsidRDefault="00B12F84" w:rsidP="00B12F84">
      <w:pPr>
        <w:spacing w:after="0" w:line="240" w:lineRule="auto"/>
        <w:jc w:val="center"/>
        <w:rPr>
          <w:rFonts w:ascii="Times New Roman" w:hAnsi="Times New Roman"/>
          <w:i/>
          <w:iCs/>
          <w:color w:val="000000"/>
          <w:sz w:val="18"/>
          <w:szCs w:val="18"/>
          <w:shd w:val="clear" w:color="auto" w:fill="FFFFFF"/>
        </w:rPr>
      </w:pPr>
      <w:r>
        <w:rPr>
          <w:rFonts w:ascii="Times New Roman" w:hAnsi="Times New Roman"/>
          <w:i/>
          <w:iCs/>
          <w:color w:val="000000"/>
          <w:sz w:val="18"/>
          <w:szCs w:val="18"/>
          <w:shd w:val="clear" w:color="auto" w:fill="FFFFFF"/>
        </w:rPr>
        <w:t xml:space="preserve">School of Applied Physics, Faculty Science and Technology, </w:t>
      </w:r>
    </w:p>
    <w:p w:rsidR="00B12F84" w:rsidRDefault="00B12F84" w:rsidP="00B12F84">
      <w:pPr>
        <w:spacing w:after="0" w:line="240" w:lineRule="auto"/>
        <w:jc w:val="center"/>
        <w:rPr>
          <w:rFonts w:ascii="Times New Roman" w:hAnsi="Times New Roman"/>
          <w:i/>
          <w:iCs/>
          <w:color w:val="000000"/>
          <w:sz w:val="18"/>
          <w:szCs w:val="18"/>
          <w:shd w:val="clear" w:color="auto" w:fill="FFFFFF"/>
        </w:rPr>
      </w:pPr>
      <w:r>
        <w:rPr>
          <w:rFonts w:ascii="Times New Roman" w:hAnsi="Times New Roman"/>
          <w:i/>
          <w:iCs/>
          <w:color w:val="000000"/>
          <w:sz w:val="18"/>
          <w:szCs w:val="18"/>
          <w:shd w:val="clear" w:color="auto" w:fill="FFFFFF"/>
        </w:rPr>
        <w:t>Universiti Kebangsaan Malaysia, 43600 UKM Bangi, Selangor, Malaysia</w:t>
      </w:r>
    </w:p>
    <w:p w:rsidR="00B12F84" w:rsidRPr="00802DCC" w:rsidRDefault="00B12F84" w:rsidP="00B12F84">
      <w:pPr>
        <w:spacing w:after="0" w:line="240" w:lineRule="auto"/>
        <w:jc w:val="center"/>
        <w:rPr>
          <w:rFonts w:ascii="Times New Roman" w:hAnsi="Times New Roman"/>
          <w:noProof/>
          <w:sz w:val="18"/>
          <w:szCs w:val="18"/>
          <w:lang w:bidi="ar-SA"/>
        </w:rPr>
      </w:pPr>
    </w:p>
    <w:p w:rsidR="00B12F84" w:rsidRPr="007C282D" w:rsidRDefault="00B12F84" w:rsidP="00B12F84">
      <w:pPr>
        <w:spacing w:after="0" w:line="240" w:lineRule="auto"/>
        <w:jc w:val="center"/>
        <w:rPr>
          <w:rFonts w:ascii="Times New Roman" w:hAnsi="Times New Roman"/>
          <w:sz w:val="18"/>
          <w:szCs w:val="18"/>
          <w:lang w:eastAsia="en-GB"/>
        </w:rPr>
      </w:pPr>
      <w:r w:rsidRPr="00802DCC">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Fonts w:ascii="Times New Roman" w:hAnsi="Times New Roman"/>
          <w:i/>
          <w:iCs/>
          <w:sz w:val="18"/>
          <w:szCs w:val="18"/>
          <w:lang w:eastAsia="en-GB"/>
        </w:rPr>
        <w:t>faizalm@ukm.edu.my</w:t>
      </w:r>
    </w:p>
    <w:p w:rsidR="00B12F84" w:rsidRDefault="00B12F84" w:rsidP="00B12F84">
      <w:pPr>
        <w:spacing w:after="0" w:line="240" w:lineRule="auto"/>
        <w:jc w:val="center"/>
        <w:rPr>
          <w:rFonts w:ascii="Times New Roman" w:hAnsi="Times New Roman"/>
          <w:i/>
          <w:noProof/>
          <w:sz w:val="18"/>
          <w:szCs w:val="18"/>
          <w:lang w:bidi="ar-SA"/>
        </w:rPr>
      </w:pPr>
    </w:p>
    <w:p w:rsidR="00B12F84" w:rsidRDefault="00B12F84" w:rsidP="00B12F84">
      <w:pPr>
        <w:spacing w:after="0" w:line="240" w:lineRule="auto"/>
        <w:jc w:val="center"/>
        <w:rPr>
          <w:rFonts w:ascii="Times New Roman" w:hAnsi="Times New Roman"/>
          <w:i/>
          <w:noProof/>
          <w:sz w:val="18"/>
          <w:szCs w:val="18"/>
          <w:lang w:bidi="ar-SA"/>
        </w:rPr>
      </w:pPr>
    </w:p>
    <w:p w:rsidR="00B12F84" w:rsidRPr="00E41EE7" w:rsidRDefault="00B12F84" w:rsidP="00B12F84">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Pr>
          <w:rFonts w:ascii="Times New Roman" w:hAnsi="Times New Roman"/>
          <w:noProof/>
          <w:sz w:val="18"/>
          <w:szCs w:val="18"/>
          <w:lang w:bidi="ar-SA"/>
        </w:rPr>
        <w:t>8 December 2014</w:t>
      </w:r>
      <w:r w:rsidRPr="00E41EE7">
        <w:rPr>
          <w:rFonts w:ascii="Times New Roman" w:hAnsi="Times New Roman"/>
          <w:noProof/>
          <w:sz w:val="18"/>
          <w:szCs w:val="18"/>
          <w:lang w:bidi="ar-SA"/>
        </w:rPr>
        <w:t>; Accepted:</w:t>
      </w:r>
      <w:r>
        <w:rPr>
          <w:rFonts w:ascii="Times New Roman" w:hAnsi="Times New Roman"/>
          <w:noProof/>
          <w:sz w:val="18"/>
          <w:szCs w:val="18"/>
          <w:lang w:bidi="ar-SA"/>
        </w:rPr>
        <w:t xml:space="preserve"> 14 January 2015</w:t>
      </w:r>
    </w:p>
    <w:p w:rsidR="00B12F84" w:rsidRPr="00802DCC" w:rsidRDefault="00B12F84" w:rsidP="00B12F84">
      <w:pPr>
        <w:spacing w:after="0" w:line="240" w:lineRule="auto"/>
        <w:jc w:val="center"/>
        <w:rPr>
          <w:rFonts w:ascii="Times New Roman" w:hAnsi="Times New Roman"/>
          <w:noProof/>
          <w:sz w:val="18"/>
          <w:szCs w:val="18"/>
          <w:lang w:bidi="ar-SA"/>
        </w:rPr>
      </w:pPr>
    </w:p>
    <w:p w:rsidR="00B12F84" w:rsidRPr="00802DCC" w:rsidRDefault="00B12F84" w:rsidP="00B12F84">
      <w:pPr>
        <w:spacing w:after="0" w:line="240" w:lineRule="auto"/>
        <w:jc w:val="center"/>
        <w:rPr>
          <w:rFonts w:ascii="Times New Roman" w:hAnsi="Times New Roman"/>
          <w:noProof/>
          <w:sz w:val="18"/>
          <w:szCs w:val="18"/>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B12F84" w:rsidRPr="004E2072" w:rsidRDefault="00B12F84" w:rsidP="00B12F84">
      <w:pPr>
        <w:spacing w:after="0" w:line="240" w:lineRule="auto"/>
        <w:jc w:val="both"/>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Radiosensitizer (RS) were</w:t>
      </w:r>
      <w:r w:rsidRPr="004E2072">
        <w:rPr>
          <w:rFonts w:ascii="Times New Roman" w:hAnsi="Times New Roman"/>
          <w:color w:val="000000"/>
          <w:sz w:val="18"/>
          <w:szCs w:val="18"/>
          <w:shd w:val="clear" w:color="auto" w:fill="FFFFFF"/>
        </w:rPr>
        <w:t xml:space="preserve"> applied prior to radiation therapy to increase the therapeutic efficacy. This is due to some cancer cells were resistance toward radiation by produci</w:t>
      </w:r>
      <w:r>
        <w:rPr>
          <w:rFonts w:ascii="Times New Roman" w:hAnsi="Times New Roman"/>
          <w:color w:val="000000"/>
          <w:sz w:val="18"/>
          <w:szCs w:val="18"/>
          <w:shd w:val="clear" w:color="auto" w:fill="FFFFFF"/>
        </w:rPr>
        <w:t>ng large amount of antioxidant</w:t>
      </w:r>
      <w:r w:rsidRPr="004E2072">
        <w:rPr>
          <w:rFonts w:ascii="Times New Roman" w:hAnsi="Times New Roman"/>
          <w:color w:val="000000"/>
          <w:sz w:val="18"/>
          <w:szCs w:val="18"/>
          <w:shd w:val="clear" w:color="auto" w:fill="FFFFFF"/>
        </w:rPr>
        <w:t xml:space="preserve"> enzyme to scavenges the free radicals. </w:t>
      </w:r>
      <w:r>
        <w:rPr>
          <w:rFonts w:ascii="Times New Roman" w:hAnsi="Times New Roman"/>
          <w:color w:val="000000"/>
          <w:sz w:val="18"/>
          <w:szCs w:val="18"/>
          <w:shd w:val="clear" w:color="auto" w:fill="FFFFFF"/>
        </w:rPr>
        <w:t xml:space="preserve">The amount of RS added prior to irradiation </w:t>
      </w:r>
      <w:r w:rsidRPr="004E2072">
        <w:rPr>
          <w:rFonts w:ascii="Times New Roman" w:hAnsi="Times New Roman"/>
          <w:color w:val="000000"/>
          <w:sz w:val="18"/>
          <w:szCs w:val="18"/>
          <w:shd w:val="clear" w:color="auto" w:fill="FFFFFF"/>
        </w:rPr>
        <w:t xml:space="preserve">played an important role </w:t>
      </w:r>
      <w:r>
        <w:rPr>
          <w:rFonts w:ascii="Times New Roman" w:hAnsi="Times New Roman"/>
          <w:color w:val="000000"/>
          <w:sz w:val="18"/>
          <w:szCs w:val="18"/>
          <w:shd w:val="clear" w:color="auto" w:fill="FFFFFF"/>
        </w:rPr>
        <w:t>to increase the efficacy of treatment but peroxide</w:t>
      </w:r>
      <w:r w:rsidRPr="004E2072">
        <w:rPr>
          <w:rFonts w:ascii="Times New Roman" w:hAnsi="Times New Roman"/>
          <w:color w:val="000000"/>
          <w:sz w:val="18"/>
          <w:szCs w:val="18"/>
          <w:shd w:val="clear" w:color="auto" w:fill="FFFFFF"/>
        </w:rPr>
        <w:t xml:space="preserve"> may cause unnecessary stress to the cancer cells before the treatment of irradiation. In this paper, different amount of RS were tested to evaluate the optimum amount of RS to avoid over-stress to the cancer cells while showing radiosensitizing effect by comparing to sample without RS. </w:t>
      </w:r>
      <w:r>
        <w:rPr>
          <w:rFonts w:ascii="Times New Roman" w:hAnsi="Times New Roman"/>
          <w:color w:val="000000"/>
          <w:sz w:val="18"/>
          <w:szCs w:val="18"/>
          <w:shd w:val="clear" w:color="auto" w:fill="FFFFFF"/>
        </w:rPr>
        <w:t xml:space="preserve">RS with different concentration </w:t>
      </w:r>
      <w:r w:rsidRPr="004E2072">
        <w:rPr>
          <w:rFonts w:ascii="Times New Roman" w:hAnsi="Times New Roman"/>
          <w:color w:val="000000"/>
          <w:sz w:val="18"/>
          <w:szCs w:val="18"/>
          <w:shd w:val="clear" w:color="auto" w:fill="FFFFFF"/>
        </w:rPr>
        <w:t xml:space="preserve">started from </w:t>
      </w:r>
      <w:r>
        <w:rPr>
          <w:rFonts w:ascii="Times New Roman" w:hAnsi="Times New Roman"/>
          <w:color w:val="000000"/>
          <w:sz w:val="18"/>
          <w:szCs w:val="18"/>
          <w:shd w:val="clear" w:color="auto" w:fill="FFFFFF"/>
        </w:rPr>
        <w:t>5%</w:t>
      </w:r>
      <w:r w:rsidRPr="004E2072">
        <w:rPr>
          <w:rFonts w:ascii="Times New Roman" w:hAnsi="Times New Roman"/>
          <w:color w:val="000000"/>
          <w:sz w:val="18"/>
          <w:szCs w:val="18"/>
          <w:shd w:val="clear" w:color="auto" w:fill="FFFFFF"/>
        </w:rPr>
        <w:t xml:space="preserve"> to </w:t>
      </w:r>
      <w:r>
        <w:rPr>
          <w:rFonts w:ascii="Times New Roman" w:hAnsi="Times New Roman"/>
          <w:color w:val="000000"/>
          <w:sz w:val="18"/>
          <w:szCs w:val="18"/>
          <w:shd w:val="clear" w:color="auto" w:fill="FFFFFF"/>
        </w:rPr>
        <w:t>50%</w:t>
      </w:r>
      <w:r w:rsidRPr="004E2072">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are</w:t>
      </w:r>
      <w:r w:rsidRPr="004E2072">
        <w:rPr>
          <w:rFonts w:ascii="Times New Roman" w:hAnsi="Times New Roman"/>
          <w:color w:val="000000"/>
          <w:sz w:val="18"/>
          <w:szCs w:val="18"/>
          <w:shd w:val="clear" w:color="auto" w:fill="FFFFFF"/>
        </w:rPr>
        <w:t xml:space="preserve"> added to </w:t>
      </w:r>
      <w:r>
        <w:rPr>
          <w:rFonts w:ascii="Times New Roman" w:hAnsi="Times New Roman"/>
          <w:color w:val="000000"/>
          <w:sz w:val="18"/>
          <w:szCs w:val="18"/>
          <w:shd w:val="clear" w:color="auto" w:fill="FFFFFF"/>
        </w:rPr>
        <w:t>hepatocellular carcinoma (</w:t>
      </w:r>
      <w:r w:rsidRPr="004E2072">
        <w:rPr>
          <w:rFonts w:ascii="Times New Roman" w:hAnsi="Times New Roman"/>
          <w:color w:val="000000"/>
          <w:sz w:val="18"/>
          <w:szCs w:val="18"/>
          <w:shd w:val="clear" w:color="auto" w:fill="FFFFFF"/>
        </w:rPr>
        <w:t>HepG2</w:t>
      </w:r>
      <w:r>
        <w:rPr>
          <w:rFonts w:ascii="Times New Roman" w:hAnsi="Times New Roman"/>
          <w:color w:val="000000"/>
          <w:sz w:val="18"/>
          <w:szCs w:val="18"/>
          <w:shd w:val="clear" w:color="auto" w:fill="FFFFFF"/>
        </w:rPr>
        <w:t>)</w:t>
      </w:r>
      <w:r w:rsidRPr="004E2072">
        <w:rPr>
          <w:rFonts w:ascii="Times New Roman" w:hAnsi="Times New Roman"/>
          <w:color w:val="000000"/>
          <w:sz w:val="18"/>
          <w:szCs w:val="18"/>
          <w:shd w:val="clear" w:color="auto" w:fill="FFFFFF"/>
        </w:rPr>
        <w:t xml:space="preserve"> cancer cell line prior to 2Gy of fra</w:t>
      </w:r>
      <w:r>
        <w:rPr>
          <w:rFonts w:ascii="Times New Roman" w:hAnsi="Times New Roman"/>
          <w:color w:val="000000"/>
          <w:sz w:val="18"/>
          <w:szCs w:val="18"/>
          <w:shd w:val="clear" w:color="auto" w:fill="FFFFFF"/>
        </w:rPr>
        <w:t>ctionated dose. Cell viability was</w:t>
      </w:r>
      <w:r w:rsidRPr="004E2072">
        <w:rPr>
          <w:rFonts w:ascii="Times New Roman" w:hAnsi="Times New Roman"/>
          <w:color w:val="000000"/>
          <w:sz w:val="18"/>
          <w:szCs w:val="18"/>
          <w:shd w:val="clear" w:color="auto" w:fill="FFFFFF"/>
        </w:rPr>
        <w:t xml:space="preserve"> evaluated by 3-(4,5-dimethylthiazol-2-yl)-2,5-diphenyltetrazolium bromide (MTT) assay, 24 hours after irradiation. In this study it is observed that the </w:t>
      </w:r>
      <w:r>
        <w:rPr>
          <w:rFonts w:ascii="Times New Roman" w:hAnsi="Times New Roman"/>
          <w:color w:val="000000"/>
          <w:sz w:val="18"/>
          <w:szCs w:val="18"/>
          <w:shd w:val="clear" w:color="auto" w:fill="FFFFFF"/>
        </w:rPr>
        <w:t>concentration</w:t>
      </w:r>
      <w:r w:rsidRPr="004E2072">
        <w:rPr>
          <w:rFonts w:ascii="Times New Roman" w:hAnsi="Times New Roman"/>
          <w:color w:val="000000"/>
          <w:sz w:val="18"/>
          <w:szCs w:val="18"/>
          <w:shd w:val="clear" w:color="auto" w:fill="FFFFFF"/>
        </w:rPr>
        <w:t xml:space="preserve"> of RS </w:t>
      </w:r>
      <w:r>
        <w:rPr>
          <w:rFonts w:ascii="Times New Roman" w:hAnsi="Times New Roman"/>
          <w:color w:val="000000"/>
          <w:sz w:val="18"/>
          <w:szCs w:val="18"/>
          <w:shd w:val="clear" w:color="auto" w:fill="FFFFFF"/>
        </w:rPr>
        <w:t>range between 5-20%</w:t>
      </w:r>
      <w:r w:rsidRPr="004E2072">
        <w:rPr>
          <w:rFonts w:ascii="Times New Roman" w:hAnsi="Times New Roman"/>
          <w:color w:val="000000"/>
          <w:sz w:val="18"/>
          <w:szCs w:val="18"/>
          <w:shd w:val="clear" w:color="auto" w:fill="FFFFFF"/>
        </w:rPr>
        <w:t xml:space="preserve"> did not cause reduction on the viability percentage of the studied HepG2 cells</w:t>
      </w:r>
      <w:r>
        <w:rPr>
          <w:rFonts w:ascii="Times New Roman" w:hAnsi="Times New Roman"/>
          <w:color w:val="000000"/>
          <w:sz w:val="18"/>
          <w:szCs w:val="18"/>
          <w:shd w:val="clear" w:color="auto" w:fill="FFFFFF"/>
        </w:rPr>
        <w:t xml:space="preserve"> whereas 25-50% caused significant reduction on cell viability</w:t>
      </w:r>
      <w:r w:rsidRPr="004E2072">
        <w:rPr>
          <w:rFonts w:ascii="Times New Roman" w:hAnsi="Times New Roman"/>
          <w:color w:val="000000"/>
          <w:sz w:val="18"/>
          <w:szCs w:val="18"/>
          <w:shd w:val="clear" w:color="auto" w:fill="FFFFFF"/>
        </w:rPr>
        <w:t xml:space="preserve">. The radiosensitizing effect of RS at </w:t>
      </w:r>
      <w:r>
        <w:rPr>
          <w:rFonts w:ascii="Times New Roman" w:hAnsi="Times New Roman"/>
          <w:color w:val="000000"/>
          <w:sz w:val="18"/>
          <w:szCs w:val="18"/>
          <w:shd w:val="clear" w:color="auto" w:fill="FFFFFF"/>
        </w:rPr>
        <w:t>20% concentration</w:t>
      </w:r>
      <w:r w:rsidRPr="004E2072">
        <w:rPr>
          <w:rFonts w:ascii="Times New Roman" w:hAnsi="Times New Roman"/>
          <w:color w:val="000000"/>
          <w:sz w:val="18"/>
          <w:szCs w:val="18"/>
          <w:shd w:val="clear" w:color="auto" w:fill="FFFFFF"/>
        </w:rPr>
        <w:t xml:space="preserve"> exhibits 18.68% more cell death compared to treatment with radiation alone. It is therefore suggested that </w:t>
      </w:r>
      <w:r>
        <w:rPr>
          <w:rFonts w:ascii="Times New Roman" w:hAnsi="Times New Roman"/>
          <w:color w:val="000000"/>
          <w:sz w:val="18"/>
          <w:szCs w:val="18"/>
          <w:shd w:val="clear" w:color="auto" w:fill="FFFFFF"/>
        </w:rPr>
        <w:t xml:space="preserve">20% is the </w:t>
      </w:r>
      <w:r w:rsidRPr="004E2072">
        <w:rPr>
          <w:rFonts w:ascii="Times New Roman" w:hAnsi="Times New Roman"/>
          <w:color w:val="000000"/>
          <w:sz w:val="18"/>
          <w:szCs w:val="18"/>
          <w:shd w:val="clear" w:color="auto" w:fill="FFFFFF"/>
        </w:rPr>
        <w:t xml:space="preserve">optimum amount of RS </w:t>
      </w:r>
      <w:r>
        <w:rPr>
          <w:rFonts w:ascii="Times New Roman" w:hAnsi="Times New Roman"/>
          <w:color w:val="000000"/>
          <w:sz w:val="18"/>
          <w:szCs w:val="18"/>
          <w:shd w:val="clear" w:color="auto" w:fill="FFFFFF"/>
        </w:rPr>
        <w:t>which able to</w:t>
      </w:r>
      <w:r w:rsidRPr="004E2072">
        <w:rPr>
          <w:rFonts w:ascii="Times New Roman" w:hAnsi="Times New Roman"/>
          <w:color w:val="000000"/>
          <w:sz w:val="18"/>
          <w:szCs w:val="18"/>
          <w:shd w:val="clear" w:color="auto" w:fill="FFFFFF"/>
        </w:rPr>
        <w:t xml:space="preserve"> enhance the radiosensitizing ability </w:t>
      </w:r>
      <w:r>
        <w:rPr>
          <w:rFonts w:ascii="Times New Roman" w:hAnsi="Times New Roman"/>
          <w:color w:val="000000"/>
          <w:sz w:val="18"/>
          <w:szCs w:val="18"/>
          <w:shd w:val="clear" w:color="auto" w:fill="FFFFFF"/>
        </w:rPr>
        <w:t xml:space="preserve">without causing toxicity to the cell, thus </w:t>
      </w:r>
      <w:r w:rsidRPr="004E2072">
        <w:rPr>
          <w:rFonts w:ascii="Times New Roman" w:hAnsi="Times New Roman"/>
          <w:color w:val="000000"/>
          <w:sz w:val="18"/>
          <w:szCs w:val="18"/>
          <w:shd w:val="clear" w:color="auto" w:fill="FFFFFF"/>
        </w:rPr>
        <w:t>induced more cancer cell death during radiotherapy.</w:t>
      </w:r>
    </w:p>
    <w:p w:rsidR="00B12F84" w:rsidRPr="00CE7ABC" w:rsidRDefault="00B12F84" w:rsidP="00B12F84">
      <w:pPr>
        <w:spacing w:after="0" w:line="240" w:lineRule="auto"/>
        <w:jc w:val="both"/>
        <w:rPr>
          <w:rFonts w:ascii="Times New Roman" w:hAnsi="Times New Roman"/>
          <w:b/>
          <w:bCs/>
          <w:sz w:val="18"/>
          <w:szCs w:val="24"/>
          <w:lang w:eastAsia="en-GB"/>
        </w:rPr>
      </w:pPr>
    </w:p>
    <w:p w:rsidR="00B12F84" w:rsidRPr="00C271AA" w:rsidRDefault="00B12F84" w:rsidP="00B12F84">
      <w:pPr>
        <w:spacing w:after="0" w:line="240" w:lineRule="auto"/>
        <w:jc w:val="both"/>
        <w:rPr>
          <w:rFonts w:ascii="Times New Roman" w:hAnsi="Times New Roman"/>
          <w:color w:val="000000"/>
          <w:sz w:val="18"/>
          <w:szCs w:val="18"/>
          <w:shd w:val="clear" w:color="auto" w:fill="FFFFFF"/>
        </w:rPr>
      </w:pPr>
      <w:r w:rsidRPr="000B1E92">
        <w:rPr>
          <w:rFonts w:ascii="Times New Roman" w:hAnsi="Times New Roman"/>
          <w:b/>
          <w:bCs/>
          <w:sz w:val="18"/>
          <w:szCs w:val="18"/>
          <w:lang w:eastAsia="en-GB"/>
        </w:rPr>
        <w:t>Keywords</w:t>
      </w:r>
      <w:r w:rsidRPr="000B1E92">
        <w:rPr>
          <w:rFonts w:ascii="Times New Roman" w:hAnsi="Times New Roman"/>
          <w:sz w:val="18"/>
          <w:szCs w:val="18"/>
          <w:lang w:eastAsia="en-GB"/>
        </w:rPr>
        <w:t xml:space="preserve">: </w:t>
      </w:r>
      <w:r>
        <w:rPr>
          <w:rFonts w:ascii="Times New Roman" w:hAnsi="Times New Roman"/>
          <w:sz w:val="18"/>
          <w:szCs w:val="18"/>
          <w:lang w:eastAsia="en-GB"/>
        </w:rPr>
        <w:t>Radiosensitizer, hyaluronan, radiotherapy, HepG2, MTT assay</w:t>
      </w:r>
    </w:p>
    <w:p w:rsidR="00B12F84" w:rsidRPr="00802DCC" w:rsidRDefault="00B12F84" w:rsidP="00B12F84">
      <w:pPr>
        <w:spacing w:after="0" w:line="240" w:lineRule="auto"/>
        <w:jc w:val="center"/>
        <w:rPr>
          <w:rFonts w:ascii="Times New Roman" w:hAnsi="Times New Roman"/>
          <w:noProof/>
          <w:sz w:val="18"/>
          <w:szCs w:val="18"/>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B12F84" w:rsidRPr="00A15511" w:rsidRDefault="00B12F84" w:rsidP="00B12F84">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Pemeka Sinaran (RS) diaplikasi sebelum terapi sinaran untuk meningkatkan keberkesanan rawatan kanser melalui kaedah sinaran. Pemeka sinaran digunakan kerana sebahagian sel kanser bersifat rintang terhadap sinaran yang disebabkan penghasilan enzim </w:t>
      </w:r>
      <w:r w:rsidRPr="001842B9">
        <w:rPr>
          <w:rFonts w:ascii="Times New Roman" w:hAnsi="Times New Roman"/>
          <w:color w:val="000000"/>
          <w:sz w:val="18"/>
          <w:szCs w:val="18"/>
        </w:rPr>
        <w:t>antioksida</w:t>
      </w:r>
      <w:r>
        <w:rPr>
          <w:rFonts w:ascii="Times New Roman" w:hAnsi="Times New Roman"/>
          <w:color w:val="000000"/>
          <w:sz w:val="18"/>
          <w:szCs w:val="18"/>
        </w:rPr>
        <w:t xml:space="preserve"> yang banyak lalu menghalang radikal bebas mendekati sel kanser. Penambahan jumlah RS sebelum penyinaran memainkan peranan penting untuk meningkatkan keberkesanan rawatan radioterapi tetapi peroksida boleh membawa tekanan yang keterlaluan ke atas sel  sebelum rawatan penyinaran. Dalam kajian ini, pelbagai kepekatan RS telah digunakan untuk menentukan kuantiti optimum bagi mengelakkan kesan keterlaluan RS ke atas sel kanser. Kepekatan RS dalam julat 5% hingga 50% disasarkan ke atas sel kanser HepG2 sebelum dos sebanyak 2Gy diberikan. Kemandirian sel diuji 24 jam selepas penyinaran dengan </w:t>
      </w:r>
      <w:r w:rsidRPr="007705E2">
        <w:rPr>
          <w:rFonts w:ascii="Times New Roman" w:hAnsi="Times New Roman"/>
          <w:i/>
          <w:color w:val="000000"/>
          <w:sz w:val="18"/>
          <w:szCs w:val="18"/>
        </w:rPr>
        <w:t>3-(4,5-dimethylthiazol-2-yl)-2,5-diphenyltetrazolium bromide</w:t>
      </w:r>
      <w:r>
        <w:rPr>
          <w:rFonts w:ascii="Times New Roman" w:hAnsi="Times New Roman"/>
          <w:color w:val="000000"/>
          <w:sz w:val="18"/>
          <w:szCs w:val="18"/>
        </w:rPr>
        <w:t xml:space="preserve"> asai MTT. Kajian ini mendapati bahawa kuantiti RS dari 5% ke 20% tanpa disinar menunjukkan tiada pengurangan dari segi peratusan kemandirian sel HepG2 manakala RS 25-50% menunjukkan pengurangan peratusan kemandirian sel HepG2 yang ketara. Kesan kepekaan RS pada 20% berupaya mengaruh 18.68% lebih kematian sel berbanding dengan rawatan sinaran tanpa RS. Kesimpulannya, kuantiti RS pada 20% adalah optimum dalam meningkatkan kesan kepekaan sinaran tanpa ketoksikan ke atas sel dan mengaruh lebih banyak kematian sel kanser ketika radioterapi dijalankan.</w:t>
      </w:r>
    </w:p>
    <w:p w:rsidR="00B12F84" w:rsidRPr="00EE2770" w:rsidRDefault="00B12F84" w:rsidP="00B12F84">
      <w:pPr>
        <w:spacing w:after="0" w:line="240" w:lineRule="auto"/>
        <w:jc w:val="both"/>
        <w:rPr>
          <w:rFonts w:ascii="Times New Roman" w:hAnsi="Times New Roman"/>
          <w:sz w:val="18"/>
          <w:szCs w:val="18"/>
          <w:lang w:eastAsia="en-GB"/>
        </w:rPr>
      </w:pPr>
    </w:p>
    <w:p w:rsidR="00B12F84" w:rsidRDefault="00B12F84" w:rsidP="00B12F84">
      <w:pPr>
        <w:spacing w:after="0" w:line="240" w:lineRule="auto"/>
        <w:jc w:val="both"/>
        <w:rPr>
          <w:rFonts w:ascii="Times New Roman" w:hAnsi="Times New Roman"/>
          <w:sz w:val="18"/>
          <w:szCs w:val="18"/>
          <w:lang w:eastAsia="en-GB"/>
        </w:rPr>
      </w:pPr>
      <w:r w:rsidRPr="00A15511">
        <w:rPr>
          <w:rFonts w:ascii="Times New Roman" w:hAnsi="Times New Roman"/>
          <w:b/>
          <w:bCs/>
          <w:sz w:val="18"/>
          <w:szCs w:val="18"/>
          <w:lang w:eastAsia="en-GB"/>
        </w:rPr>
        <w:t>Kata kunci</w:t>
      </w:r>
      <w:r w:rsidRPr="00A15511">
        <w:rPr>
          <w:rFonts w:ascii="Times New Roman" w:hAnsi="Times New Roman"/>
          <w:sz w:val="18"/>
          <w:szCs w:val="18"/>
          <w:lang w:eastAsia="en-GB"/>
        </w:rPr>
        <w:t>:</w:t>
      </w:r>
      <w:r w:rsidRPr="00EE2770">
        <w:rPr>
          <w:rFonts w:ascii="Times New Roman" w:hAnsi="Times New Roman"/>
          <w:sz w:val="18"/>
          <w:szCs w:val="18"/>
          <w:lang w:eastAsia="en-GB"/>
        </w:rPr>
        <w:t xml:space="preserve"> </w:t>
      </w:r>
      <w:r>
        <w:rPr>
          <w:rFonts w:ascii="Times New Roman" w:hAnsi="Times New Roman"/>
          <w:sz w:val="18"/>
          <w:szCs w:val="18"/>
          <w:lang w:eastAsia="en-GB"/>
        </w:rPr>
        <w:t>Pemeka sinaran, hyaluronan, radioterapi, HepG2, asai MTT</w:t>
      </w:r>
    </w:p>
    <w:p w:rsidR="00B12F84" w:rsidRDefault="00B12F84" w:rsidP="00B12F84">
      <w:pPr>
        <w:spacing w:after="0" w:line="240" w:lineRule="auto"/>
        <w:jc w:val="center"/>
        <w:rPr>
          <w:rFonts w:ascii="Times New Roman" w:hAnsi="Times New Roman"/>
          <w:noProof/>
          <w:sz w:val="20"/>
          <w:szCs w:val="20"/>
          <w:lang w:bidi="ar-SA"/>
        </w:rPr>
      </w:pPr>
    </w:p>
    <w:p w:rsidR="00B12F84" w:rsidRDefault="00B12F84" w:rsidP="00B12F84">
      <w:pPr>
        <w:spacing w:after="0" w:line="240" w:lineRule="auto"/>
        <w:jc w:val="center"/>
        <w:rPr>
          <w:rFonts w:ascii="Times New Roman" w:hAnsi="Times New Roman"/>
          <w:noProof/>
          <w:sz w:val="20"/>
          <w:szCs w:val="20"/>
          <w:lang w:bidi="ar-SA"/>
        </w:rPr>
      </w:pPr>
    </w:p>
    <w:p w:rsidR="00B12F84" w:rsidRPr="00531BCF" w:rsidRDefault="00B12F84" w:rsidP="00B12F84">
      <w:pPr>
        <w:spacing w:after="0" w:line="240" w:lineRule="auto"/>
        <w:jc w:val="center"/>
        <w:rPr>
          <w:rFonts w:ascii="Times New Roman" w:hAnsi="Times New Roman"/>
          <w:noProof/>
          <w:sz w:val="20"/>
          <w:szCs w:val="20"/>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B12F84"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Many attempts for cancer treatment have been conducted using different approach, one of it were radiation therapy. But the effects of radiation could damage the healthy tissue while damaging the cancerous tumor, thus researches discovered that the fractionated radiation dose through 5Rs of radiobiology which is repair, reassortment, reoxygenation, repopulation and radiosensitivity played important role for protecting the normal cells while enhancing the efficacy of this therapy [1]. Some cancerous cells are resistance to radiation where the antioxidant enzymes that were produced scavenged the free radical [2]. Through the use of peroxide based radiosensitizer, the antioxidant enzyme could be regulated and thus increase the sensitivity of cancerous cell toward radiation [3] while the oxygen produced are theoritically able to combine with free radical in which producing another toxic combination [4]. Radiosensitizer announced by Ogawa et al [5] were combination of hydrogen peroxide (HP) and sodium hyaluronate (HA) which is able to sensitized the cancerous cell and on the other hand, re-oxygenate the area of cancer cell thus it further damaging the oxidized cells. An in-vitro investigation on HepG2 cancer cell line showed the amount of RS might cause cytotoxicity before the actual treatment of radiotherapy. Thus it is necessary to further the research by looking the optimum acceptance amount of RS.</w:t>
      </w:r>
    </w:p>
    <w:p w:rsidR="00B12F84" w:rsidRPr="00802DCC" w:rsidRDefault="00B12F84" w:rsidP="00B12F84">
      <w:pPr>
        <w:spacing w:after="0" w:line="240" w:lineRule="auto"/>
        <w:jc w:val="center"/>
        <w:rPr>
          <w:rFonts w:ascii="Times New Roman" w:hAnsi="Times New Roman"/>
          <w:noProof/>
          <w:sz w:val="20"/>
          <w:szCs w:val="20"/>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B12F84" w:rsidRPr="00D22B16" w:rsidRDefault="00B12F84" w:rsidP="00B12F84">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Preparation of HepG2 Cell Culture</w:t>
      </w: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HepG2 cell line were cultured using complete medium which is made up from 174mL of Eagle’s Minimum Essential Medium (EMEM), L-glutamin, 2.2g sodium biocarbonate and growth serum that composed of four different agent which is 20mL of fetal bovine serum, 2mL of sodium pyruvate, 2mL of non-essential amino acid and 2mL of penicillin streptomycin solution that is purchased from Gibco. HepG2 cell line from American Type Culture Collection (ATCC) is thawed from frozen and incubated in T25 culture flask. The culture is carried out under aseptic practice to minimize and avoid contamination of cell culture. During subculture, the cells were washed with phosphate buffer saline (PBS) before trypsinization for 3 minutes. After incubation of 3 minute, the detachment of cells is confirmed under inverted microscope then complete medium is added immediately. Calculation of cell density using haemocytometer together with trypan blue dye and 5 x 10</w:t>
      </w:r>
      <w:r w:rsidRPr="00D22B16">
        <w:rPr>
          <w:rFonts w:ascii="Times New Roman" w:hAnsi="Times New Roman"/>
          <w:sz w:val="20"/>
          <w:szCs w:val="20"/>
          <w:vertAlign w:val="superscript"/>
          <w:lang w:eastAsia="en-GB"/>
        </w:rPr>
        <w:t>5</w:t>
      </w:r>
      <w:r w:rsidRPr="00D22B16">
        <w:rPr>
          <w:rFonts w:ascii="Times New Roman" w:hAnsi="Times New Roman"/>
          <w:sz w:val="20"/>
          <w:szCs w:val="20"/>
          <w:lang w:eastAsia="en-GB"/>
        </w:rPr>
        <w:t xml:space="preserve"> cells/mL is calculated and seeded into 96 well plate.</w:t>
      </w:r>
    </w:p>
    <w:p w:rsidR="00B12F84" w:rsidRPr="00D22B16"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Synthesis of Hyaluronate and Peroxide based Radiosensitizer</w:t>
      </w: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Sodium hyaluronate (HA) was in powder form when bought from Sigma, it is added with ionized water to obtained 1% w/v HA whereas for hydrogen peroxide (HP), it is bought in a formulation of 30% w/v and diluted with ionized water to obtained 3% v/v HP. HA was prepared one day before the treatment to allowed the powder HA to distribute evenly in ionized water but for HP is prepared on the day of treatment to avoid early oxidation of HP. Synthesis of RS begins with adding 3% v/v hydrogen peroxide to 1% w/v sodium hyaluronate at ratio of 1:5. It is prepared prior to distribution to every well.</w:t>
      </w:r>
    </w:p>
    <w:p w:rsidR="00B12F84" w:rsidRPr="00D22B16"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Treatment</w:t>
      </w:r>
      <w:r>
        <w:rPr>
          <w:rFonts w:ascii="Times New Roman" w:hAnsi="Times New Roman"/>
          <w:b/>
          <w:sz w:val="20"/>
          <w:szCs w:val="20"/>
          <w:lang w:eastAsia="en-GB"/>
        </w:rPr>
        <w:t xml:space="preserve"> of Radiosensitizer towards HepG2 Cell Viability</w:t>
      </w: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 xml:space="preserve">Amount of RS added were 10uL to 100uL which is 5% to 50% of the total volume content within each well. After RS is added, the 96 well plate is covered and transported carefully for irradiation dose at 2Gy using a Co-60 gamma irradiator (Gamma cell) and incubated immediately. Cell viability of HepG2 cancer cell line is evaluated 24 hours after irradiation using   </w:t>
      </w:r>
      <w:r w:rsidRPr="00D22B16">
        <w:rPr>
          <w:rFonts w:ascii="Times New Roman" w:hAnsi="Times New Roman"/>
          <w:color w:val="000000"/>
          <w:sz w:val="20"/>
          <w:szCs w:val="20"/>
        </w:rPr>
        <w:t>3-(4,5-dimethylthiazol-2-yl)-2,5-diphenyltetrazolium bromide (</w:t>
      </w:r>
      <w:r w:rsidRPr="00D22B16">
        <w:rPr>
          <w:rFonts w:ascii="Times New Roman" w:hAnsi="Times New Roman"/>
          <w:sz w:val="20"/>
          <w:szCs w:val="20"/>
          <w:lang w:eastAsia="en-GB"/>
        </w:rPr>
        <w:t>MTT) assay [6]. MTT solution is prepared by dissolving MTT powder in PBS to obtained 3mg/ml concentration and 30uL is used in each well. Formazan crystal is allowed to form when treated cell culture is incubated 4 hours. This formazan crystal is proportional to the viable cell survived from the treatment. The crystal is dissolved in 150uL of dimethyl sulfoxide (DMSO) and the optical absorbance is analyzed at 570nm using BIO-RAD xMark</w:t>
      </w:r>
      <w:r w:rsidRPr="00D22B16">
        <w:rPr>
          <w:rFonts w:ascii="Times New Roman" w:hAnsi="Times New Roman"/>
          <w:sz w:val="20"/>
          <w:szCs w:val="20"/>
          <w:vertAlign w:val="superscript"/>
          <w:lang w:eastAsia="en-GB"/>
        </w:rPr>
        <w:t>TM</w:t>
      </w:r>
      <w:r w:rsidRPr="00D22B16">
        <w:rPr>
          <w:rFonts w:ascii="Times New Roman" w:hAnsi="Times New Roman"/>
          <w:sz w:val="20"/>
          <w:szCs w:val="20"/>
          <w:lang w:eastAsia="en-GB"/>
        </w:rPr>
        <w:t xml:space="preserve"> microplate spectrophotometer [7].</w:t>
      </w:r>
    </w:p>
    <w:p w:rsidR="00B12F84" w:rsidRPr="00802DCC" w:rsidRDefault="00B12F84" w:rsidP="00B12F84">
      <w:pPr>
        <w:spacing w:after="0" w:line="240" w:lineRule="auto"/>
        <w:jc w:val="center"/>
        <w:rPr>
          <w:rFonts w:ascii="Times New Roman" w:hAnsi="Times New Roman"/>
          <w:noProof/>
          <w:sz w:val="20"/>
          <w:szCs w:val="20"/>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B12F84" w:rsidRPr="00D22B16" w:rsidRDefault="00B12F84" w:rsidP="00B12F84">
      <w:pPr>
        <w:spacing w:after="0" w:line="240" w:lineRule="auto"/>
        <w:rPr>
          <w:rFonts w:ascii="Times New Roman" w:hAnsi="Times New Roman"/>
          <w:b/>
          <w:sz w:val="20"/>
          <w:szCs w:val="20"/>
          <w:lang w:eastAsia="en-GB"/>
        </w:rPr>
      </w:pPr>
      <w:r w:rsidRPr="00D22B16">
        <w:rPr>
          <w:rFonts w:ascii="Times New Roman" w:hAnsi="Times New Roman"/>
          <w:b/>
          <w:sz w:val="20"/>
          <w:szCs w:val="20"/>
          <w:lang w:eastAsia="en-GB"/>
        </w:rPr>
        <w:t>Effect of RS towards HepG2 Cell Viability</w:t>
      </w: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 xml:space="preserve">Figure 1 show cell viability of both irradiated (IRR) and non-irradiated (NO IRR) HepG2 cancer cells treated with different percentage of RS towards complete medium. RS at 50% is the maximum amount used protocol for MTT assay while 0% RS represent the control of the whole experiment. RS range from 5% to 20% (10uL-40uL) showed higher viability in non-irradiated sample compared to control sample. It is proven that at these volumes no damage </w:t>
      </w:r>
      <w:r w:rsidRPr="00D22B16">
        <w:rPr>
          <w:rFonts w:ascii="Times New Roman" w:hAnsi="Times New Roman"/>
          <w:sz w:val="20"/>
          <w:szCs w:val="20"/>
          <w:lang w:eastAsia="en-GB"/>
        </w:rPr>
        <w:lastRenderedPageBreak/>
        <w:t>were observed or the HepG2 cells were not affected by the RS. Whereas starting from 25% to 50%, the percentage of cell viability dropped dramatically below 60% for the non-irradiated sample. It is suggested that these volumes have caused toxicity to the sample and the amount of RS must be well-controlled in order to avoid unnecessary damage towards the cells before the radiation treatment. This is due to the normal cells will be damaged at the same time when RS is introduced.</w:t>
      </w:r>
    </w:p>
    <w:p w:rsidR="00B12F84" w:rsidRPr="00D22B16"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Comparison between RS</w:t>
      </w:r>
      <w:r>
        <w:rPr>
          <w:rFonts w:ascii="Times New Roman" w:hAnsi="Times New Roman"/>
          <w:b/>
          <w:sz w:val="20"/>
          <w:szCs w:val="20"/>
          <w:lang w:eastAsia="en-GB"/>
        </w:rPr>
        <w:t xml:space="preserve"> w</w:t>
      </w:r>
      <w:r w:rsidRPr="00D22B16">
        <w:rPr>
          <w:rFonts w:ascii="Times New Roman" w:hAnsi="Times New Roman"/>
          <w:b/>
          <w:sz w:val="20"/>
          <w:szCs w:val="20"/>
          <w:lang w:eastAsia="en-GB"/>
        </w:rPr>
        <w:t xml:space="preserve">ith Irradiation and </w:t>
      </w:r>
      <w:r>
        <w:rPr>
          <w:rFonts w:ascii="Times New Roman" w:hAnsi="Times New Roman"/>
          <w:b/>
          <w:sz w:val="20"/>
          <w:szCs w:val="20"/>
          <w:lang w:eastAsia="en-GB"/>
        </w:rPr>
        <w:t>w</w:t>
      </w:r>
      <w:r w:rsidRPr="00D22B16">
        <w:rPr>
          <w:rFonts w:ascii="Times New Roman" w:hAnsi="Times New Roman"/>
          <w:b/>
          <w:sz w:val="20"/>
          <w:szCs w:val="20"/>
          <w:lang w:eastAsia="en-GB"/>
        </w:rPr>
        <w:t>ithout Irradiation</w:t>
      </w: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Comparison between the curve of NO IRR (blue line) and IRR (red line), 15% RS and below did not shows much damage when irradiated. This is suggesting that the amount RS is tolerable by HepG2 cells before irradiation but does not show much damage after irradiation. For the RS with amount 25% and above, the cell viability of RS alone (blue line) shows very low viability, this suggests that the amount of RS caused significant damage to cell before irradiation in which this amount of RS is not considerable due to it cytotoxicity to cells, thus the cell viability for this range of RS is not valid as the treatment of radiotherapy due to majority of cancer cells were damaged before irradiation. RS at 20% shows no toxicity towards cell viability but after irradiation caused more reduction in cell viability compared with irradiation alone. Therefore, RS will be beneficial for radiation treatment when it is controlled at 20%.</w:t>
      </w:r>
    </w:p>
    <w:p w:rsidR="00B12F84"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center"/>
        <w:rPr>
          <w:rFonts w:ascii="Times New Roman" w:hAnsi="Times New Roman"/>
          <w:sz w:val="20"/>
          <w:szCs w:val="20"/>
          <w:lang w:eastAsia="en-GB"/>
        </w:rPr>
      </w:pPr>
      <w:r w:rsidRPr="00D22B16">
        <w:rPr>
          <w:noProof/>
          <w:sz w:val="20"/>
          <w:szCs w:val="20"/>
          <w:lang w:bidi="ar-SA"/>
        </w:rPr>
        <w:drawing>
          <wp:inline distT="0" distB="0" distL="0" distR="0" wp14:anchorId="01E1CA63" wp14:editId="4E1DE033">
            <wp:extent cx="4108862" cy="2416629"/>
            <wp:effectExtent l="0" t="0" r="2540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2F84" w:rsidRDefault="00B12F84" w:rsidP="00B12F84">
      <w:pPr>
        <w:spacing w:after="0" w:line="240" w:lineRule="auto"/>
        <w:jc w:val="center"/>
        <w:rPr>
          <w:rFonts w:ascii="Times New Roman" w:hAnsi="Times New Roman"/>
          <w:sz w:val="18"/>
          <w:szCs w:val="20"/>
          <w:lang w:eastAsia="en-GB"/>
        </w:rPr>
      </w:pPr>
    </w:p>
    <w:p w:rsidR="00B12F84" w:rsidRPr="004E0E34" w:rsidRDefault="00B12F84" w:rsidP="00B12F84">
      <w:pPr>
        <w:spacing w:after="0" w:line="240" w:lineRule="auto"/>
        <w:ind w:left="810" w:hanging="810"/>
        <w:jc w:val="both"/>
        <w:rPr>
          <w:rFonts w:ascii="Times New Roman" w:hAnsi="Times New Roman"/>
          <w:sz w:val="18"/>
          <w:szCs w:val="20"/>
          <w:lang w:eastAsia="en-GB"/>
        </w:rPr>
      </w:pPr>
      <w:r w:rsidRPr="004E0E34">
        <w:rPr>
          <w:rFonts w:ascii="Times New Roman" w:hAnsi="Times New Roman"/>
          <w:sz w:val="18"/>
          <w:szCs w:val="20"/>
          <w:lang w:eastAsia="en-GB"/>
        </w:rPr>
        <w:t>Figure 1</w:t>
      </w:r>
      <w:r>
        <w:rPr>
          <w:rFonts w:ascii="Times New Roman" w:hAnsi="Times New Roman"/>
          <w:sz w:val="18"/>
          <w:szCs w:val="20"/>
          <w:lang w:eastAsia="en-GB"/>
        </w:rPr>
        <w:t xml:space="preserve">. </w:t>
      </w:r>
      <w:r>
        <w:rPr>
          <w:rFonts w:ascii="Times New Roman" w:hAnsi="Times New Roman"/>
          <w:sz w:val="18"/>
          <w:szCs w:val="20"/>
          <w:lang w:eastAsia="en-GB"/>
        </w:rPr>
        <w:tab/>
        <w:t>C</w:t>
      </w:r>
      <w:r w:rsidRPr="004E0E34">
        <w:rPr>
          <w:rFonts w:ascii="Times New Roman" w:hAnsi="Times New Roman"/>
          <w:sz w:val="18"/>
          <w:szCs w:val="20"/>
          <w:lang w:eastAsia="en-GB"/>
        </w:rPr>
        <w:t>ell viability of both irradiated (red line) and non-irradiated (blue line) of HepG2 cancer cells treated with different concentration of RS.</w:t>
      </w:r>
    </w:p>
    <w:p w:rsidR="00B12F84"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Effect of 20% RS towards HepG2 Cell Viability</w:t>
      </w: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 xml:space="preserve">Figure 2 shows detailed result of 20% concentration of RS with respect to cell viability at control (NO RS NO IRR), RS alone (RS NO IRR), radiation alone (NO RS IRR) and both RS and irradiation (RS IRR) samples. NO RS NO IRR represents the control sample with 100% of cell viability, which is a fixed percentage for comparison between other samples. For the sample of RS NO IRR, which is the RS alone without any radiation treatment is for the purpose of whether it is cytotoxicity toward the HepG2 cell line before irradiation. In the graph, it showed that the cell viability is exceeding 100%, which is 147.26%. Therefore it is suggested 20% of RS does not caused cytotoxicity. </w:t>
      </w:r>
    </w:p>
    <w:p w:rsidR="00B12F84" w:rsidRPr="00D22B16"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From the graph of NO RS IRR, irradiation alone or represents the normal radiotherapy, shows the percentage of cell viability is reduced by 10.65% which remain 89.35% of viable cells. By adding RS prior to irradiation, the percentage of cell viability reduced 29.33%, remain 70.67% viable, which is 18.68% more damage compared to irradiation alone. Thus, RS with irradiation at this concentration caused more reduction in cell viability.</w:t>
      </w:r>
    </w:p>
    <w:p w:rsidR="00B12F84" w:rsidRPr="00D22B16" w:rsidRDefault="00B12F84" w:rsidP="00B12F84">
      <w:pPr>
        <w:spacing w:after="0" w:line="240" w:lineRule="auto"/>
        <w:jc w:val="both"/>
        <w:rPr>
          <w:rFonts w:ascii="Times New Roman" w:hAnsi="Times New Roman"/>
          <w:sz w:val="20"/>
          <w:szCs w:val="20"/>
          <w:lang w:eastAsia="en-GB"/>
        </w:rPr>
      </w:pPr>
    </w:p>
    <w:p w:rsidR="00B12F84" w:rsidRPr="00D22B16" w:rsidRDefault="00B12F84" w:rsidP="00B12F84">
      <w:pPr>
        <w:spacing w:after="0" w:line="240" w:lineRule="auto"/>
        <w:jc w:val="center"/>
        <w:rPr>
          <w:rFonts w:ascii="Times New Roman" w:hAnsi="Times New Roman"/>
          <w:sz w:val="20"/>
          <w:szCs w:val="20"/>
          <w:lang w:eastAsia="en-GB"/>
        </w:rPr>
      </w:pPr>
      <w:r w:rsidRPr="00D22B16">
        <w:rPr>
          <w:noProof/>
          <w:sz w:val="20"/>
          <w:szCs w:val="20"/>
          <w:lang w:bidi="ar-SA"/>
        </w:rPr>
        <w:lastRenderedPageBreak/>
        <w:drawing>
          <wp:inline distT="0" distB="0" distL="0" distR="0" wp14:anchorId="6B2EF31F" wp14:editId="0331E101">
            <wp:extent cx="4102925" cy="2446317"/>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2F84" w:rsidRPr="00D22B16" w:rsidRDefault="00B12F84" w:rsidP="00B12F84">
      <w:pPr>
        <w:spacing w:after="0" w:line="240" w:lineRule="auto"/>
        <w:jc w:val="both"/>
        <w:rPr>
          <w:rFonts w:ascii="Times New Roman" w:hAnsi="Times New Roman"/>
          <w:sz w:val="20"/>
          <w:szCs w:val="20"/>
          <w:lang w:eastAsia="en-GB"/>
        </w:rPr>
      </w:pPr>
    </w:p>
    <w:p w:rsidR="00B12F84" w:rsidRPr="004E0E34" w:rsidRDefault="00B12F84" w:rsidP="00B12F84">
      <w:pPr>
        <w:spacing w:after="0" w:line="240" w:lineRule="auto"/>
        <w:ind w:left="810" w:hanging="810"/>
        <w:jc w:val="both"/>
        <w:rPr>
          <w:rFonts w:ascii="Times New Roman" w:hAnsi="Times New Roman"/>
          <w:sz w:val="18"/>
          <w:szCs w:val="20"/>
          <w:lang w:eastAsia="en-GB"/>
        </w:rPr>
      </w:pPr>
      <w:r>
        <w:rPr>
          <w:rFonts w:ascii="Times New Roman" w:hAnsi="Times New Roman"/>
          <w:sz w:val="18"/>
          <w:szCs w:val="20"/>
          <w:lang w:eastAsia="en-GB"/>
        </w:rPr>
        <w:t xml:space="preserve">Figure 2.  </w:t>
      </w:r>
      <w:r w:rsidRPr="004E0E34">
        <w:rPr>
          <w:rFonts w:ascii="Times New Roman" w:hAnsi="Times New Roman"/>
          <w:sz w:val="18"/>
          <w:szCs w:val="20"/>
          <w:lang w:eastAsia="en-GB"/>
        </w:rPr>
        <w:t>Cell viability of HepG2 cells evaluated after 24 hours after with and without irradiation and with and without prior addition of RS at 20% concentration</w:t>
      </w:r>
    </w:p>
    <w:p w:rsidR="00B12F84" w:rsidRPr="00802DCC" w:rsidRDefault="00B12F84" w:rsidP="00B12F84">
      <w:pPr>
        <w:spacing w:after="0" w:line="240" w:lineRule="auto"/>
        <w:jc w:val="center"/>
        <w:rPr>
          <w:rFonts w:ascii="Times New Roman" w:hAnsi="Times New Roman"/>
          <w:noProof/>
          <w:sz w:val="20"/>
          <w:szCs w:val="20"/>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B12F84" w:rsidRPr="00D22B16" w:rsidRDefault="00B12F84" w:rsidP="00B12F84">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RS at 20% shows no toxicity towards HepG2 cell line but addition of RS prior to irradiation caused reduction in cell viability. Amount of RS below or above 20% shows either no effect or caused cytotoxic to HepG2 cell line before irradiation. Therefore controlling an optimum acceptance amount of RS is very crucial and important so that no unnecessary stress or damage occurred to non-cancerous cell or tissue during the radiation treatment.</w:t>
      </w:r>
    </w:p>
    <w:p w:rsidR="00B12F84" w:rsidRPr="00802DCC" w:rsidRDefault="00B12F84" w:rsidP="00B12F84">
      <w:pPr>
        <w:spacing w:after="0" w:line="240" w:lineRule="auto"/>
        <w:jc w:val="center"/>
        <w:rPr>
          <w:rFonts w:ascii="Times New Roman" w:hAnsi="Times New Roman"/>
          <w:noProof/>
          <w:sz w:val="20"/>
          <w:szCs w:val="20"/>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B12F84" w:rsidRPr="00D22B16" w:rsidRDefault="00B12F84" w:rsidP="00B12F84">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The a</w:t>
      </w:r>
      <w:r w:rsidRPr="00D22B16">
        <w:rPr>
          <w:rFonts w:ascii="Times New Roman" w:hAnsi="Times New Roman"/>
          <w:sz w:val="20"/>
          <w:szCs w:val="20"/>
          <w:lang w:eastAsia="en-GB"/>
        </w:rPr>
        <w:t>uthors would like to thank the Ministry of Higher Education, Malaysia for supporting this work through the research grant named FRGS/1/2013/SG02/UKM/02/1</w:t>
      </w:r>
      <w:r>
        <w:rPr>
          <w:rFonts w:ascii="Times New Roman" w:hAnsi="Times New Roman"/>
          <w:sz w:val="20"/>
          <w:szCs w:val="20"/>
          <w:lang w:eastAsia="en-GB"/>
        </w:rPr>
        <w:t xml:space="preserve"> and T</w:t>
      </w:r>
      <w:r w:rsidRPr="00D22B16">
        <w:rPr>
          <w:rFonts w:ascii="Times New Roman" w:hAnsi="Times New Roman"/>
          <w:sz w:val="20"/>
          <w:szCs w:val="20"/>
          <w:lang w:eastAsia="en-GB"/>
        </w:rPr>
        <w:t>he National University of Malaysia for supporting the facilities on this research.</w:t>
      </w:r>
    </w:p>
    <w:p w:rsidR="00B12F84" w:rsidRPr="00802DCC" w:rsidRDefault="00B12F84" w:rsidP="00B12F84">
      <w:pPr>
        <w:spacing w:after="0" w:line="240" w:lineRule="auto"/>
        <w:jc w:val="center"/>
        <w:rPr>
          <w:rFonts w:ascii="Times New Roman" w:hAnsi="Times New Roman"/>
          <w:noProof/>
          <w:sz w:val="20"/>
          <w:szCs w:val="20"/>
          <w:lang w:bidi="ar-SA"/>
        </w:rPr>
      </w:pPr>
    </w:p>
    <w:p w:rsidR="00B12F84" w:rsidRPr="00802DCC" w:rsidRDefault="00B12F84" w:rsidP="00B12F8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B12F84" w:rsidRPr="00D22B16" w:rsidRDefault="00B12F84" w:rsidP="00B12F84">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shd w:val="clear" w:color="auto" w:fill="FFFFFF"/>
        </w:rPr>
        <w:t>Hirst, D. G. (2007). The Importance of Radiobiology to Cancer Therapy: Current Practice and Future Perspectives.</w:t>
      </w:r>
      <w:r w:rsidRPr="00D22B16">
        <w:rPr>
          <w:rStyle w:val="apple-converted-space"/>
          <w:rFonts w:ascii="Times New Roman" w:hAnsi="Times New Roman"/>
          <w:sz w:val="20"/>
          <w:szCs w:val="20"/>
          <w:shd w:val="clear" w:color="auto" w:fill="FFFFFF"/>
        </w:rPr>
        <w:t> </w:t>
      </w:r>
      <w:r w:rsidRPr="00D22B16">
        <w:rPr>
          <w:rFonts w:ascii="Times New Roman" w:hAnsi="Times New Roman"/>
          <w:i/>
          <w:iCs/>
          <w:sz w:val="20"/>
          <w:szCs w:val="20"/>
          <w:shd w:val="clear" w:color="auto" w:fill="FFFFFF"/>
        </w:rPr>
        <w:t>Clinical Oncology</w:t>
      </w:r>
      <w:r w:rsidRPr="00D22B16">
        <w:rPr>
          <w:rFonts w:ascii="Times New Roman" w:hAnsi="Times New Roman"/>
          <w:sz w:val="20"/>
          <w:szCs w:val="20"/>
          <w:shd w:val="clear" w:color="auto" w:fill="FFFFFF"/>
        </w:rPr>
        <w:t>,</w:t>
      </w:r>
      <w:r w:rsidRPr="00D22B16">
        <w:rPr>
          <w:rStyle w:val="apple-converted-space"/>
          <w:rFonts w:ascii="Times New Roman" w:hAnsi="Times New Roman"/>
          <w:sz w:val="20"/>
          <w:szCs w:val="20"/>
          <w:shd w:val="clear" w:color="auto" w:fill="FFFFFF"/>
        </w:rPr>
        <w:t> </w:t>
      </w:r>
      <w:r w:rsidRPr="00D22B16">
        <w:rPr>
          <w:rFonts w:ascii="Times New Roman" w:hAnsi="Times New Roman"/>
          <w:i/>
          <w:iCs/>
          <w:sz w:val="20"/>
          <w:szCs w:val="20"/>
          <w:shd w:val="clear" w:color="auto" w:fill="FFFFFF"/>
        </w:rPr>
        <w:t>19</w:t>
      </w:r>
      <w:r>
        <w:rPr>
          <w:rFonts w:ascii="Times New Roman" w:hAnsi="Times New Roman"/>
          <w:sz w:val="20"/>
          <w:szCs w:val="20"/>
          <w:shd w:val="clear" w:color="auto" w:fill="FFFFFF"/>
        </w:rPr>
        <w:t>(6):</w:t>
      </w:r>
      <w:r w:rsidRPr="00D22B16">
        <w:rPr>
          <w:rFonts w:ascii="Times New Roman" w:hAnsi="Times New Roman"/>
          <w:sz w:val="20"/>
          <w:szCs w:val="20"/>
          <w:shd w:val="clear" w:color="auto" w:fill="FFFFFF"/>
        </w:rPr>
        <w:t xml:space="preserve"> 367-369.</w:t>
      </w:r>
    </w:p>
    <w:p w:rsidR="00B12F84" w:rsidRPr="00D22B16" w:rsidRDefault="00B12F84" w:rsidP="00B12F84">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shd w:val="clear" w:color="auto" w:fill="FFFFFF"/>
        </w:rPr>
        <w:t>Machlin, L. J., &amp; Bendich, A. (1987). Free radical tissue damage: protective role of antioxidant nutrients.</w:t>
      </w:r>
      <w:r w:rsidRPr="00D22B16">
        <w:rPr>
          <w:rStyle w:val="apple-converted-space"/>
          <w:rFonts w:ascii="Times New Roman" w:hAnsi="Times New Roman"/>
          <w:sz w:val="20"/>
          <w:szCs w:val="20"/>
          <w:shd w:val="clear" w:color="auto" w:fill="FFFFFF"/>
        </w:rPr>
        <w:t> </w:t>
      </w:r>
      <w:r w:rsidRPr="00D22B16">
        <w:rPr>
          <w:rFonts w:ascii="Times New Roman" w:hAnsi="Times New Roman"/>
          <w:i/>
          <w:iCs/>
          <w:sz w:val="20"/>
          <w:szCs w:val="20"/>
          <w:shd w:val="clear" w:color="auto" w:fill="FFFFFF"/>
        </w:rPr>
        <w:t>The FASEB Journal</w:t>
      </w:r>
      <w:r w:rsidRPr="00D22B16">
        <w:rPr>
          <w:rFonts w:ascii="Times New Roman" w:hAnsi="Times New Roman"/>
          <w:sz w:val="20"/>
          <w:szCs w:val="20"/>
          <w:shd w:val="clear" w:color="auto" w:fill="FFFFFF"/>
        </w:rPr>
        <w:t>,</w:t>
      </w:r>
      <w:r w:rsidRPr="00D22B16">
        <w:rPr>
          <w:rStyle w:val="apple-converted-space"/>
          <w:rFonts w:ascii="Times New Roman" w:hAnsi="Times New Roman"/>
          <w:sz w:val="20"/>
          <w:szCs w:val="20"/>
          <w:shd w:val="clear" w:color="auto" w:fill="FFFFFF"/>
        </w:rPr>
        <w:t> </w:t>
      </w:r>
      <w:r w:rsidRPr="00D22B16">
        <w:rPr>
          <w:rFonts w:ascii="Times New Roman" w:hAnsi="Times New Roman"/>
          <w:iCs/>
          <w:sz w:val="20"/>
          <w:szCs w:val="20"/>
          <w:shd w:val="clear" w:color="auto" w:fill="FFFFFF"/>
        </w:rPr>
        <w:t>1</w:t>
      </w:r>
      <w:r w:rsidRPr="00D22B16">
        <w:rPr>
          <w:rFonts w:ascii="Times New Roman" w:hAnsi="Times New Roman"/>
          <w:sz w:val="20"/>
          <w:szCs w:val="20"/>
          <w:shd w:val="clear" w:color="auto" w:fill="FFFFFF"/>
        </w:rPr>
        <w:t>(6):441-445.</w:t>
      </w:r>
    </w:p>
    <w:p w:rsidR="00B12F84" w:rsidRPr="00D22B16" w:rsidRDefault="00B12F84" w:rsidP="00B12F84">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rPr>
        <w:t xml:space="preserve">Ogawa, Y., Ue, H., Tsuzuki, K., Tadokoro, M., Miyatake, K., Sasaki, T., Yokota, N., Hamada, N., Kariya, S., Hitomi, J., Nishioka, A., Nakajima, K., Ikeda, M., Sano, S. &amp; Inomata, T. (2008). New radiosensitization treatment (KORTUC I) using hydrogen peroxide solution-soaked gauze bolus for unresectable and superficially exposed neoplasms. </w:t>
      </w:r>
      <w:r w:rsidRPr="00D22B16">
        <w:rPr>
          <w:rFonts w:ascii="Times New Roman" w:hAnsi="Times New Roman"/>
          <w:i/>
          <w:iCs/>
          <w:sz w:val="20"/>
          <w:szCs w:val="20"/>
        </w:rPr>
        <w:t xml:space="preserve">Oncology Reports, </w:t>
      </w:r>
      <w:r w:rsidRPr="00D22B16">
        <w:rPr>
          <w:rFonts w:ascii="Times New Roman" w:hAnsi="Times New Roman"/>
          <w:sz w:val="20"/>
          <w:szCs w:val="20"/>
        </w:rPr>
        <w:t>19:1389-1394.</w:t>
      </w:r>
    </w:p>
    <w:p w:rsidR="00B12F84" w:rsidRPr="00D22B16" w:rsidRDefault="00B12F84" w:rsidP="00B12F84">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shd w:val="clear" w:color="auto" w:fill="FFFFFF"/>
        </w:rPr>
        <w:t xml:space="preserve">Dunne-Daly, C. F. (1999). Principles of radiotherapy and radiobiology. </w:t>
      </w:r>
      <w:r w:rsidRPr="00D22B16">
        <w:rPr>
          <w:rFonts w:ascii="Times New Roman" w:hAnsi="Times New Roman"/>
          <w:i/>
          <w:iCs/>
          <w:sz w:val="20"/>
          <w:szCs w:val="20"/>
          <w:shd w:val="clear" w:color="auto" w:fill="FFFFFF"/>
        </w:rPr>
        <w:t>Seminars in Oncology Nursing</w:t>
      </w:r>
      <w:r w:rsidRPr="00D22B16">
        <w:rPr>
          <w:rStyle w:val="apple-converted-space"/>
          <w:rFonts w:ascii="Times New Roman" w:hAnsi="Times New Roman"/>
          <w:sz w:val="20"/>
          <w:szCs w:val="20"/>
          <w:shd w:val="clear" w:color="auto" w:fill="FFFFFF"/>
        </w:rPr>
        <w:t> </w:t>
      </w:r>
      <w:r w:rsidRPr="00D22B16">
        <w:rPr>
          <w:rFonts w:ascii="Times New Roman" w:hAnsi="Times New Roman"/>
          <w:sz w:val="20"/>
          <w:szCs w:val="20"/>
          <w:shd w:val="clear" w:color="auto" w:fill="FFFFFF"/>
        </w:rPr>
        <w:t>Vol. 15, No. 4, pp. 250-259.</w:t>
      </w:r>
    </w:p>
    <w:p w:rsidR="00B12F84" w:rsidRPr="00D22B16" w:rsidRDefault="00B12F84" w:rsidP="00B12F84">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rPr>
        <w:t xml:space="preserve">Ogawa, Y., Kubota, K., Ue, H., Kataoka, Y., Tadokoro, M., Miyatake, K., Tsuzuki, K., Yamanishi, T., Itoh, S., Hitomi, J., Hamada, N., Kariya, S., Fukumoto, M., Nishioka, A. &amp; Inomata. T. (2008). Phase I study of a new radiosensitizer containing hydrogen peroxide and sodium hyaluronate for topical tumor injection: A new enzyme-targeting radiosensitization treatment, Kochi Oxydol-Radiation Therapy for Unresectable Carcinomas, Type II (KORTUC II). </w:t>
      </w:r>
      <w:r w:rsidRPr="00D22B16">
        <w:rPr>
          <w:rFonts w:ascii="Times New Roman" w:hAnsi="Times New Roman"/>
          <w:i/>
          <w:iCs/>
          <w:sz w:val="20"/>
          <w:szCs w:val="20"/>
        </w:rPr>
        <w:t xml:space="preserve">International Journal of Oncology, </w:t>
      </w:r>
      <w:r w:rsidRPr="00D22B16">
        <w:rPr>
          <w:rFonts w:ascii="Times New Roman" w:hAnsi="Times New Roman"/>
          <w:sz w:val="20"/>
          <w:szCs w:val="20"/>
        </w:rPr>
        <w:t>34:</w:t>
      </w:r>
      <w:r>
        <w:rPr>
          <w:rFonts w:ascii="Times New Roman" w:hAnsi="Times New Roman"/>
          <w:sz w:val="20"/>
          <w:szCs w:val="20"/>
        </w:rPr>
        <w:t xml:space="preserve"> </w:t>
      </w:r>
      <w:r w:rsidRPr="00D22B16">
        <w:rPr>
          <w:rFonts w:ascii="Times New Roman" w:hAnsi="Times New Roman"/>
          <w:sz w:val="20"/>
          <w:szCs w:val="20"/>
        </w:rPr>
        <w:t>609-618.</w:t>
      </w:r>
    </w:p>
    <w:p w:rsidR="00B12F84" w:rsidRDefault="00B12F84" w:rsidP="00B12F84">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rPr>
        <w:t xml:space="preserve">Mosmann T. (1983). Rapid colorimetric assay for cellular growth and survival: Application to proliferation and cytotoxicity assays. </w:t>
      </w:r>
      <w:r w:rsidRPr="00D22B16">
        <w:rPr>
          <w:rFonts w:ascii="Times New Roman" w:hAnsi="Times New Roman"/>
          <w:i/>
          <w:sz w:val="20"/>
          <w:szCs w:val="20"/>
        </w:rPr>
        <w:t>J. Immunol. Meth</w:t>
      </w:r>
      <w:r w:rsidRPr="00D22B16">
        <w:rPr>
          <w:rFonts w:ascii="Times New Roman" w:hAnsi="Times New Roman"/>
          <w:sz w:val="20"/>
          <w:szCs w:val="20"/>
        </w:rPr>
        <w:t>, 65:</w:t>
      </w:r>
      <w:r>
        <w:rPr>
          <w:rFonts w:ascii="Times New Roman" w:hAnsi="Times New Roman"/>
          <w:sz w:val="20"/>
          <w:szCs w:val="20"/>
        </w:rPr>
        <w:t xml:space="preserve"> </w:t>
      </w:r>
      <w:r w:rsidRPr="00D22B16">
        <w:rPr>
          <w:rFonts w:ascii="Times New Roman" w:hAnsi="Times New Roman"/>
          <w:sz w:val="20"/>
          <w:szCs w:val="20"/>
        </w:rPr>
        <w:t>55–63.</w:t>
      </w:r>
    </w:p>
    <w:p w:rsidR="00E66197" w:rsidRPr="00B12F84" w:rsidRDefault="00B12F84" w:rsidP="00B12F84">
      <w:pPr>
        <w:pStyle w:val="ListParagraph"/>
        <w:numPr>
          <w:ilvl w:val="0"/>
          <w:numId w:val="2"/>
        </w:numPr>
        <w:suppressAutoHyphens/>
        <w:spacing w:after="0" w:line="240" w:lineRule="auto"/>
        <w:jc w:val="both"/>
        <w:rPr>
          <w:rFonts w:ascii="Times New Roman" w:hAnsi="Times New Roman"/>
          <w:sz w:val="20"/>
          <w:szCs w:val="20"/>
        </w:rPr>
      </w:pPr>
      <w:r w:rsidRPr="00B12F84">
        <w:rPr>
          <w:rFonts w:ascii="Times New Roman" w:hAnsi="Times New Roman"/>
          <w:sz w:val="20"/>
          <w:szCs w:val="20"/>
          <w:shd w:val="clear" w:color="auto" w:fill="FFFFFF"/>
        </w:rPr>
        <w:t>Riss, T. L., Moravec, R. A., Niles, A. L., Benink, H. A., Worzella, T. J., &amp; Minor, L. (2013). Cell viability assays. In: Sittampalam GS, Coussens NP, Nelson H, et al., editors. Assay Guidance Manual [Internet]. Bethesda (MD): Eli Lilly &amp; Company and the National Center for Advancing Translational Sciences; 2004.</w:t>
      </w:r>
    </w:p>
    <w:sectPr w:rsidR="00E66197" w:rsidRPr="00B12F84" w:rsidSect="004041CE">
      <w:headerReference w:type="even" r:id="rId12"/>
      <w:headerReference w:type="default" r:id="rId13"/>
      <w:footerReference w:type="even" r:id="rId14"/>
      <w:footerReference w:type="default" r:id="rId15"/>
      <w:pgSz w:w="12240" w:h="15840" w:code="1"/>
      <w:pgMar w:top="1800" w:right="1469" w:bottom="1699" w:left="1440" w:header="706" w:footer="706" w:gutter="0"/>
      <w:pgNumType w:start="40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041CE">
      <w:rPr>
        <w:rFonts w:ascii="Times New Roman" w:hAnsi="Times New Roman"/>
        <w:noProof/>
      </w:rPr>
      <w:t>402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041CE">
      <w:rPr>
        <w:rFonts w:ascii="Times New Roman" w:hAnsi="Times New Roman"/>
        <w:noProof/>
      </w:rPr>
      <w:t>405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B12F84"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4041CE">
      <w:rPr>
        <w:rFonts w:ascii="Times New Roman" w:hAnsi="Times New Roman"/>
        <w:i/>
        <w:lang w:val="en-US"/>
      </w:rPr>
      <w:t>402 - 40</w:t>
    </w:r>
    <w:r w:rsidR="00B12F84">
      <w:rPr>
        <w:rFonts w:ascii="Times New Roman" w:hAnsi="Times New Roman"/>
        <w:i/>
        <w:lang w:val="en-US"/>
      </w:rPr>
      <w:t>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B12F84" w:rsidRDefault="00B12F84" w:rsidP="00B12F84">
    <w:pPr>
      <w:pStyle w:val="Header"/>
      <w:ind w:left="1170" w:hanging="1170"/>
      <w:rPr>
        <w:rFonts w:ascii="Times New Roman" w:hAnsi="Times New Roman"/>
        <w:lang w:val="en-US"/>
      </w:rPr>
    </w:pPr>
    <w:r>
      <w:rPr>
        <w:rFonts w:ascii="Times New Roman" w:hAnsi="Times New Roman"/>
        <w:lang w:val="en-US"/>
      </w:rPr>
      <w:t>Cheong et al</w:t>
    </w:r>
    <w:r w:rsidR="008E6968" w:rsidRPr="00B12F84">
      <w:rPr>
        <w:rFonts w:ascii="Times New Roman" w:hAnsi="Times New Roman"/>
        <w:lang w:val="en-US"/>
      </w:rPr>
      <w:t xml:space="preserve">:  </w:t>
    </w:r>
    <w:r w:rsidRPr="00B12F84">
      <w:rPr>
        <w:rFonts w:ascii="Times New Roman" w:hAnsi="Times New Roman"/>
        <w:lang w:eastAsia="en-GB"/>
      </w:rPr>
      <w:t>EFFECT OF RADIATION ON THE VIABILITY OF HepG2 CANCER CELL LINE TARGETED WITH DIFFERENT AMOUNT OF RADIOSENSITIZER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E63D0A"/>
    <w:multiLevelType w:val="hybridMultilevel"/>
    <w:tmpl w:val="A8729310"/>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041CE"/>
    <w:rsid w:val="004760D4"/>
    <w:rsid w:val="00543D22"/>
    <w:rsid w:val="005C6768"/>
    <w:rsid w:val="00634C25"/>
    <w:rsid w:val="006416AB"/>
    <w:rsid w:val="006768E9"/>
    <w:rsid w:val="00687982"/>
    <w:rsid w:val="006B3EC8"/>
    <w:rsid w:val="006D695E"/>
    <w:rsid w:val="00725A6A"/>
    <w:rsid w:val="007943F3"/>
    <w:rsid w:val="007A738C"/>
    <w:rsid w:val="007B1349"/>
    <w:rsid w:val="0082181A"/>
    <w:rsid w:val="008B470E"/>
    <w:rsid w:val="008E5BBF"/>
    <w:rsid w:val="008E6968"/>
    <w:rsid w:val="00A14DB9"/>
    <w:rsid w:val="00A4762A"/>
    <w:rsid w:val="00AD1B8A"/>
    <w:rsid w:val="00AE713F"/>
    <w:rsid w:val="00B1121C"/>
    <w:rsid w:val="00B12F84"/>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B12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B1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Desktop\Desktop%20PDF\Result_01_9Apr201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ile\UKM%20-%20Postgraduate\Research\Publication\Result_01_9Apr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Sheet1!$G$54</c:f>
              <c:strCache>
                <c:ptCount val="1"/>
                <c:pt idx="0">
                  <c:v>NO IRR</c:v>
                </c:pt>
              </c:strCache>
            </c:strRef>
          </c:tx>
          <c:spPr>
            <a:ln cap="rnd"/>
          </c:spPr>
          <c:errBars>
            <c:errDir val="y"/>
            <c:errBarType val="both"/>
            <c:errValType val="cust"/>
            <c:noEndCap val="0"/>
            <c:plus>
              <c:numRef>
                <c:f>Sheet1!$H$42:$H$52</c:f>
                <c:numCache>
                  <c:formatCode>General</c:formatCode>
                  <c:ptCount val="11"/>
                  <c:pt idx="0">
                    <c:v>6.2609903369994094E-3</c:v>
                  </c:pt>
                  <c:pt idx="1">
                    <c:v>2.2967368155711904E-2</c:v>
                  </c:pt>
                  <c:pt idx="2">
                    <c:v>1.7096783323186798E-2</c:v>
                  </c:pt>
                  <c:pt idx="3">
                    <c:v>3.5627236771885604E-2</c:v>
                  </c:pt>
                  <c:pt idx="4">
                    <c:v>8.9469547892006202E-2</c:v>
                  </c:pt>
                  <c:pt idx="5">
                    <c:v>3.9608079983760903E-2</c:v>
                  </c:pt>
                  <c:pt idx="6">
                    <c:v>0.22740096745616603</c:v>
                  </c:pt>
                  <c:pt idx="7">
                    <c:v>0.215855970498849</c:v>
                  </c:pt>
                  <c:pt idx="8">
                    <c:v>0.26948098263142806</c:v>
                  </c:pt>
                  <c:pt idx="9">
                    <c:v>0.18992682801542302</c:v>
                  </c:pt>
                  <c:pt idx="10">
                    <c:v>6.9287083933442919E-2</c:v>
                  </c:pt>
                </c:numCache>
              </c:numRef>
            </c:plus>
            <c:minus>
              <c:numRef>
                <c:f>Sheet1!$H$42:$H$52</c:f>
                <c:numCache>
                  <c:formatCode>General</c:formatCode>
                  <c:ptCount val="11"/>
                  <c:pt idx="0">
                    <c:v>6.2609903369994094E-3</c:v>
                  </c:pt>
                  <c:pt idx="1">
                    <c:v>2.2967368155711904E-2</c:v>
                  </c:pt>
                  <c:pt idx="2">
                    <c:v>1.7096783323186798E-2</c:v>
                  </c:pt>
                  <c:pt idx="3">
                    <c:v>3.5627236771885604E-2</c:v>
                  </c:pt>
                  <c:pt idx="4">
                    <c:v>8.9469547892006202E-2</c:v>
                  </c:pt>
                  <c:pt idx="5">
                    <c:v>3.9608079983760903E-2</c:v>
                  </c:pt>
                  <c:pt idx="6">
                    <c:v>0.22740096745616603</c:v>
                  </c:pt>
                  <c:pt idx="7">
                    <c:v>0.215855970498849</c:v>
                  </c:pt>
                  <c:pt idx="8">
                    <c:v>0.26948098263142806</c:v>
                  </c:pt>
                  <c:pt idx="9">
                    <c:v>0.18992682801542302</c:v>
                  </c:pt>
                  <c:pt idx="10">
                    <c:v>6.9287083933442919E-2</c:v>
                  </c:pt>
                </c:numCache>
              </c:numRef>
            </c:minus>
          </c:errBars>
          <c:cat>
            <c:numRef>
              <c:f>Sheet1!$F$55:$F$65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Sheet1!$G$55:$G$65</c:f>
              <c:numCache>
                <c:formatCode>0.000</c:formatCode>
                <c:ptCount val="11"/>
                <c:pt idx="0">
                  <c:v>100</c:v>
                </c:pt>
                <c:pt idx="1">
                  <c:v>156.92558392178157</c:v>
                </c:pt>
                <c:pt idx="2">
                  <c:v>170.28788701792516</c:v>
                </c:pt>
                <c:pt idx="3">
                  <c:v>162.79196089082018</c:v>
                </c:pt>
                <c:pt idx="4">
                  <c:v>147.2569255839218</c:v>
                </c:pt>
                <c:pt idx="5">
                  <c:v>39.217816404128193</c:v>
                </c:pt>
                <c:pt idx="6">
                  <c:v>39.815317762085833</c:v>
                </c:pt>
                <c:pt idx="7">
                  <c:v>31.070070613796851</c:v>
                </c:pt>
                <c:pt idx="8">
                  <c:v>58.772406300923414</c:v>
                </c:pt>
                <c:pt idx="9">
                  <c:v>47.80010863661051</c:v>
                </c:pt>
                <c:pt idx="10">
                  <c:v>20.31504617055948</c:v>
                </c:pt>
              </c:numCache>
            </c:numRef>
          </c:val>
          <c:smooth val="1"/>
        </c:ser>
        <c:ser>
          <c:idx val="1"/>
          <c:order val="1"/>
          <c:tx>
            <c:strRef>
              <c:f>Sheet1!$H$54</c:f>
              <c:strCache>
                <c:ptCount val="1"/>
                <c:pt idx="0">
                  <c:v>IRR</c:v>
                </c:pt>
              </c:strCache>
            </c:strRef>
          </c:tx>
          <c:errBars>
            <c:errDir val="y"/>
            <c:errBarType val="both"/>
            <c:errValType val="cust"/>
            <c:noEndCap val="0"/>
            <c:plus>
              <c:numRef>
                <c:f>Sheet1!$Q$42:$Q$52</c:f>
                <c:numCache>
                  <c:formatCode>General</c:formatCode>
                  <c:ptCount val="11"/>
                  <c:pt idx="0">
                    <c:v>1.8689569283426605E-2</c:v>
                  </c:pt>
                  <c:pt idx="1">
                    <c:v>2.1447610589527211E-2</c:v>
                  </c:pt>
                  <c:pt idx="2">
                    <c:v>4.5055521304275198E-3</c:v>
                  </c:pt>
                  <c:pt idx="3">
                    <c:v>1.02567051239665E-2</c:v>
                  </c:pt>
                  <c:pt idx="4">
                    <c:v>3.5355339059327407E-3</c:v>
                  </c:pt>
                  <c:pt idx="5">
                    <c:v>3.3139100772350404E-2</c:v>
                  </c:pt>
                  <c:pt idx="6">
                    <c:v>0.20070675125665297</c:v>
                  </c:pt>
                  <c:pt idx="7">
                    <c:v>0.15424169345543406</c:v>
                  </c:pt>
                  <c:pt idx="8">
                    <c:v>0.12003874374550905</c:v>
                  </c:pt>
                  <c:pt idx="9">
                    <c:v>6.284266066932552E-2</c:v>
                  </c:pt>
                  <c:pt idx="10">
                    <c:v>4.1701318923985597E-2</c:v>
                  </c:pt>
                </c:numCache>
              </c:numRef>
            </c:plus>
            <c:minus>
              <c:numRef>
                <c:f>Sheet1!$Q$42:$Q$52</c:f>
                <c:numCache>
                  <c:formatCode>General</c:formatCode>
                  <c:ptCount val="11"/>
                  <c:pt idx="0">
                    <c:v>1.8689569283426605E-2</c:v>
                  </c:pt>
                  <c:pt idx="1">
                    <c:v>2.1447610589527211E-2</c:v>
                  </c:pt>
                  <c:pt idx="2">
                    <c:v>4.5055521304275198E-3</c:v>
                  </c:pt>
                  <c:pt idx="3">
                    <c:v>1.02567051239665E-2</c:v>
                  </c:pt>
                  <c:pt idx="4">
                    <c:v>3.5355339059327407E-3</c:v>
                  </c:pt>
                  <c:pt idx="5">
                    <c:v>3.3139100772350404E-2</c:v>
                  </c:pt>
                  <c:pt idx="6">
                    <c:v>0.20070675125665297</c:v>
                  </c:pt>
                  <c:pt idx="7">
                    <c:v>0.15424169345543406</c:v>
                  </c:pt>
                  <c:pt idx="8">
                    <c:v>0.12003874374550905</c:v>
                  </c:pt>
                  <c:pt idx="9">
                    <c:v>6.284266066932552E-2</c:v>
                  </c:pt>
                  <c:pt idx="10">
                    <c:v>4.1701318923985597E-2</c:v>
                  </c:pt>
                </c:numCache>
              </c:numRef>
            </c:minus>
          </c:errBars>
          <c:cat>
            <c:numRef>
              <c:f>Sheet1!$F$55:$F$65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Sheet1!$H$55:$H$65</c:f>
              <c:numCache>
                <c:formatCode>0.000</c:formatCode>
                <c:ptCount val="11"/>
                <c:pt idx="0">
                  <c:v>89.353612167300383</c:v>
                </c:pt>
                <c:pt idx="1">
                  <c:v>93.481803367734912</c:v>
                </c:pt>
                <c:pt idx="2">
                  <c:v>118.84845192829988</c:v>
                </c:pt>
                <c:pt idx="3">
                  <c:v>112.71048343291702</c:v>
                </c:pt>
                <c:pt idx="4">
                  <c:v>70.668115154807182</c:v>
                </c:pt>
                <c:pt idx="5">
                  <c:v>24.117327539380771</c:v>
                </c:pt>
                <c:pt idx="6">
                  <c:v>19.826181423139605</c:v>
                </c:pt>
                <c:pt idx="7">
                  <c:v>22.053231939163496</c:v>
                </c:pt>
                <c:pt idx="8">
                  <c:v>19.989136338946214</c:v>
                </c:pt>
                <c:pt idx="9">
                  <c:v>54.861488321564352</c:v>
                </c:pt>
                <c:pt idx="10">
                  <c:v>27.322107550244432</c:v>
                </c:pt>
              </c:numCache>
            </c:numRef>
          </c:val>
          <c:smooth val="1"/>
        </c:ser>
        <c:dLbls>
          <c:showLegendKey val="0"/>
          <c:showVal val="0"/>
          <c:showCatName val="0"/>
          <c:showSerName val="0"/>
          <c:showPercent val="0"/>
          <c:showBubbleSize val="0"/>
        </c:dLbls>
        <c:marker val="1"/>
        <c:smooth val="0"/>
        <c:axId val="77954048"/>
        <c:axId val="76809344"/>
      </c:lineChart>
      <c:catAx>
        <c:axId val="77954048"/>
        <c:scaling>
          <c:orientation val="minMax"/>
        </c:scaling>
        <c:delete val="0"/>
        <c:axPos val="b"/>
        <c:title>
          <c:tx>
            <c:rich>
              <a:bodyPr/>
              <a:lstStyle/>
              <a:p>
                <a:pPr>
                  <a:defRPr/>
                </a:pPr>
                <a:r>
                  <a:rPr lang="en-MY"/>
                  <a:t>Concentration of RS (%)</a:t>
                </a:r>
              </a:p>
            </c:rich>
          </c:tx>
          <c:layout/>
          <c:overlay val="0"/>
        </c:title>
        <c:numFmt formatCode="General" sourceLinked="1"/>
        <c:majorTickMark val="none"/>
        <c:minorTickMark val="none"/>
        <c:tickLblPos val="nextTo"/>
        <c:crossAx val="76809344"/>
        <c:crosses val="autoZero"/>
        <c:auto val="1"/>
        <c:lblAlgn val="ctr"/>
        <c:lblOffset val="100"/>
        <c:noMultiLvlLbl val="0"/>
      </c:catAx>
      <c:valAx>
        <c:axId val="76809344"/>
        <c:scaling>
          <c:orientation val="minMax"/>
        </c:scaling>
        <c:delete val="0"/>
        <c:axPos val="l"/>
        <c:majorGridlines/>
        <c:title>
          <c:tx>
            <c:rich>
              <a:bodyPr/>
              <a:lstStyle/>
              <a:p>
                <a:pPr>
                  <a:defRPr b="1"/>
                </a:pPr>
                <a:r>
                  <a:rPr lang="en-MY" b="1"/>
                  <a:t>Cell</a:t>
                </a:r>
                <a:r>
                  <a:rPr lang="en-MY" b="1" baseline="0"/>
                  <a:t> Viability (%)</a:t>
                </a:r>
                <a:endParaRPr lang="en-MY" b="1"/>
              </a:p>
            </c:rich>
          </c:tx>
          <c:layout/>
          <c:overlay val="0"/>
        </c:title>
        <c:numFmt formatCode="0" sourceLinked="0"/>
        <c:majorTickMark val="none"/>
        <c:minorTickMark val="none"/>
        <c:tickLblPos val="nextTo"/>
        <c:crossAx val="77954048"/>
        <c:crosses val="autoZero"/>
        <c:crossBetween val="between"/>
      </c:valAx>
    </c:plotArea>
    <c:legend>
      <c:legendPos val="r"/>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cat>
            <c:strRef>
              <c:f>Sheet1!$A$55:$A$58</c:f>
              <c:strCache>
                <c:ptCount val="4"/>
                <c:pt idx="0">
                  <c:v>NO RS NO IRR</c:v>
                </c:pt>
                <c:pt idx="1">
                  <c:v>RS NO IRR</c:v>
                </c:pt>
                <c:pt idx="2">
                  <c:v>NO RS IRR</c:v>
                </c:pt>
                <c:pt idx="3">
                  <c:v>RS IRR</c:v>
                </c:pt>
              </c:strCache>
            </c:strRef>
          </c:cat>
          <c:val>
            <c:numRef>
              <c:f>Sheet1!$B$55:$B$58</c:f>
              <c:numCache>
                <c:formatCode>General</c:formatCode>
                <c:ptCount val="4"/>
              </c:numCache>
            </c:numRef>
          </c:val>
        </c:ser>
        <c:ser>
          <c:idx val="1"/>
          <c:order val="1"/>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Sheet1!$D$55:$D$58</c:f>
                <c:numCache>
                  <c:formatCode>General</c:formatCode>
                  <c:ptCount val="4"/>
                  <c:pt idx="0">
                    <c:v>6.9287083933442919E-2</c:v>
                  </c:pt>
                  <c:pt idx="1">
                    <c:v>0.22740096745616603</c:v>
                  </c:pt>
                  <c:pt idx="2">
                    <c:v>4.1701318923985597E-2</c:v>
                  </c:pt>
                  <c:pt idx="3">
                    <c:v>0.20070675125665297</c:v>
                  </c:pt>
                </c:numCache>
              </c:numRef>
            </c:plus>
            <c:minus>
              <c:numRef>
                <c:f>Sheet1!$D$55:$D$58</c:f>
                <c:numCache>
                  <c:formatCode>General</c:formatCode>
                  <c:ptCount val="4"/>
                  <c:pt idx="0">
                    <c:v>6.9287083933442919E-2</c:v>
                  </c:pt>
                  <c:pt idx="1">
                    <c:v>0.22740096745616603</c:v>
                  </c:pt>
                  <c:pt idx="2">
                    <c:v>4.1701318923985597E-2</c:v>
                  </c:pt>
                  <c:pt idx="3">
                    <c:v>0.20070675125665297</c:v>
                  </c:pt>
                </c:numCache>
              </c:numRef>
            </c:minus>
          </c:errBars>
          <c:cat>
            <c:strRef>
              <c:f>Sheet1!$A$55:$A$58</c:f>
              <c:strCache>
                <c:ptCount val="4"/>
                <c:pt idx="0">
                  <c:v>NO RS NO IRR</c:v>
                </c:pt>
                <c:pt idx="1">
                  <c:v>RS NO IRR</c:v>
                </c:pt>
                <c:pt idx="2">
                  <c:v>NO RS IRR</c:v>
                </c:pt>
                <c:pt idx="3">
                  <c:v>RS IRR</c:v>
                </c:pt>
              </c:strCache>
            </c:strRef>
          </c:cat>
          <c:val>
            <c:numRef>
              <c:f>Sheet1!$C$55:$C$58</c:f>
              <c:numCache>
                <c:formatCode>0.00</c:formatCode>
                <c:ptCount val="4"/>
                <c:pt idx="0">
                  <c:v>100</c:v>
                </c:pt>
                <c:pt idx="1">
                  <c:v>147.2569255839218</c:v>
                </c:pt>
                <c:pt idx="2">
                  <c:v>89.353612167300383</c:v>
                </c:pt>
                <c:pt idx="3">
                  <c:v>70.668115154807182</c:v>
                </c:pt>
              </c:numCache>
            </c:numRef>
          </c:val>
        </c:ser>
        <c:dLbls>
          <c:showLegendKey val="0"/>
          <c:showVal val="0"/>
          <c:showCatName val="0"/>
          <c:showSerName val="0"/>
          <c:showPercent val="0"/>
          <c:showBubbleSize val="0"/>
        </c:dLbls>
        <c:gapWidth val="75"/>
        <c:overlap val="40"/>
        <c:axId val="76831360"/>
        <c:axId val="76841344"/>
      </c:barChart>
      <c:catAx>
        <c:axId val="76831360"/>
        <c:scaling>
          <c:orientation val="minMax"/>
        </c:scaling>
        <c:delete val="0"/>
        <c:axPos val="l"/>
        <c:numFmt formatCode="General" sourceLinked="0"/>
        <c:majorTickMark val="none"/>
        <c:minorTickMark val="none"/>
        <c:tickLblPos val="nextTo"/>
        <c:crossAx val="76841344"/>
        <c:crosses val="autoZero"/>
        <c:auto val="1"/>
        <c:lblAlgn val="ctr"/>
        <c:lblOffset val="100"/>
        <c:noMultiLvlLbl val="0"/>
      </c:catAx>
      <c:valAx>
        <c:axId val="76841344"/>
        <c:scaling>
          <c:orientation val="minMax"/>
        </c:scaling>
        <c:delete val="0"/>
        <c:axPos val="b"/>
        <c:majorGridlines/>
        <c:numFmt formatCode="General" sourceLinked="1"/>
        <c:majorTickMark val="none"/>
        <c:minorTickMark val="none"/>
        <c:tickLblPos val="nextTo"/>
        <c:crossAx val="768313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F80A-3E6F-4AB4-B3FC-4CCE4790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4</cp:revision>
  <dcterms:created xsi:type="dcterms:W3CDTF">2015-03-26T07:53:00Z</dcterms:created>
  <dcterms:modified xsi:type="dcterms:W3CDTF">2015-04-01T01:40:00Z</dcterms:modified>
</cp:coreProperties>
</file>