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FA140B" w:rsidRPr="00FA140B" w:rsidRDefault="00FA140B" w:rsidP="00FA140B">
      <w:pPr>
        <w:tabs>
          <w:tab w:val="left" w:pos="284"/>
          <w:tab w:val="left" w:pos="1701"/>
        </w:tabs>
        <w:autoSpaceDE w:val="0"/>
        <w:autoSpaceDN w:val="0"/>
        <w:adjustRightInd w:val="0"/>
        <w:spacing w:after="0" w:line="240" w:lineRule="auto"/>
        <w:jc w:val="center"/>
        <w:rPr>
          <w:rFonts w:ascii="Times New Roman" w:hAnsi="Times New Roman"/>
          <w:sz w:val="28"/>
          <w:szCs w:val="28"/>
        </w:rPr>
      </w:pPr>
      <w:r w:rsidRPr="00FA140B">
        <w:rPr>
          <w:rFonts w:ascii="Times New Roman" w:hAnsi="Times New Roman"/>
          <w:sz w:val="28"/>
          <w:szCs w:val="28"/>
        </w:rPr>
        <w:t>ASSESSMENT OF SURFACE WATER QUALITY USING MULTIVARIATE STATISTICAL TECHNIQUES IN THE TERENGGANU RIVER BASIN</w:t>
      </w:r>
    </w:p>
    <w:p w:rsidR="006768E9" w:rsidRPr="00F447A7" w:rsidRDefault="006768E9" w:rsidP="00F447A7">
      <w:pPr>
        <w:spacing w:after="0" w:line="240" w:lineRule="auto"/>
        <w:jc w:val="center"/>
        <w:rPr>
          <w:rFonts w:ascii="Times New Roman" w:hAnsi="Times New Roman"/>
          <w:noProof/>
          <w:sz w:val="24"/>
          <w:szCs w:val="24"/>
          <w:lang w:bidi="ar-SA"/>
        </w:rPr>
      </w:pPr>
    </w:p>
    <w:p w:rsidR="00FA140B" w:rsidRPr="00FA140B" w:rsidRDefault="00FA140B" w:rsidP="00FA140B">
      <w:pPr>
        <w:tabs>
          <w:tab w:val="left" w:pos="284"/>
          <w:tab w:val="left" w:pos="1701"/>
        </w:tabs>
        <w:autoSpaceDE w:val="0"/>
        <w:autoSpaceDN w:val="0"/>
        <w:adjustRightInd w:val="0"/>
        <w:spacing w:after="0" w:line="240" w:lineRule="auto"/>
        <w:jc w:val="center"/>
        <w:rPr>
          <w:rStyle w:val="hps"/>
          <w:rFonts w:ascii="Times New Roman" w:hAnsi="Times New Roman"/>
          <w:sz w:val="24"/>
          <w:szCs w:val="24"/>
          <w:lang w:val="ms-MY"/>
        </w:rPr>
      </w:pPr>
      <w:r w:rsidRPr="00FA140B">
        <w:rPr>
          <w:rStyle w:val="hps"/>
          <w:rFonts w:ascii="Times New Roman" w:hAnsi="Times New Roman"/>
          <w:sz w:val="24"/>
          <w:szCs w:val="24"/>
          <w:lang w:val="ms-MY"/>
        </w:rPr>
        <w:t>(Penilaian Kualiti Air Permukaan Menggunakan Teknik Statistik Multivariat bagi Lembangan Sungai Terengganu)</w:t>
      </w:r>
    </w:p>
    <w:p w:rsidR="006768E9" w:rsidRPr="00F447A7" w:rsidRDefault="006768E9" w:rsidP="00F447A7">
      <w:pPr>
        <w:spacing w:after="0" w:line="240" w:lineRule="auto"/>
        <w:jc w:val="center"/>
        <w:rPr>
          <w:rFonts w:ascii="Times New Roman" w:hAnsi="Times New Roman"/>
          <w:noProof/>
          <w:sz w:val="20"/>
          <w:szCs w:val="20"/>
          <w:lang w:bidi="ar-SA"/>
        </w:rPr>
      </w:pPr>
    </w:p>
    <w:p w:rsidR="00FA140B" w:rsidRPr="00FA140B" w:rsidRDefault="00FA140B" w:rsidP="00FA140B">
      <w:pPr>
        <w:tabs>
          <w:tab w:val="left" w:pos="284"/>
          <w:tab w:val="left" w:pos="1701"/>
        </w:tabs>
        <w:autoSpaceDE w:val="0"/>
        <w:autoSpaceDN w:val="0"/>
        <w:adjustRightInd w:val="0"/>
        <w:spacing w:after="0" w:line="240" w:lineRule="auto"/>
        <w:jc w:val="center"/>
        <w:rPr>
          <w:rFonts w:ascii="Times New Roman" w:hAnsi="Times New Roman"/>
          <w:sz w:val="20"/>
          <w:szCs w:val="20"/>
        </w:rPr>
      </w:pPr>
      <w:r w:rsidRPr="00FA140B">
        <w:rPr>
          <w:rFonts w:ascii="Times New Roman" w:hAnsi="Times New Roman"/>
          <w:sz w:val="20"/>
          <w:szCs w:val="20"/>
        </w:rPr>
        <w:t>Aminu Ibrahim</w:t>
      </w:r>
      <w:r w:rsidRPr="00FA140B">
        <w:rPr>
          <w:rFonts w:ascii="Times New Roman" w:hAnsi="Times New Roman"/>
          <w:sz w:val="20"/>
          <w:szCs w:val="20"/>
          <w:vertAlign w:val="superscript"/>
        </w:rPr>
        <w:t>1</w:t>
      </w:r>
      <w:r w:rsidRPr="00FA140B">
        <w:rPr>
          <w:rFonts w:ascii="Times New Roman" w:hAnsi="Times New Roman"/>
          <w:sz w:val="20"/>
          <w:szCs w:val="20"/>
        </w:rPr>
        <w:t>*, Hafizan Juahir</w:t>
      </w:r>
      <w:r w:rsidRPr="00FA140B">
        <w:rPr>
          <w:rFonts w:ascii="Times New Roman" w:hAnsi="Times New Roman"/>
          <w:sz w:val="20"/>
          <w:szCs w:val="20"/>
          <w:vertAlign w:val="superscript"/>
        </w:rPr>
        <w:t>1</w:t>
      </w:r>
      <w:r w:rsidRPr="00FA140B">
        <w:rPr>
          <w:rFonts w:ascii="Times New Roman" w:hAnsi="Times New Roman"/>
          <w:sz w:val="20"/>
          <w:szCs w:val="20"/>
        </w:rPr>
        <w:t>, Mohd Ekhwan Toriman</w:t>
      </w:r>
      <w:r w:rsidRPr="00FA140B">
        <w:rPr>
          <w:rFonts w:ascii="Times New Roman" w:hAnsi="Times New Roman"/>
          <w:sz w:val="20"/>
          <w:szCs w:val="20"/>
          <w:vertAlign w:val="superscript"/>
        </w:rPr>
        <w:t>1</w:t>
      </w:r>
      <w:r w:rsidRPr="00FA140B">
        <w:rPr>
          <w:rFonts w:ascii="Times New Roman" w:hAnsi="Times New Roman"/>
          <w:sz w:val="20"/>
          <w:szCs w:val="20"/>
        </w:rPr>
        <w:t>, Adamu Mustapha</w:t>
      </w:r>
      <w:r w:rsidRPr="00FA140B">
        <w:rPr>
          <w:rFonts w:ascii="Times New Roman" w:hAnsi="Times New Roman"/>
          <w:sz w:val="20"/>
          <w:szCs w:val="20"/>
          <w:vertAlign w:val="superscript"/>
        </w:rPr>
        <w:t>2</w:t>
      </w:r>
      <w:r w:rsidRPr="00FA140B">
        <w:rPr>
          <w:rFonts w:ascii="Times New Roman" w:hAnsi="Times New Roman"/>
          <w:sz w:val="20"/>
          <w:szCs w:val="20"/>
        </w:rPr>
        <w:t>, Azman Azid</w:t>
      </w:r>
      <w:r w:rsidRPr="00FA140B">
        <w:rPr>
          <w:rFonts w:ascii="Times New Roman" w:hAnsi="Times New Roman"/>
          <w:sz w:val="20"/>
          <w:szCs w:val="20"/>
          <w:vertAlign w:val="superscript"/>
        </w:rPr>
        <w:t>1</w:t>
      </w:r>
      <w:r w:rsidRPr="00FA140B">
        <w:rPr>
          <w:rFonts w:ascii="Times New Roman" w:hAnsi="Times New Roman"/>
          <w:sz w:val="20"/>
          <w:szCs w:val="20"/>
        </w:rPr>
        <w:t>,</w:t>
      </w:r>
    </w:p>
    <w:p w:rsidR="00FA140B" w:rsidRPr="00FA140B" w:rsidRDefault="00FA140B" w:rsidP="00FA140B">
      <w:pPr>
        <w:tabs>
          <w:tab w:val="left" w:pos="284"/>
          <w:tab w:val="left" w:pos="1701"/>
        </w:tabs>
        <w:autoSpaceDE w:val="0"/>
        <w:autoSpaceDN w:val="0"/>
        <w:adjustRightInd w:val="0"/>
        <w:spacing w:after="0" w:line="240" w:lineRule="auto"/>
        <w:jc w:val="center"/>
        <w:rPr>
          <w:rFonts w:ascii="Times New Roman" w:hAnsi="Times New Roman"/>
          <w:sz w:val="20"/>
          <w:szCs w:val="20"/>
          <w:vertAlign w:val="superscript"/>
        </w:rPr>
      </w:pPr>
      <w:r w:rsidRPr="00FA140B">
        <w:rPr>
          <w:rFonts w:ascii="Times New Roman" w:hAnsi="Times New Roman"/>
          <w:sz w:val="20"/>
          <w:szCs w:val="20"/>
        </w:rPr>
        <w:t>Hamza A Isiyaka</w:t>
      </w:r>
      <w:r w:rsidRPr="00FA140B">
        <w:rPr>
          <w:rFonts w:ascii="Times New Roman" w:hAnsi="Times New Roman"/>
          <w:sz w:val="20"/>
          <w:szCs w:val="20"/>
          <w:vertAlign w:val="superscript"/>
        </w:rPr>
        <w:t>1</w:t>
      </w:r>
    </w:p>
    <w:p w:rsidR="006768E9" w:rsidRPr="00F447A7" w:rsidRDefault="006768E9" w:rsidP="00FA140B">
      <w:pPr>
        <w:spacing w:after="0" w:line="240" w:lineRule="auto"/>
        <w:jc w:val="center"/>
        <w:rPr>
          <w:rFonts w:ascii="Times New Roman" w:hAnsi="Times New Roman"/>
          <w:noProof/>
          <w:sz w:val="18"/>
          <w:szCs w:val="18"/>
          <w:lang w:bidi="ar-SA"/>
        </w:rPr>
      </w:pPr>
    </w:p>
    <w:p w:rsidR="00FA140B" w:rsidRPr="00FA140B" w:rsidRDefault="00FA140B" w:rsidP="00FA140B">
      <w:pPr>
        <w:autoSpaceDE w:val="0"/>
        <w:autoSpaceDN w:val="0"/>
        <w:adjustRightInd w:val="0"/>
        <w:spacing w:after="0" w:line="240" w:lineRule="auto"/>
        <w:jc w:val="center"/>
        <w:outlineLvl w:val="0"/>
        <w:rPr>
          <w:rFonts w:ascii="Times New Roman" w:hAnsi="Times New Roman"/>
          <w:i/>
          <w:color w:val="000000" w:themeColor="text1"/>
          <w:sz w:val="18"/>
          <w:szCs w:val="18"/>
          <w:lang w:val="en-MY"/>
        </w:rPr>
      </w:pPr>
      <w:r w:rsidRPr="00FA140B">
        <w:rPr>
          <w:rFonts w:ascii="Times New Roman" w:hAnsi="Times New Roman"/>
          <w:i/>
          <w:color w:val="000000" w:themeColor="text1"/>
          <w:sz w:val="18"/>
          <w:szCs w:val="18"/>
          <w:vertAlign w:val="superscript"/>
          <w:lang w:val="en-MY"/>
        </w:rPr>
        <w:t>1</w:t>
      </w:r>
      <w:r w:rsidRPr="00FA140B">
        <w:rPr>
          <w:rFonts w:ascii="Times New Roman" w:hAnsi="Times New Roman"/>
          <w:i/>
          <w:color w:val="000000" w:themeColor="text1"/>
          <w:sz w:val="18"/>
          <w:szCs w:val="18"/>
          <w:lang w:val="en-MY"/>
        </w:rPr>
        <w:t>East Coast Environmental Research Institute</w:t>
      </w:r>
    </w:p>
    <w:p w:rsidR="00FA140B" w:rsidRPr="00FA140B" w:rsidRDefault="00FA140B" w:rsidP="00FA140B">
      <w:pPr>
        <w:autoSpaceDE w:val="0"/>
        <w:autoSpaceDN w:val="0"/>
        <w:adjustRightInd w:val="0"/>
        <w:spacing w:after="0" w:line="240" w:lineRule="auto"/>
        <w:jc w:val="center"/>
        <w:outlineLvl w:val="0"/>
        <w:rPr>
          <w:rFonts w:ascii="Times New Roman" w:hAnsi="Times New Roman"/>
          <w:i/>
          <w:color w:val="000000" w:themeColor="text1"/>
          <w:sz w:val="18"/>
          <w:szCs w:val="18"/>
          <w:lang w:val="en-MY"/>
        </w:rPr>
      </w:pPr>
      <w:r w:rsidRPr="00FA140B">
        <w:rPr>
          <w:rFonts w:ascii="Times New Roman" w:hAnsi="Times New Roman"/>
          <w:i/>
          <w:color w:val="000000" w:themeColor="text1"/>
          <w:sz w:val="18"/>
          <w:szCs w:val="18"/>
          <w:lang w:val="en-MY"/>
        </w:rPr>
        <w:t>Universiti Sultan Zainal Abidin</w:t>
      </w:r>
      <w:r>
        <w:rPr>
          <w:rFonts w:ascii="Times New Roman" w:hAnsi="Times New Roman"/>
          <w:i/>
          <w:color w:val="000000" w:themeColor="text1"/>
          <w:sz w:val="18"/>
          <w:szCs w:val="18"/>
          <w:lang w:val="en-MY"/>
        </w:rPr>
        <w:t>, 21300 Terengganu, Malaysia</w:t>
      </w:r>
    </w:p>
    <w:p w:rsidR="00FA140B" w:rsidRPr="00FA140B" w:rsidRDefault="00FA140B" w:rsidP="00FA140B">
      <w:pPr>
        <w:tabs>
          <w:tab w:val="left" w:pos="284"/>
          <w:tab w:val="left" w:pos="1701"/>
        </w:tabs>
        <w:autoSpaceDE w:val="0"/>
        <w:autoSpaceDN w:val="0"/>
        <w:adjustRightInd w:val="0"/>
        <w:spacing w:after="0" w:line="240" w:lineRule="auto"/>
        <w:jc w:val="center"/>
        <w:outlineLvl w:val="0"/>
        <w:rPr>
          <w:rFonts w:ascii="Times New Roman" w:hAnsi="Times New Roman"/>
          <w:i/>
          <w:sz w:val="18"/>
          <w:szCs w:val="18"/>
        </w:rPr>
      </w:pPr>
      <w:r w:rsidRPr="00FA140B">
        <w:rPr>
          <w:rFonts w:ascii="Times New Roman" w:hAnsi="Times New Roman"/>
          <w:i/>
          <w:sz w:val="18"/>
          <w:szCs w:val="18"/>
          <w:vertAlign w:val="superscript"/>
        </w:rPr>
        <w:t>2</w:t>
      </w:r>
      <w:r w:rsidRPr="00FA140B">
        <w:rPr>
          <w:rFonts w:ascii="Times New Roman" w:hAnsi="Times New Roman"/>
          <w:i/>
          <w:sz w:val="18"/>
          <w:szCs w:val="18"/>
        </w:rPr>
        <w:t>Kano State University of Science and Technology, Wudil 3244 Kano</w:t>
      </w:r>
      <w:r>
        <w:rPr>
          <w:rFonts w:ascii="Times New Roman" w:hAnsi="Times New Roman"/>
          <w:i/>
          <w:sz w:val="18"/>
          <w:szCs w:val="18"/>
        </w:rPr>
        <w:t>, Nigeria</w:t>
      </w:r>
    </w:p>
    <w:p w:rsidR="006768E9" w:rsidRPr="00F447A7" w:rsidRDefault="006768E9" w:rsidP="00FA140B">
      <w:pPr>
        <w:spacing w:after="0" w:line="240" w:lineRule="auto"/>
        <w:jc w:val="center"/>
        <w:rPr>
          <w:rFonts w:ascii="Times New Roman" w:hAnsi="Times New Roman"/>
          <w:noProof/>
          <w:sz w:val="18"/>
          <w:szCs w:val="18"/>
          <w:lang w:bidi="ar-SA"/>
        </w:rPr>
      </w:pPr>
    </w:p>
    <w:p w:rsidR="006768E9" w:rsidRPr="00FA140B" w:rsidRDefault="006768E9" w:rsidP="00FA140B">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FA140B" w:rsidRPr="00FA140B">
        <w:rPr>
          <w:rFonts w:ascii="Times New Roman" w:hAnsi="Times New Roman"/>
          <w:i/>
          <w:sz w:val="18"/>
          <w:szCs w:val="18"/>
        </w:rPr>
        <w:t>aminu479@gmail.com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A140B">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FA140B">
        <w:rPr>
          <w:rFonts w:ascii="Times New Roman" w:hAnsi="Times New Roman"/>
          <w:noProof/>
          <w:sz w:val="18"/>
          <w:szCs w:val="18"/>
          <w:lang w:bidi="ar-SA"/>
        </w:rPr>
        <w:t>11 January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A140B" w:rsidRPr="00FA140B" w:rsidRDefault="00FA140B" w:rsidP="00FA140B">
      <w:pPr>
        <w:autoSpaceDE w:val="0"/>
        <w:autoSpaceDN w:val="0"/>
        <w:adjustRightInd w:val="0"/>
        <w:spacing w:after="0" w:line="240" w:lineRule="auto"/>
        <w:jc w:val="both"/>
        <w:rPr>
          <w:rFonts w:ascii="Times New Roman" w:hAnsi="Times New Roman"/>
          <w:color w:val="131413"/>
          <w:sz w:val="18"/>
          <w:szCs w:val="20"/>
          <w:lang w:val="en-MY"/>
        </w:rPr>
      </w:pPr>
      <w:r w:rsidRPr="00FA140B">
        <w:rPr>
          <w:rFonts w:ascii="Times New Roman" w:hAnsi="Times New Roman"/>
          <w:sz w:val="18"/>
          <w:szCs w:val="20"/>
        </w:rPr>
        <w:t>Multivariate Statistical techniques including cluster analysis, discriminant analysis, and principal component analysis/factor analysis were applied to investigate the spatial variation and pollution sources in the Terengganu river basin during 5 years of monitoring 13 water quality parameters at thirteen different stations. Cluster analysis (CA) classified 13 stations into 2 clusters low polluted (LP) and moderate polluted (MP) based on similar water quality characteristics. Discriminant analysis (DA) rendered significant data reduction with 4 parameters (pH, NH</w:t>
      </w:r>
      <w:r w:rsidRPr="00FA140B">
        <w:rPr>
          <w:rFonts w:ascii="Times New Roman" w:hAnsi="Times New Roman"/>
          <w:sz w:val="18"/>
          <w:szCs w:val="20"/>
          <w:vertAlign w:val="subscript"/>
        </w:rPr>
        <w:t>3</w:t>
      </w:r>
      <w:r w:rsidRPr="00FA140B">
        <w:rPr>
          <w:rFonts w:ascii="Times New Roman" w:hAnsi="Times New Roman"/>
          <w:sz w:val="18"/>
          <w:szCs w:val="20"/>
        </w:rPr>
        <w:t>-NL, PO</w:t>
      </w:r>
      <w:r w:rsidRPr="00FA140B">
        <w:rPr>
          <w:rFonts w:ascii="Times New Roman" w:hAnsi="Times New Roman"/>
          <w:sz w:val="18"/>
          <w:szCs w:val="20"/>
          <w:vertAlign w:val="subscript"/>
        </w:rPr>
        <w:t>4</w:t>
      </w:r>
      <w:r w:rsidRPr="00FA140B">
        <w:rPr>
          <w:rFonts w:ascii="Times New Roman" w:hAnsi="Times New Roman"/>
          <w:sz w:val="18"/>
          <w:szCs w:val="20"/>
        </w:rPr>
        <w:t xml:space="preserve"> and EC) and correct assignation of 95.80%. The PCA/FA applied to the data sets, yielded in five latent factors accounting 72.42% of the total variance in the water quality data. The obtained varifactors indicate that parameters in charge for water quality variations are mainly related to domestic waste, industrial, runoff and agricultural (anthropogenic activities). </w:t>
      </w:r>
      <w:r w:rsidRPr="00FA140B">
        <w:rPr>
          <w:rFonts w:ascii="Times New Roman" w:hAnsi="Times New Roman"/>
          <w:color w:val="131413"/>
          <w:sz w:val="18"/>
          <w:szCs w:val="20"/>
          <w:lang w:val="en-MY"/>
        </w:rPr>
        <w:t>Therefore, multivariate techniques are important in environmental management.</w:t>
      </w:r>
    </w:p>
    <w:p w:rsidR="00FA140B" w:rsidRPr="00FA140B" w:rsidRDefault="00FA140B" w:rsidP="00FA140B">
      <w:pPr>
        <w:autoSpaceDE w:val="0"/>
        <w:autoSpaceDN w:val="0"/>
        <w:adjustRightInd w:val="0"/>
        <w:spacing w:after="0" w:line="240" w:lineRule="auto"/>
        <w:jc w:val="both"/>
        <w:rPr>
          <w:rFonts w:ascii="Times New Roman" w:hAnsi="Times New Roman"/>
          <w:color w:val="131413"/>
          <w:sz w:val="18"/>
          <w:szCs w:val="20"/>
          <w:lang w:val="en-MY"/>
        </w:rPr>
      </w:pPr>
    </w:p>
    <w:p w:rsidR="00FA140B" w:rsidRPr="00FA140B" w:rsidRDefault="00FA140B" w:rsidP="00FA140B">
      <w:pPr>
        <w:autoSpaceDE w:val="0"/>
        <w:autoSpaceDN w:val="0"/>
        <w:adjustRightInd w:val="0"/>
        <w:spacing w:after="0" w:line="240" w:lineRule="auto"/>
        <w:jc w:val="both"/>
        <w:rPr>
          <w:rFonts w:ascii="Times New Roman" w:hAnsi="Times New Roman"/>
          <w:color w:val="131413"/>
          <w:sz w:val="18"/>
          <w:szCs w:val="18"/>
          <w:lang w:val="en-MY"/>
        </w:rPr>
      </w:pPr>
      <w:r w:rsidRPr="00FA140B">
        <w:rPr>
          <w:rFonts w:ascii="Times New Roman" w:hAnsi="Times New Roman"/>
          <w:b/>
          <w:color w:val="131413"/>
          <w:sz w:val="18"/>
          <w:szCs w:val="18"/>
          <w:lang w:val="en-MY"/>
        </w:rPr>
        <w:t>Keywords</w:t>
      </w:r>
      <w:r>
        <w:rPr>
          <w:rFonts w:ascii="Times New Roman" w:hAnsi="Times New Roman"/>
          <w:color w:val="131413"/>
          <w:sz w:val="18"/>
          <w:szCs w:val="18"/>
          <w:lang w:val="en-MY"/>
        </w:rPr>
        <w:t>: c</w:t>
      </w:r>
      <w:r w:rsidRPr="00FA140B">
        <w:rPr>
          <w:rFonts w:ascii="Times New Roman" w:hAnsi="Times New Roman"/>
          <w:color w:val="131413"/>
          <w:sz w:val="18"/>
          <w:szCs w:val="18"/>
          <w:lang w:val="en-MY"/>
        </w:rPr>
        <w:t>luster analysis, discriminant analysis, principal component analysis,water quality,</w:t>
      </w:r>
      <w:r>
        <w:rPr>
          <w:rFonts w:ascii="Times New Roman" w:hAnsi="Times New Roman"/>
          <w:color w:val="131413"/>
          <w:sz w:val="18"/>
          <w:szCs w:val="18"/>
          <w:lang w:val="en-MY"/>
        </w:rPr>
        <w:t xml:space="preserve"> Terengganu river basin</w:t>
      </w:r>
    </w:p>
    <w:p w:rsidR="00FA140B" w:rsidRDefault="00FA140B"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A140B" w:rsidRPr="00FA140B" w:rsidRDefault="00FA140B" w:rsidP="00FA140B">
      <w:pPr>
        <w:spacing w:after="0" w:line="240" w:lineRule="auto"/>
        <w:jc w:val="both"/>
        <w:rPr>
          <w:rFonts w:ascii="Times New Roman" w:hAnsi="Times New Roman"/>
          <w:sz w:val="18"/>
          <w:szCs w:val="18"/>
          <w:lang w:val="ms-MY" w:eastAsia="en-MY"/>
        </w:rPr>
      </w:pPr>
      <w:r w:rsidRPr="00FA140B">
        <w:rPr>
          <w:rFonts w:ascii="Times New Roman" w:hAnsi="Times New Roman"/>
          <w:sz w:val="18"/>
          <w:szCs w:val="18"/>
          <w:lang w:val="ms-MY" w:eastAsia="en-MY"/>
        </w:rPr>
        <w:t>Teknik multivariat statistik termasuk analisis kelompok, analisis diskrminan, dan analisis komponen prinsipal/analisis faktor telah digunakan untuk mengkaji perubahan dan pencemaran sumber ruang di lembangan sungai Terengganu sepanjang 5 tahun pemantauan parameter kualiti air di 13 tiga belas stesen yang berbeza. Analisis kelompok (CA)mengkelaskan 13 stesen ke dalam 2 kelompok iaitu rendah tercemar (LP) dan sederhana tercemar (MP) berdasarkan ciri-ciri kualiti air yang sama. Analisis diskriminan (DA) menberikan pengurangan data penting kepada 4 parameter (pH, NH</w:t>
      </w:r>
      <w:r w:rsidRPr="00FA140B">
        <w:rPr>
          <w:rFonts w:ascii="Times New Roman" w:hAnsi="Times New Roman"/>
          <w:sz w:val="18"/>
          <w:szCs w:val="18"/>
          <w:vertAlign w:val="subscript"/>
          <w:lang w:val="ms-MY" w:eastAsia="en-MY"/>
        </w:rPr>
        <w:t>3</w:t>
      </w:r>
      <w:r w:rsidRPr="00FA140B">
        <w:rPr>
          <w:rFonts w:ascii="Times New Roman" w:hAnsi="Times New Roman"/>
          <w:sz w:val="18"/>
          <w:szCs w:val="18"/>
          <w:lang w:val="ms-MY" w:eastAsia="en-MY"/>
        </w:rPr>
        <w:t>-NL, PO</w:t>
      </w:r>
      <w:r w:rsidRPr="00FA140B">
        <w:rPr>
          <w:rFonts w:ascii="Times New Roman" w:hAnsi="Times New Roman"/>
          <w:sz w:val="18"/>
          <w:szCs w:val="18"/>
          <w:vertAlign w:val="subscript"/>
          <w:lang w:val="ms-MY" w:eastAsia="en-MY"/>
        </w:rPr>
        <w:t>4</w:t>
      </w:r>
      <w:r w:rsidRPr="00FA140B">
        <w:rPr>
          <w:rFonts w:ascii="Times New Roman" w:hAnsi="Times New Roman"/>
          <w:sz w:val="18"/>
          <w:szCs w:val="18"/>
          <w:lang w:val="ms-MY" w:eastAsia="en-MY"/>
        </w:rPr>
        <w:t xml:space="preserve"> dan kekonduksian) dan penandaan betul adalah 95.80%. PCA/FA diaplikasikan kepada set data, menghasilkan lima faktor terpendam menyumbang kepada 72.42% daripada jumlah varians bagi data kualiti air. Varifaktor yang diperolehi menunjukkan bahawa terdapat parameter yang bertanggungjawab terhadap perubahan kualiti air terutamanya yang berkaitan dengan sisa domestik, perindustrian, aliran dan pertanian (aktiviti antropogenik). Oleh itu, teknik multivariat adalah penting dalam pengurusan alam sekitar.</w:t>
      </w:r>
    </w:p>
    <w:p w:rsidR="00FA140B" w:rsidRPr="00FA140B" w:rsidRDefault="00FA140B" w:rsidP="00FA140B">
      <w:pPr>
        <w:spacing w:after="0" w:line="240" w:lineRule="auto"/>
        <w:jc w:val="both"/>
        <w:rPr>
          <w:rFonts w:ascii="Times New Roman" w:hAnsi="Times New Roman"/>
          <w:sz w:val="18"/>
          <w:szCs w:val="18"/>
          <w:lang w:val="ms-MY" w:eastAsia="en-MY"/>
        </w:rPr>
      </w:pPr>
    </w:p>
    <w:p w:rsidR="00FA140B" w:rsidRPr="00FA140B" w:rsidRDefault="00FA140B" w:rsidP="00FA1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Times New Roman" w:hAnsi="Times New Roman"/>
          <w:sz w:val="18"/>
          <w:szCs w:val="18"/>
          <w:lang w:val="en-MY" w:eastAsia="en-MY"/>
        </w:rPr>
      </w:pPr>
      <w:r w:rsidRPr="00FA140B">
        <w:rPr>
          <w:rFonts w:ascii="Times New Roman" w:hAnsi="Times New Roman"/>
          <w:b/>
          <w:sz w:val="18"/>
          <w:szCs w:val="18"/>
          <w:lang w:val="en-MY" w:eastAsia="en-MY"/>
        </w:rPr>
        <w:t>Kata kunci</w:t>
      </w:r>
      <w:r w:rsidRPr="00FA140B">
        <w:rPr>
          <w:rFonts w:ascii="Times New Roman" w:hAnsi="Times New Roman"/>
          <w:sz w:val="18"/>
          <w:szCs w:val="18"/>
          <w:lang w:val="en-MY" w:eastAsia="en-MY"/>
        </w:rPr>
        <w:t xml:space="preserve">: analisis kelompok, analisis diskriminan, analisis komponen principal, kualiti air, lembangan sungai </w:t>
      </w:r>
      <w:r>
        <w:rPr>
          <w:rFonts w:ascii="Times New Roman" w:hAnsi="Times New Roman"/>
          <w:sz w:val="18"/>
          <w:szCs w:val="18"/>
          <w:lang w:val="en-MY" w:eastAsia="en-MY"/>
        </w:rPr>
        <w:t>Terengganu</w:t>
      </w:r>
    </w:p>
    <w:p w:rsidR="006768E9" w:rsidRDefault="006768E9" w:rsidP="00F447A7">
      <w:pPr>
        <w:spacing w:after="0" w:line="240" w:lineRule="auto"/>
        <w:jc w:val="center"/>
        <w:rPr>
          <w:rFonts w:ascii="Times New Roman" w:hAnsi="Times New Roman"/>
          <w:noProof/>
          <w:sz w:val="20"/>
          <w:szCs w:val="20"/>
          <w:lang w:bidi="ar-SA"/>
        </w:rPr>
      </w:pPr>
    </w:p>
    <w:p w:rsidR="00FA140B" w:rsidRPr="00BE7C30" w:rsidRDefault="00FA140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 xml:space="preserve">Water quality has turned into one of the major ecological concerns overall and is affected by common and anthropogenic unsettling influence, for example, wastewater, overflow effluents, land recovery, air testimony and environmental change [1]. Surface waters are helpless against contamination as a consequence of common </w:t>
      </w:r>
      <w:r w:rsidRPr="00FA140B">
        <w:rPr>
          <w:rFonts w:ascii="Times New Roman" w:hAnsi="Times New Roman"/>
          <w:sz w:val="20"/>
          <w:szCs w:val="20"/>
        </w:rPr>
        <w:lastRenderedPageBreak/>
        <w:t xml:space="preserve">techniques, namely, disintegration, precipitation data, weathering of crustal materials and anthropogenic exercises such as urban, industrial, horticultural exercises [2, 3, 4]. Lately, more consideration has been paid to surface water quality as a result of its solid linkage with human prosperity [5, 6]. The nature of stream anytime reflects a few significant impacts, including the lithology of the bowl, environmental inputs, and climatic conditions [7] and represented by both characteristic procedure and anthropogenic impacts [8]. </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In any area not yet influenced by human activity, the variability in natural water  quality depends on upon the mix of the accompanying environmental factors [9]: the occurrence of highly dissolvable or easily weathered minerals of which the request of weathering is halite, gypsum, calcite, dolomite, pyrite, olivine; the separation to the coastline; the rainfall or river runoff; the occurrence of peat swamps, wetlands and squashes which discharges extensive amounts of disintegrated natural matter, and different elements incorporate the surrounding temperature, thickness of  weathered rocks, natural soil spread.</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 xml:space="preserve">Thus, wastewater from agriculture, industries and urban exercises and frequently common techniques, for example, disintegration and weathering debases water quality and debilitate their utilization for drinking, mechanical, farming, entertainment or different purposes [10]. Clean stream water is a crucial product for the prosperity of human social orders, and harm of inland aquatic system was one of the most genuine natural issues of the most recent century [11]. Since, river water forms the principle inland water asset for residential, industrial and farming purposes, it is basic to deflect and control rivers contamination [12] and to have certified data on water quality for successful administration. </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Characterization of the spatial variety and source allotment of water quality parameters can deliver an enhanced understanding of the ecological circumstance and aid strategy producers to plan needs for practical water administration [13]. The level of water quality is dictated by the substance of physical, concoction and natural parameters accessible in it. Relationship between two parameters may cause to builds or abatement in the amassing of others. This affiliation or relationship is normally attained using multivariate factual methods [14, 15, 16].</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However, the application of various multivariate statistical methods were used such as cluster analysis (CA), discriminant analysis (DA), principal component analysis (PCA) and factor analysis (FA) to interpret and revealed useful information from huge complicated data about water quality studies [2, 23]. Many studies have been carried out related to these methods they include: Assessment of Xianjing Watershed China using multivariate Zang et al [6] also Zhoa and Chui [17] used PCA and CA to identify the latent pollution source and classify the sampling stations. Similarly, Juahir et el [18] used multivariate methods such as CA, DA, PCA and FA to assess surface water quality of Kinta River, Malaysia. Moreover, multivariate techniques including CA, DA, PCA and FA were used by Shrestha and Kazama [7] to assess the water quality data set having 12 parameters of 13 stations of Fuji river basin from 1992-2002 to get temporal and spatial variations and identify latent pollution sources.</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In the present study multivariate statistical techniques CA, DA, PCA/FA were applied to assess the spatial variation in the river water quality data sets of Terengganu River Basin. The objectives of the study are to fish out similarities of the sampling sites as well as water quality parameters using cluster and discriminant analyses. However, the study also identifies the possible pollution sources relating to spatial variation of the water quality data for Terengganu River Basin. The results of this study are required to be useful to streamline stream observing arrange and give a significant instrument in creating evaluation techniques for compelling water quality administration.</w:t>
      </w:r>
    </w:p>
    <w:p w:rsidR="006768E9" w:rsidRPr="00F447A7" w:rsidRDefault="006768E9" w:rsidP="00FA140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A140B" w:rsidRPr="00FA140B" w:rsidRDefault="00FA140B" w:rsidP="00FA140B">
      <w:pPr>
        <w:spacing w:after="0" w:line="240" w:lineRule="auto"/>
        <w:jc w:val="both"/>
        <w:outlineLvl w:val="0"/>
        <w:rPr>
          <w:rFonts w:ascii="Times New Roman" w:hAnsi="Times New Roman"/>
          <w:b/>
          <w:sz w:val="20"/>
          <w:szCs w:val="20"/>
        </w:rPr>
      </w:pPr>
      <w:r w:rsidRPr="00FA140B">
        <w:rPr>
          <w:rFonts w:ascii="Times New Roman" w:hAnsi="Times New Roman"/>
          <w:b/>
          <w:sz w:val="20"/>
          <w:szCs w:val="20"/>
        </w:rPr>
        <w:t>Study Area</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Terengganu river basin is located (4</w:t>
      </w:r>
      <w:r w:rsidRPr="00FA140B">
        <w:rPr>
          <w:rFonts w:ascii="Times New Roman" w:hAnsi="Times New Roman"/>
          <w:sz w:val="20"/>
          <w:szCs w:val="20"/>
          <w:vertAlign w:val="superscript"/>
        </w:rPr>
        <w:t xml:space="preserve">0 </w:t>
      </w:r>
      <w:r w:rsidRPr="00FA140B">
        <w:rPr>
          <w:rFonts w:ascii="Times New Roman" w:hAnsi="Times New Roman"/>
          <w:sz w:val="20"/>
          <w:szCs w:val="20"/>
        </w:rPr>
        <w:t>41̍ – 5</w:t>
      </w:r>
      <w:r w:rsidRPr="00FA140B">
        <w:rPr>
          <w:rFonts w:ascii="Times New Roman" w:hAnsi="Times New Roman"/>
          <w:sz w:val="20"/>
          <w:szCs w:val="20"/>
          <w:vertAlign w:val="superscript"/>
        </w:rPr>
        <w:t xml:space="preserve">0 </w:t>
      </w:r>
      <w:r w:rsidRPr="00FA140B">
        <w:rPr>
          <w:rFonts w:ascii="Times New Roman" w:hAnsi="Times New Roman"/>
          <w:sz w:val="20"/>
          <w:szCs w:val="20"/>
        </w:rPr>
        <w:t>20’N, 102</w:t>
      </w:r>
      <w:r w:rsidRPr="00FA140B">
        <w:rPr>
          <w:rFonts w:ascii="Times New Roman" w:hAnsi="Times New Roman"/>
          <w:sz w:val="20"/>
          <w:szCs w:val="20"/>
          <w:vertAlign w:val="superscript"/>
        </w:rPr>
        <w:t>0</w:t>
      </w:r>
      <w:r w:rsidRPr="00FA140B">
        <w:rPr>
          <w:rFonts w:ascii="Times New Roman" w:hAnsi="Times New Roman"/>
          <w:sz w:val="20"/>
          <w:szCs w:val="20"/>
        </w:rPr>
        <w:t>31̍ – 103</w:t>
      </w:r>
      <w:r w:rsidRPr="00FA140B">
        <w:rPr>
          <w:rFonts w:ascii="Times New Roman" w:hAnsi="Times New Roman"/>
          <w:sz w:val="20"/>
          <w:szCs w:val="20"/>
          <w:vertAlign w:val="superscript"/>
        </w:rPr>
        <w:t xml:space="preserve">0 </w:t>
      </w:r>
      <w:r w:rsidRPr="00FA140B">
        <w:rPr>
          <w:rFonts w:ascii="Times New Roman" w:hAnsi="Times New Roman"/>
          <w:sz w:val="20"/>
          <w:szCs w:val="20"/>
        </w:rPr>
        <w:t>9 ̍ E), East Coast Peninsular Malaysia. It has a length of 100 km and a total catchment area of approximately 500 km</w:t>
      </w:r>
      <w:r w:rsidRPr="00FA140B">
        <w:rPr>
          <w:rFonts w:ascii="Times New Roman" w:hAnsi="Times New Roman"/>
          <w:sz w:val="20"/>
          <w:szCs w:val="20"/>
          <w:vertAlign w:val="superscript"/>
        </w:rPr>
        <w:t>2</w:t>
      </w:r>
      <w:r w:rsidRPr="00FA140B">
        <w:rPr>
          <w:rFonts w:ascii="Times New Roman" w:hAnsi="Times New Roman"/>
          <w:sz w:val="20"/>
          <w:szCs w:val="20"/>
        </w:rPr>
        <w:t xml:space="preserve"> [19]. Terengganu River basin where included Nerus River, Telemong River, Bereng River, and Pueh River. It originates from Lake Kenyir flows through Kuala Terengganu and flows into South China Sea (Figure 1).</w:t>
      </w:r>
    </w:p>
    <w:p w:rsidR="00FA140B" w:rsidRPr="00FA140B" w:rsidRDefault="00FA140B" w:rsidP="00FA140B">
      <w:pPr>
        <w:spacing w:after="0" w:line="240" w:lineRule="auto"/>
        <w:jc w:val="both"/>
        <w:rPr>
          <w:rFonts w:ascii="Times New Roman" w:hAnsi="Times New Roman"/>
          <w:b/>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The climate is tropical rainforest climate (Koppen Geiger Classification: Af), with no dry or cold season as it is constantly moist (throughout the year). The annual average temperature is 26.7</w:t>
      </w:r>
      <w:r w:rsidRPr="00FA140B">
        <w:rPr>
          <w:rFonts w:ascii="Times New Roman" w:hAnsi="Times New Roman"/>
          <w:sz w:val="20"/>
          <w:szCs w:val="20"/>
          <w:vertAlign w:val="superscript"/>
        </w:rPr>
        <w:t xml:space="preserve">0 </w:t>
      </w:r>
      <w:r w:rsidRPr="00FA140B">
        <w:rPr>
          <w:rFonts w:ascii="Times New Roman" w:hAnsi="Times New Roman"/>
          <w:sz w:val="20"/>
          <w:szCs w:val="20"/>
        </w:rPr>
        <w:t>C (80</w:t>
      </w:r>
      <w:r w:rsidRPr="00FA140B">
        <w:rPr>
          <w:rFonts w:ascii="Times New Roman" w:hAnsi="Times New Roman"/>
          <w:sz w:val="20"/>
          <w:szCs w:val="20"/>
          <w:vertAlign w:val="superscript"/>
        </w:rPr>
        <w:t>0</w:t>
      </w:r>
      <w:r w:rsidRPr="00FA140B">
        <w:rPr>
          <w:rFonts w:ascii="Times New Roman" w:hAnsi="Times New Roman"/>
          <w:sz w:val="20"/>
          <w:szCs w:val="20"/>
        </w:rPr>
        <w:t xml:space="preserve">F) and average monthly </w:t>
      </w:r>
      <w:r w:rsidRPr="00FA140B">
        <w:rPr>
          <w:rFonts w:ascii="Times New Roman" w:hAnsi="Times New Roman"/>
          <w:sz w:val="20"/>
          <w:szCs w:val="20"/>
        </w:rPr>
        <w:lastRenderedPageBreak/>
        <w:t>varies by 3</w:t>
      </w:r>
      <w:r w:rsidRPr="00FA140B">
        <w:rPr>
          <w:rFonts w:ascii="Times New Roman" w:hAnsi="Times New Roman"/>
          <w:sz w:val="20"/>
          <w:szCs w:val="20"/>
          <w:vertAlign w:val="superscript"/>
        </w:rPr>
        <w:t>0</w:t>
      </w:r>
      <w:r w:rsidRPr="00FA140B">
        <w:rPr>
          <w:rFonts w:ascii="Times New Roman" w:hAnsi="Times New Roman"/>
          <w:sz w:val="20"/>
          <w:szCs w:val="20"/>
        </w:rPr>
        <w:t>C (5.4</w:t>
      </w:r>
      <w:r w:rsidRPr="00FA140B">
        <w:rPr>
          <w:rFonts w:ascii="Times New Roman" w:hAnsi="Times New Roman"/>
          <w:sz w:val="20"/>
          <w:szCs w:val="20"/>
          <w:vertAlign w:val="superscript"/>
        </w:rPr>
        <w:t>0</w:t>
      </w:r>
      <w:r w:rsidRPr="00FA140B">
        <w:rPr>
          <w:rFonts w:ascii="Times New Roman" w:hAnsi="Times New Roman"/>
          <w:sz w:val="20"/>
          <w:szCs w:val="20"/>
        </w:rPr>
        <w:t>F). Total annual precipitation averages 2911mm (114.6 inches). More so, there are two types of monsoons the southwest monsoon season is usually occur in the latter half of May or early June and ends in September. The northwest monsoon season usually starts in early November and ends in March.</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The Terengganu is having a population of over 1,125,000 in 2013 [20]. The study area is pristine environment in the upstream catchment region turning urbanized and industrialized downstream with the significant settlement of Kuala Terengganu city at the mouth. Making and paramount area uses incorporate woodland, business ranch (e.g., oil palm, coconut, and rubber, cocoa), agriculture, rural/urban settlements, past mining activities and industry [21]. The development of a hydroelectric power dam upstream has changed the hydro geochemical compartments comprising of the Kenyir Lake and the principle tributary of Terengganu River [19].</w:t>
      </w:r>
    </w:p>
    <w:p w:rsidR="00FA140B" w:rsidRPr="00FA140B" w:rsidRDefault="00FA140B" w:rsidP="00FA140B">
      <w:pPr>
        <w:spacing w:after="0" w:line="240" w:lineRule="auto"/>
        <w:jc w:val="both"/>
        <w:rPr>
          <w:rFonts w:ascii="Times New Roman" w:hAnsi="Times New Roman"/>
          <w:sz w:val="20"/>
          <w:szCs w:val="20"/>
        </w:rPr>
      </w:pPr>
    </w:p>
    <w:p w:rsid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 xml:space="preserve">Therefore, the river is polluted by domestic and municipal waste, agricultural activities, run-off and industrial activities. In general, it is contaminated by point source pollution and non-point source pollution. Besides, is compulsory to threaten these problems through determining the variations in water quality [22, 23]. </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center"/>
        <w:rPr>
          <w:rFonts w:ascii="Times New Roman" w:hAnsi="Times New Roman"/>
          <w:sz w:val="20"/>
          <w:szCs w:val="20"/>
        </w:rPr>
      </w:pPr>
      <w:r w:rsidRPr="00FA140B">
        <w:rPr>
          <w:rFonts w:ascii="Times New Roman" w:hAnsi="Times New Roman"/>
          <w:noProof/>
          <w:sz w:val="20"/>
          <w:szCs w:val="20"/>
          <w:lang w:bidi="ar-SA"/>
        </w:rPr>
        <w:drawing>
          <wp:inline distT="0" distB="0" distL="0" distR="0" wp14:anchorId="3980BD71" wp14:editId="1AF06FF2">
            <wp:extent cx="5724525" cy="4305300"/>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24525" cy="4305300"/>
                    </a:xfrm>
                    <a:prstGeom prst="rect">
                      <a:avLst/>
                    </a:prstGeom>
                    <a:solidFill>
                      <a:schemeClr val="accent2"/>
                    </a:solidFill>
                    <a:ln w="9525">
                      <a:noFill/>
                      <a:miter lim="800000"/>
                      <a:headEnd/>
                      <a:tailEnd/>
                    </a:ln>
                  </pic:spPr>
                </pic:pic>
              </a:graphicData>
            </a:graphic>
          </wp:inline>
        </w:drawing>
      </w:r>
    </w:p>
    <w:p w:rsidR="00FA140B" w:rsidRDefault="00FA140B" w:rsidP="00FA140B">
      <w:pPr>
        <w:spacing w:after="0" w:line="240" w:lineRule="auto"/>
        <w:jc w:val="center"/>
        <w:outlineLvl w:val="0"/>
        <w:rPr>
          <w:rFonts w:ascii="Times New Roman" w:hAnsi="Times New Roman"/>
          <w:sz w:val="20"/>
          <w:szCs w:val="20"/>
        </w:rPr>
      </w:pPr>
    </w:p>
    <w:p w:rsidR="00FA140B" w:rsidRPr="00FA140B" w:rsidRDefault="00FA140B" w:rsidP="00FA140B">
      <w:pPr>
        <w:spacing w:after="0" w:line="240" w:lineRule="auto"/>
        <w:jc w:val="center"/>
        <w:outlineLvl w:val="0"/>
        <w:rPr>
          <w:rFonts w:ascii="Times New Roman" w:hAnsi="Times New Roman"/>
          <w:sz w:val="20"/>
          <w:szCs w:val="20"/>
        </w:rPr>
      </w:pPr>
      <w:r w:rsidRPr="00FA140B">
        <w:rPr>
          <w:rFonts w:ascii="Times New Roman" w:hAnsi="Times New Roman"/>
          <w:sz w:val="20"/>
          <w:szCs w:val="20"/>
        </w:rPr>
        <w:t xml:space="preserve">Figure 1. </w:t>
      </w:r>
      <w:r>
        <w:rPr>
          <w:rFonts w:ascii="Times New Roman" w:hAnsi="Times New Roman"/>
          <w:sz w:val="20"/>
          <w:szCs w:val="20"/>
        </w:rPr>
        <w:t xml:space="preserve"> </w:t>
      </w:r>
      <w:r w:rsidRPr="00FA140B">
        <w:rPr>
          <w:rFonts w:ascii="Times New Roman" w:hAnsi="Times New Roman"/>
          <w:sz w:val="20"/>
          <w:szCs w:val="20"/>
        </w:rPr>
        <w:t>Showing study area and monitoring stations</w:t>
      </w:r>
    </w:p>
    <w:p w:rsid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outlineLvl w:val="0"/>
        <w:rPr>
          <w:rFonts w:ascii="Times New Roman" w:hAnsi="Times New Roman"/>
          <w:b/>
          <w:sz w:val="20"/>
          <w:szCs w:val="20"/>
        </w:rPr>
      </w:pPr>
      <w:r w:rsidRPr="00FA140B">
        <w:rPr>
          <w:rFonts w:ascii="Times New Roman" w:hAnsi="Times New Roman"/>
          <w:b/>
          <w:sz w:val="20"/>
          <w:szCs w:val="20"/>
        </w:rPr>
        <w:t>Water Quality Data Sets</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 xml:space="preserve">Data sets of 13 water quality parameters and 271 observations (13 × 271), for a period of five years (2003 – 2007) were monitored at 13 stations of Terengganu river basin by Department of Environment, Malaysia (DOE). Preliminary work was conducted on the data sets following sorting station by station, assembling and </w:t>
      </w:r>
      <w:r w:rsidRPr="00FA140B">
        <w:rPr>
          <w:rFonts w:ascii="Times New Roman" w:hAnsi="Times New Roman"/>
          <w:sz w:val="20"/>
          <w:szCs w:val="20"/>
        </w:rPr>
        <w:lastRenderedPageBreak/>
        <w:t xml:space="preserve">transformation. Data transformation additionally aids to standardize the entire information set so as to satisfy the supposition of  bunch and element examination [24]. Non numerical variables were subjected to transformation. </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The parameters monitored are dissolved oxygen (DO), biological oxygen demand (BOD), Chemical oxygen demand (COD), Suspended solid (SS), pH, ammoniacal nitrogen (NH</w:t>
      </w:r>
      <w:r w:rsidRPr="00FA140B">
        <w:rPr>
          <w:rFonts w:ascii="Times New Roman" w:hAnsi="Times New Roman"/>
          <w:sz w:val="20"/>
          <w:szCs w:val="20"/>
          <w:vertAlign w:val="subscript"/>
        </w:rPr>
        <w:t>3</w:t>
      </w:r>
      <w:r w:rsidRPr="00FA140B">
        <w:rPr>
          <w:rFonts w:ascii="Times New Roman" w:hAnsi="Times New Roman"/>
          <w:sz w:val="20"/>
          <w:szCs w:val="20"/>
        </w:rPr>
        <w:t>-NL), temperature (T), conductivity (EC), turbidity (Tur), nitrate (NO</w:t>
      </w:r>
      <w:r w:rsidRPr="00FA140B">
        <w:rPr>
          <w:rFonts w:ascii="Times New Roman" w:hAnsi="Times New Roman"/>
          <w:sz w:val="20"/>
          <w:szCs w:val="20"/>
          <w:vertAlign w:val="subscript"/>
        </w:rPr>
        <w:t>3</w:t>
      </w:r>
      <w:r w:rsidRPr="00FA140B">
        <w:rPr>
          <w:rFonts w:ascii="Times New Roman" w:hAnsi="Times New Roman"/>
          <w:sz w:val="20"/>
          <w:szCs w:val="20"/>
        </w:rPr>
        <w:t>), phosphate (PO</w:t>
      </w:r>
      <w:r w:rsidRPr="00FA140B">
        <w:rPr>
          <w:rFonts w:ascii="Times New Roman" w:hAnsi="Times New Roman"/>
          <w:sz w:val="20"/>
          <w:szCs w:val="20"/>
          <w:vertAlign w:val="subscript"/>
        </w:rPr>
        <w:t>4</w:t>
      </w:r>
      <w:r w:rsidRPr="00FA140B">
        <w:rPr>
          <w:rFonts w:ascii="Times New Roman" w:hAnsi="Times New Roman"/>
          <w:sz w:val="20"/>
          <w:szCs w:val="20"/>
        </w:rPr>
        <w:t>), E coli, and coliform. The data sets were administered to multivariate statistical techniques viz: cluster analysis (CA), discriminant analysis (DA) and principal component analysis PCA/FA [23, 25,26]. All statistical calculation was done through Microsoft office EXCEL 2007 and XLSTAT 2014.</w:t>
      </w:r>
    </w:p>
    <w:p w:rsidR="00FA140B" w:rsidRPr="00FA140B" w:rsidRDefault="00FA140B" w:rsidP="00FA140B">
      <w:pPr>
        <w:spacing w:after="0" w:line="240" w:lineRule="auto"/>
        <w:jc w:val="both"/>
        <w:rPr>
          <w:rFonts w:ascii="Times New Roman" w:hAnsi="Times New Roman"/>
          <w:b/>
          <w:sz w:val="20"/>
          <w:szCs w:val="20"/>
        </w:rPr>
      </w:pPr>
    </w:p>
    <w:p w:rsidR="00FA140B" w:rsidRPr="00FA140B" w:rsidRDefault="00FA140B" w:rsidP="00FA140B">
      <w:pPr>
        <w:spacing w:after="0" w:line="240" w:lineRule="auto"/>
        <w:jc w:val="both"/>
        <w:outlineLvl w:val="0"/>
        <w:rPr>
          <w:rFonts w:ascii="Times New Roman" w:hAnsi="Times New Roman"/>
          <w:b/>
          <w:sz w:val="20"/>
          <w:szCs w:val="20"/>
        </w:rPr>
      </w:pPr>
      <w:r w:rsidRPr="00FA140B">
        <w:rPr>
          <w:rFonts w:ascii="Times New Roman" w:hAnsi="Times New Roman"/>
          <w:b/>
          <w:sz w:val="20"/>
          <w:szCs w:val="20"/>
        </w:rPr>
        <w:t>Cluster Analysis</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CA is a system connected to gathering the information into groups or classes. The point is to create a set of clusters where by the item in the same cluster are like one another however unique in relation to those in different groups. Hierarchical agglomerate cluster is the most widely recognized methodology, which gives instinctive closeness relationship between any one example and the whole information set, and is regularly outlined by a dendogram (tree diagram) [27].</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In this study hierarchical agglomerative CA was performed on the normalized data set by ward method, using Squared Euclidean distance as a measure of similarity. More so, the result of cluster (dendogram) gives a visual synopsis of grouping procedures, demonstrating a picture of the clusters and their vicinity with a lessening in dimensionality of the starting information [7].</w:t>
      </w:r>
    </w:p>
    <w:p w:rsidR="00FA140B" w:rsidRPr="00FA140B" w:rsidRDefault="00FA140B" w:rsidP="00FA140B">
      <w:pPr>
        <w:spacing w:after="0" w:line="240" w:lineRule="auto"/>
        <w:jc w:val="both"/>
        <w:rPr>
          <w:rFonts w:ascii="Times New Roman" w:hAnsi="Times New Roman"/>
          <w:b/>
          <w:sz w:val="20"/>
          <w:szCs w:val="20"/>
        </w:rPr>
      </w:pPr>
    </w:p>
    <w:p w:rsidR="00FA140B" w:rsidRPr="00FA140B" w:rsidRDefault="00FA140B" w:rsidP="00FA140B">
      <w:pPr>
        <w:spacing w:after="0" w:line="240" w:lineRule="auto"/>
        <w:jc w:val="both"/>
        <w:outlineLvl w:val="0"/>
        <w:rPr>
          <w:rFonts w:ascii="Times New Roman" w:hAnsi="Times New Roman"/>
          <w:b/>
          <w:sz w:val="20"/>
          <w:szCs w:val="20"/>
        </w:rPr>
      </w:pPr>
      <w:r w:rsidRPr="00FA140B">
        <w:rPr>
          <w:rFonts w:ascii="Times New Roman" w:hAnsi="Times New Roman"/>
          <w:b/>
          <w:sz w:val="20"/>
          <w:szCs w:val="20"/>
        </w:rPr>
        <w:t>Discriminant Analysis</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Discriminant analysis (DA) is utilized to characterize cases into downright needy qualities. It is utilized to focus variables that segregate between regularly happening gatherings [18]. Also it develops a discriminant function (DF) for each group using the raw data [28]. This is calculated as equation 1 below:</w:t>
      </w:r>
    </w:p>
    <w:p w:rsidR="00FA140B" w:rsidRPr="00FA140B" w:rsidRDefault="00FA140B" w:rsidP="00FA140B">
      <w:pPr>
        <w:spacing w:after="0" w:line="240" w:lineRule="auto"/>
        <w:jc w:val="center"/>
        <w:rPr>
          <w:rFonts w:ascii="Times New Roman" w:hAnsi="Times New Roman"/>
          <w:sz w:val="20"/>
          <w:szCs w:val="20"/>
        </w:rPr>
      </w:pPr>
    </w:p>
    <w:p w:rsidR="00FA140B" w:rsidRPr="00FA140B" w:rsidRDefault="00FA140B" w:rsidP="00FA140B">
      <w:pPr>
        <w:spacing w:after="0" w:line="240" w:lineRule="auto"/>
        <w:ind w:firstLine="720"/>
        <w:rPr>
          <w:rFonts w:ascii="Times New Roman" w:hAnsi="Times New Roman"/>
          <w:sz w:val="20"/>
          <w:szCs w:val="20"/>
        </w:rPr>
      </w:pPr>
      <w:r w:rsidRPr="00FA140B">
        <w:rPr>
          <w:rFonts w:ascii="Times New Roman" w:hAnsi="Times New Roman"/>
          <w:sz w:val="20"/>
          <w:szCs w:val="20"/>
        </w:rPr>
        <w:t>F (Gi) = Ki + ∑</w:t>
      </w:r>
      <w:r w:rsidRPr="00FA140B">
        <w:rPr>
          <w:rFonts w:ascii="Times New Roman" w:hAnsi="Times New Roman"/>
          <w:sz w:val="20"/>
          <w:szCs w:val="20"/>
          <w:vertAlign w:val="subscript"/>
        </w:rPr>
        <w:t>j</w:t>
      </w:r>
      <w:r w:rsidRPr="00FA140B">
        <w:rPr>
          <w:rFonts w:ascii="Times New Roman" w:hAnsi="Times New Roman"/>
          <w:sz w:val="20"/>
          <w:szCs w:val="20"/>
          <w:vertAlign w:val="superscript"/>
        </w:rPr>
        <w:t>n</w:t>
      </w:r>
      <w:r w:rsidRPr="00FA140B">
        <w:rPr>
          <w:rFonts w:ascii="Times New Roman" w:hAnsi="Times New Roman"/>
          <w:sz w:val="20"/>
          <w:szCs w:val="20"/>
        </w:rPr>
        <w:t xml:space="preserve"> =1 WijPij</w:t>
      </w:r>
      <w:r w:rsidRPr="00FA140B">
        <w:rPr>
          <w:rFonts w:ascii="Times New Roman" w:hAnsi="Times New Roman"/>
          <w:sz w:val="20"/>
          <w:szCs w:val="20"/>
        </w:rPr>
        <w:tab/>
      </w:r>
      <w:r>
        <w:rPr>
          <w:rFonts w:ascii="Times New Roman" w:hAnsi="Times New Roman"/>
          <w:sz w:val="20"/>
          <w:szCs w:val="20"/>
        </w:rPr>
        <w:t xml:space="preserve">     </w:t>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Pr>
          <w:rFonts w:ascii="Times New Roman" w:hAnsi="Times New Roman"/>
          <w:sz w:val="20"/>
          <w:szCs w:val="20"/>
        </w:rPr>
        <w:t xml:space="preserve">       </w:t>
      </w:r>
      <w:r w:rsidRPr="00FA140B">
        <w:rPr>
          <w:rFonts w:ascii="Times New Roman" w:hAnsi="Times New Roman"/>
          <w:sz w:val="20"/>
          <w:szCs w:val="20"/>
        </w:rPr>
        <w:tab/>
      </w:r>
      <w:r w:rsidRPr="00FA140B">
        <w:rPr>
          <w:rFonts w:ascii="Times New Roman" w:hAnsi="Times New Roman"/>
          <w:sz w:val="20"/>
          <w:szCs w:val="20"/>
        </w:rPr>
        <w:tab/>
        <w:t xml:space="preserve">   </w:t>
      </w:r>
      <w:r>
        <w:rPr>
          <w:rFonts w:ascii="Times New Roman" w:hAnsi="Times New Roman"/>
          <w:sz w:val="20"/>
          <w:szCs w:val="20"/>
        </w:rPr>
        <w:t xml:space="preserve">     </w:t>
      </w:r>
      <w:r w:rsidRPr="00FA140B">
        <w:rPr>
          <w:rFonts w:ascii="Times New Roman" w:hAnsi="Times New Roman"/>
          <w:sz w:val="20"/>
          <w:szCs w:val="20"/>
        </w:rPr>
        <w:t>(1)</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Pr>
          <w:rFonts w:ascii="Times New Roman" w:hAnsi="Times New Roman"/>
          <w:sz w:val="20"/>
          <w:szCs w:val="20"/>
        </w:rPr>
        <w:t>w</w:t>
      </w:r>
      <w:r w:rsidRPr="00FA140B">
        <w:rPr>
          <w:rFonts w:ascii="Times New Roman" w:hAnsi="Times New Roman"/>
          <w:sz w:val="20"/>
          <w:szCs w:val="20"/>
        </w:rPr>
        <w:t>here i is the number of groups, (G) Ki, the constant inherent to each group, n the number of parameters used to classify a set of data into a given group and wj is the weight coefficient assigned by DF analysis (DFA) to a given parameter (Pj) [ 23, 28, 29, 30].</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DA depict the connections between two or more pre specified groups of examining substances focused around a set of two or additionally segregating variables. In any case, DA was performed on the first information utilizing the standard, forward stepwise and back ward stepwise modes. These were utilized to create DFs to survey spatial varieties in the river water quality. The stations (spatial) are the grouping (dependent) variables, while all the 11 measured water quality parameters are independents variables. DA develops a discriminant capacity (DF) for each one group given a few quantitative (independent) variables and straight out (dependent) variables [18, 23].</w:t>
      </w:r>
    </w:p>
    <w:p w:rsidR="00FA140B" w:rsidRPr="00FA140B" w:rsidRDefault="00FA140B" w:rsidP="00FA140B">
      <w:pPr>
        <w:tabs>
          <w:tab w:val="left" w:pos="6798"/>
        </w:tabs>
        <w:spacing w:after="0" w:line="240" w:lineRule="auto"/>
        <w:jc w:val="both"/>
        <w:rPr>
          <w:rFonts w:ascii="Times New Roman" w:hAnsi="Times New Roman"/>
          <w:b/>
          <w:sz w:val="20"/>
          <w:szCs w:val="20"/>
        </w:rPr>
      </w:pPr>
    </w:p>
    <w:p w:rsidR="00FA140B" w:rsidRPr="00FA140B" w:rsidRDefault="00FA140B" w:rsidP="00FA140B">
      <w:pPr>
        <w:tabs>
          <w:tab w:val="left" w:pos="6798"/>
        </w:tabs>
        <w:spacing w:after="0" w:line="240" w:lineRule="auto"/>
        <w:jc w:val="both"/>
        <w:outlineLvl w:val="0"/>
        <w:rPr>
          <w:rFonts w:ascii="Times New Roman" w:hAnsi="Times New Roman"/>
          <w:b/>
          <w:sz w:val="20"/>
          <w:szCs w:val="20"/>
        </w:rPr>
      </w:pPr>
      <w:r w:rsidRPr="00FA140B">
        <w:rPr>
          <w:rFonts w:ascii="Times New Roman" w:hAnsi="Times New Roman"/>
          <w:b/>
          <w:sz w:val="20"/>
          <w:szCs w:val="20"/>
        </w:rPr>
        <w:t>Principal Component Analysis</w:t>
      </w:r>
      <w:r w:rsidRPr="00FA140B">
        <w:rPr>
          <w:rFonts w:ascii="Times New Roman" w:hAnsi="Times New Roman"/>
          <w:b/>
          <w:sz w:val="20"/>
          <w:szCs w:val="20"/>
        </w:rPr>
        <w:tab/>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The PCA is intended to change the original variables into new, uncorrelated variables (axis), known as essential components, which are direct consolidation of the original variables. It gives a goal method for discovering lists of this sort so that the variety in the information set can be represented as succinctly as could reasonably be expected [31]. PCA gives data on the significant parameter that portray most of the information set, managing information diminishment with least loss of unique data. The principal component (PC) can be expressed as equation 2 below:</w:t>
      </w:r>
    </w:p>
    <w:p w:rsidR="00FA140B" w:rsidRPr="00FA140B" w:rsidRDefault="00FA140B" w:rsidP="00FA140B">
      <w:pPr>
        <w:spacing w:after="0" w:line="240" w:lineRule="auto"/>
        <w:jc w:val="center"/>
        <w:rPr>
          <w:rFonts w:ascii="Times New Roman" w:hAnsi="Times New Roman"/>
          <w:sz w:val="20"/>
          <w:szCs w:val="20"/>
        </w:rPr>
      </w:pPr>
    </w:p>
    <w:p w:rsidR="00FA140B" w:rsidRPr="00FA140B" w:rsidRDefault="00FA140B" w:rsidP="00FA140B">
      <w:pPr>
        <w:spacing w:after="0" w:line="240" w:lineRule="auto"/>
        <w:ind w:firstLine="720"/>
        <w:rPr>
          <w:rFonts w:ascii="Times New Roman" w:hAnsi="Times New Roman"/>
          <w:sz w:val="20"/>
          <w:szCs w:val="20"/>
        </w:rPr>
      </w:pPr>
      <w:r w:rsidRPr="00FA140B">
        <w:rPr>
          <w:rFonts w:ascii="Times New Roman" w:hAnsi="Times New Roman"/>
          <w:sz w:val="20"/>
          <w:szCs w:val="20"/>
        </w:rPr>
        <w:t>Z</w:t>
      </w:r>
      <w:r w:rsidRPr="00FA140B">
        <w:rPr>
          <w:rFonts w:ascii="Times New Roman" w:hAnsi="Times New Roman"/>
          <w:sz w:val="20"/>
          <w:szCs w:val="20"/>
          <w:vertAlign w:val="subscript"/>
        </w:rPr>
        <w:t>ij</w:t>
      </w:r>
      <w:r w:rsidRPr="00FA140B">
        <w:rPr>
          <w:rFonts w:ascii="Times New Roman" w:hAnsi="Times New Roman"/>
          <w:sz w:val="20"/>
          <w:szCs w:val="20"/>
        </w:rPr>
        <w:t xml:space="preserve"> = a</w:t>
      </w:r>
      <w:r w:rsidRPr="00FA140B">
        <w:rPr>
          <w:rFonts w:ascii="Times New Roman" w:hAnsi="Times New Roman"/>
          <w:sz w:val="20"/>
          <w:szCs w:val="20"/>
          <w:vertAlign w:val="subscript"/>
        </w:rPr>
        <w:t>i1</w:t>
      </w:r>
      <w:r w:rsidRPr="00FA140B">
        <w:rPr>
          <w:rFonts w:ascii="Times New Roman" w:hAnsi="Times New Roman"/>
          <w:sz w:val="20"/>
          <w:szCs w:val="20"/>
        </w:rPr>
        <w:t>x</w:t>
      </w:r>
      <w:r w:rsidRPr="00FA140B">
        <w:rPr>
          <w:rFonts w:ascii="Times New Roman" w:hAnsi="Times New Roman"/>
          <w:sz w:val="20"/>
          <w:szCs w:val="20"/>
          <w:vertAlign w:val="subscript"/>
        </w:rPr>
        <w:t>1j</w:t>
      </w:r>
      <w:r w:rsidRPr="00FA140B">
        <w:rPr>
          <w:rFonts w:ascii="Times New Roman" w:hAnsi="Times New Roman"/>
          <w:sz w:val="20"/>
          <w:szCs w:val="20"/>
        </w:rPr>
        <w:t xml:space="preserve"> + a</w:t>
      </w:r>
      <w:r w:rsidRPr="00FA140B">
        <w:rPr>
          <w:rFonts w:ascii="Times New Roman" w:hAnsi="Times New Roman"/>
          <w:sz w:val="20"/>
          <w:szCs w:val="20"/>
          <w:vertAlign w:val="subscript"/>
        </w:rPr>
        <w:t>i2</w:t>
      </w:r>
      <w:r w:rsidRPr="00FA140B">
        <w:rPr>
          <w:rFonts w:ascii="Times New Roman" w:hAnsi="Times New Roman"/>
          <w:sz w:val="20"/>
          <w:szCs w:val="20"/>
        </w:rPr>
        <w:t>x</w:t>
      </w:r>
      <w:r w:rsidRPr="00FA140B">
        <w:rPr>
          <w:rFonts w:ascii="Times New Roman" w:hAnsi="Times New Roman"/>
          <w:sz w:val="20"/>
          <w:szCs w:val="20"/>
          <w:vertAlign w:val="subscript"/>
        </w:rPr>
        <w:t>2j</w:t>
      </w:r>
      <w:r w:rsidRPr="00FA140B">
        <w:rPr>
          <w:rFonts w:ascii="Times New Roman" w:hAnsi="Times New Roman"/>
          <w:sz w:val="20"/>
          <w:szCs w:val="20"/>
        </w:rPr>
        <w:t xml:space="preserve"> + a</w:t>
      </w:r>
      <w:r w:rsidRPr="00FA140B">
        <w:rPr>
          <w:rFonts w:ascii="Times New Roman" w:hAnsi="Times New Roman"/>
          <w:sz w:val="20"/>
          <w:szCs w:val="20"/>
          <w:vertAlign w:val="subscript"/>
        </w:rPr>
        <w:t>i3</w:t>
      </w:r>
      <w:r w:rsidRPr="00FA140B">
        <w:rPr>
          <w:rFonts w:ascii="Times New Roman" w:hAnsi="Times New Roman"/>
          <w:sz w:val="20"/>
          <w:szCs w:val="20"/>
        </w:rPr>
        <w:t>x</w:t>
      </w:r>
      <w:r w:rsidRPr="00FA140B">
        <w:rPr>
          <w:rFonts w:ascii="Times New Roman" w:hAnsi="Times New Roman"/>
          <w:sz w:val="20"/>
          <w:szCs w:val="20"/>
          <w:vertAlign w:val="subscript"/>
        </w:rPr>
        <w:t>3j</w:t>
      </w:r>
      <w:r w:rsidRPr="00FA140B">
        <w:rPr>
          <w:rFonts w:ascii="Times New Roman" w:hAnsi="Times New Roman"/>
          <w:sz w:val="20"/>
          <w:szCs w:val="20"/>
        </w:rPr>
        <w:t xml:space="preserve"> + --------- + a</w:t>
      </w:r>
      <w:r w:rsidRPr="00FA140B">
        <w:rPr>
          <w:rFonts w:ascii="Times New Roman" w:hAnsi="Times New Roman"/>
          <w:sz w:val="20"/>
          <w:szCs w:val="20"/>
          <w:vertAlign w:val="subscript"/>
        </w:rPr>
        <w:t>im</w:t>
      </w:r>
      <w:r w:rsidRPr="00FA140B">
        <w:rPr>
          <w:rFonts w:ascii="Times New Roman" w:hAnsi="Times New Roman"/>
          <w:sz w:val="20"/>
          <w:szCs w:val="20"/>
        </w:rPr>
        <w:t>x</w:t>
      </w:r>
      <w:r w:rsidRPr="00FA140B">
        <w:rPr>
          <w:rFonts w:ascii="Times New Roman" w:hAnsi="Times New Roman"/>
          <w:sz w:val="20"/>
          <w:szCs w:val="20"/>
          <w:vertAlign w:val="subscript"/>
        </w:rPr>
        <w:t>mj</w:t>
      </w:r>
      <w:r w:rsidRPr="00FA140B">
        <w:rPr>
          <w:rFonts w:ascii="Times New Roman" w:hAnsi="Times New Roman"/>
          <w:sz w:val="20"/>
          <w:szCs w:val="20"/>
          <w:vertAlign w:val="subscript"/>
        </w:rPr>
        <w:tab/>
      </w:r>
      <w:r w:rsidRPr="00FA140B">
        <w:rPr>
          <w:rFonts w:ascii="Times New Roman" w:hAnsi="Times New Roman"/>
          <w:sz w:val="20"/>
          <w:szCs w:val="20"/>
          <w:vertAlign w:val="subscript"/>
        </w:rPr>
        <w:tab/>
      </w:r>
      <w:r w:rsidRPr="00FA140B">
        <w:rPr>
          <w:rFonts w:ascii="Times New Roman" w:hAnsi="Times New Roman"/>
          <w:sz w:val="20"/>
          <w:szCs w:val="20"/>
          <w:vertAlign w:val="subscript"/>
        </w:rPr>
        <w:tab/>
      </w:r>
      <w:r w:rsidRPr="00FA140B">
        <w:rPr>
          <w:rFonts w:ascii="Times New Roman" w:hAnsi="Times New Roman"/>
          <w:sz w:val="20"/>
          <w:szCs w:val="20"/>
          <w:vertAlign w:val="subscript"/>
        </w:rPr>
        <w:tab/>
      </w:r>
      <w:r w:rsidRPr="00FA140B">
        <w:rPr>
          <w:rFonts w:ascii="Times New Roman" w:hAnsi="Times New Roman"/>
          <w:sz w:val="20"/>
          <w:szCs w:val="20"/>
          <w:vertAlign w:val="subscript"/>
        </w:rPr>
        <w:tab/>
      </w:r>
      <w:r w:rsidRPr="00FA140B">
        <w:rPr>
          <w:rFonts w:ascii="Times New Roman" w:hAnsi="Times New Roman"/>
          <w:sz w:val="20"/>
          <w:szCs w:val="20"/>
          <w:vertAlign w:val="subscript"/>
        </w:rPr>
        <w:tab/>
        <w:t xml:space="preserve">   </w:t>
      </w:r>
      <w:r>
        <w:rPr>
          <w:rFonts w:ascii="Times New Roman" w:hAnsi="Times New Roman"/>
          <w:sz w:val="20"/>
          <w:szCs w:val="20"/>
          <w:vertAlign w:val="subscript"/>
        </w:rPr>
        <w:t xml:space="preserve">                                </w:t>
      </w:r>
      <w:r w:rsidRPr="00FA140B">
        <w:rPr>
          <w:rFonts w:ascii="Times New Roman" w:hAnsi="Times New Roman"/>
          <w:sz w:val="20"/>
          <w:szCs w:val="20"/>
          <w:vertAlign w:val="subscript"/>
        </w:rPr>
        <w:t xml:space="preserve"> </w:t>
      </w:r>
      <w:r w:rsidRPr="00FA140B">
        <w:rPr>
          <w:rFonts w:ascii="Times New Roman" w:hAnsi="Times New Roman"/>
          <w:sz w:val="20"/>
          <w:szCs w:val="20"/>
        </w:rPr>
        <w:t>(2)</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Pr>
          <w:rFonts w:ascii="Times New Roman" w:hAnsi="Times New Roman"/>
          <w:sz w:val="20"/>
          <w:szCs w:val="20"/>
        </w:rPr>
        <w:t>w</w:t>
      </w:r>
      <w:r w:rsidRPr="00FA140B">
        <w:rPr>
          <w:rFonts w:ascii="Times New Roman" w:hAnsi="Times New Roman"/>
          <w:sz w:val="20"/>
          <w:szCs w:val="20"/>
        </w:rPr>
        <w:t>here z is the component score, a is the component loading, x the measured value of variable, i is the component number, j the sample number of variables.</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lastRenderedPageBreak/>
        <w:t>FA follows after vital part examination. The fundamental motivation behind FA is to abatement the commitment of less noteworthy variables to illuminate significantly a greater amount of the information structure originating from the PCA. This can be accomplished through rotating the pivot characterized by PCA as indicated by settled standards to build new variables, otherwise called varifactors (VF).</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Principal component analysis utilized standardized variables to evacuate noteworthy PCs to further diminishing the commitment of variables with minor noteworthiness; these PCs were subjected to varimax rotation (raw) producing VFs [6, 25, 23, 26, 31, 33, 34]. The FA can be expressed as equation 3 below:</w:t>
      </w:r>
    </w:p>
    <w:p w:rsidR="00FA140B" w:rsidRPr="00FA140B" w:rsidRDefault="00FA140B" w:rsidP="00FA140B">
      <w:pPr>
        <w:spacing w:after="0" w:line="240" w:lineRule="auto"/>
        <w:jc w:val="center"/>
        <w:rPr>
          <w:rFonts w:ascii="Times New Roman" w:hAnsi="Times New Roman"/>
          <w:sz w:val="20"/>
          <w:szCs w:val="20"/>
        </w:rPr>
      </w:pPr>
    </w:p>
    <w:p w:rsidR="00FA140B" w:rsidRPr="00FA140B" w:rsidRDefault="00FA140B" w:rsidP="00FA140B">
      <w:pPr>
        <w:spacing w:after="0" w:line="240" w:lineRule="auto"/>
        <w:ind w:firstLine="720"/>
        <w:rPr>
          <w:rFonts w:ascii="Times New Roman" w:hAnsi="Times New Roman"/>
          <w:sz w:val="20"/>
          <w:szCs w:val="20"/>
        </w:rPr>
      </w:pPr>
      <w:r w:rsidRPr="00FA140B">
        <w:rPr>
          <w:rFonts w:ascii="Times New Roman" w:hAnsi="Times New Roman"/>
          <w:sz w:val="20"/>
          <w:szCs w:val="20"/>
        </w:rPr>
        <w:t>z</w:t>
      </w:r>
      <w:r w:rsidRPr="00FA140B">
        <w:rPr>
          <w:rFonts w:ascii="Times New Roman" w:hAnsi="Times New Roman"/>
          <w:sz w:val="20"/>
          <w:szCs w:val="20"/>
          <w:vertAlign w:val="subscript"/>
        </w:rPr>
        <w:t>ji</w:t>
      </w:r>
      <w:r w:rsidRPr="00FA140B">
        <w:rPr>
          <w:rFonts w:ascii="Times New Roman" w:hAnsi="Times New Roman"/>
          <w:sz w:val="20"/>
          <w:szCs w:val="20"/>
        </w:rPr>
        <w:t xml:space="preserve"> = a</w:t>
      </w:r>
      <w:r w:rsidRPr="00FA140B">
        <w:rPr>
          <w:rFonts w:ascii="Times New Roman" w:hAnsi="Times New Roman"/>
          <w:sz w:val="20"/>
          <w:szCs w:val="20"/>
          <w:vertAlign w:val="subscript"/>
        </w:rPr>
        <w:t>f1</w:t>
      </w:r>
      <w:r w:rsidRPr="00FA140B">
        <w:rPr>
          <w:rFonts w:ascii="Times New Roman" w:hAnsi="Times New Roman"/>
          <w:sz w:val="20"/>
          <w:szCs w:val="20"/>
        </w:rPr>
        <w:t>f</w:t>
      </w:r>
      <w:r w:rsidRPr="00FA140B">
        <w:rPr>
          <w:rFonts w:ascii="Times New Roman" w:hAnsi="Times New Roman"/>
          <w:sz w:val="20"/>
          <w:szCs w:val="20"/>
          <w:vertAlign w:val="subscript"/>
        </w:rPr>
        <w:t>1i</w:t>
      </w:r>
      <w:r w:rsidRPr="00FA140B">
        <w:rPr>
          <w:rFonts w:ascii="Times New Roman" w:hAnsi="Times New Roman"/>
          <w:sz w:val="20"/>
          <w:szCs w:val="20"/>
        </w:rPr>
        <w:t xml:space="preserve"> + a</w:t>
      </w:r>
      <w:r w:rsidRPr="00FA140B">
        <w:rPr>
          <w:rFonts w:ascii="Times New Roman" w:hAnsi="Times New Roman"/>
          <w:sz w:val="20"/>
          <w:szCs w:val="20"/>
          <w:vertAlign w:val="subscript"/>
        </w:rPr>
        <w:t>f2</w:t>
      </w:r>
      <w:r w:rsidRPr="00FA140B">
        <w:rPr>
          <w:rFonts w:ascii="Times New Roman" w:hAnsi="Times New Roman"/>
          <w:sz w:val="20"/>
          <w:szCs w:val="20"/>
        </w:rPr>
        <w:t>f</w:t>
      </w:r>
      <w:r w:rsidRPr="00FA140B">
        <w:rPr>
          <w:rFonts w:ascii="Times New Roman" w:hAnsi="Times New Roman"/>
          <w:sz w:val="20"/>
          <w:szCs w:val="20"/>
          <w:vertAlign w:val="subscript"/>
        </w:rPr>
        <w:t>2i</w:t>
      </w:r>
      <w:r w:rsidRPr="00FA140B">
        <w:rPr>
          <w:rFonts w:ascii="Times New Roman" w:hAnsi="Times New Roman"/>
          <w:sz w:val="20"/>
          <w:szCs w:val="20"/>
        </w:rPr>
        <w:t xml:space="preserve"> + a</w:t>
      </w:r>
      <w:r w:rsidRPr="00FA140B">
        <w:rPr>
          <w:rFonts w:ascii="Times New Roman" w:hAnsi="Times New Roman"/>
          <w:sz w:val="20"/>
          <w:szCs w:val="20"/>
          <w:vertAlign w:val="subscript"/>
        </w:rPr>
        <w:t>f3</w:t>
      </w:r>
      <w:r w:rsidRPr="00FA140B">
        <w:rPr>
          <w:rFonts w:ascii="Times New Roman" w:hAnsi="Times New Roman"/>
          <w:sz w:val="20"/>
          <w:szCs w:val="20"/>
        </w:rPr>
        <w:t>f</w:t>
      </w:r>
      <w:r w:rsidRPr="00FA140B">
        <w:rPr>
          <w:rFonts w:ascii="Times New Roman" w:hAnsi="Times New Roman"/>
          <w:sz w:val="20"/>
          <w:szCs w:val="20"/>
          <w:vertAlign w:val="subscript"/>
        </w:rPr>
        <w:t>3i</w:t>
      </w:r>
      <w:r w:rsidRPr="00FA140B">
        <w:rPr>
          <w:rFonts w:ascii="Times New Roman" w:hAnsi="Times New Roman"/>
          <w:sz w:val="20"/>
          <w:szCs w:val="20"/>
        </w:rPr>
        <w:t xml:space="preserve"> + ------------- + a</w:t>
      </w:r>
      <w:r w:rsidRPr="00FA140B">
        <w:rPr>
          <w:rFonts w:ascii="Times New Roman" w:hAnsi="Times New Roman"/>
          <w:sz w:val="20"/>
          <w:szCs w:val="20"/>
          <w:vertAlign w:val="subscript"/>
        </w:rPr>
        <w:t>fm</w:t>
      </w:r>
      <w:r w:rsidRPr="00FA140B">
        <w:rPr>
          <w:rFonts w:ascii="Times New Roman" w:hAnsi="Times New Roman"/>
          <w:sz w:val="20"/>
          <w:szCs w:val="20"/>
        </w:rPr>
        <w:t>f</w:t>
      </w:r>
      <w:r w:rsidRPr="00FA140B">
        <w:rPr>
          <w:rFonts w:ascii="Times New Roman" w:hAnsi="Times New Roman"/>
          <w:sz w:val="20"/>
          <w:szCs w:val="20"/>
          <w:vertAlign w:val="subscript"/>
        </w:rPr>
        <w:t>mi</w:t>
      </w:r>
      <w:r w:rsidRPr="00FA140B">
        <w:rPr>
          <w:rFonts w:ascii="Times New Roman" w:hAnsi="Times New Roman"/>
          <w:sz w:val="20"/>
          <w:szCs w:val="20"/>
        </w:rPr>
        <w:t xml:space="preserve"> + e</w:t>
      </w:r>
      <w:r w:rsidRPr="00FA140B">
        <w:rPr>
          <w:rFonts w:ascii="Times New Roman" w:hAnsi="Times New Roman"/>
          <w:sz w:val="20"/>
          <w:szCs w:val="20"/>
          <w:vertAlign w:val="subscript"/>
        </w:rPr>
        <w:t>fi</w:t>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r>
      <w:r w:rsidRPr="00FA140B">
        <w:rPr>
          <w:rFonts w:ascii="Times New Roman" w:hAnsi="Times New Roman"/>
          <w:sz w:val="20"/>
          <w:szCs w:val="20"/>
        </w:rPr>
        <w:tab/>
        <w:t xml:space="preserve">   </w:t>
      </w:r>
      <w:r>
        <w:rPr>
          <w:rFonts w:ascii="Times New Roman" w:hAnsi="Times New Roman"/>
          <w:sz w:val="20"/>
          <w:szCs w:val="20"/>
        </w:rPr>
        <w:t xml:space="preserve">      </w:t>
      </w:r>
      <w:r w:rsidRPr="00FA140B">
        <w:rPr>
          <w:rFonts w:ascii="Times New Roman" w:hAnsi="Times New Roman"/>
          <w:sz w:val="20"/>
          <w:szCs w:val="20"/>
        </w:rPr>
        <w:t>(3)</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Pr>
          <w:rFonts w:ascii="Times New Roman" w:hAnsi="Times New Roman"/>
          <w:sz w:val="20"/>
          <w:szCs w:val="20"/>
        </w:rPr>
        <w:t>w</w:t>
      </w:r>
      <w:r w:rsidRPr="00FA140B">
        <w:rPr>
          <w:rFonts w:ascii="Times New Roman" w:hAnsi="Times New Roman"/>
          <w:sz w:val="20"/>
          <w:szCs w:val="20"/>
        </w:rPr>
        <w:t>here z is the measured variable, a is the factor loading, f is the factor score, e the residual term accounting for errors or source of variation, i is the sample number and m the total number of factors.</w:t>
      </w:r>
    </w:p>
    <w:p w:rsidR="006768E9" w:rsidRPr="00F447A7" w:rsidRDefault="006768E9" w:rsidP="00FA140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Style w:val="words"/>
          <w:rFonts w:ascii="Times New Roman" w:hAnsi="Times New Roman"/>
          <w:sz w:val="20"/>
          <w:szCs w:val="20"/>
        </w:rPr>
        <w:t>The descriptive</w:t>
      </w:r>
      <w:r w:rsidRPr="00FA140B">
        <w:rPr>
          <w:rFonts w:ascii="Times New Roman" w:hAnsi="Times New Roman"/>
          <w:sz w:val="20"/>
          <w:szCs w:val="20"/>
        </w:rPr>
        <w:t xml:space="preserve"> statistics of </w:t>
      </w:r>
      <w:r w:rsidRPr="00FA140B">
        <w:rPr>
          <w:rStyle w:val="words"/>
          <w:rFonts w:ascii="Times New Roman" w:hAnsi="Times New Roman"/>
          <w:sz w:val="20"/>
          <w:szCs w:val="20"/>
        </w:rPr>
        <w:t>the river water quality</w:t>
      </w:r>
      <w:r w:rsidRPr="00FA140B">
        <w:rPr>
          <w:rFonts w:ascii="Times New Roman" w:hAnsi="Times New Roman"/>
          <w:sz w:val="20"/>
          <w:szCs w:val="20"/>
        </w:rPr>
        <w:t xml:space="preserve"> data of Terengganu River Basin </w:t>
      </w:r>
      <w:r w:rsidRPr="00FA140B">
        <w:rPr>
          <w:rStyle w:val="words"/>
          <w:rFonts w:ascii="Times New Roman" w:hAnsi="Times New Roman"/>
          <w:sz w:val="20"/>
          <w:szCs w:val="20"/>
        </w:rPr>
        <w:t>shows that</w:t>
      </w:r>
      <w:r w:rsidRPr="00FA140B">
        <w:rPr>
          <w:rFonts w:ascii="Times New Roman" w:hAnsi="Times New Roman"/>
          <w:sz w:val="20"/>
          <w:szCs w:val="20"/>
        </w:rPr>
        <w:t xml:space="preserve"> coliform, e-coli, conductivity </w:t>
      </w:r>
      <w:r w:rsidRPr="00FA140B">
        <w:rPr>
          <w:rStyle w:val="words"/>
          <w:rFonts w:ascii="Times New Roman" w:hAnsi="Times New Roman"/>
          <w:sz w:val="20"/>
          <w:szCs w:val="20"/>
        </w:rPr>
        <w:t>and</w:t>
      </w:r>
      <w:r w:rsidRPr="00FA140B">
        <w:rPr>
          <w:rFonts w:ascii="Times New Roman" w:hAnsi="Times New Roman"/>
          <w:sz w:val="20"/>
          <w:szCs w:val="20"/>
        </w:rPr>
        <w:t xml:space="preserve"> turbidity </w:t>
      </w:r>
      <w:r w:rsidRPr="00FA140B">
        <w:rPr>
          <w:rStyle w:val="words"/>
          <w:rFonts w:ascii="Times New Roman" w:hAnsi="Times New Roman"/>
          <w:sz w:val="20"/>
          <w:szCs w:val="20"/>
        </w:rPr>
        <w:t>possess the highest concentration</w:t>
      </w:r>
      <w:r w:rsidRPr="00FA140B">
        <w:rPr>
          <w:rFonts w:ascii="Times New Roman" w:hAnsi="Times New Roman"/>
          <w:sz w:val="20"/>
          <w:szCs w:val="20"/>
        </w:rPr>
        <w:t xml:space="preserve"> of </w:t>
      </w:r>
      <w:r w:rsidRPr="00FA140B">
        <w:rPr>
          <w:rStyle w:val="words"/>
          <w:rFonts w:ascii="Times New Roman" w:hAnsi="Times New Roman"/>
          <w:sz w:val="20"/>
          <w:szCs w:val="20"/>
        </w:rPr>
        <w:t>mean</w:t>
      </w:r>
      <w:r w:rsidRPr="00FA140B">
        <w:rPr>
          <w:rFonts w:ascii="Times New Roman" w:hAnsi="Times New Roman"/>
          <w:sz w:val="20"/>
          <w:szCs w:val="20"/>
        </w:rPr>
        <w:t xml:space="preserve">. </w:t>
      </w:r>
      <w:r w:rsidRPr="00FA140B">
        <w:rPr>
          <w:rStyle w:val="words"/>
          <w:rFonts w:ascii="Times New Roman" w:hAnsi="Times New Roman"/>
          <w:sz w:val="20"/>
          <w:szCs w:val="20"/>
        </w:rPr>
        <w:t>Table</w:t>
      </w:r>
      <w:r w:rsidRPr="00FA140B">
        <w:rPr>
          <w:rFonts w:ascii="Times New Roman" w:hAnsi="Times New Roman"/>
          <w:sz w:val="20"/>
          <w:szCs w:val="20"/>
        </w:rPr>
        <w:t xml:space="preserve"> 1 </w:t>
      </w:r>
      <w:r w:rsidRPr="00FA140B">
        <w:rPr>
          <w:rStyle w:val="words"/>
          <w:rFonts w:ascii="Times New Roman" w:hAnsi="Times New Roman"/>
          <w:sz w:val="20"/>
          <w:szCs w:val="20"/>
        </w:rPr>
        <w:t>illustrates the</w:t>
      </w:r>
      <w:r w:rsidRPr="00FA140B">
        <w:rPr>
          <w:rFonts w:ascii="Times New Roman" w:hAnsi="Times New Roman"/>
          <w:sz w:val="20"/>
          <w:szCs w:val="20"/>
        </w:rPr>
        <w:t xml:space="preserve"> concentration of </w:t>
      </w:r>
      <w:r w:rsidRPr="00FA140B">
        <w:rPr>
          <w:rStyle w:val="words"/>
          <w:rFonts w:ascii="Times New Roman" w:hAnsi="Times New Roman"/>
          <w:sz w:val="20"/>
          <w:szCs w:val="20"/>
        </w:rPr>
        <w:t>each</w:t>
      </w:r>
      <w:r w:rsidRPr="00FA140B">
        <w:rPr>
          <w:rFonts w:ascii="Times New Roman" w:hAnsi="Times New Roman"/>
          <w:sz w:val="20"/>
          <w:szCs w:val="20"/>
        </w:rPr>
        <w:t xml:space="preserve"> parameter. </w:t>
      </w:r>
    </w:p>
    <w:p w:rsidR="00FA140B" w:rsidRPr="00FA140B" w:rsidRDefault="00FA140B" w:rsidP="00FA140B">
      <w:pPr>
        <w:autoSpaceDE w:val="0"/>
        <w:autoSpaceDN w:val="0"/>
        <w:adjustRightInd w:val="0"/>
        <w:spacing w:after="0" w:line="240" w:lineRule="auto"/>
        <w:jc w:val="both"/>
        <w:rPr>
          <w:rFonts w:ascii="Times New Roman" w:hAnsi="Times New Roman"/>
          <w:color w:val="000000"/>
          <w:sz w:val="20"/>
          <w:szCs w:val="20"/>
          <w:lang w:val="en-MY" w:eastAsia="en-MY"/>
        </w:rPr>
      </w:pPr>
    </w:p>
    <w:p w:rsidR="00FA140B" w:rsidRPr="00FA140B" w:rsidRDefault="00FA140B" w:rsidP="00FA140B">
      <w:pPr>
        <w:autoSpaceDE w:val="0"/>
        <w:autoSpaceDN w:val="0"/>
        <w:adjustRightInd w:val="0"/>
        <w:spacing w:after="0" w:line="240" w:lineRule="auto"/>
        <w:jc w:val="both"/>
        <w:rPr>
          <w:rFonts w:ascii="Times New Roman" w:hAnsi="Times New Roman"/>
          <w:color w:val="000000"/>
          <w:sz w:val="20"/>
          <w:szCs w:val="20"/>
          <w:lang w:val="en-MY" w:eastAsia="en-MY"/>
        </w:rPr>
      </w:pPr>
    </w:p>
    <w:p w:rsidR="00FA140B" w:rsidRPr="00FA140B" w:rsidRDefault="00FA140B" w:rsidP="00FA140B">
      <w:pPr>
        <w:autoSpaceDE w:val="0"/>
        <w:autoSpaceDN w:val="0"/>
        <w:adjustRightInd w:val="0"/>
        <w:spacing w:after="120" w:line="240" w:lineRule="auto"/>
        <w:jc w:val="center"/>
        <w:outlineLvl w:val="0"/>
        <w:rPr>
          <w:rFonts w:ascii="Times New Roman" w:hAnsi="Times New Roman"/>
          <w:color w:val="000000"/>
          <w:sz w:val="20"/>
          <w:szCs w:val="20"/>
          <w:lang w:val="en-MY" w:eastAsia="en-MY"/>
        </w:rPr>
      </w:pPr>
      <w:r w:rsidRPr="00FA140B">
        <w:rPr>
          <w:rFonts w:ascii="Times New Roman" w:hAnsi="Times New Roman"/>
          <w:color w:val="000000"/>
          <w:sz w:val="20"/>
          <w:szCs w:val="20"/>
          <w:lang w:val="en-MY" w:eastAsia="en-MY"/>
        </w:rPr>
        <w:t xml:space="preserve">Table 1. </w:t>
      </w:r>
      <w:r>
        <w:rPr>
          <w:rFonts w:ascii="Times New Roman" w:hAnsi="Times New Roman"/>
          <w:color w:val="000000"/>
          <w:sz w:val="20"/>
          <w:szCs w:val="20"/>
          <w:lang w:val="en-MY" w:eastAsia="en-MY"/>
        </w:rPr>
        <w:t xml:space="preserve"> </w:t>
      </w:r>
      <w:r w:rsidRPr="00FA140B">
        <w:rPr>
          <w:rFonts w:ascii="Times New Roman" w:hAnsi="Times New Roman"/>
          <w:color w:val="000000"/>
          <w:sz w:val="20"/>
          <w:szCs w:val="20"/>
          <w:lang w:val="en-MY" w:eastAsia="en-MY"/>
        </w:rPr>
        <w:t>Descriptive statistic of the river water quality data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072"/>
        <w:gridCol w:w="1105"/>
        <w:gridCol w:w="1066"/>
        <w:gridCol w:w="1889"/>
      </w:tblGrid>
      <w:tr w:rsidR="00FA140B" w:rsidRPr="00FA140B" w:rsidTr="00F9654B">
        <w:trPr>
          <w:jc w:val="center"/>
        </w:trPr>
        <w:tc>
          <w:tcPr>
            <w:tcW w:w="0" w:type="auto"/>
            <w:tcBorders>
              <w:top w:val="single" w:sz="4" w:space="0" w:color="auto"/>
              <w:bottom w:val="single" w:sz="4" w:space="0" w:color="auto"/>
            </w:tcBorders>
          </w:tcPr>
          <w:p w:rsidR="00FA140B" w:rsidRPr="00FA140B" w:rsidRDefault="00FA140B" w:rsidP="00FA140B">
            <w:pPr>
              <w:autoSpaceDE w:val="0"/>
              <w:autoSpaceDN w:val="0"/>
              <w:adjustRightInd w:val="0"/>
              <w:spacing w:before="120" w:after="120" w:line="240" w:lineRule="auto"/>
              <w:rPr>
                <w:b/>
                <w:sz w:val="20"/>
                <w:szCs w:val="20"/>
              </w:rPr>
            </w:pPr>
            <w:r w:rsidRPr="00FA140B">
              <w:rPr>
                <w:b/>
                <w:sz w:val="20"/>
                <w:szCs w:val="20"/>
              </w:rPr>
              <w:t>Variables</w:t>
            </w:r>
          </w:p>
        </w:tc>
        <w:tc>
          <w:tcPr>
            <w:tcW w:w="0" w:type="auto"/>
            <w:tcBorders>
              <w:top w:val="single" w:sz="4" w:space="0" w:color="auto"/>
              <w:bottom w:val="single" w:sz="4" w:space="0" w:color="auto"/>
            </w:tcBorders>
          </w:tcPr>
          <w:p w:rsidR="00FA140B" w:rsidRPr="00FA140B" w:rsidRDefault="00FA140B" w:rsidP="00FA140B">
            <w:pPr>
              <w:autoSpaceDE w:val="0"/>
              <w:autoSpaceDN w:val="0"/>
              <w:adjustRightInd w:val="0"/>
              <w:spacing w:before="120" w:after="120" w:line="240" w:lineRule="auto"/>
              <w:jc w:val="center"/>
              <w:rPr>
                <w:b/>
                <w:sz w:val="20"/>
                <w:szCs w:val="20"/>
              </w:rPr>
            </w:pPr>
            <w:r w:rsidRPr="00FA140B">
              <w:rPr>
                <w:b/>
                <w:sz w:val="20"/>
                <w:szCs w:val="20"/>
              </w:rPr>
              <w:t>Minimum</w:t>
            </w:r>
          </w:p>
        </w:tc>
        <w:tc>
          <w:tcPr>
            <w:tcW w:w="0" w:type="auto"/>
            <w:tcBorders>
              <w:top w:val="single" w:sz="4" w:space="0" w:color="auto"/>
              <w:bottom w:val="single" w:sz="4" w:space="0" w:color="auto"/>
            </w:tcBorders>
          </w:tcPr>
          <w:p w:rsidR="00FA140B" w:rsidRPr="00FA140B" w:rsidRDefault="00FA140B" w:rsidP="00FA140B">
            <w:pPr>
              <w:autoSpaceDE w:val="0"/>
              <w:autoSpaceDN w:val="0"/>
              <w:adjustRightInd w:val="0"/>
              <w:spacing w:before="120" w:after="120" w:line="240" w:lineRule="auto"/>
              <w:jc w:val="center"/>
              <w:rPr>
                <w:b/>
                <w:sz w:val="20"/>
                <w:szCs w:val="20"/>
              </w:rPr>
            </w:pPr>
            <w:r w:rsidRPr="00FA140B">
              <w:rPr>
                <w:b/>
                <w:sz w:val="20"/>
                <w:szCs w:val="20"/>
              </w:rPr>
              <w:t>Maximum</w:t>
            </w:r>
          </w:p>
        </w:tc>
        <w:tc>
          <w:tcPr>
            <w:tcW w:w="0" w:type="auto"/>
            <w:tcBorders>
              <w:top w:val="single" w:sz="4" w:space="0" w:color="auto"/>
              <w:bottom w:val="single" w:sz="4" w:space="0" w:color="auto"/>
            </w:tcBorders>
          </w:tcPr>
          <w:p w:rsidR="00FA140B" w:rsidRPr="00FA140B" w:rsidRDefault="00FA140B" w:rsidP="00FA140B">
            <w:pPr>
              <w:autoSpaceDE w:val="0"/>
              <w:autoSpaceDN w:val="0"/>
              <w:adjustRightInd w:val="0"/>
              <w:spacing w:before="120" w:after="120" w:line="240" w:lineRule="auto"/>
              <w:jc w:val="center"/>
              <w:rPr>
                <w:b/>
                <w:sz w:val="20"/>
                <w:szCs w:val="20"/>
              </w:rPr>
            </w:pPr>
            <w:r w:rsidRPr="00FA140B">
              <w:rPr>
                <w:b/>
                <w:sz w:val="20"/>
                <w:szCs w:val="20"/>
              </w:rPr>
              <w:t>Mean</w:t>
            </w:r>
          </w:p>
        </w:tc>
        <w:tc>
          <w:tcPr>
            <w:tcW w:w="0" w:type="auto"/>
            <w:tcBorders>
              <w:top w:val="single" w:sz="4" w:space="0" w:color="auto"/>
              <w:bottom w:val="single" w:sz="4" w:space="0" w:color="auto"/>
            </w:tcBorders>
          </w:tcPr>
          <w:p w:rsidR="00FA140B" w:rsidRPr="00FA140B" w:rsidRDefault="00FA140B" w:rsidP="00FA140B">
            <w:pPr>
              <w:autoSpaceDE w:val="0"/>
              <w:autoSpaceDN w:val="0"/>
              <w:adjustRightInd w:val="0"/>
              <w:spacing w:before="120" w:after="120" w:line="240" w:lineRule="auto"/>
              <w:jc w:val="center"/>
              <w:rPr>
                <w:b/>
                <w:sz w:val="20"/>
                <w:szCs w:val="20"/>
              </w:rPr>
            </w:pPr>
            <w:r w:rsidRPr="00FA140B">
              <w:rPr>
                <w:b/>
                <w:sz w:val="20"/>
                <w:szCs w:val="20"/>
              </w:rPr>
              <w:t>Standard Deviation</w:t>
            </w:r>
          </w:p>
        </w:tc>
      </w:tr>
      <w:tr w:rsidR="00FA140B" w:rsidRPr="00FA140B" w:rsidTr="00F9654B">
        <w:trPr>
          <w:jc w:val="center"/>
        </w:trPr>
        <w:tc>
          <w:tcPr>
            <w:tcW w:w="0" w:type="auto"/>
            <w:tcBorders>
              <w:top w:val="single" w:sz="4" w:space="0" w:color="auto"/>
            </w:tcBorders>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DO (mg/l)</w:t>
            </w:r>
          </w:p>
        </w:tc>
        <w:tc>
          <w:tcPr>
            <w:tcW w:w="0" w:type="auto"/>
            <w:tcBorders>
              <w:top w:val="single" w:sz="4" w:space="0" w:color="auto"/>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1.8</w:t>
            </w:r>
          </w:p>
        </w:tc>
        <w:tc>
          <w:tcPr>
            <w:tcW w:w="0" w:type="auto"/>
            <w:tcBorders>
              <w:top w:val="single" w:sz="4" w:space="0" w:color="auto"/>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8.33</w:t>
            </w:r>
          </w:p>
        </w:tc>
        <w:tc>
          <w:tcPr>
            <w:tcW w:w="0" w:type="auto"/>
            <w:tcBorders>
              <w:top w:val="single" w:sz="4" w:space="0" w:color="auto"/>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6.374</w:t>
            </w:r>
          </w:p>
        </w:tc>
        <w:tc>
          <w:tcPr>
            <w:tcW w:w="0" w:type="auto"/>
            <w:tcBorders>
              <w:top w:val="single" w:sz="4" w:space="0" w:color="auto"/>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1.230</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BOD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w:t>
            </w:r>
            <w:r>
              <w:rPr>
                <w:color w:val="000000"/>
                <w:sz w:val="20"/>
                <w:szCs w:val="20"/>
                <w:lang w:eastAsia="en-MY"/>
              </w:rPr>
              <w:t>.0</w:t>
            </w:r>
          </w:p>
        </w:tc>
        <w:tc>
          <w:tcPr>
            <w:tcW w:w="0" w:type="auto"/>
            <w:vAlign w:val="bottom"/>
          </w:tcPr>
          <w:p w:rsidR="00FA140B" w:rsidRPr="00FA140B" w:rsidRDefault="00FA140B" w:rsidP="00FA140B">
            <w:pPr>
              <w:spacing w:before="120" w:after="0" w:line="240" w:lineRule="auto"/>
              <w:jc w:val="center"/>
              <w:rPr>
                <w:sz w:val="20"/>
                <w:szCs w:val="20"/>
                <w:lang w:eastAsia="en-MY"/>
              </w:rPr>
            </w:pPr>
            <w:r w:rsidRPr="00FA140B">
              <w:rPr>
                <w:sz w:val="20"/>
                <w:szCs w:val="20"/>
                <w:lang w:eastAsia="en-MY"/>
              </w:rPr>
              <w:t>142</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2.768</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9.849</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COD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15</w:t>
            </w:r>
            <w:r>
              <w:rPr>
                <w:color w:val="000000"/>
                <w:sz w:val="20"/>
                <w:szCs w:val="20"/>
                <w:lang w:eastAsia="en-MY"/>
              </w:rPr>
              <w:t>.0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329</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24.339</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22.937</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SS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0.5</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104</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44.057</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84.754</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pH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3.2</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8.8</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6.683</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0.787</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NH</w:t>
            </w:r>
            <w:r w:rsidRPr="00FA140B">
              <w:rPr>
                <w:color w:val="000000"/>
                <w:sz w:val="20"/>
                <w:szCs w:val="20"/>
                <w:vertAlign w:val="subscript"/>
                <w:lang w:eastAsia="en-MY"/>
              </w:rPr>
              <w:t>3</w:t>
            </w:r>
            <w:r w:rsidRPr="00FA140B">
              <w:rPr>
                <w:color w:val="000000"/>
                <w:sz w:val="20"/>
                <w:szCs w:val="20"/>
                <w:lang w:eastAsia="en-MY"/>
              </w:rPr>
              <w:t>-NL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0.01</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0.306</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0.900</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TEMP (Deg)</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24</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82</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27.560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3.753</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COND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979</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67.100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112.155</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TUR (NUT)</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626</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53.502</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82.405</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NO</w:t>
            </w:r>
            <w:r w:rsidRPr="00FA140B">
              <w:rPr>
                <w:color w:val="000000"/>
                <w:sz w:val="20"/>
                <w:szCs w:val="20"/>
                <w:vertAlign w:val="subscript"/>
                <w:lang w:eastAsia="en-MY"/>
              </w:rPr>
              <w:t>3</w:t>
            </w:r>
            <w:r w:rsidRPr="00FA140B">
              <w:rPr>
                <w:color w:val="000000"/>
                <w:sz w:val="20"/>
                <w:szCs w:val="20"/>
                <w:lang w:eastAsia="en-MY"/>
              </w:rPr>
              <w:t xml:space="preserve">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0.005</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1.3</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0.183</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0.145</w:t>
            </w:r>
          </w:p>
        </w:tc>
      </w:tr>
      <w:tr w:rsidR="00FA140B" w:rsidRPr="00FA140B" w:rsidTr="00F9654B">
        <w:trPr>
          <w:jc w:val="center"/>
        </w:trPr>
        <w:tc>
          <w:tcPr>
            <w:tcW w:w="0" w:type="auto"/>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PO</w:t>
            </w:r>
            <w:r w:rsidRPr="00FA140B">
              <w:rPr>
                <w:color w:val="000000"/>
                <w:sz w:val="20"/>
                <w:szCs w:val="20"/>
                <w:vertAlign w:val="subscript"/>
                <w:lang w:eastAsia="en-MY"/>
              </w:rPr>
              <w:t>4</w:t>
            </w:r>
            <w:r w:rsidRPr="00FA140B">
              <w:rPr>
                <w:color w:val="000000"/>
                <w:sz w:val="20"/>
                <w:szCs w:val="20"/>
                <w:lang w:eastAsia="en-MY"/>
              </w:rPr>
              <w:t xml:space="preserve"> (mg/l)</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0.005</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1.3</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0.037</w:t>
            </w:r>
          </w:p>
        </w:tc>
        <w:tc>
          <w:tcPr>
            <w:tcW w:w="0" w:type="auto"/>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0.100</w:t>
            </w:r>
          </w:p>
        </w:tc>
      </w:tr>
      <w:tr w:rsidR="00FA140B" w:rsidRPr="00FA140B" w:rsidTr="00F9654B">
        <w:trPr>
          <w:jc w:val="center"/>
        </w:trPr>
        <w:tc>
          <w:tcPr>
            <w:tcW w:w="0" w:type="auto"/>
            <w:tcBorders>
              <w:bottom w:val="nil"/>
            </w:tcBorders>
            <w:vAlign w:val="bottom"/>
          </w:tcPr>
          <w:p w:rsidR="00FA140B" w:rsidRPr="00FA140B" w:rsidRDefault="00FA140B" w:rsidP="00FA140B">
            <w:pPr>
              <w:spacing w:before="120" w:after="0" w:line="240" w:lineRule="auto"/>
              <w:rPr>
                <w:color w:val="000000"/>
                <w:sz w:val="20"/>
                <w:szCs w:val="20"/>
                <w:lang w:eastAsia="en-MY"/>
              </w:rPr>
            </w:pPr>
            <w:r w:rsidRPr="00FA140B">
              <w:rPr>
                <w:color w:val="000000"/>
                <w:sz w:val="20"/>
                <w:szCs w:val="20"/>
                <w:lang w:eastAsia="en-MY"/>
              </w:rPr>
              <w:t>E-Coli (cfu/100ml)</w:t>
            </w:r>
          </w:p>
        </w:tc>
        <w:tc>
          <w:tcPr>
            <w:tcW w:w="0" w:type="auto"/>
            <w:tcBorders>
              <w:bottom w:val="nil"/>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0</w:t>
            </w:r>
          </w:p>
        </w:tc>
        <w:tc>
          <w:tcPr>
            <w:tcW w:w="0" w:type="auto"/>
            <w:tcBorders>
              <w:bottom w:val="nil"/>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4100</w:t>
            </w:r>
          </w:p>
        </w:tc>
        <w:tc>
          <w:tcPr>
            <w:tcW w:w="0" w:type="auto"/>
            <w:tcBorders>
              <w:bottom w:val="nil"/>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3454.356</w:t>
            </w:r>
          </w:p>
        </w:tc>
        <w:tc>
          <w:tcPr>
            <w:tcW w:w="0" w:type="auto"/>
            <w:tcBorders>
              <w:bottom w:val="nil"/>
            </w:tcBorders>
            <w:vAlign w:val="bottom"/>
          </w:tcPr>
          <w:p w:rsidR="00FA140B" w:rsidRPr="00FA140B" w:rsidRDefault="00FA140B" w:rsidP="00FA140B">
            <w:pPr>
              <w:spacing w:before="120" w:after="0" w:line="240" w:lineRule="auto"/>
              <w:jc w:val="center"/>
              <w:rPr>
                <w:color w:val="000000"/>
                <w:sz w:val="20"/>
                <w:szCs w:val="20"/>
                <w:lang w:eastAsia="en-MY"/>
              </w:rPr>
            </w:pPr>
            <w:r w:rsidRPr="00FA140B">
              <w:rPr>
                <w:color w:val="000000"/>
                <w:sz w:val="20"/>
                <w:szCs w:val="20"/>
                <w:lang w:eastAsia="en-MY"/>
              </w:rPr>
              <w:t>6282.769</w:t>
            </w:r>
          </w:p>
        </w:tc>
      </w:tr>
      <w:tr w:rsidR="00FA140B" w:rsidRPr="00FA140B" w:rsidTr="00F9654B">
        <w:trPr>
          <w:jc w:val="center"/>
        </w:trPr>
        <w:tc>
          <w:tcPr>
            <w:tcW w:w="0" w:type="auto"/>
            <w:tcBorders>
              <w:top w:val="nil"/>
              <w:bottom w:val="single" w:sz="4" w:space="0" w:color="auto"/>
            </w:tcBorders>
            <w:vAlign w:val="bottom"/>
          </w:tcPr>
          <w:p w:rsidR="00FA140B" w:rsidRPr="00FA140B" w:rsidRDefault="00FA140B" w:rsidP="00FA140B">
            <w:pPr>
              <w:spacing w:before="120" w:after="120" w:line="240" w:lineRule="auto"/>
              <w:rPr>
                <w:color w:val="000000"/>
                <w:sz w:val="20"/>
                <w:szCs w:val="20"/>
                <w:lang w:eastAsia="en-MY"/>
              </w:rPr>
            </w:pPr>
            <w:r w:rsidRPr="00FA140B">
              <w:rPr>
                <w:color w:val="000000"/>
                <w:sz w:val="20"/>
                <w:szCs w:val="20"/>
                <w:lang w:eastAsia="en-MY"/>
              </w:rPr>
              <w:t>Coliform (cfu/100ml)</w:t>
            </w:r>
          </w:p>
        </w:tc>
        <w:tc>
          <w:tcPr>
            <w:tcW w:w="0" w:type="auto"/>
            <w:tcBorders>
              <w:top w:val="nil"/>
              <w:bottom w:val="single" w:sz="4" w:space="0" w:color="auto"/>
            </w:tcBorders>
            <w:vAlign w:val="bottom"/>
          </w:tcPr>
          <w:p w:rsidR="00FA140B" w:rsidRPr="00FA140B" w:rsidRDefault="00FA140B" w:rsidP="00FA140B">
            <w:pPr>
              <w:spacing w:before="120" w:after="120" w:line="240" w:lineRule="auto"/>
              <w:jc w:val="center"/>
              <w:rPr>
                <w:color w:val="000000"/>
                <w:sz w:val="20"/>
                <w:szCs w:val="20"/>
                <w:lang w:eastAsia="en-MY"/>
              </w:rPr>
            </w:pPr>
            <w:r w:rsidRPr="00FA140B">
              <w:rPr>
                <w:color w:val="000000"/>
                <w:sz w:val="20"/>
                <w:szCs w:val="20"/>
                <w:lang w:eastAsia="en-MY"/>
              </w:rPr>
              <w:t>0</w:t>
            </w:r>
          </w:p>
        </w:tc>
        <w:tc>
          <w:tcPr>
            <w:tcW w:w="0" w:type="auto"/>
            <w:tcBorders>
              <w:top w:val="nil"/>
              <w:bottom w:val="single" w:sz="4" w:space="0" w:color="auto"/>
            </w:tcBorders>
            <w:vAlign w:val="bottom"/>
          </w:tcPr>
          <w:p w:rsidR="00FA140B" w:rsidRPr="00FA140B" w:rsidRDefault="00FA140B" w:rsidP="00FA140B">
            <w:pPr>
              <w:spacing w:before="120" w:after="120" w:line="240" w:lineRule="auto"/>
              <w:jc w:val="center"/>
              <w:rPr>
                <w:color w:val="000000"/>
                <w:sz w:val="20"/>
                <w:szCs w:val="20"/>
                <w:lang w:eastAsia="en-MY"/>
              </w:rPr>
            </w:pPr>
            <w:r w:rsidRPr="00FA140B">
              <w:rPr>
                <w:color w:val="000000"/>
                <w:sz w:val="20"/>
                <w:szCs w:val="20"/>
                <w:lang w:eastAsia="en-MY"/>
              </w:rPr>
              <w:t>9700</w:t>
            </w:r>
          </w:p>
        </w:tc>
        <w:tc>
          <w:tcPr>
            <w:tcW w:w="0" w:type="auto"/>
            <w:tcBorders>
              <w:top w:val="nil"/>
              <w:bottom w:val="single" w:sz="4" w:space="0" w:color="auto"/>
            </w:tcBorders>
            <w:vAlign w:val="bottom"/>
          </w:tcPr>
          <w:p w:rsidR="00FA140B" w:rsidRPr="00FA140B" w:rsidRDefault="00FA140B" w:rsidP="00FA140B">
            <w:pPr>
              <w:spacing w:before="120" w:after="120" w:line="240" w:lineRule="auto"/>
              <w:jc w:val="center"/>
              <w:rPr>
                <w:color w:val="000000"/>
                <w:sz w:val="20"/>
                <w:szCs w:val="20"/>
                <w:lang w:eastAsia="en-MY"/>
              </w:rPr>
            </w:pPr>
            <w:r w:rsidRPr="00FA140B">
              <w:rPr>
                <w:color w:val="000000"/>
                <w:sz w:val="20"/>
                <w:szCs w:val="20"/>
                <w:lang w:eastAsia="en-MY"/>
              </w:rPr>
              <w:t>40802.659</w:t>
            </w:r>
          </w:p>
        </w:tc>
        <w:tc>
          <w:tcPr>
            <w:tcW w:w="0" w:type="auto"/>
            <w:tcBorders>
              <w:top w:val="nil"/>
              <w:bottom w:val="single" w:sz="4" w:space="0" w:color="auto"/>
            </w:tcBorders>
            <w:vAlign w:val="bottom"/>
          </w:tcPr>
          <w:p w:rsidR="00FA140B" w:rsidRPr="00FA140B" w:rsidRDefault="00FA140B" w:rsidP="00FA140B">
            <w:pPr>
              <w:spacing w:before="120" w:after="120" w:line="240" w:lineRule="auto"/>
              <w:jc w:val="center"/>
              <w:rPr>
                <w:color w:val="000000"/>
                <w:sz w:val="20"/>
                <w:szCs w:val="20"/>
                <w:lang w:eastAsia="en-MY"/>
              </w:rPr>
            </w:pPr>
            <w:r w:rsidRPr="00FA140B">
              <w:rPr>
                <w:color w:val="000000"/>
                <w:sz w:val="20"/>
                <w:szCs w:val="20"/>
                <w:lang w:eastAsia="en-MY"/>
              </w:rPr>
              <w:t>100941.724</w:t>
            </w:r>
          </w:p>
        </w:tc>
      </w:tr>
    </w:tbl>
    <w:p w:rsid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autoSpaceDE w:val="0"/>
        <w:autoSpaceDN w:val="0"/>
        <w:adjustRightInd w:val="0"/>
        <w:spacing w:after="0" w:line="240" w:lineRule="auto"/>
        <w:jc w:val="both"/>
        <w:rPr>
          <w:rFonts w:ascii="Times New Roman" w:hAnsi="Times New Roman"/>
          <w:b/>
          <w:sz w:val="20"/>
          <w:szCs w:val="20"/>
        </w:rPr>
      </w:pPr>
    </w:p>
    <w:p w:rsidR="00FA140B" w:rsidRPr="00FA140B" w:rsidRDefault="00FA140B" w:rsidP="00FA140B">
      <w:pPr>
        <w:autoSpaceDE w:val="0"/>
        <w:autoSpaceDN w:val="0"/>
        <w:adjustRightInd w:val="0"/>
        <w:spacing w:after="0" w:line="240" w:lineRule="auto"/>
        <w:jc w:val="both"/>
        <w:outlineLvl w:val="0"/>
        <w:rPr>
          <w:rFonts w:ascii="Times New Roman" w:hAnsi="Times New Roman"/>
          <w:sz w:val="20"/>
          <w:szCs w:val="20"/>
        </w:rPr>
      </w:pPr>
      <w:r w:rsidRPr="00FA140B">
        <w:rPr>
          <w:rFonts w:ascii="Times New Roman" w:hAnsi="Times New Roman"/>
          <w:b/>
          <w:sz w:val="20"/>
          <w:szCs w:val="20"/>
        </w:rPr>
        <w:t>Spatial similarities and Monitoring Stations Grouping</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CA classify 13 monitoring stations in to two statistically significant clusters at (Dlink/Dmax) × 100 in a convincing way as the stations in these groups have similar and natural back ground of the water quality characteristics</w:t>
      </w:r>
      <w:r w:rsidRPr="00FA140B">
        <w:rPr>
          <w:rFonts w:ascii="Times New Roman" w:hAnsi="Times New Roman"/>
          <w:color w:val="131413"/>
          <w:sz w:val="20"/>
          <w:szCs w:val="20"/>
          <w:lang w:val="en-MY"/>
        </w:rPr>
        <w:t>.</w:t>
      </w:r>
      <w:r w:rsidRPr="00FA140B">
        <w:rPr>
          <w:rFonts w:ascii="Times New Roman" w:hAnsi="Times New Roman"/>
          <w:sz w:val="20"/>
          <w:szCs w:val="20"/>
        </w:rPr>
        <w:t>The output of the cluster analysis is dispensed in dendogram Figure 2.</w:t>
      </w:r>
      <w:r w:rsidR="00E246B1">
        <w:rPr>
          <w:rFonts w:ascii="Times New Roman" w:hAnsi="Times New Roman"/>
          <w:sz w:val="20"/>
          <w:szCs w:val="20"/>
        </w:rPr>
        <w:t xml:space="preserve"> </w:t>
      </w:r>
      <w:r w:rsidRPr="00FA140B">
        <w:rPr>
          <w:rFonts w:ascii="Times New Roman" w:hAnsi="Times New Roman"/>
          <w:sz w:val="20"/>
          <w:szCs w:val="20"/>
        </w:rPr>
        <w:t>Dendogram gives the picture of the clusters describing the spatial variation in the water. Grouped stations of each clusters is shown in Figure 2.</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tabs>
          <w:tab w:val="left" w:pos="8085"/>
        </w:tabs>
        <w:autoSpaceDE w:val="0"/>
        <w:autoSpaceDN w:val="0"/>
        <w:adjustRightInd w:val="0"/>
        <w:spacing w:after="0" w:line="240" w:lineRule="auto"/>
        <w:jc w:val="center"/>
        <w:rPr>
          <w:rFonts w:ascii="Times New Roman" w:hAnsi="Times New Roman"/>
          <w:sz w:val="20"/>
          <w:szCs w:val="20"/>
        </w:rPr>
      </w:pPr>
      <w:r w:rsidRPr="00FA140B">
        <w:rPr>
          <w:rFonts w:ascii="Times New Roman" w:hAnsi="Times New Roman"/>
          <w:noProof/>
          <w:sz w:val="20"/>
          <w:szCs w:val="20"/>
          <w:lang w:bidi="ar-SA"/>
        </w:rPr>
        <w:lastRenderedPageBreak/>
        <w:drawing>
          <wp:inline distT="0" distB="0" distL="0" distR="0" wp14:anchorId="6B6281AF" wp14:editId="3D15FCDA">
            <wp:extent cx="3667125" cy="32004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667125" cy="3200400"/>
                    </a:xfrm>
                    <a:prstGeom prst="rect">
                      <a:avLst/>
                    </a:prstGeom>
                    <a:noFill/>
                    <a:ln w="9525">
                      <a:noFill/>
                      <a:miter lim="800000"/>
                      <a:headEnd/>
                      <a:tailEnd/>
                    </a:ln>
                  </pic:spPr>
                </pic:pic>
              </a:graphicData>
            </a:graphic>
          </wp:inline>
        </w:drawing>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center"/>
        <w:outlineLvl w:val="0"/>
        <w:rPr>
          <w:rFonts w:ascii="Times New Roman" w:hAnsi="Times New Roman"/>
          <w:sz w:val="20"/>
          <w:szCs w:val="20"/>
        </w:rPr>
      </w:pPr>
      <w:r w:rsidRPr="00FA140B">
        <w:rPr>
          <w:rFonts w:ascii="Times New Roman" w:hAnsi="Times New Roman"/>
          <w:sz w:val="20"/>
          <w:szCs w:val="20"/>
        </w:rPr>
        <w:t>Figure 2. Dendogram showing the clusters of the monitoring stations</w:t>
      </w:r>
    </w:p>
    <w:p w:rsid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 xml:space="preserve">Cluster 1 (stations 4TE01, 4TE02, 4TE03, 4TE04, 4TE05, 4TE06, 4TE07, 4TE08, 4TE09, 4TE10, 4TE12 and 4TE13) correspond to low polluted sites (LP). These stations are located in the upstream only station 4TE01 at downstream site but they have similar characteristics and natural background. Moderate development in that area resulted in land use activities application not completely been engaged. Hence the impact of human beings activities on the reverie environment is relatively low at this cluster, which makes the river water quality under preserves. </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Cluster 2 (station 4TE11) correspond to moderate polluted sites (MP) located at the downstream. In this site land use activities were fully practiced. Hence the station has dense population coupled with settlements, commercial activities, industrial and horticulture which attributed to the contamination of the sites. More so, the station receives pollution from horticulture (rubber plantation, palm oil plantation and Pedi plantation), domestic wastewater, and industries.</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The result of cluster analysis method shows it’s useful in presenting valid classification of surface water in the entire area and also will make it necessary to construct spatial sampling strategy for future in a good form, which can lessen the monitoring stations and corresponding coasts [7].</w:t>
      </w:r>
    </w:p>
    <w:p w:rsidR="00FA140B" w:rsidRPr="00FA140B" w:rsidRDefault="00FA140B" w:rsidP="00FA140B">
      <w:pPr>
        <w:autoSpaceDE w:val="0"/>
        <w:autoSpaceDN w:val="0"/>
        <w:adjustRightInd w:val="0"/>
        <w:spacing w:after="0" w:line="240" w:lineRule="auto"/>
        <w:jc w:val="both"/>
        <w:rPr>
          <w:rFonts w:ascii="Times New Roman" w:hAnsi="Times New Roman"/>
          <w:b/>
          <w:sz w:val="20"/>
          <w:szCs w:val="20"/>
        </w:rPr>
      </w:pPr>
    </w:p>
    <w:p w:rsidR="00FA140B" w:rsidRPr="00FA140B" w:rsidRDefault="00FA140B" w:rsidP="00FA140B">
      <w:pPr>
        <w:autoSpaceDE w:val="0"/>
        <w:autoSpaceDN w:val="0"/>
        <w:adjustRightInd w:val="0"/>
        <w:spacing w:after="0" w:line="240" w:lineRule="auto"/>
        <w:jc w:val="both"/>
        <w:outlineLvl w:val="0"/>
        <w:rPr>
          <w:rFonts w:ascii="Times New Roman" w:hAnsi="Times New Roman"/>
          <w:b/>
          <w:sz w:val="20"/>
          <w:szCs w:val="20"/>
        </w:rPr>
      </w:pPr>
      <w:r w:rsidRPr="00FA140B">
        <w:rPr>
          <w:rFonts w:ascii="Times New Roman" w:hAnsi="Times New Roman"/>
          <w:b/>
          <w:sz w:val="20"/>
          <w:szCs w:val="20"/>
        </w:rPr>
        <w:t>Discriminant Analysis</w:t>
      </w: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 xml:space="preserve">DA was used in the study to identify the variables which discriminate between two clusters in the river water quality. Indeed, DA via standard, forward stepwise mode and backward stepwise mode, the validity of spatial classification using standard mode where 13 parameters are incorporated and give 97.42%. </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Style w:val="words"/>
          <w:rFonts w:ascii="Times New Roman" w:hAnsi="Times New Roman"/>
          <w:sz w:val="20"/>
          <w:szCs w:val="20"/>
        </w:rPr>
        <w:t xml:space="preserve">The </w:t>
      </w:r>
      <w:r w:rsidRPr="00FA140B">
        <w:rPr>
          <w:rFonts w:ascii="Times New Roman" w:hAnsi="Times New Roman"/>
          <w:sz w:val="20"/>
          <w:szCs w:val="20"/>
        </w:rPr>
        <w:t xml:space="preserve">Wilks Lambda </w:t>
      </w:r>
      <w:r w:rsidRPr="00FA140B">
        <w:rPr>
          <w:rStyle w:val="words"/>
          <w:rFonts w:ascii="Times New Roman" w:hAnsi="Times New Roman"/>
          <w:sz w:val="20"/>
          <w:szCs w:val="20"/>
        </w:rPr>
        <w:t>value test for the standard mode gives</w:t>
      </w:r>
      <w:r w:rsidRPr="00FA140B">
        <w:rPr>
          <w:rFonts w:ascii="Times New Roman" w:hAnsi="Times New Roman"/>
          <w:sz w:val="20"/>
          <w:szCs w:val="20"/>
        </w:rPr>
        <w:t xml:space="preserve"> a 0.473 </w:t>
      </w:r>
      <w:r w:rsidRPr="00FA140B">
        <w:rPr>
          <w:rStyle w:val="words"/>
          <w:rFonts w:ascii="Times New Roman" w:hAnsi="Times New Roman"/>
          <w:sz w:val="20"/>
          <w:szCs w:val="20"/>
        </w:rPr>
        <w:t>and</w:t>
      </w:r>
      <w:r w:rsidRPr="00FA140B">
        <w:rPr>
          <w:rFonts w:ascii="Times New Roman" w:hAnsi="Times New Roman"/>
          <w:sz w:val="20"/>
          <w:szCs w:val="20"/>
        </w:rPr>
        <w:t xml:space="preserve"> P &lt; 0.0001. </w:t>
      </w:r>
      <w:r w:rsidRPr="00FA140B">
        <w:rPr>
          <w:rStyle w:val="words"/>
          <w:rFonts w:ascii="Times New Roman" w:hAnsi="Times New Roman"/>
          <w:sz w:val="20"/>
          <w:szCs w:val="20"/>
        </w:rPr>
        <w:t>The</w:t>
      </w:r>
      <w:r w:rsidRPr="00FA140B">
        <w:rPr>
          <w:rFonts w:ascii="Times New Roman" w:hAnsi="Times New Roman"/>
          <w:sz w:val="20"/>
          <w:szCs w:val="20"/>
        </w:rPr>
        <w:t xml:space="preserve"> null </w:t>
      </w:r>
      <w:r w:rsidRPr="00FA140B">
        <w:rPr>
          <w:rStyle w:val="words"/>
          <w:rFonts w:ascii="Times New Roman" w:hAnsi="Times New Roman"/>
          <w:sz w:val="20"/>
          <w:szCs w:val="20"/>
        </w:rPr>
        <w:t>hypothesis stated that the means</w:t>
      </w:r>
      <w:r w:rsidRPr="00FA140B">
        <w:rPr>
          <w:rFonts w:ascii="Times New Roman" w:hAnsi="Times New Roman"/>
          <w:sz w:val="20"/>
          <w:szCs w:val="20"/>
        </w:rPr>
        <w:t xml:space="preserve"> of vectors of </w:t>
      </w:r>
      <w:r w:rsidRPr="00FA140B">
        <w:rPr>
          <w:rStyle w:val="words"/>
          <w:rFonts w:ascii="Times New Roman" w:hAnsi="Times New Roman"/>
          <w:sz w:val="20"/>
          <w:szCs w:val="20"/>
        </w:rPr>
        <w:t>the</w:t>
      </w:r>
      <w:r w:rsidRPr="00FA140B">
        <w:rPr>
          <w:rFonts w:ascii="Times New Roman" w:hAnsi="Times New Roman"/>
          <w:sz w:val="20"/>
          <w:szCs w:val="20"/>
        </w:rPr>
        <w:t xml:space="preserve"> 2 </w:t>
      </w:r>
      <w:r w:rsidRPr="00FA140B">
        <w:rPr>
          <w:rStyle w:val="words"/>
          <w:rFonts w:ascii="Times New Roman" w:hAnsi="Times New Roman"/>
          <w:sz w:val="20"/>
          <w:szCs w:val="20"/>
        </w:rPr>
        <w:t>clusters</w:t>
      </w:r>
      <w:r w:rsidRPr="00FA140B">
        <w:rPr>
          <w:rFonts w:ascii="Times New Roman" w:hAnsi="Times New Roman"/>
          <w:sz w:val="20"/>
          <w:szCs w:val="20"/>
        </w:rPr>
        <w:t xml:space="preserve"> (LPS </w:t>
      </w:r>
      <w:r w:rsidRPr="00FA140B">
        <w:rPr>
          <w:rStyle w:val="words"/>
          <w:rFonts w:ascii="Times New Roman" w:hAnsi="Times New Roman"/>
          <w:sz w:val="20"/>
          <w:szCs w:val="20"/>
        </w:rPr>
        <w:t>and</w:t>
      </w:r>
      <w:r w:rsidRPr="00FA140B">
        <w:rPr>
          <w:rFonts w:ascii="Times New Roman" w:hAnsi="Times New Roman"/>
          <w:sz w:val="20"/>
          <w:szCs w:val="20"/>
        </w:rPr>
        <w:t xml:space="preserve"> MPS) are </w:t>
      </w:r>
      <w:r w:rsidRPr="00FA140B">
        <w:rPr>
          <w:rStyle w:val="words"/>
          <w:rFonts w:ascii="Times New Roman" w:hAnsi="Times New Roman"/>
          <w:sz w:val="20"/>
          <w:szCs w:val="20"/>
        </w:rPr>
        <w:t>equal</w:t>
      </w:r>
      <w:r w:rsidRPr="00FA140B">
        <w:rPr>
          <w:rFonts w:ascii="Times New Roman" w:hAnsi="Times New Roman"/>
          <w:sz w:val="20"/>
          <w:szCs w:val="20"/>
        </w:rPr>
        <w:t xml:space="preserve">. </w:t>
      </w:r>
      <w:r w:rsidRPr="00FA140B">
        <w:rPr>
          <w:rStyle w:val="words"/>
          <w:rFonts w:ascii="Times New Roman" w:hAnsi="Times New Roman"/>
          <w:sz w:val="20"/>
          <w:szCs w:val="20"/>
        </w:rPr>
        <w:t>The</w:t>
      </w:r>
      <w:r w:rsidRPr="00FA140B">
        <w:rPr>
          <w:rFonts w:ascii="Times New Roman" w:hAnsi="Times New Roman"/>
          <w:sz w:val="20"/>
          <w:szCs w:val="20"/>
        </w:rPr>
        <w:t xml:space="preserve"> alternative </w:t>
      </w:r>
      <w:r w:rsidRPr="00FA140B">
        <w:rPr>
          <w:rStyle w:val="words"/>
          <w:rFonts w:ascii="Times New Roman" w:hAnsi="Times New Roman"/>
          <w:sz w:val="20"/>
          <w:szCs w:val="20"/>
        </w:rPr>
        <w:t>hypothesis</w:t>
      </w:r>
      <w:r w:rsidRPr="00FA140B">
        <w:rPr>
          <w:rFonts w:ascii="Times New Roman" w:hAnsi="Times New Roman"/>
          <w:sz w:val="20"/>
          <w:szCs w:val="20"/>
        </w:rPr>
        <w:t xml:space="preserve">, </w:t>
      </w:r>
      <w:r w:rsidRPr="00FA140B">
        <w:rPr>
          <w:rStyle w:val="words"/>
          <w:rFonts w:ascii="Times New Roman" w:hAnsi="Times New Roman"/>
          <w:sz w:val="20"/>
          <w:szCs w:val="20"/>
        </w:rPr>
        <w:t>alongside</w:t>
      </w:r>
      <w:r w:rsidRPr="00FA140B">
        <w:rPr>
          <w:rFonts w:ascii="Times New Roman" w:hAnsi="Times New Roman"/>
          <w:sz w:val="20"/>
          <w:szCs w:val="20"/>
        </w:rPr>
        <w:t xml:space="preserve">, </w:t>
      </w:r>
      <w:r w:rsidRPr="00FA140B">
        <w:rPr>
          <w:rStyle w:val="words"/>
          <w:rFonts w:ascii="Times New Roman" w:hAnsi="Times New Roman"/>
          <w:sz w:val="20"/>
          <w:szCs w:val="20"/>
        </w:rPr>
        <w:t>states that</w:t>
      </w:r>
      <w:r w:rsidRPr="00FA140B">
        <w:rPr>
          <w:rFonts w:ascii="Times New Roman" w:hAnsi="Times New Roman"/>
          <w:sz w:val="20"/>
          <w:szCs w:val="20"/>
        </w:rPr>
        <w:t xml:space="preserve"> at </w:t>
      </w:r>
      <w:r w:rsidRPr="00FA140B">
        <w:rPr>
          <w:rStyle w:val="words"/>
          <w:rFonts w:ascii="Times New Roman" w:hAnsi="Times New Roman"/>
          <w:sz w:val="20"/>
          <w:szCs w:val="20"/>
        </w:rPr>
        <w:t>least</w:t>
      </w:r>
      <w:r w:rsidRPr="00FA140B">
        <w:rPr>
          <w:rFonts w:ascii="Times New Roman" w:hAnsi="Times New Roman"/>
          <w:sz w:val="20"/>
          <w:szCs w:val="20"/>
        </w:rPr>
        <w:t xml:space="preserve"> one of </w:t>
      </w:r>
      <w:r w:rsidRPr="00FA140B">
        <w:rPr>
          <w:rStyle w:val="words"/>
          <w:rFonts w:ascii="Times New Roman" w:hAnsi="Times New Roman"/>
          <w:sz w:val="20"/>
          <w:szCs w:val="20"/>
        </w:rPr>
        <w:t>means</w:t>
      </w:r>
      <w:r w:rsidRPr="00FA140B">
        <w:rPr>
          <w:rFonts w:ascii="Times New Roman" w:hAnsi="Times New Roman"/>
          <w:sz w:val="20"/>
          <w:szCs w:val="20"/>
        </w:rPr>
        <w:t xml:space="preserve"> of vector is </w:t>
      </w:r>
      <w:r w:rsidRPr="00FA140B">
        <w:rPr>
          <w:rStyle w:val="words"/>
          <w:rFonts w:ascii="Times New Roman" w:hAnsi="Times New Roman"/>
          <w:sz w:val="20"/>
          <w:szCs w:val="20"/>
        </w:rPr>
        <w:t>different</w:t>
      </w:r>
      <w:r w:rsidRPr="00FA140B">
        <w:rPr>
          <w:rFonts w:ascii="Times New Roman" w:hAnsi="Times New Roman"/>
          <w:sz w:val="20"/>
          <w:szCs w:val="20"/>
        </w:rPr>
        <w:t xml:space="preserve"> from </w:t>
      </w:r>
      <w:r w:rsidRPr="00FA140B">
        <w:rPr>
          <w:rStyle w:val="words"/>
          <w:rFonts w:ascii="Times New Roman" w:hAnsi="Times New Roman"/>
          <w:sz w:val="20"/>
          <w:szCs w:val="20"/>
        </w:rPr>
        <w:t>another</w:t>
      </w:r>
      <w:r w:rsidRPr="00FA140B">
        <w:rPr>
          <w:rFonts w:ascii="Times New Roman" w:hAnsi="Times New Roman"/>
          <w:sz w:val="20"/>
          <w:szCs w:val="20"/>
        </w:rPr>
        <w:t xml:space="preserve">. Since </w:t>
      </w:r>
      <w:r w:rsidRPr="00FA140B">
        <w:rPr>
          <w:rStyle w:val="words"/>
          <w:rFonts w:ascii="Times New Roman" w:hAnsi="Times New Roman"/>
          <w:sz w:val="20"/>
          <w:szCs w:val="20"/>
        </w:rPr>
        <w:t>the computed</w:t>
      </w:r>
      <w:r w:rsidRPr="00FA140B">
        <w:rPr>
          <w:rFonts w:ascii="Times New Roman" w:hAnsi="Times New Roman"/>
          <w:sz w:val="20"/>
          <w:szCs w:val="20"/>
        </w:rPr>
        <w:t xml:space="preserve"> P – </w:t>
      </w:r>
      <w:r w:rsidRPr="00FA140B">
        <w:rPr>
          <w:rStyle w:val="words"/>
          <w:rFonts w:ascii="Times New Roman" w:hAnsi="Times New Roman"/>
          <w:sz w:val="20"/>
          <w:szCs w:val="20"/>
        </w:rPr>
        <w:t>value</w:t>
      </w:r>
      <w:r w:rsidRPr="00FA140B">
        <w:rPr>
          <w:rFonts w:ascii="Times New Roman" w:hAnsi="Times New Roman"/>
          <w:sz w:val="20"/>
          <w:szCs w:val="20"/>
        </w:rPr>
        <w:t xml:space="preserve"> is </w:t>
      </w:r>
      <w:r w:rsidRPr="00FA140B">
        <w:rPr>
          <w:rStyle w:val="words"/>
          <w:rFonts w:ascii="Times New Roman" w:hAnsi="Times New Roman"/>
          <w:sz w:val="20"/>
          <w:szCs w:val="20"/>
        </w:rPr>
        <w:t>lower</w:t>
      </w:r>
      <w:r w:rsidRPr="00FA140B">
        <w:rPr>
          <w:rFonts w:ascii="Times New Roman" w:hAnsi="Times New Roman"/>
          <w:sz w:val="20"/>
          <w:szCs w:val="20"/>
        </w:rPr>
        <w:t xml:space="preserve"> than </w:t>
      </w:r>
      <w:r w:rsidRPr="00FA140B">
        <w:rPr>
          <w:rStyle w:val="words"/>
          <w:rFonts w:ascii="Times New Roman" w:hAnsi="Times New Roman"/>
          <w:sz w:val="20"/>
          <w:szCs w:val="20"/>
        </w:rPr>
        <w:t>the significance</w:t>
      </w:r>
      <w:r w:rsidRPr="00FA140B">
        <w:rPr>
          <w:rFonts w:ascii="Times New Roman" w:hAnsi="Times New Roman"/>
          <w:sz w:val="20"/>
          <w:szCs w:val="20"/>
        </w:rPr>
        <w:t xml:space="preserve"> level of alpha = 0.05, one should </w:t>
      </w:r>
      <w:r w:rsidRPr="00FA140B">
        <w:rPr>
          <w:rStyle w:val="words"/>
          <w:rFonts w:ascii="Times New Roman" w:hAnsi="Times New Roman"/>
          <w:sz w:val="20"/>
          <w:szCs w:val="20"/>
        </w:rPr>
        <w:t>reject</w:t>
      </w:r>
      <w:r w:rsidRPr="00FA140B">
        <w:rPr>
          <w:rFonts w:ascii="Times New Roman" w:hAnsi="Times New Roman"/>
          <w:sz w:val="20"/>
          <w:szCs w:val="20"/>
        </w:rPr>
        <w:t xml:space="preserve"> a null </w:t>
      </w:r>
      <w:r w:rsidRPr="00FA140B">
        <w:rPr>
          <w:rStyle w:val="words"/>
          <w:rFonts w:ascii="Times New Roman" w:hAnsi="Times New Roman"/>
          <w:sz w:val="20"/>
          <w:szCs w:val="20"/>
        </w:rPr>
        <w:t>hypothesis and accept the alternative hypothesis</w:t>
      </w:r>
      <w:r w:rsidRPr="00FA140B">
        <w:rPr>
          <w:rFonts w:ascii="Times New Roman" w:hAnsi="Times New Roman"/>
          <w:sz w:val="20"/>
          <w:szCs w:val="20"/>
        </w:rPr>
        <w:t xml:space="preserve">. </w:t>
      </w:r>
      <w:r w:rsidRPr="00FA140B">
        <w:rPr>
          <w:rStyle w:val="words"/>
          <w:rFonts w:ascii="Times New Roman" w:hAnsi="Times New Roman"/>
          <w:sz w:val="20"/>
          <w:szCs w:val="20"/>
        </w:rPr>
        <w:t>The risk</w:t>
      </w:r>
      <w:r w:rsidRPr="00FA140B">
        <w:rPr>
          <w:rFonts w:ascii="Times New Roman" w:hAnsi="Times New Roman"/>
          <w:sz w:val="20"/>
          <w:szCs w:val="20"/>
        </w:rPr>
        <w:t xml:space="preserve"> of </w:t>
      </w:r>
      <w:r w:rsidRPr="00FA140B">
        <w:rPr>
          <w:rStyle w:val="words"/>
          <w:rFonts w:ascii="Times New Roman" w:hAnsi="Times New Roman"/>
          <w:sz w:val="20"/>
          <w:szCs w:val="20"/>
        </w:rPr>
        <w:t>rejecting the</w:t>
      </w:r>
      <w:r w:rsidRPr="00FA140B">
        <w:rPr>
          <w:rFonts w:ascii="Times New Roman" w:hAnsi="Times New Roman"/>
          <w:sz w:val="20"/>
          <w:szCs w:val="20"/>
        </w:rPr>
        <w:t xml:space="preserve"> null </w:t>
      </w:r>
      <w:r w:rsidRPr="00FA140B">
        <w:rPr>
          <w:rStyle w:val="words"/>
          <w:rFonts w:ascii="Times New Roman" w:hAnsi="Times New Roman"/>
          <w:sz w:val="20"/>
          <w:szCs w:val="20"/>
        </w:rPr>
        <w:t>hypothesis while it</w:t>
      </w:r>
      <w:r w:rsidRPr="00FA140B">
        <w:rPr>
          <w:rFonts w:ascii="Times New Roman" w:hAnsi="Times New Roman"/>
          <w:sz w:val="20"/>
          <w:szCs w:val="20"/>
        </w:rPr>
        <w:t xml:space="preserve"> is </w:t>
      </w:r>
      <w:r w:rsidRPr="00FA140B">
        <w:rPr>
          <w:rStyle w:val="words"/>
          <w:rFonts w:ascii="Times New Roman" w:hAnsi="Times New Roman"/>
          <w:sz w:val="20"/>
          <w:szCs w:val="20"/>
        </w:rPr>
        <w:t>true</w:t>
      </w:r>
      <w:r w:rsidRPr="00FA140B">
        <w:rPr>
          <w:rFonts w:ascii="Times New Roman" w:hAnsi="Times New Roman"/>
          <w:sz w:val="20"/>
          <w:szCs w:val="20"/>
        </w:rPr>
        <w:t xml:space="preserve"> is </w:t>
      </w:r>
      <w:r w:rsidRPr="00FA140B">
        <w:rPr>
          <w:rStyle w:val="words"/>
          <w:rFonts w:ascii="Times New Roman" w:hAnsi="Times New Roman"/>
          <w:sz w:val="20"/>
          <w:szCs w:val="20"/>
        </w:rPr>
        <w:t>lower</w:t>
      </w:r>
      <w:r w:rsidRPr="00FA140B">
        <w:rPr>
          <w:rFonts w:ascii="Times New Roman" w:hAnsi="Times New Roman"/>
          <w:sz w:val="20"/>
          <w:szCs w:val="20"/>
        </w:rPr>
        <w:t xml:space="preserve"> than 0.01%. </w:t>
      </w:r>
      <w:r w:rsidRPr="00FA140B">
        <w:rPr>
          <w:rStyle w:val="words"/>
          <w:rFonts w:ascii="Times New Roman" w:hAnsi="Times New Roman"/>
          <w:sz w:val="20"/>
          <w:szCs w:val="20"/>
        </w:rPr>
        <w:t>Thus</w:t>
      </w:r>
      <w:r w:rsidRPr="00FA140B">
        <w:rPr>
          <w:rFonts w:ascii="Times New Roman" w:hAnsi="Times New Roman"/>
          <w:sz w:val="20"/>
          <w:szCs w:val="20"/>
        </w:rPr>
        <w:t xml:space="preserve">, </w:t>
      </w:r>
      <w:r w:rsidRPr="00FA140B">
        <w:rPr>
          <w:rStyle w:val="words"/>
          <w:rFonts w:ascii="Times New Roman" w:hAnsi="Times New Roman"/>
          <w:sz w:val="20"/>
          <w:szCs w:val="20"/>
        </w:rPr>
        <w:t>the</w:t>
      </w:r>
      <w:r w:rsidRPr="00FA140B">
        <w:rPr>
          <w:rFonts w:ascii="Times New Roman" w:hAnsi="Times New Roman"/>
          <w:sz w:val="20"/>
          <w:szCs w:val="20"/>
        </w:rPr>
        <w:t xml:space="preserve"> 2 </w:t>
      </w:r>
      <w:r w:rsidRPr="00FA140B">
        <w:rPr>
          <w:rStyle w:val="words"/>
          <w:rFonts w:ascii="Times New Roman" w:hAnsi="Times New Roman"/>
          <w:sz w:val="20"/>
          <w:szCs w:val="20"/>
        </w:rPr>
        <w:t>clusters</w:t>
      </w:r>
      <w:r w:rsidRPr="00FA140B">
        <w:rPr>
          <w:rFonts w:ascii="Times New Roman" w:hAnsi="Times New Roman"/>
          <w:sz w:val="20"/>
          <w:szCs w:val="20"/>
        </w:rPr>
        <w:t xml:space="preserve"> are </w:t>
      </w:r>
      <w:r w:rsidRPr="00FA140B">
        <w:rPr>
          <w:rStyle w:val="words"/>
          <w:rFonts w:ascii="Times New Roman" w:hAnsi="Times New Roman"/>
          <w:sz w:val="20"/>
          <w:szCs w:val="20"/>
        </w:rPr>
        <w:t>indeed different</w:t>
      </w:r>
      <w:r w:rsidRPr="00FA140B">
        <w:rPr>
          <w:rFonts w:ascii="Times New Roman" w:hAnsi="Times New Roman"/>
          <w:sz w:val="20"/>
          <w:szCs w:val="20"/>
        </w:rPr>
        <w:t xml:space="preserve"> from one </w:t>
      </w:r>
      <w:r w:rsidRPr="00FA140B">
        <w:rPr>
          <w:rStyle w:val="words"/>
          <w:rFonts w:ascii="Times New Roman" w:hAnsi="Times New Roman"/>
          <w:sz w:val="20"/>
          <w:szCs w:val="20"/>
        </w:rPr>
        <w:t>another</w:t>
      </w:r>
      <w:r w:rsidRPr="00FA140B">
        <w:rPr>
          <w:rFonts w:ascii="Times New Roman" w:hAnsi="Times New Roman"/>
          <w:sz w:val="20"/>
          <w:szCs w:val="20"/>
        </w:rPr>
        <w:t>.</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lastRenderedPageBreak/>
        <w:t>Stepwise discriminant analysis was performed as an explanatory analysis to determine the most significant variables among the parameters. In forward stepwise mode variables are included one by one beginning with the more significant until no significant changes are obtained, whereas in backward stepwise mode, variables are removed one by one beginning with less significant changes until no significant changes are obtained [23].</w:t>
      </w:r>
    </w:p>
    <w:p w:rsidR="00FA140B" w:rsidRP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r w:rsidRPr="00FA140B">
        <w:rPr>
          <w:rFonts w:ascii="Times New Roman" w:hAnsi="Times New Roman"/>
          <w:sz w:val="20"/>
          <w:szCs w:val="20"/>
        </w:rPr>
        <w:t>However, forward stepwise mode gives 95.80% with 4 discriminant variables (pH, NH</w:t>
      </w:r>
      <w:r w:rsidRPr="00FA140B">
        <w:rPr>
          <w:rFonts w:ascii="Times New Roman" w:hAnsi="Times New Roman"/>
          <w:sz w:val="20"/>
          <w:szCs w:val="20"/>
          <w:vertAlign w:val="subscript"/>
        </w:rPr>
        <w:t>3</w:t>
      </w:r>
      <w:r w:rsidRPr="00FA140B">
        <w:rPr>
          <w:rFonts w:ascii="Times New Roman" w:hAnsi="Times New Roman"/>
          <w:sz w:val="20"/>
          <w:szCs w:val="20"/>
        </w:rPr>
        <w:t>-NL, PO</w:t>
      </w:r>
      <w:r w:rsidRPr="00FA140B">
        <w:rPr>
          <w:rFonts w:ascii="Times New Roman" w:hAnsi="Times New Roman"/>
          <w:sz w:val="20"/>
          <w:szCs w:val="20"/>
          <w:vertAlign w:val="subscript"/>
        </w:rPr>
        <w:t xml:space="preserve">4 </w:t>
      </w:r>
      <w:r w:rsidRPr="00FA140B">
        <w:rPr>
          <w:rFonts w:ascii="Times New Roman" w:hAnsi="Times New Roman"/>
          <w:sz w:val="20"/>
          <w:szCs w:val="20"/>
        </w:rPr>
        <w:t>and EC) whereas backward mode rendered 5 five discriminant variables (BOD, pH, NH</w:t>
      </w:r>
      <w:r w:rsidRPr="00FA140B">
        <w:rPr>
          <w:rFonts w:ascii="Times New Roman" w:hAnsi="Times New Roman"/>
          <w:sz w:val="20"/>
          <w:szCs w:val="20"/>
          <w:vertAlign w:val="subscript"/>
        </w:rPr>
        <w:t>3</w:t>
      </w:r>
      <w:r w:rsidRPr="00FA140B">
        <w:rPr>
          <w:rFonts w:ascii="Times New Roman" w:hAnsi="Times New Roman"/>
          <w:sz w:val="20"/>
          <w:szCs w:val="20"/>
        </w:rPr>
        <w:t>-NL, PO</w:t>
      </w:r>
      <w:r w:rsidRPr="00FA140B">
        <w:rPr>
          <w:rFonts w:ascii="Times New Roman" w:hAnsi="Times New Roman"/>
          <w:sz w:val="20"/>
          <w:szCs w:val="20"/>
          <w:vertAlign w:val="subscript"/>
        </w:rPr>
        <w:t>4</w:t>
      </w:r>
      <w:r w:rsidRPr="00FA140B">
        <w:rPr>
          <w:rFonts w:ascii="Times New Roman" w:hAnsi="Times New Roman"/>
          <w:sz w:val="20"/>
          <w:szCs w:val="20"/>
        </w:rPr>
        <w:t xml:space="preserve"> and EC) with correct assignation of 96.55%. Therefore, stepwise forward mode presents the most significant parameters with correct assignation that contributed variation in </w:t>
      </w:r>
      <w:r w:rsidR="009317AF">
        <w:rPr>
          <w:rFonts w:ascii="Times New Roman" w:hAnsi="Times New Roman"/>
          <w:sz w:val="20"/>
          <w:szCs w:val="20"/>
        </w:rPr>
        <w:t>the river water quality. Table 2</w:t>
      </w:r>
      <w:r w:rsidRPr="00FA140B">
        <w:rPr>
          <w:rFonts w:ascii="Times New Roman" w:hAnsi="Times New Roman"/>
          <w:sz w:val="20"/>
          <w:szCs w:val="20"/>
        </w:rPr>
        <w:t xml:space="preserve"> shows the confusion matrix of the DA.</w:t>
      </w:r>
    </w:p>
    <w:p w:rsidR="00FA140B" w:rsidRDefault="00FA140B" w:rsidP="00FA140B">
      <w:pPr>
        <w:spacing w:after="0" w:line="240" w:lineRule="auto"/>
        <w:jc w:val="both"/>
        <w:rPr>
          <w:rFonts w:ascii="Times New Roman" w:hAnsi="Times New Roman"/>
          <w:sz w:val="20"/>
          <w:szCs w:val="20"/>
        </w:rPr>
      </w:pPr>
    </w:p>
    <w:p w:rsidR="00FA140B" w:rsidRPr="00FA140B" w:rsidRDefault="00FA140B" w:rsidP="00FA140B">
      <w:pPr>
        <w:spacing w:after="0" w:line="240" w:lineRule="auto"/>
        <w:jc w:val="both"/>
        <w:rPr>
          <w:rFonts w:ascii="Times New Roman" w:hAnsi="Times New Roman"/>
          <w:sz w:val="20"/>
          <w:szCs w:val="20"/>
        </w:rPr>
      </w:pPr>
    </w:p>
    <w:p w:rsidR="0090769D" w:rsidRDefault="009317AF" w:rsidP="00E246B1">
      <w:pPr>
        <w:spacing w:after="120" w:line="240" w:lineRule="auto"/>
        <w:jc w:val="center"/>
        <w:outlineLvl w:val="0"/>
        <w:rPr>
          <w:rFonts w:ascii="Times New Roman" w:hAnsi="Times New Roman"/>
          <w:sz w:val="20"/>
          <w:szCs w:val="20"/>
        </w:rPr>
      </w:pPr>
      <w:r>
        <w:rPr>
          <w:rFonts w:ascii="Times New Roman" w:hAnsi="Times New Roman"/>
          <w:sz w:val="20"/>
          <w:szCs w:val="20"/>
        </w:rPr>
        <w:t>Table 2</w:t>
      </w:r>
      <w:r w:rsidR="00FA140B" w:rsidRPr="00FA140B">
        <w:rPr>
          <w:rFonts w:ascii="Times New Roman" w:hAnsi="Times New Roman"/>
          <w:sz w:val="20"/>
          <w:szCs w:val="20"/>
        </w:rPr>
        <w:t xml:space="preserve">. </w:t>
      </w:r>
      <w:r>
        <w:rPr>
          <w:rFonts w:ascii="Times New Roman" w:hAnsi="Times New Roman"/>
          <w:sz w:val="20"/>
          <w:szCs w:val="20"/>
        </w:rPr>
        <w:t xml:space="preserve"> </w:t>
      </w:r>
      <w:r w:rsidR="00FA140B" w:rsidRPr="00FA140B">
        <w:rPr>
          <w:rFonts w:ascii="Times New Roman" w:hAnsi="Times New Roman"/>
          <w:sz w:val="20"/>
          <w:szCs w:val="20"/>
        </w:rPr>
        <w:t>Classification matrix by DA for spatial variation in Terengganu River Basin</w:t>
      </w:r>
    </w:p>
    <w:tbl>
      <w:tblPr>
        <w:tblStyle w:val="TableGrid"/>
        <w:tblW w:w="0" w:type="auto"/>
        <w:jc w:val="center"/>
        <w:tblInd w:w="558" w:type="dxa"/>
        <w:tblLook w:val="04A0" w:firstRow="1" w:lastRow="0" w:firstColumn="1" w:lastColumn="0" w:noHBand="0" w:noVBand="1"/>
      </w:tblPr>
      <w:tblGrid>
        <w:gridCol w:w="2610"/>
        <w:gridCol w:w="1530"/>
        <w:gridCol w:w="1260"/>
        <w:gridCol w:w="1170"/>
        <w:gridCol w:w="1260"/>
      </w:tblGrid>
      <w:tr w:rsidR="0090769D" w:rsidTr="00E246B1">
        <w:trPr>
          <w:jc w:val="center"/>
        </w:trPr>
        <w:tc>
          <w:tcPr>
            <w:tcW w:w="2610" w:type="dxa"/>
            <w:vMerge w:val="restart"/>
            <w:tcBorders>
              <w:top w:val="single" w:sz="4" w:space="0" w:color="auto"/>
              <w:left w:val="nil"/>
              <w:bottom w:val="single" w:sz="4" w:space="0" w:color="auto"/>
              <w:right w:val="nil"/>
            </w:tcBorders>
          </w:tcPr>
          <w:p w:rsidR="0090769D" w:rsidRDefault="0090769D" w:rsidP="00F9654B">
            <w:pPr>
              <w:autoSpaceDE w:val="0"/>
              <w:autoSpaceDN w:val="0"/>
              <w:adjustRightInd w:val="0"/>
              <w:jc w:val="both"/>
              <w:rPr>
                <w:b/>
                <w:sz w:val="20"/>
                <w:szCs w:val="20"/>
              </w:rPr>
            </w:pPr>
          </w:p>
          <w:p w:rsidR="0090769D" w:rsidRDefault="0090769D" w:rsidP="00F9654B">
            <w:pPr>
              <w:autoSpaceDE w:val="0"/>
              <w:autoSpaceDN w:val="0"/>
              <w:adjustRightInd w:val="0"/>
              <w:spacing w:after="0" w:line="240" w:lineRule="auto"/>
              <w:jc w:val="both"/>
              <w:rPr>
                <w:b/>
                <w:sz w:val="20"/>
                <w:szCs w:val="20"/>
              </w:rPr>
            </w:pPr>
            <w:r>
              <w:rPr>
                <w:b/>
                <w:sz w:val="20"/>
                <w:szCs w:val="20"/>
              </w:rPr>
              <w:t>Sampling Regions</w:t>
            </w:r>
          </w:p>
        </w:tc>
        <w:tc>
          <w:tcPr>
            <w:tcW w:w="1530" w:type="dxa"/>
            <w:vMerge w:val="restart"/>
            <w:tcBorders>
              <w:top w:val="single" w:sz="4" w:space="0" w:color="auto"/>
              <w:left w:val="nil"/>
              <w:bottom w:val="single" w:sz="4" w:space="0" w:color="auto"/>
              <w:right w:val="nil"/>
            </w:tcBorders>
          </w:tcPr>
          <w:p w:rsidR="0090769D" w:rsidRDefault="0090769D" w:rsidP="0090769D">
            <w:pPr>
              <w:autoSpaceDE w:val="0"/>
              <w:autoSpaceDN w:val="0"/>
              <w:adjustRightInd w:val="0"/>
              <w:spacing w:after="0" w:line="240" w:lineRule="auto"/>
              <w:rPr>
                <w:b/>
                <w:sz w:val="20"/>
                <w:szCs w:val="20"/>
              </w:rPr>
            </w:pPr>
          </w:p>
          <w:p w:rsidR="00E246B1" w:rsidRDefault="00E246B1" w:rsidP="0090769D">
            <w:pPr>
              <w:autoSpaceDE w:val="0"/>
              <w:autoSpaceDN w:val="0"/>
              <w:adjustRightInd w:val="0"/>
              <w:spacing w:after="0" w:line="240" w:lineRule="auto"/>
              <w:rPr>
                <w:b/>
                <w:sz w:val="20"/>
                <w:szCs w:val="20"/>
              </w:rPr>
            </w:pPr>
          </w:p>
          <w:p w:rsidR="0090769D" w:rsidRDefault="0090769D" w:rsidP="00E246B1">
            <w:pPr>
              <w:autoSpaceDE w:val="0"/>
              <w:autoSpaceDN w:val="0"/>
              <w:adjustRightInd w:val="0"/>
              <w:spacing w:after="0" w:line="240" w:lineRule="auto"/>
              <w:jc w:val="center"/>
              <w:rPr>
                <w:b/>
                <w:sz w:val="20"/>
                <w:szCs w:val="20"/>
              </w:rPr>
            </w:pPr>
            <w:r>
              <w:rPr>
                <w:b/>
                <w:sz w:val="20"/>
                <w:szCs w:val="20"/>
              </w:rPr>
              <w:t>% Correct</w:t>
            </w:r>
          </w:p>
        </w:tc>
        <w:tc>
          <w:tcPr>
            <w:tcW w:w="3690" w:type="dxa"/>
            <w:gridSpan w:val="3"/>
            <w:tcBorders>
              <w:top w:val="single" w:sz="4" w:space="0" w:color="auto"/>
              <w:left w:val="nil"/>
              <w:bottom w:val="single" w:sz="4" w:space="0" w:color="auto"/>
              <w:right w:val="nil"/>
            </w:tcBorders>
          </w:tcPr>
          <w:p w:rsidR="0090769D" w:rsidRDefault="0090769D" w:rsidP="00F9654B">
            <w:pPr>
              <w:autoSpaceDE w:val="0"/>
              <w:autoSpaceDN w:val="0"/>
              <w:adjustRightInd w:val="0"/>
              <w:spacing w:before="120" w:after="0" w:line="240" w:lineRule="auto"/>
              <w:jc w:val="center"/>
              <w:rPr>
                <w:b/>
                <w:sz w:val="20"/>
                <w:szCs w:val="20"/>
              </w:rPr>
            </w:pPr>
            <w:r>
              <w:rPr>
                <w:b/>
                <w:sz w:val="20"/>
                <w:szCs w:val="20"/>
              </w:rPr>
              <w:t>Regions assigned by DA</w:t>
            </w:r>
          </w:p>
        </w:tc>
      </w:tr>
      <w:tr w:rsidR="0090769D" w:rsidTr="00E246B1">
        <w:trPr>
          <w:jc w:val="center"/>
        </w:trPr>
        <w:tc>
          <w:tcPr>
            <w:tcW w:w="2610" w:type="dxa"/>
            <w:vMerge/>
            <w:tcBorders>
              <w:top w:val="nil"/>
              <w:left w:val="nil"/>
              <w:bottom w:val="single" w:sz="4" w:space="0" w:color="auto"/>
              <w:right w:val="nil"/>
            </w:tcBorders>
          </w:tcPr>
          <w:p w:rsidR="0090769D" w:rsidRDefault="0090769D" w:rsidP="00F9654B">
            <w:pPr>
              <w:autoSpaceDE w:val="0"/>
              <w:autoSpaceDN w:val="0"/>
              <w:adjustRightInd w:val="0"/>
              <w:spacing w:after="0" w:line="240" w:lineRule="auto"/>
              <w:jc w:val="both"/>
              <w:rPr>
                <w:b/>
                <w:sz w:val="20"/>
                <w:szCs w:val="20"/>
              </w:rPr>
            </w:pPr>
          </w:p>
        </w:tc>
        <w:tc>
          <w:tcPr>
            <w:tcW w:w="1530" w:type="dxa"/>
            <w:vMerge/>
            <w:tcBorders>
              <w:left w:val="nil"/>
              <w:bottom w:val="single" w:sz="4" w:space="0" w:color="auto"/>
              <w:right w:val="nil"/>
            </w:tcBorders>
          </w:tcPr>
          <w:p w:rsidR="0090769D" w:rsidRDefault="0090769D" w:rsidP="00F9654B">
            <w:pPr>
              <w:autoSpaceDE w:val="0"/>
              <w:autoSpaceDN w:val="0"/>
              <w:adjustRightInd w:val="0"/>
              <w:spacing w:after="0" w:line="240" w:lineRule="auto"/>
              <w:jc w:val="center"/>
              <w:rPr>
                <w:b/>
                <w:sz w:val="20"/>
                <w:szCs w:val="20"/>
              </w:rPr>
            </w:pPr>
          </w:p>
        </w:tc>
        <w:tc>
          <w:tcPr>
            <w:tcW w:w="1260" w:type="dxa"/>
            <w:tcBorders>
              <w:top w:val="single" w:sz="4" w:space="0" w:color="auto"/>
              <w:left w:val="nil"/>
              <w:bottom w:val="single" w:sz="4" w:space="0" w:color="auto"/>
              <w:right w:val="nil"/>
            </w:tcBorders>
          </w:tcPr>
          <w:p w:rsidR="0090769D" w:rsidRDefault="0090769D" w:rsidP="00F9654B">
            <w:pPr>
              <w:autoSpaceDE w:val="0"/>
              <w:autoSpaceDN w:val="0"/>
              <w:adjustRightInd w:val="0"/>
              <w:spacing w:before="120" w:after="120" w:line="240" w:lineRule="auto"/>
              <w:jc w:val="center"/>
              <w:rPr>
                <w:b/>
                <w:sz w:val="20"/>
                <w:szCs w:val="20"/>
              </w:rPr>
            </w:pPr>
            <w:r>
              <w:rPr>
                <w:b/>
                <w:sz w:val="20"/>
                <w:szCs w:val="20"/>
              </w:rPr>
              <w:t>LPS</w:t>
            </w:r>
          </w:p>
        </w:tc>
        <w:tc>
          <w:tcPr>
            <w:tcW w:w="1170" w:type="dxa"/>
            <w:tcBorders>
              <w:top w:val="single" w:sz="4" w:space="0" w:color="auto"/>
              <w:left w:val="nil"/>
              <w:bottom w:val="single" w:sz="4" w:space="0" w:color="auto"/>
              <w:right w:val="nil"/>
            </w:tcBorders>
          </w:tcPr>
          <w:p w:rsidR="0090769D" w:rsidRDefault="0090769D" w:rsidP="00F9654B">
            <w:pPr>
              <w:autoSpaceDE w:val="0"/>
              <w:autoSpaceDN w:val="0"/>
              <w:adjustRightInd w:val="0"/>
              <w:spacing w:before="120" w:after="120" w:line="240" w:lineRule="auto"/>
              <w:jc w:val="center"/>
              <w:rPr>
                <w:b/>
                <w:sz w:val="20"/>
                <w:szCs w:val="20"/>
              </w:rPr>
            </w:pPr>
            <w:r>
              <w:rPr>
                <w:b/>
                <w:sz w:val="20"/>
                <w:szCs w:val="20"/>
              </w:rPr>
              <w:t>MPS</w:t>
            </w:r>
          </w:p>
        </w:tc>
        <w:tc>
          <w:tcPr>
            <w:tcW w:w="1260" w:type="dxa"/>
            <w:tcBorders>
              <w:top w:val="single" w:sz="4" w:space="0" w:color="auto"/>
              <w:left w:val="nil"/>
              <w:bottom w:val="single" w:sz="4" w:space="0" w:color="auto"/>
              <w:right w:val="nil"/>
            </w:tcBorders>
          </w:tcPr>
          <w:p w:rsidR="0090769D" w:rsidRDefault="0090769D" w:rsidP="00F9654B">
            <w:pPr>
              <w:autoSpaceDE w:val="0"/>
              <w:autoSpaceDN w:val="0"/>
              <w:adjustRightInd w:val="0"/>
              <w:spacing w:before="120" w:after="120" w:line="240" w:lineRule="auto"/>
              <w:jc w:val="center"/>
              <w:rPr>
                <w:b/>
                <w:sz w:val="20"/>
                <w:szCs w:val="20"/>
              </w:rPr>
            </w:pPr>
            <w:r>
              <w:rPr>
                <w:b/>
                <w:sz w:val="20"/>
                <w:szCs w:val="20"/>
              </w:rPr>
              <w:t>Total</w:t>
            </w:r>
          </w:p>
        </w:tc>
      </w:tr>
      <w:tr w:rsidR="0090769D" w:rsidTr="00E246B1">
        <w:trPr>
          <w:jc w:val="center"/>
        </w:trPr>
        <w:tc>
          <w:tcPr>
            <w:tcW w:w="2610" w:type="dxa"/>
            <w:tcBorders>
              <w:top w:val="single" w:sz="4" w:space="0" w:color="auto"/>
              <w:left w:val="nil"/>
              <w:bottom w:val="nil"/>
              <w:right w:val="nil"/>
            </w:tcBorders>
          </w:tcPr>
          <w:p w:rsidR="0090769D" w:rsidRDefault="0090769D" w:rsidP="00E246B1">
            <w:pPr>
              <w:autoSpaceDE w:val="0"/>
              <w:autoSpaceDN w:val="0"/>
              <w:adjustRightInd w:val="0"/>
              <w:spacing w:before="120" w:after="0" w:line="240" w:lineRule="auto"/>
              <w:jc w:val="both"/>
              <w:rPr>
                <w:b/>
                <w:sz w:val="20"/>
                <w:szCs w:val="20"/>
              </w:rPr>
            </w:pPr>
            <w:r w:rsidRPr="00F63829">
              <w:rPr>
                <w:sz w:val="20"/>
                <w:szCs w:val="20"/>
              </w:rPr>
              <w:t>Standard  DA Mode</w:t>
            </w:r>
          </w:p>
        </w:tc>
        <w:tc>
          <w:tcPr>
            <w:tcW w:w="1530" w:type="dxa"/>
            <w:tcBorders>
              <w:top w:val="single" w:sz="4" w:space="0" w:color="auto"/>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single" w:sz="4" w:space="0" w:color="auto"/>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170" w:type="dxa"/>
            <w:tcBorders>
              <w:top w:val="single" w:sz="4" w:space="0" w:color="auto"/>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single" w:sz="4" w:space="0" w:color="auto"/>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r>
      <w:tr w:rsidR="0090769D" w:rsidTr="00E246B1">
        <w:trPr>
          <w:jc w:val="center"/>
        </w:trPr>
        <w:tc>
          <w:tcPr>
            <w:tcW w:w="261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both"/>
              <w:rPr>
                <w:sz w:val="20"/>
                <w:szCs w:val="20"/>
              </w:rPr>
            </w:pPr>
            <w:r w:rsidRPr="00956D38">
              <w:rPr>
                <w:sz w:val="20"/>
                <w:szCs w:val="20"/>
              </w:rPr>
              <w:t>LPS</w:t>
            </w:r>
          </w:p>
        </w:tc>
        <w:tc>
          <w:tcPr>
            <w:tcW w:w="153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98.60</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254</w:t>
            </w:r>
          </w:p>
        </w:tc>
        <w:tc>
          <w:tcPr>
            <w:tcW w:w="117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2</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256</w:t>
            </w:r>
          </w:p>
        </w:tc>
      </w:tr>
      <w:tr w:rsidR="0090769D" w:rsidTr="00E246B1">
        <w:trPr>
          <w:jc w:val="center"/>
        </w:trPr>
        <w:tc>
          <w:tcPr>
            <w:tcW w:w="261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both"/>
              <w:rPr>
                <w:sz w:val="20"/>
                <w:szCs w:val="20"/>
              </w:rPr>
            </w:pPr>
            <w:r w:rsidRPr="00956D38">
              <w:rPr>
                <w:sz w:val="20"/>
                <w:szCs w:val="20"/>
              </w:rPr>
              <w:t>MPS</w:t>
            </w:r>
          </w:p>
        </w:tc>
        <w:tc>
          <w:tcPr>
            <w:tcW w:w="153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60.00</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6</w:t>
            </w:r>
          </w:p>
        </w:tc>
        <w:tc>
          <w:tcPr>
            <w:tcW w:w="117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9</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15</w:t>
            </w:r>
          </w:p>
        </w:tc>
      </w:tr>
      <w:tr w:rsidR="0090769D" w:rsidTr="00E246B1">
        <w:trPr>
          <w:jc w:val="center"/>
        </w:trPr>
        <w:tc>
          <w:tcPr>
            <w:tcW w:w="261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both"/>
              <w:rPr>
                <w:sz w:val="20"/>
                <w:szCs w:val="20"/>
              </w:rPr>
            </w:pPr>
            <w:r w:rsidRPr="00956D38">
              <w:rPr>
                <w:sz w:val="20"/>
                <w:szCs w:val="20"/>
              </w:rPr>
              <w:t>Total</w:t>
            </w:r>
          </w:p>
        </w:tc>
        <w:tc>
          <w:tcPr>
            <w:tcW w:w="153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97.42</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260</w:t>
            </w:r>
          </w:p>
        </w:tc>
        <w:tc>
          <w:tcPr>
            <w:tcW w:w="117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11</w:t>
            </w:r>
          </w:p>
        </w:tc>
        <w:tc>
          <w:tcPr>
            <w:tcW w:w="126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center"/>
              <w:rPr>
                <w:sz w:val="20"/>
                <w:szCs w:val="20"/>
              </w:rPr>
            </w:pPr>
            <w:r w:rsidRPr="00956D38">
              <w:rPr>
                <w:sz w:val="20"/>
                <w:szCs w:val="20"/>
              </w:rPr>
              <w:t>271</w:t>
            </w:r>
          </w:p>
        </w:tc>
      </w:tr>
      <w:tr w:rsidR="0090769D" w:rsidTr="00E246B1">
        <w:trPr>
          <w:jc w:val="center"/>
        </w:trPr>
        <w:tc>
          <w:tcPr>
            <w:tcW w:w="2610" w:type="dxa"/>
            <w:tcBorders>
              <w:top w:val="nil"/>
              <w:left w:val="nil"/>
              <w:bottom w:val="nil"/>
              <w:right w:val="nil"/>
            </w:tcBorders>
          </w:tcPr>
          <w:p w:rsidR="0090769D" w:rsidRPr="00956D38" w:rsidRDefault="0090769D" w:rsidP="00F9654B">
            <w:pPr>
              <w:autoSpaceDE w:val="0"/>
              <w:autoSpaceDN w:val="0"/>
              <w:adjustRightInd w:val="0"/>
              <w:spacing w:after="0" w:line="240" w:lineRule="auto"/>
              <w:jc w:val="both"/>
              <w:rPr>
                <w:sz w:val="20"/>
                <w:szCs w:val="20"/>
              </w:rPr>
            </w:pPr>
            <w:r w:rsidRPr="00F63829">
              <w:rPr>
                <w:sz w:val="20"/>
                <w:szCs w:val="20"/>
              </w:rPr>
              <w:t>Forward Stepwise Mode</w:t>
            </w:r>
          </w:p>
        </w:tc>
        <w:tc>
          <w:tcPr>
            <w:tcW w:w="153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17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r>
      <w:tr w:rsidR="0090769D" w:rsidTr="00E246B1">
        <w:trPr>
          <w:jc w:val="center"/>
        </w:trPr>
        <w:tc>
          <w:tcPr>
            <w:tcW w:w="261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both"/>
              <w:rPr>
                <w:sz w:val="20"/>
                <w:szCs w:val="20"/>
              </w:rPr>
            </w:pPr>
            <w:r w:rsidRPr="00901458">
              <w:rPr>
                <w:sz w:val="20"/>
                <w:szCs w:val="20"/>
              </w:rPr>
              <w:t>LPS</w:t>
            </w:r>
          </w:p>
        </w:tc>
        <w:tc>
          <w:tcPr>
            <w:tcW w:w="153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sidRPr="00901458">
              <w:rPr>
                <w:sz w:val="20"/>
                <w:szCs w:val="20"/>
              </w:rPr>
              <w:t>99.61</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255</w:t>
            </w:r>
          </w:p>
        </w:tc>
        <w:tc>
          <w:tcPr>
            <w:tcW w:w="117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1</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256</w:t>
            </w:r>
          </w:p>
        </w:tc>
      </w:tr>
      <w:tr w:rsidR="0090769D" w:rsidTr="00E246B1">
        <w:trPr>
          <w:jc w:val="center"/>
        </w:trPr>
        <w:tc>
          <w:tcPr>
            <w:tcW w:w="261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both"/>
              <w:rPr>
                <w:sz w:val="20"/>
                <w:szCs w:val="20"/>
              </w:rPr>
            </w:pPr>
            <w:r>
              <w:rPr>
                <w:sz w:val="20"/>
                <w:szCs w:val="20"/>
              </w:rPr>
              <w:t>MPS</w:t>
            </w:r>
          </w:p>
        </w:tc>
        <w:tc>
          <w:tcPr>
            <w:tcW w:w="153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sidRPr="00901458">
              <w:rPr>
                <w:sz w:val="20"/>
                <w:szCs w:val="20"/>
              </w:rPr>
              <w:t>50.00</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7</w:t>
            </w:r>
          </w:p>
        </w:tc>
        <w:tc>
          <w:tcPr>
            <w:tcW w:w="117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8</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15</w:t>
            </w:r>
          </w:p>
        </w:tc>
      </w:tr>
      <w:tr w:rsidR="0090769D" w:rsidTr="00E246B1">
        <w:trPr>
          <w:jc w:val="center"/>
        </w:trPr>
        <w:tc>
          <w:tcPr>
            <w:tcW w:w="261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both"/>
              <w:rPr>
                <w:sz w:val="20"/>
                <w:szCs w:val="20"/>
              </w:rPr>
            </w:pPr>
            <w:r>
              <w:rPr>
                <w:sz w:val="20"/>
                <w:szCs w:val="20"/>
              </w:rPr>
              <w:t>Total</w:t>
            </w:r>
          </w:p>
        </w:tc>
        <w:tc>
          <w:tcPr>
            <w:tcW w:w="153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sidRPr="00901458">
              <w:rPr>
                <w:sz w:val="20"/>
                <w:szCs w:val="20"/>
              </w:rPr>
              <w:t>95.80</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262</w:t>
            </w:r>
          </w:p>
        </w:tc>
        <w:tc>
          <w:tcPr>
            <w:tcW w:w="117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9</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271</w:t>
            </w:r>
          </w:p>
        </w:tc>
      </w:tr>
      <w:tr w:rsidR="0090769D" w:rsidTr="00E246B1">
        <w:trPr>
          <w:jc w:val="center"/>
        </w:trPr>
        <w:tc>
          <w:tcPr>
            <w:tcW w:w="261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r w:rsidRPr="00F63829">
              <w:rPr>
                <w:sz w:val="20"/>
                <w:szCs w:val="20"/>
              </w:rPr>
              <w:t>Backward Stepwise Mode</w:t>
            </w:r>
          </w:p>
        </w:tc>
        <w:tc>
          <w:tcPr>
            <w:tcW w:w="153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17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c>
          <w:tcPr>
            <w:tcW w:w="1260" w:type="dxa"/>
            <w:tcBorders>
              <w:top w:val="nil"/>
              <w:left w:val="nil"/>
              <w:bottom w:val="nil"/>
              <w:right w:val="nil"/>
            </w:tcBorders>
          </w:tcPr>
          <w:p w:rsidR="0090769D" w:rsidRDefault="0090769D" w:rsidP="00F9654B">
            <w:pPr>
              <w:autoSpaceDE w:val="0"/>
              <w:autoSpaceDN w:val="0"/>
              <w:adjustRightInd w:val="0"/>
              <w:spacing w:after="0" w:line="240" w:lineRule="auto"/>
              <w:jc w:val="both"/>
              <w:rPr>
                <w:b/>
                <w:sz w:val="20"/>
                <w:szCs w:val="20"/>
              </w:rPr>
            </w:pPr>
          </w:p>
        </w:tc>
      </w:tr>
      <w:tr w:rsidR="0090769D" w:rsidTr="00E246B1">
        <w:trPr>
          <w:jc w:val="center"/>
        </w:trPr>
        <w:tc>
          <w:tcPr>
            <w:tcW w:w="261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both"/>
              <w:rPr>
                <w:sz w:val="20"/>
                <w:szCs w:val="20"/>
              </w:rPr>
            </w:pPr>
            <w:r w:rsidRPr="00901458">
              <w:rPr>
                <w:sz w:val="20"/>
                <w:szCs w:val="20"/>
              </w:rPr>
              <w:t>LPS</w:t>
            </w:r>
          </w:p>
        </w:tc>
        <w:tc>
          <w:tcPr>
            <w:tcW w:w="153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99.60</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255</w:t>
            </w:r>
          </w:p>
        </w:tc>
        <w:tc>
          <w:tcPr>
            <w:tcW w:w="117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1</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256</w:t>
            </w:r>
          </w:p>
        </w:tc>
      </w:tr>
      <w:tr w:rsidR="0090769D" w:rsidTr="00E246B1">
        <w:trPr>
          <w:jc w:val="center"/>
        </w:trPr>
        <w:tc>
          <w:tcPr>
            <w:tcW w:w="261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both"/>
              <w:rPr>
                <w:sz w:val="20"/>
                <w:szCs w:val="20"/>
              </w:rPr>
            </w:pPr>
            <w:r w:rsidRPr="00901458">
              <w:rPr>
                <w:sz w:val="20"/>
                <w:szCs w:val="20"/>
              </w:rPr>
              <w:t>MPS</w:t>
            </w:r>
          </w:p>
        </w:tc>
        <w:tc>
          <w:tcPr>
            <w:tcW w:w="153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55.50</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6</w:t>
            </w:r>
          </w:p>
        </w:tc>
        <w:tc>
          <w:tcPr>
            <w:tcW w:w="117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9</w:t>
            </w:r>
          </w:p>
        </w:tc>
        <w:tc>
          <w:tcPr>
            <w:tcW w:w="1260" w:type="dxa"/>
            <w:tcBorders>
              <w:top w:val="nil"/>
              <w:left w:val="nil"/>
              <w:bottom w:val="nil"/>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15</w:t>
            </w:r>
          </w:p>
        </w:tc>
      </w:tr>
      <w:tr w:rsidR="0090769D" w:rsidTr="00E246B1">
        <w:trPr>
          <w:jc w:val="center"/>
        </w:trPr>
        <w:tc>
          <w:tcPr>
            <w:tcW w:w="2610" w:type="dxa"/>
            <w:tcBorders>
              <w:top w:val="nil"/>
              <w:left w:val="nil"/>
              <w:bottom w:val="single" w:sz="4" w:space="0" w:color="auto"/>
              <w:right w:val="nil"/>
            </w:tcBorders>
          </w:tcPr>
          <w:p w:rsidR="0090769D" w:rsidRPr="00901458" w:rsidRDefault="0090769D" w:rsidP="00E246B1">
            <w:pPr>
              <w:autoSpaceDE w:val="0"/>
              <w:autoSpaceDN w:val="0"/>
              <w:adjustRightInd w:val="0"/>
              <w:spacing w:after="120" w:line="240" w:lineRule="auto"/>
              <w:jc w:val="both"/>
              <w:rPr>
                <w:sz w:val="20"/>
                <w:szCs w:val="20"/>
              </w:rPr>
            </w:pPr>
            <w:r w:rsidRPr="00901458">
              <w:rPr>
                <w:sz w:val="20"/>
                <w:szCs w:val="20"/>
              </w:rPr>
              <w:t>Total</w:t>
            </w:r>
          </w:p>
        </w:tc>
        <w:tc>
          <w:tcPr>
            <w:tcW w:w="1530" w:type="dxa"/>
            <w:tcBorders>
              <w:top w:val="nil"/>
              <w:left w:val="nil"/>
              <w:bottom w:val="single" w:sz="4" w:space="0" w:color="auto"/>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96.55</w:t>
            </w:r>
          </w:p>
        </w:tc>
        <w:tc>
          <w:tcPr>
            <w:tcW w:w="1260" w:type="dxa"/>
            <w:tcBorders>
              <w:top w:val="nil"/>
              <w:left w:val="nil"/>
              <w:bottom w:val="single" w:sz="4" w:space="0" w:color="auto"/>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261</w:t>
            </w:r>
          </w:p>
        </w:tc>
        <w:tc>
          <w:tcPr>
            <w:tcW w:w="1170" w:type="dxa"/>
            <w:tcBorders>
              <w:top w:val="nil"/>
              <w:left w:val="nil"/>
              <w:bottom w:val="single" w:sz="4" w:space="0" w:color="auto"/>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10</w:t>
            </w:r>
          </w:p>
        </w:tc>
        <w:tc>
          <w:tcPr>
            <w:tcW w:w="1260" w:type="dxa"/>
            <w:tcBorders>
              <w:top w:val="nil"/>
              <w:left w:val="nil"/>
              <w:bottom w:val="single" w:sz="4" w:space="0" w:color="auto"/>
              <w:right w:val="nil"/>
            </w:tcBorders>
          </w:tcPr>
          <w:p w:rsidR="0090769D" w:rsidRPr="00901458" w:rsidRDefault="0090769D" w:rsidP="00F9654B">
            <w:pPr>
              <w:autoSpaceDE w:val="0"/>
              <w:autoSpaceDN w:val="0"/>
              <w:adjustRightInd w:val="0"/>
              <w:spacing w:after="0" w:line="240" w:lineRule="auto"/>
              <w:jc w:val="center"/>
              <w:rPr>
                <w:sz w:val="20"/>
                <w:szCs w:val="20"/>
              </w:rPr>
            </w:pPr>
            <w:r>
              <w:rPr>
                <w:sz w:val="20"/>
                <w:szCs w:val="20"/>
              </w:rPr>
              <w:t>271</w:t>
            </w:r>
          </w:p>
        </w:tc>
      </w:tr>
    </w:tbl>
    <w:p w:rsidR="00FA140B" w:rsidRPr="00E246B1" w:rsidRDefault="00FA140B" w:rsidP="00E246B1">
      <w:pPr>
        <w:spacing w:before="120" w:after="0" w:line="240" w:lineRule="auto"/>
        <w:ind w:firstLine="810"/>
        <w:jc w:val="both"/>
        <w:rPr>
          <w:rFonts w:ascii="Times New Roman" w:hAnsi="Times New Roman"/>
          <w:sz w:val="18"/>
          <w:szCs w:val="18"/>
        </w:rPr>
      </w:pPr>
      <w:r w:rsidRPr="00E246B1">
        <w:rPr>
          <w:rFonts w:ascii="Times New Roman" w:hAnsi="Times New Roman"/>
          <w:sz w:val="18"/>
          <w:szCs w:val="18"/>
        </w:rPr>
        <w:t xml:space="preserve">LPS – Low Polluted Site, MPS – Moderate Polluted Site </w:t>
      </w:r>
    </w:p>
    <w:p w:rsidR="00FA140B" w:rsidRDefault="00FA140B" w:rsidP="00FA140B">
      <w:pPr>
        <w:autoSpaceDE w:val="0"/>
        <w:autoSpaceDN w:val="0"/>
        <w:adjustRightInd w:val="0"/>
        <w:spacing w:after="0" w:line="240" w:lineRule="auto"/>
        <w:jc w:val="both"/>
        <w:rPr>
          <w:rFonts w:ascii="Times New Roman" w:hAnsi="Times New Roman"/>
          <w:b/>
          <w:sz w:val="20"/>
          <w:szCs w:val="20"/>
        </w:rPr>
      </w:pPr>
    </w:p>
    <w:p w:rsidR="00E246B1" w:rsidRPr="00FA140B" w:rsidRDefault="00E246B1" w:rsidP="00FA140B">
      <w:pPr>
        <w:autoSpaceDE w:val="0"/>
        <w:autoSpaceDN w:val="0"/>
        <w:adjustRightInd w:val="0"/>
        <w:spacing w:after="0" w:line="240" w:lineRule="auto"/>
        <w:jc w:val="both"/>
        <w:rPr>
          <w:rFonts w:ascii="Times New Roman" w:hAnsi="Times New Roman"/>
          <w:b/>
          <w:sz w:val="20"/>
          <w:szCs w:val="20"/>
        </w:rPr>
      </w:pPr>
    </w:p>
    <w:p w:rsidR="00FA140B" w:rsidRPr="00FA140B" w:rsidRDefault="00FA140B" w:rsidP="00FA140B">
      <w:pPr>
        <w:autoSpaceDE w:val="0"/>
        <w:autoSpaceDN w:val="0"/>
        <w:adjustRightInd w:val="0"/>
        <w:spacing w:after="0" w:line="240" w:lineRule="auto"/>
        <w:jc w:val="both"/>
        <w:outlineLvl w:val="0"/>
        <w:rPr>
          <w:rFonts w:ascii="Times New Roman" w:hAnsi="Times New Roman"/>
          <w:b/>
          <w:sz w:val="20"/>
          <w:szCs w:val="20"/>
        </w:rPr>
      </w:pPr>
      <w:r w:rsidRPr="00FA140B">
        <w:rPr>
          <w:rFonts w:ascii="Times New Roman" w:hAnsi="Times New Roman"/>
          <w:b/>
          <w:sz w:val="20"/>
          <w:szCs w:val="20"/>
        </w:rPr>
        <w:t>Principal component analysis/factor (Source Identification)</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lang w:val="en-MY"/>
        </w:rPr>
      </w:pPr>
      <w:r w:rsidRPr="00FA140B">
        <w:rPr>
          <w:rFonts w:ascii="Times New Roman" w:hAnsi="Times New Roman"/>
          <w:sz w:val="20"/>
          <w:szCs w:val="20"/>
        </w:rPr>
        <w:t xml:space="preserve">In case of spatial variation, PCA/FA was applied on the 13 variables of the river water quality, in order to identify the latent pollution sources. An eigenvalue 1 or greater are considered significant [35]. Five varifactors with eigenvalues &gt;1 were obtained (Figure 3) which explain 72.21% </w:t>
      </w:r>
      <w:r w:rsidRPr="00FA140B">
        <w:rPr>
          <w:rFonts w:ascii="Times New Roman" w:hAnsi="Times New Roman"/>
          <w:sz w:val="20"/>
          <w:szCs w:val="20"/>
          <w:lang w:val="en-MY"/>
        </w:rPr>
        <w:t xml:space="preserve">of the variance in data sets </w:t>
      </w:r>
      <w:r w:rsidR="009317AF">
        <w:rPr>
          <w:rFonts w:ascii="Times New Roman" w:hAnsi="Times New Roman"/>
          <w:sz w:val="20"/>
          <w:szCs w:val="20"/>
        </w:rPr>
        <w:t>(Table 3</w:t>
      </w:r>
      <w:r w:rsidRPr="00FA140B">
        <w:rPr>
          <w:rFonts w:ascii="Times New Roman" w:hAnsi="Times New Roman"/>
          <w:sz w:val="20"/>
          <w:szCs w:val="20"/>
        </w:rPr>
        <w:t>)</w:t>
      </w:r>
      <w:r w:rsidRPr="00FA140B">
        <w:rPr>
          <w:rFonts w:ascii="Times New Roman" w:hAnsi="Times New Roman"/>
          <w:sz w:val="20"/>
          <w:szCs w:val="20"/>
          <w:lang w:val="en-MY"/>
        </w:rPr>
        <w:t>, where a correlation greater than 0.75 is considered “strong”; 0.75-0.50, “moderate”; and 0.50-0.30, as “weak” significant factor loading [36].</w:t>
      </w:r>
    </w:p>
    <w:p w:rsidR="00FA140B" w:rsidRPr="00FA140B" w:rsidRDefault="00FA140B" w:rsidP="00FA140B">
      <w:pPr>
        <w:autoSpaceDE w:val="0"/>
        <w:autoSpaceDN w:val="0"/>
        <w:adjustRightInd w:val="0"/>
        <w:spacing w:after="0" w:line="240" w:lineRule="auto"/>
        <w:jc w:val="both"/>
        <w:rPr>
          <w:rFonts w:ascii="Times New Roman" w:hAnsi="Times New Roman"/>
          <w:sz w:val="20"/>
          <w:szCs w:val="20"/>
          <w:lang w:val="en-MY"/>
        </w:rPr>
      </w:pPr>
    </w:p>
    <w:p w:rsidR="00FA140B" w:rsidRPr="00FA140B" w:rsidRDefault="00FA140B" w:rsidP="00FA140B">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The first varifactor explained 21.85% of the total variance with strong positive loading on NH</w:t>
      </w:r>
      <w:r w:rsidRPr="00FA140B">
        <w:rPr>
          <w:rFonts w:ascii="Times New Roman" w:hAnsi="Times New Roman"/>
          <w:sz w:val="20"/>
          <w:szCs w:val="20"/>
          <w:vertAlign w:val="subscript"/>
        </w:rPr>
        <w:t>3</w:t>
      </w:r>
      <w:r w:rsidRPr="00FA140B">
        <w:rPr>
          <w:rFonts w:ascii="Times New Roman" w:hAnsi="Times New Roman"/>
          <w:sz w:val="20"/>
          <w:szCs w:val="20"/>
        </w:rPr>
        <w:t>-NL and PO</w:t>
      </w:r>
      <w:r w:rsidRPr="00FA140B">
        <w:rPr>
          <w:rFonts w:ascii="Times New Roman" w:hAnsi="Times New Roman"/>
          <w:sz w:val="20"/>
          <w:szCs w:val="20"/>
          <w:vertAlign w:val="subscript"/>
        </w:rPr>
        <w:t xml:space="preserve">4 </w:t>
      </w:r>
      <w:r w:rsidR="009317AF">
        <w:rPr>
          <w:rFonts w:ascii="Times New Roman" w:hAnsi="Times New Roman"/>
          <w:sz w:val="20"/>
          <w:szCs w:val="20"/>
        </w:rPr>
        <w:t>(Table 3</w:t>
      </w:r>
      <w:bookmarkStart w:id="0" w:name="_GoBack"/>
      <w:bookmarkEnd w:id="0"/>
      <w:r w:rsidRPr="00FA140B">
        <w:rPr>
          <w:rFonts w:ascii="Times New Roman" w:hAnsi="Times New Roman"/>
          <w:sz w:val="20"/>
          <w:szCs w:val="20"/>
        </w:rPr>
        <w:t>). These factors represent the contribution of anthropogenic activities in the environment. The presence of PO</w:t>
      </w:r>
      <w:r w:rsidRPr="00FA140B">
        <w:rPr>
          <w:rFonts w:ascii="Times New Roman" w:hAnsi="Times New Roman"/>
          <w:sz w:val="20"/>
          <w:szCs w:val="20"/>
          <w:vertAlign w:val="subscript"/>
        </w:rPr>
        <w:t>4</w:t>
      </w:r>
      <w:r w:rsidRPr="00FA140B">
        <w:rPr>
          <w:rFonts w:ascii="Times New Roman" w:hAnsi="Times New Roman"/>
          <w:sz w:val="20"/>
          <w:szCs w:val="20"/>
        </w:rPr>
        <w:t xml:space="preserve"> originate from fertilizer application in the farms, agricultural land use strongly influences stream phosphorus. PO</w:t>
      </w:r>
      <w:r w:rsidRPr="00FA140B">
        <w:rPr>
          <w:rFonts w:ascii="Times New Roman" w:hAnsi="Times New Roman"/>
          <w:sz w:val="20"/>
          <w:szCs w:val="20"/>
          <w:vertAlign w:val="subscript"/>
        </w:rPr>
        <w:t>4</w:t>
      </w:r>
      <w:r w:rsidRPr="00FA140B">
        <w:rPr>
          <w:rFonts w:ascii="Times New Roman" w:hAnsi="Times New Roman"/>
          <w:sz w:val="20"/>
          <w:szCs w:val="20"/>
        </w:rPr>
        <w:t xml:space="preserve"> come from both point source and non-point source. NH</w:t>
      </w:r>
      <w:r w:rsidRPr="00FA140B">
        <w:rPr>
          <w:rFonts w:ascii="Times New Roman" w:hAnsi="Times New Roman"/>
          <w:sz w:val="20"/>
          <w:szCs w:val="20"/>
          <w:vertAlign w:val="subscript"/>
        </w:rPr>
        <w:t>3</w:t>
      </w:r>
      <w:r w:rsidRPr="00FA140B">
        <w:rPr>
          <w:rFonts w:ascii="Times New Roman" w:hAnsi="Times New Roman"/>
          <w:sz w:val="20"/>
          <w:szCs w:val="20"/>
        </w:rPr>
        <w:t>-NL indicates the contribution of organic pollution from domestic waste and agricultural areas.</w:t>
      </w:r>
    </w:p>
    <w:p w:rsidR="00FA140B" w:rsidRPr="00FA140B" w:rsidRDefault="00FA140B" w:rsidP="00FA140B">
      <w:pPr>
        <w:tabs>
          <w:tab w:val="left" w:pos="5865"/>
        </w:tabs>
        <w:autoSpaceDE w:val="0"/>
        <w:autoSpaceDN w:val="0"/>
        <w:adjustRightInd w:val="0"/>
        <w:spacing w:after="0" w:line="240" w:lineRule="auto"/>
        <w:jc w:val="both"/>
        <w:rPr>
          <w:rFonts w:ascii="Times New Roman" w:hAnsi="Times New Roman"/>
          <w:sz w:val="20"/>
          <w:szCs w:val="20"/>
        </w:rPr>
      </w:pPr>
    </w:p>
    <w:p w:rsidR="00E80AD7" w:rsidRDefault="00E80AD7" w:rsidP="00E80AD7">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The VF2 explained 19.85% of the total variance have strong positive loading factor on suspended solid, turbidity and moderate loading on NO</w:t>
      </w:r>
      <w:r w:rsidRPr="00FA140B">
        <w:rPr>
          <w:rFonts w:ascii="Times New Roman" w:hAnsi="Times New Roman"/>
          <w:sz w:val="20"/>
          <w:szCs w:val="20"/>
          <w:vertAlign w:val="subscript"/>
        </w:rPr>
        <w:t>3</w:t>
      </w:r>
      <w:r w:rsidRPr="00FA140B">
        <w:rPr>
          <w:rFonts w:ascii="Times New Roman" w:hAnsi="Times New Roman"/>
          <w:sz w:val="20"/>
          <w:szCs w:val="20"/>
        </w:rPr>
        <w:t>. This element clarifies the anthropogenic activities on the encompassing ranges by the physiochemical wellspring of variability [7]. This is evident as farmers practicing rubber plantation and palm oil plantation around the area. In these areas farmers utilizes nitrogenous compost, which experience nitrification forms, and the waterways get nitrate nitrogen by means of ground water draining. However, strong positive loading of turbidity with moderate loading of NO</w:t>
      </w:r>
      <w:r w:rsidRPr="00FA140B">
        <w:rPr>
          <w:rFonts w:ascii="Times New Roman" w:hAnsi="Times New Roman"/>
          <w:sz w:val="20"/>
          <w:szCs w:val="20"/>
          <w:vertAlign w:val="subscript"/>
        </w:rPr>
        <w:t>3</w:t>
      </w:r>
      <w:r w:rsidRPr="00FA140B">
        <w:rPr>
          <w:rFonts w:ascii="Times New Roman" w:hAnsi="Times New Roman"/>
          <w:sz w:val="20"/>
          <w:szCs w:val="20"/>
        </w:rPr>
        <w:t xml:space="preserve"> shows association of river runoff from agricultural field alongside waste transfer movement [37].</w:t>
      </w:r>
    </w:p>
    <w:p w:rsidR="00FA140B" w:rsidRPr="00FA140B" w:rsidRDefault="00E80AD7" w:rsidP="00E80AD7">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noProof/>
          <w:sz w:val="20"/>
          <w:szCs w:val="20"/>
          <w:lang w:bidi="ar-SA"/>
        </w:rPr>
        <w:lastRenderedPageBreak/>
        <w:drawing>
          <wp:anchor distT="0" distB="0" distL="114300" distR="114300" simplePos="0" relativeHeight="251659776" behindDoc="0" locked="0" layoutInCell="1" allowOverlap="1" wp14:anchorId="377C52C1" wp14:editId="377F9A12">
            <wp:simplePos x="0" y="0"/>
            <wp:positionH relativeFrom="column">
              <wp:posOffset>142875</wp:posOffset>
            </wp:positionH>
            <wp:positionV relativeFrom="paragraph">
              <wp:posOffset>88900</wp:posOffset>
            </wp:positionV>
            <wp:extent cx="5619750" cy="3524250"/>
            <wp:effectExtent l="0" t="0" r="19050" b="19050"/>
            <wp:wrapSquare wrapText="bothSides"/>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A140B" w:rsidRPr="00FA140B" w:rsidRDefault="00FA140B" w:rsidP="00E80AD7">
      <w:pPr>
        <w:spacing w:after="0" w:line="240" w:lineRule="auto"/>
        <w:jc w:val="center"/>
        <w:outlineLvl w:val="0"/>
        <w:rPr>
          <w:rFonts w:ascii="Times New Roman" w:hAnsi="Times New Roman"/>
          <w:color w:val="000000"/>
          <w:sz w:val="20"/>
          <w:szCs w:val="20"/>
        </w:rPr>
      </w:pPr>
      <w:r w:rsidRPr="00FA140B">
        <w:rPr>
          <w:rFonts w:ascii="Times New Roman" w:hAnsi="Times New Roman"/>
          <w:color w:val="000000"/>
          <w:sz w:val="20"/>
          <w:szCs w:val="20"/>
        </w:rPr>
        <w:t>Figure 3. Scree plot showing the eigenvalues</w:t>
      </w:r>
    </w:p>
    <w:p w:rsidR="00FA140B" w:rsidRDefault="00FA140B" w:rsidP="00FA140B">
      <w:pPr>
        <w:spacing w:after="0" w:line="240" w:lineRule="auto"/>
        <w:jc w:val="both"/>
        <w:outlineLvl w:val="0"/>
        <w:rPr>
          <w:rFonts w:ascii="Times New Roman" w:hAnsi="Times New Roman"/>
          <w:color w:val="000000"/>
          <w:sz w:val="20"/>
          <w:szCs w:val="20"/>
        </w:rPr>
      </w:pPr>
    </w:p>
    <w:p w:rsidR="00E80AD7" w:rsidRDefault="00E80AD7" w:rsidP="00FA140B">
      <w:pPr>
        <w:spacing w:after="0" w:line="240" w:lineRule="auto"/>
        <w:jc w:val="both"/>
        <w:outlineLvl w:val="0"/>
        <w:rPr>
          <w:rFonts w:ascii="Times New Roman" w:hAnsi="Times New Roman"/>
          <w:color w:val="000000"/>
          <w:sz w:val="20"/>
          <w:szCs w:val="20"/>
        </w:rPr>
      </w:pPr>
    </w:p>
    <w:p w:rsidR="00E80AD7" w:rsidRPr="00FA140B" w:rsidRDefault="00E80AD7" w:rsidP="00FA140B">
      <w:pPr>
        <w:spacing w:after="0" w:line="240" w:lineRule="auto"/>
        <w:jc w:val="both"/>
        <w:outlineLvl w:val="0"/>
        <w:rPr>
          <w:rFonts w:ascii="Times New Roman" w:hAnsi="Times New Roman"/>
          <w:color w:val="000000"/>
          <w:sz w:val="20"/>
          <w:szCs w:val="20"/>
        </w:rPr>
      </w:pPr>
    </w:p>
    <w:p w:rsidR="00FA140B" w:rsidRPr="00E80AD7" w:rsidRDefault="009317AF" w:rsidP="00E80AD7">
      <w:pPr>
        <w:spacing w:after="120" w:line="240" w:lineRule="auto"/>
        <w:jc w:val="center"/>
        <w:outlineLvl w:val="0"/>
        <w:rPr>
          <w:rFonts w:ascii="Times New Roman" w:hAnsi="Times New Roman"/>
          <w:color w:val="000000"/>
          <w:sz w:val="20"/>
          <w:szCs w:val="20"/>
        </w:rPr>
      </w:pPr>
      <w:r>
        <w:rPr>
          <w:rFonts w:ascii="Times New Roman" w:hAnsi="Times New Roman"/>
          <w:color w:val="000000"/>
          <w:sz w:val="20"/>
          <w:szCs w:val="20"/>
        </w:rPr>
        <w:t>Table 3</w:t>
      </w:r>
      <w:r w:rsidR="00FA140B" w:rsidRPr="00FA140B">
        <w:rPr>
          <w:rFonts w:ascii="Times New Roman" w:hAnsi="Times New Roman"/>
          <w:color w:val="000000"/>
          <w:sz w:val="20"/>
          <w:szCs w:val="20"/>
        </w:rPr>
        <w:t xml:space="preserve">. </w:t>
      </w:r>
      <w:r w:rsidR="00E80AD7">
        <w:rPr>
          <w:rFonts w:ascii="Times New Roman" w:hAnsi="Times New Roman"/>
          <w:color w:val="000000"/>
          <w:sz w:val="20"/>
          <w:szCs w:val="20"/>
        </w:rPr>
        <w:t xml:space="preserve"> </w:t>
      </w:r>
      <w:r w:rsidR="00FA140B" w:rsidRPr="00FA140B">
        <w:rPr>
          <w:rFonts w:ascii="Times New Roman" w:hAnsi="Times New Roman"/>
          <w:color w:val="000000"/>
          <w:sz w:val="20"/>
          <w:szCs w:val="20"/>
        </w:rPr>
        <w:t>Factor loadings after Varimax rotation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175"/>
      </w:tblGrid>
      <w:tr w:rsidR="00FA140B" w:rsidRPr="00FA140B" w:rsidTr="00E80AD7">
        <w:trPr>
          <w:jc w:val="center"/>
        </w:trPr>
        <w:tc>
          <w:tcPr>
            <w:tcW w:w="1540"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Variables</w:t>
            </w:r>
          </w:p>
        </w:tc>
        <w:tc>
          <w:tcPr>
            <w:tcW w:w="1540"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VF1</w:t>
            </w:r>
          </w:p>
        </w:tc>
        <w:tc>
          <w:tcPr>
            <w:tcW w:w="1540"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VF2</w:t>
            </w:r>
          </w:p>
        </w:tc>
        <w:tc>
          <w:tcPr>
            <w:tcW w:w="1540"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 xml:space="preserve"> VF3</w:t>
            </w:r>
          </w:p>
        </w:tc>
        <w:tc>
          <w:tcPr>
            <w:tcW w:w="1541"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VF4</w:t>
            </w:r>
          </w:p>
        </w:tc>
        <w:tc>
          <w:tcPr>
            <w:tcW w:w="1175" w:type="dxa"/>
            <w:tcBorders>
              <w:top w:val="single" w:sz="4" w:space="0" w:color="auto"/>
              <w:bottom w:val="single" w:sz="4" w:space="0" w:color="auto"/>
            </w:tcBorders>
          </w:tcPr>
          <w:p w:rsidR="00FA140B" w:rsidRPr="00FA140B" w:rsidRDefault="00FA140B" w:rsidP="00E80AD7">
            <w:pPr>
              <w:spacing w:before="120" w:after="120" w:line="240" w:lineRule="auto"/>
              <w:jc w:val="both"/>
              <w:rPr>
                <w:b/>
                <w:sz w:val="20"/>
                <w:szCs w:val="20"/>
              </w:rPr>
            </w:pPr>
            <w:r w:rsidRPr="00FA140B">
              <w:rPr>
                <w:b/>
                <w:sz w:val="20"/>
                <w:szCs w:val="20"/>
              </w:rPr>
              <w:t>VF5</w:t>
            </w:r>
          </w:p>
        </w:tc>
      </w:tr>
      <w:tr w:rsidR="00FA140B" w:rsidRPr="00FA140B" w:rsidTr="00E80AD7">
        <w:trPr>
          <w:jc w:val="center"/>
        </w:trPr>
        <w:tc>
          <w:tcPr>
            <w:tcW w:w="1540" w:type="dxa"/>
            <w:tcBorders>
              <w:top w:val="single" w:sz="4" w:space="0" w:color="auto"/>
            </w:tcBorders>
          </w:tcPr>
          <w:p w:rsidR="00FA140B" w:rsidRPr="00FA140B" w:rsidRDefault="00FA140B" w:rsidP="00E80AD7">
            <w:pPr>
              <w:spacing w:before="120" w:after="0" w:line="240" w:lineRule="auto"/>
              <w:jc w:val="both"/>
              <w:rPr>
                <w:sz w:val="20"/>
                <w:szCs w:val="20"/>
              </w:rPr>
            </w:pPr>
            <w:r w:rsidRPr="00FA140B">
              <w:rPr>
                <w:sz w:val="20"/>
                <w:szCs w:val="20"/>
              </w:rPr>
              <w:t>DO</w:t>
            </w:r>
          </w:p>
        </w:tc>
        <w:tc>
          <w:tcPr>
            <w:tcW w:w="1540" w:type="dxa"/>
            <w:tcBorders>
              <w:top w:val="single" w:sz="4" w:space="0" w:color="auto"/>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-0.407</w:t>
            </w:r>
          </w:p>
        </w:tc>
        <w:tc>
          <w:tcPr>
            <w:tcW w:w="1540" w:type="dxa"/>
            <w:tcBorders>
              <w:top w:val="single" w:sz="4" w:space="0" w:color="auto"/>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0.283</w:t>
            </w:r>
          </w:p>
        </w:tc>
        <w:tc>
          <w:tcPr>
            <w:tcW w:w="1540" w:type="dxa"/>
            <w:tcBorders>
              <w:top w:val="single" w:sz="4" w:space="0" w:color="auto"/>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-0.145</w:t>
            </w:r>
          </w:p>
        </w:tc>
        <w:tc>
          <w:tcPr>
            <w:tcW w:w="1541" w:type="dxa"/>
            <w:tcBorders>
              <w:top w:val="single" w:sz="4" w:space="0" w:color="auto"/>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0.011</w:t>
            </w:r>
          </w:p>
        </w:tc>
        <w:tc>
          <w:tcPr>
            <w:tcW w:w="1175" w:type="dxa"/>
            <w:tcBorders>
              <w:top w:val="single" w:sz="4" w:space="0" w:color="auto"/>
            </w:tcBorders>
            <w:vAlign w:val="bottom"/>
          </w:tcPr>
          <w:p w:rsidR="00FA140B" w:rsidRPr="00FA140B" w:rsidRDefault="00FA140B" w:rsidP="00E80AD7">
            <w:pPr>
              <w:spacing w:before="120" w:after="0" w:line="240" w:lineRule="auto"/>
              <w:jc w:val="both"/>
              <w:rPr>
                <w:b/>
                <w:bCs/>
                <w:color w:val="000000"/>
                <w:sz w:val="20"/>
                <w:szCs w:val="20"/>
              </w:rPr>
            </w:pPr>
            <w:r w:rsidRPr="00FA140B">
              <w:rPr>
                <w:b/>
                <w:bCs/>
                <w:color w:val="000000"/>
                <w:sz w:val="20"/>
                <w:szCs w:val="20"/>
              </w:rPr>
              <w:t>0.600</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BOD</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0.070</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0.037</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0.975</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0.056</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-0.018</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COD</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0.119</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0.101</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0.966</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0.084</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-0.015</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SS</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-0.064</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0.784</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0.146</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0.087</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-0.058</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pH</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0.074</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-0.073</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0.035</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0.029</w:t>
            </w:r>
          </w:p>
        </w:tc>
        <w:tc>
          <w:tcPr>
            <w:tcW w:w="1175"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0.883</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NH</w:t>
            </w:r>
            <w:r w:rsidRPr="00FA140B">
              <w:rPr>
                <w:sz w:val="20"/>
                <w:szCs w:val="20"/>
                <w:vertAlign w:val="subscript"/>
              </w:rPr>
              <w:t>3</w:t>
            </w:r>
            <w:r w:rsidRPr="00FA140B">
              <w:rPr>
                <w:sz w:val="20"/>
                <w:szCs w:val="20"/>
              </w:rPr>
              <w:t>-NL</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0.837</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-0.076</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0.219</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0.040</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-0.224</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Temperature</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-0.120</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-0.453</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0.010</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0.018</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-0.334</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Conductivity</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0.488</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-0.011</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0.063</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-0.022</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-0.671</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Turbidity</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-0.057</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0.808</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0.171</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0.107</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0.017</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NO</w:t>
            </w:r>
            <w:r w:rsidRPr="00FA140B">
              <w:rPr>
                <w:sz w:val="20"/>
                <w:szCs w:val="20"/>
                <w:vertAlign w:val="subscript"/>
              </w:rPr>
              <w:t>3</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-0.046</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0.626</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-0.126</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0.169</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0.044</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PO</w:t>
            </w:r>
            <w:r w:rsidRPr="00FA140B">
              <w:rPr>
                <w:sz w:val="20"/>
                <w:szCs w:val="20"/>
                <w:vertAlign w:val="subscript"/>
              </w:rPr>
              <w:t>4</w:t>
            </w:r>
          </w:p>
        </w:tc>
        <w:tc>
          <w:tcPr>
            <w:tcW w:w="1540"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0.887</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-0.007</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0.041</w:t>
            </w:r>
          </w:p>
        </w:tc>
        <w:tc>
          <w:tcPr>
            <w:tcW w:w="1541"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-0.053</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0.075</w:t>
            </w:r>
          </w:p>
        </w:tc>
      </w:tr>
      <w:tr w:rsidR="00FA140B" w:rsidRPr="00FA140B" w:rsidTr="00E80AD7">
        <w:trPr>
          <w:jc w:val="center"/>
        </w:trPr>
        <w:tc>
          <w:tcPr>
            <w:tcW w:w="1540" w:type="dxa"/>
          </w:tcPr>
          <w:p w:rsidR="00FA140B" w:rsidRPr="00FA140B" w:rsidRDefault="00FA140B" w:rsidP="00FA140B">
            <w:pPr>
              <w:spacing w:after="0" w:line="240" w:lineRule="auto"/>
              <w:jc w:val="both"/>
              <w:rPr>
                <w:sz w:val="20"/>
                <w:szCs w:val="20"/>
              </w:rPr>
            </w:pPr>
            <w:r w:rsidRPr="00FA140B">
              <w:rPr>
                <w:sz w:val="20"/>
                <w:szCs w:val="20"/>
              </w:rPr>
              <w:t xml:space="preserve"> E-coli</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-0.017</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-0.018</w:t>
            </w:r>
          </w:p>
        </w:tc>
        <w:tc>
          <w:tcPr>
            <w:tcW w:w="1540"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0.289</w:t>
            </w:r>
          </w:p>
        </w:tc>
        <w:tc>
          <w:tcPr>
            <w:tcW w:w="1541" w:type="dxa"/>
            <w:vAlign w:val="bottom"/>
          </w:tcPr>
          <w:p w:rsidR="00FA140B" w:rsidRPr="00FA140B" w:rsidRDefault="00FA140B" w:rsidP="00FA140B">
            <w:pPr>
              <w:spacing w:after="0" w:line="240" w:lineRule="auto"/>
              <w:jc w:val="both"/>
              <w:rPr>
                <w:b/>
                <w:bCs/>
                <w:color w:val="000000"/>
                <w:sz w:val="20"/>
                <w:szCs w:val="20"/>
              </w:rPr>
            </w:pPr>
            <w:r w:rsidRPr="00FA140B">
              <w:rPr>
                <w:b/>
                <w:bCs/>
                <w:color w:val="000000"/>
                <w:sz w:val="20"/>
                <w:szCs w:val="20"/>
              </w:rPr>
              <w:t>0.847</w:t>
            </w:r>
          </w:p>
        </w:tc>
        <w:tc>
          <w:tcPr>
            <w:tcW w:w="1175" w:type="dxa"/>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0.029</w:t>
            </w:r>
          </w:p>
        </w:tc>
      </w:tr>
      <w:tr w:rsidR="00FA140B" w:rsidRPr="00FA140B" w:rsidTr="00E80AD7">
        <w:trPr>
          <w:jc w:val="center"/>
        </w:trPr>
        <w:tc>
          <w:tcPr>
            <w:tcW w:w="1540" w:type="dxa"/>
            <w:tcBorders>
              <w:bottom w:val="single" w:sz="4" w:space="0" w:color="auto"/>
            </w:tcBorders>
          </w:tcPr>
          <w:p w:rsidR="00FA140B" w:rsidRPr="00FA140B" w:rsidRDefault="00FA140B" w:rsidP="00E80AD7">
            <w:pPr>
              <w:spacing w:after="120" w:line="240" w:lineRule="auto"/>
              <w:jc w:val="both"/>
              <w:rPr>
                <w:sz w:val="20"/>
                <w:szCs w:val="20"/>
              </w:rPr>
            </w:pPr>
            <w:r w:rsidRPr="00FA140B">
              <w:rPr>
                <w:sz w:val="20"/>
                <w:szCs w:val="20"/>
              </w:rPr>
              <w:t xml:space="preserve"> Coliform</w:t>
            </w:r>
          </w:p>
        </w:tc>
        <w:tc>
          <w:tcPr>
            <w:tcW w:w="1540" w:type="dxa"/>
            <w:tcBorders>
              <w:bottom w:val="single" w:sz="4" w:space="0" w:color="auto"/>
            </w:tcBorders>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-0.007</w:t>
            </w:r>
          </w:p>
        </w:tc>
        <w:tc>
          <w:tcPr>
            <w:tcW w:w="1540" w:type="dxa"/>
            <w:tcBorders>
              <w:bottom w:val="single" w:sz="4" w:space="0" w:color="auto"/>
            </w:tcBorders>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0.200</w:t>
            </w:r>
          </w:p>
        </w:tc>
        <w:tc>
          <w:tcPr>
            <w:tcW w:w="1540" w:type="dxa"/>
            <w:tcBorders>
              <w:bottom w:val="single" w:sz="4" w:space="0" w:color="auto"/>
            </w:tcBorders>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-0.061</w:t>
            </w:r>
          </w:p>
        </w:tc>
        <w:tc>
          <w:tcPr>
            <w:tcW w:w="1541" w:type="dxa"/>
            <w:tcBorders>
              <w:bottom w:val="single" w:sz="4" w:space="0" w:color="auto"/>
            </w:tcBorders>
            <w:vAlign w:val="bottom"/>
          </w:tcPr>
          <w:p w:rsidR="00FA140B" w:rsidRPr="00FA140B" w:rsidRDefault="00FA140B" w:rsidP="00E80AD7">
            <w:pPr>
              <w:spacing w:after="120" w:line="240" w:lineRule="auto"/>
              <w:jc w:val="both"/>
              <w:rPr>
                <w:b/>
                <w:bCs/>
                <w:color w:val="000000"/>
                <w:sz w:val="20"/>
                <w:szCs w:val="20"/>
              </w:rPr>
            </w:pPr>
            <w:r w:rsidRPr="00FA140B">
              <w:rPr>
                <w:b/>
                <w:bCs/>
                <w:color w:val="000000"/>
                <w:sz w:val="20"/>
                <w:szCs w:val="20"/>
              </w:rPr>
              <w:t>0.883</w:t>
            </w:r>
          </w:p>
        </w:tc>
        <w:tc>
          <w:tcPr>
            <w:tcW w:w="1175" w:type="dxa"/>
            <w:tcBorders>
              <w:bottom w:val="single" w:sz="4" w:space="0" w:color="auto"/>
            </w:tcBorders>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0.013</w:t>
            </w:r>
          </w:p>
        </w:tc>
      </w:tr>
      <w:tr w:rsidR="00FA140B" w:rsidRPr="00FA140B" w:rsidTr="00E80AD7">
        <w:trPr>
          <w:jc w:val="center"/>
        </w:trPr>
        <w:tc>
          <w:tcPr>
            <w:tcW w:w="1540" w:type="dxa"/>
            <w:tcBorders>
              <w:top w:val="single" w:sz="4" w:space="0" w:color="auto"/>
              <w:bottom w:val="nil"/>
            </w:tcBorders>
          </w:tcPr>
          <w:p w:rsidR="00FA140B" w:rsidRPr="00FA140B" w:rsidRDefault="00FA140B" w:rsidP="00E80AD7">
            <w:pPr>
              <w:spacing w:before="120" w:after="0" w:line="240" w:lineRule="auto"/>
              <w:jc w:val="both"/>
              <w:rPr>
                <w:sz w:val="20"/>
                <w:szCs w:val="20"/>
              </w:rPr>
            </w:pPr>
            <w:r w:rsidRPr="00FA140B">
              <w:rPr>
                <w:sz w:val="20"/>
                <w:szCs w:val="20"/>
              </w:rPr>
              <w:t>Eigenvalue</w:t>
            </w:r>
          </w:p>
        </w:tc>
        <w:tc>
          <w:tcPr>
            <w:tcW w:w="1540" w:type="dxa"/>
            <w:tcBorders>
              <w:top w:val="single" w:sz="4" w:space="0" w:color="auto"/>
              <w:bottom w:val="nil"/>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2.840</w:t>
            </w:r>
          </w:p>
        </w:tc>
        <w:tc>
          <w:tcPr>
            <w:tcW w:w="1540" w:type="dxa"/>
            <w:tcBorders>
              <w:top w:val="single" w:sz="4" w:space="0" w:color="auto"/>
              <w:bottom w:val="nil"/>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2.581</w:t>
            </w:r>
          </w:p>
        </w:tc>
        <w:tc>
          <w:tcPr>
            <w:tcW w:w="1540" w:type="dxa"/>
            <w:tcBorders>
              <w:top w:val="single" w:sz="4" w:space="0" w:color="auto"/>
              <w:bottom w:val="nil"/>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1.493</w:t>
            </w:r>
          </w:p>
        </w:tc>
        <w:tc>
          <w:tcPr>
            <w:tcW w:w="1541" w:type="dxa"/>
            <w:tcBorders>
              <w:top w:val="single" w:sz="4" w:space="0" w:color="auto"/>
              <w:bottom w:val="nil"/>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1.292</w:t>
            </w:r>
          </w:p>
        </w:tc>
        <w:tc>
          <w:tcPr>
            <w:tcW w:w="1175" w:type="dxa"/>
            <w:tcBorders>
              <w:top w:val="single" w:sz="4" w:space="0" w:color="auto"/>
              <w:bottom w:val="nil"/>
            </w:tcBorders>
            <w:vAlign w:val="bottom"/>
          </w:tcPr>
          <w:p w:rsidR="00FA140B" w:rsidRPr="00FA140B" w:rsidRDefault="00FA140B" w:rsidP="00E80AD7">
            <w:pPr>
              <w:spacing w:before="120" w:after="0" w:line="240" w:lineRule="auto"/>
              <w:jc w:val="both"/>
              <w:rPr>
                <w:color w:val="000000"/>
                <w:sz w:val="20"/>
                <w:szCs w:val="20"/>
              </w:rPr>
            </w:pPr>
            <w:r w:rsidRPr="00FA140B">
              <w:rPr>
                <w:color w:val="000000"/>
                <w:sz w:val="20"/>
                <w:szCs w:val="20"/>
              </w:rPr>
              <w:t>1.182</w:t>
            </w:r>
          </w:p>
        </w:tc>
      </w:tr>
      <w:tr w:rsidR="00FA140B" w:rsidRPr="00FA140B" w:rsidTr="00E80AD7">
        <w:trPr>
          <w:jc w:val="center"/>
        </w:trPr>
        <w:tc>
          <w:tcPr>
            <w:tcW w:w="1540" w:type="dxa"/>
            <w:tcBorders>
              <w:top w:val="nil"/>
            </w:tcBorders>
          </w:tcPr>
          <w:p w:rsidR="00FA140B" w:rsidRPr="00FA140B" w:rsidRDefault="00FA140B" w:rsidP="00FA140B">
            <w:pPr>
              <w:spacing w:after="0" w:line="240" w:lineRule="auto"/>
              <w:jc w:val="both"/>
              <w:rPr>
                <w:sz w:val="20"/>
                <w:szCs w:val="20"/>
              </w:rPr>
            </w:pPr>
            <w:r w:rsidRPr="00FA140B">
              <w:rPr>
                <w:sz w:val="20"/>
                <w:szCs w:val="20"/>
              </w:rPr>
              <w:t>Variability %</w:t>
            </w:r>
          </w:p>
        </w:tc>
        <w:tc>
          <w:tcPr>
            <w:tcW w:w="1540" w:type="dxa"/>
            <w:tcBorders>
              <w:top w:val="nil"/>
            </w:tcBorders>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21.847</w:t>
            </w:r>
          </w:p>
        </w:tc>
        <w:tc>
          <w:tcPr>
            <w:tcW w:w="1540" w:type="dxa"/>
            <w:tcBorders>
              <w:top w:val="nil"/>
            </w:tcBorders>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19.852</w:t>
            </w:r>
          </w:p>
        </w:tc>
        <w:tc>
          <w:tcPr>
            <w:tcW w:w="1540" w:type="dxa"/>
            <w:tcBorders>
              <w:top w:val="nil"/>
            </w:tcBorders>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11.484</w:t>
            </w:r>
          </w:p>
        </w:tc>
        <w:tc>
          <w:tcPr>
            <w:tcW w:w="1541" w:type="dxa"/>
            <w:tcBorders>
              <w:top w:val="nil"/>
            </w:tcBorders>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9.940</w:t>
            </w:r>
          </w:p>
        </w:tc>
        <w:tc>
          <w:tcPr>
            <w:tcW w:w="1175" w:type="dxa"/>
            <w:tcBorders>
              <w:top w:val="nil"/>
            </w:tcBorders>
            <w:vAlign w:val="bottom"/>
          </w:tcPr>
          <w:p w:rsidR="00FA140B" w:rsidRPr="00FA140B" w:rsidRDefault="00FA140B" w:rsidP="00FA140B">
            <w:pPr>
              <w:spacing w:after="0" w:line="240" w:lineRule="auto"/>
              <w:jc w:val="both"/>
              <w:rPr>
                <w:color w:val="000000"/>
                <w:sz w:val="20"/>
                <w:szCs w:val="20"/>
              </w:rPr>
            </w:pPr>
            <w:r w:rsidRPr="00FA140B">
              <w:rPr>
                <w:color w:val="000000"/>
                <w:sz w:val="20"/>
                <w:szCs w:val="20"/>
              </w:rPr>
              <w:t>9.090</w:t>
            </w:r>
          </w:p>
        </w:tc>
      </w:tr>
      <w:tr w:rsidR="00FA140B" w:rsidRPr="00FA140B" w:rsidTr="00E80AD7">
        <w:trPr>
          <w:jc w:val="center"/>
        </w:trPr>
        <w:tc>
          <w:tcPr>
            <w:tcW w:w="1540" w:type="dxa"/>
          </w:tcPr>
          <w:p w:rsidR="00FA140B" w:rsidRPr="00FA140B" w:rsidRDefault="00FA140B" w:rsidP="00E80AD7">
            <w:pPr>
              <w:spacing w:after="120" w:line="240" w:lineRule="auto"/>
              <w:jc w:val="both"/>
              <w:rPr>
                <w:sz w:val="20"/>
                <w:szCs w:val="20"/>
              </w:rPr>
            </w:pPr>
            <w:r w:rsidRPr="00FA140B">
              <w:rPr>
                <w:sz w:val="20"/>
                <w:szCs w:val="20"/>
              </w:rPr>
              <w:t>Cumulative%</w:t>
            </w:r>
          </w:p>
        </w:tc>
        <w:tc>
          <w:tcPr>
            <w:tcW w:w="1540" w:type="dxa"/>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21.847</w:t>
            </w:r>
          </w:p>
        </w:tc>
        <w:tc>
          <w:tcPr>
            <w:tcW w:w="1540" w:type="dxa"/>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41.699</w:t>
            </w:r>
          </w:p>
        </w:tc>
        <w:tc>
          <w:tcPr>
            <w:tcW w:w="1540" w:type="dxa"/>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53.183</w:t>
            </w:r>
          </w:p>
        </w:tc>
        <w:tc>
          <w:tcPr>
            <w:tcW w:w="1541" w:type="dxa"/>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63.123</w:t>
            </w:r>
          </w:p>
        </w:tc>
        <w:tc>
          <w:tcPr>
            <w:tcW w:w="1175" w:type="dxa"/>
            <w:vAlign w:val="bottom"/>
          </w:tcPr>
          <w:p w:rsidR="00FA140B" w:rsidRPr="00FA140B" w:rsidRDefault="00FA140B" w:rsidP="00E80AD7">
            <w:pPr>
              <w:spacing w:after="120" w:line="240" w:lineRule="auto"/>
              <w:jc w:val="both"/>
              <w:rPr>
                <w:color w:val="000000"/>
                <w:sz w:val="20"/>
                <w:szCs w:val="20"/>
              </w:rPr>
            </w:pPr>
            <w:r w:rsidRPr="00FA140B">
              <w:rPr>
                <w:color w:val="000000"/>
                <w:sz w:val="20"/>
                <w:szCs w:val="20"/>
              </w:rPr>
              <w:t>72.213</w:t>
            </w:r>
          </w:p>
        </w:tc>
      </w:tr>
    </w:tbl>
    <w:p w:rsidR="00FA140B" w:rsidRPr="00804F29" w:rsidRDefault="00FA140B" w:rsidP="00804F29">
      <w:pPr>
        <w:spacing w:before="120" w:after="0" w:line="240" w:lineRule="auto"/>
        <w:ind w:firstLine="274"/>
        <w:jc w:val="both"/>
        <w:rPr>
          <w:rFonts w:ascii="Times New Roman" w:hAnsi="Times New Roman"/>
          <w:sz w:val="18"/>
          <w:szCs w:val="18"/>
        </w:rPr>
      </w:pPr>
      <w:r w:rsidRPr="00804F29">
        <w:rPr>
          <w:rFonts w:ascii="Times New Roman" w:hAnsi="Times New Roman"/>
          <w:sz w:val="18"/>
          <w:szCs w:val="18"/>
        </w:rPr>
        <w:t>Bold indicate strong and moderate factor loading</w:t>
      </w:r>
    </w:p>
    <w:p w:rsidR="006768E9" w:rsidRDefault="006768E9" w:rsidP="00FA140B">
      <w:pPr>
        <w:spacing w:after="0" w:line="240" w:lineRule="auto"/>
        <w:jc w:val="center"/>
        <w:rPr>
          <w:rFonts w:ascii="Times New Roman" w:hAnsi="Times New Roman"/>
          <w:noProof/>
          <w:sz w:val="20"/>
          <w:szCs w:val="20"/>
          <w:lang w:bidi="ar-SA"/>
        </w:rPr>
      </w:pPr>
    </w:p>
    <w:p w:rsidR="00E80AD7" w:rsidRPr="00FA140B" w:rsidRDefault="00E80AD7" w:rsidP="00E80AD7">
      <w:pPr>
        <w:autoSpaceDE w:val="0"/>
        <w:autoSpaceDN w:val="0"/>
        <w:adjustRightInd w:val="0"/>
        <w:spacing w:after="0" w:line="240" w:lineRule="auto"/>
        <w:jc w:val="both"/>
        <w:rPr>
          <w:rFonts w:ascii="Times New Roman" w:hAnsi="Times New Roman"/>
          <w:sz w:val="20"/>
          <w:szCs w:val="20"/>
        </w:rPr>
      </w:pPr>
      <w:r w:rsidRPr="00FA140B">
        <w:rPr>
          <w:rFonts w:ascii="Times New Roman" w:hAnsi="Times New Roman"/>
          <w:sz w:val="20"/>
          <w:szCs w:val="20"/>
        </w:rPr>
        <w:t xml:space="preserve">VF3 described 11.84% of the total variance had a strong positive loading on BOD and COD. These factors explained the effects of organic pollution and reflect strong influence of anthropogenic activities in the area, probably from domestic waste and industrial waste. VF4 account for 9.94% of the total variance and has a strong loading on E-coli and coliform. This factor is strongly related to waste from domestic and municipal in the area. The loading for factor 5 was 9.090% of the total variance had strong loading on pH and moderate loading on DO. This factor resulted due to the anaerobic conditions in the river from the strong loading of dissolved organic matter which leads in the formation of organic acids. </w:t>
      </w:r>
    </w:p>
    <w:p w:rsidR="00E80AD7" w:rsidRPr="00F447A7" w:rsidRDefault="00E80AD7" w:rsidP="00804F2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04F29" w:rsidRPr="00804F29" w:rsidRDefault="00804F29" w:rsidP="00804F29">
      <w:pPr>
        <w:autoSpaceDE w:val="0"/>
        <w:autoSpaceDN w:val="0"/>
        <w:adjustRightInd w:val="0"/>
        <w:spacing w:after="0" w:line="240" w:lineRule="auto"/>
        <w:jc w:val="both"/>
        <w:rPr>
          <w:rFonts w:ascii="Times New Roman" w:hAnsi="Times New Roman"/>
          <w:color w:val="131413"/>
          <w:sz w:val="20"/>
          <w:szCs w:val="20"/>
          <w:lang w:val="en-MY"/>
        </w:rPr>
      </w:pPr>
      <w:r w:rsidRPr="00804F29">
        <w:rPr>
          <w:rFonts w:ascii="Times New Roman" w:hAnsi="Times New Roman"/>
          <w:color w:val="131413"/>
          <w:sz w:val="20"/>
          <w:szCs w:val="20"/>
          <w:lang w:val="en-MY"/>
        </w:rPr>
        <w:t>In this study multivariate statistical analysis were successfully applied to explore and identify the spatial variation and potential pollution sources in the river basin. CA grouped 13 sampling stations into 2 clusters LP and MP based on similar water quality characteristics. Following the result authorities and decision makers can develop optimal strategy in which sampling stations can be reduced. DA revealed significant data reduction as it gives four parameters (pH, NH</w:t>
      </w:r>
      <w:r w:rsidRPr="00804F29">
        <w:rPr>
          <w:rFonts w:ascii="Times New Roman" w:hAnsi="Times New Roman"/>
          <w:color w:val="131413"/>
          <w:sz w:val="20"/>
          <w:szCs w:val="20"/>
          <w:vertAlign w:val="subscript"/>
          <w:lang w:val="en-MY"/>
        </w:rPr>
        <w:t>3</w:t>
      </w:r>
      <w:r w:rsidRPr="00804F29">
        <w:rPr>
          <w:rFonts w:ascii="Times New Roman" w:hAnsi="Times New Roman"/>
          <w:color w:val="131413"/>
          <w:sz w:val="20"/>
          <w:szCs w:val="20"/>
          <w:lang w:val="en-MY"/>
        </w:rPr>
        <w:t>-NL, PO</w:t>
      </w:r>
      <w:r w:rsidRPr="00804F29">
        <w:rPr>
          <w:rFonts w:ascii="Times New Roman" w:hAnsi="Times New Roman"/>
          <w:color w:val="131413"/>
          <w:sz w:val="20"/>
          <w:szCs w:val="20"/>
          <w:vertAlign w:val="subscript"/>
          <w:lang w:val="en-MY"/>
        </w:rPr>
        <w:t xml:space="preserve">4 </w:t>
      </w:r>
      <w:r w:rsidRPr="00804F29">
        <w:rPr>
          <w:rFonts w:ascii="Times New Roman" w:hAnsi="Times New Roman"/>
          <w:color w:val="131413"/>
          <w:sz w:val="20"/>
          <w:szCs w:val="20"/>
          <w:lang w:val="en-MY"/>
        </w:rPr>
        <w:t>and EC) with 95.80% correct assignation. The PCA resulted in five varifactors with total variance of 72.21% in which the major sources of pollution are related to anthropogenic activities. Therefore, multivariate techniques are important in environmental management.</w:t>
      </w:r>
    </w:p>
    <w:p w:rsidR="006768E9" w:rsidRPr="00F447A7" w:rsidRDefault="006768E9" w:rsidP="00804F29">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804F29" w:rsidRDefault="00804F29" w:rsidP="00804F29">
      <w:pPr>
        <w:autoSpaceDE w:val="0"/>
        <w:autoSpaceDN w:val="0"/>
        <w:adjustRightInd w:val="0"/>
        <w:spacing w:after="0" w:line="240" w:lineRule="auto"/>
        <w:jc w:val="both"/>
        <w:rPr>
          <w:rFonts w:ascii="Times New Roman" w:hAnsi="Times New Roman"/>
          <w:color w:val="000000" w:themeColor="text1"/>
          <w:sz w:val="20"/>
          <w:szCs w:val="20"/>
          <w:lang w:val="en-MY"/>
        </w:rPr>
      </w:pPr>
      <w:r w:rsidRPr="00804F29">
        <w:rPr>
          <w:rFonts w:ascii="Times New Roman" w:hAnsi="Times New Roman"/>
          <w:color w:val="000000" w:themeColor="text1"/>
          <w:sz w:val="20"/>
          <w:szCs w:val="20"/>
          <w:lang w:val="en-MY"/>
        </w:rPr>
        <w:t>The author will like to thanks the department of Environment Malaysia (DOE) and the entire staff of East Coast Environmental Research Institute University Sultan Zainal Abidin for their support.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Reza, R. &amp; Singh, G. (</w:t>
      </w:r>
      <w:r w:rsidRPr="00804F29">
        <w:rPr>
          <w:rFonts w:ascii="Times New Roman" w:hAnsi="Times New Roman"/>
          <w:bCs/>
          <w:sz w:val="20"/>
          <w:szCs w:val="20"/>
        </w:rPr>
        <w:t>2010)</w:t>
      </w:r>
      <w:r w:rsidRPr="00804F29">
        <w:rPr>
          <w:rFonts w:ascii="Times New Roman" w:hAnsi="Times New Roman"/>
          <w:sz w:val="20"/>
          <w:szCs w:val="20"/>
        </w:rPr>
        <w:t xml:space="preserve">. Heavy Metal Contamination and its Indexing Approach for River Water. </w:t>
      </w:r>
      <w:r w:rsidRPr="00804F29">
        <w:rPr>
          <w:rFonts w:ascii="Times New Roman" w:hAnsi="Times New Roman"/>
          <w:i/>
          <w:iCs/>
          <w:sz w:val="20"/>
          <w:szCs w:val="20"/>
        </w:rPr>
        <w:t>International Journal of Environmental Science and Technology</w:t>
      </w:r>
      <w:r w:rsidRPr="00804F29">
        <w:rPr>
          <w:rFonts w:ascii="Times New Roman" w:hAnsi="Times New Roman"/>
          <w:sz w:val="20"/>
          <w:szCs w:val="20"/>
        </w:rPr>
        <w:t xml:space="preserve">, </w:t>
      </w:r>
      <w:r w:rsidRPr="00804F29">
        <w:rPr>
          <w:rFonts w:ascii="Times New Roman" w:hAnsi="Times New Roman"/>
          <w:iCs/>
          <w:sz w:val="20"/>
          <w:szCs w:val="20"/>
        </w:rPr>
        <w:t>7</w:t>
      </w:r>
      <w:r w:rsidRPr="00804F29">
        <w:rPr>
          <w:rFonts w:ascii="Times New Roman" w:hAnsi="Times New Roman"/>
          <w:sz w:val="20"/>
          <w:szCs w:val="20"/>
        </w:rPr>
        <w:t>(4): 785-792.</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Sundaray, S.K., Panda, U.C., Nayak B. B. &amp; Bhatta D. (2006). Multivariate statistical techniques for the evaluation of spatial and temporal variations in water quality of the Mahanadi river-estuarine system (India)--a case study.</w:t>
      </w:r>
      <w:r w:rsidRPr="00804F29">
        <w:rPr>
          <w:rFonts w:ascii="Times New Roman" w:hAnsi="Times New Roman"/>
          <w:i/>
          <w:sz w:val="20"/>
          <w:szCs w:val="20"/>
        </w:rPr>
        <w:t>Environmental Geochemistry and Health,</w:t>
      </w:r>
      <w:r w:rsidRPr="00804F29">
        <w:rPr>
          <w:rFonts w:ascii="Times New Roman" w:hAnsi="Times New Roman"/>
          <w:sz w:val="20"/>
          <w:szCs w:val="20"/>
        </w:rPr>
        <w:t xml:space="preserve"> 28(4): 317-330.</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Carpenter, S.R., Caraco, N.F., Correll, D.L., Howarth, R.W., Sharpley, A.N. &amp; Smith, V. H.  (1998). Nonpoint pollution of surface waters with phosphorus and nitrogen.</w:t>
      </w:r>
      <w:r w:rsidRPr="00804F29">
        <w:rPr>
          <w:rFonts w:ascii="Times New Roman" w:hAnsi="Times New Roman"/>
          <w:bCs/>
          <w:i/>
          <w:sz w:val="20"/>
          <w:szCs w:val="20"/>
        </w:rPr>
        <w:t>Ecology Application</w:t>
      </w:r>
      <w:r w:rsidRPr="00804F29">
        <w:rPr>
          <w:rFonts w:ascii="Times New Roman" w:hAnsi="Times New Roman"/>
          <w:i/>
          <w:sz w:val="20"/>
          <w:szCs w:val="20"/>
        </w:rPr>
        <w:t>,</w:t>
      </w:r>
      <w:r w:rsidRPr="00804F29">
        <w:rPr>
          <w:rFonts w:ascii="Times New Roman" w:hAnsi="Times New Roman"/>
          <w:sz w:val="20"/>
          <w:szCs w:val="20"/>
        </w:rPr>
        <w:t xml:space="preserve"> 8: 559–568.</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color w:val="131413"/>
          <w:sz w:val="20"/>
          <w:szCs w:val="20"/>
        </w:rPr>
        <w:t xml:space="preserve">Jarvie, H. P., Whitton, B. A., &amp; Neal, C. (1998). Nitrogen and phosphorus in east coast British rivers: speciation, sources and biological significance. </w:t>
      </w:r>
      <w:r w:rsidRPr="00804F29">
        <w:rPr>
          <w:rFonts w:ascii="Times New Roman" w:hAnsi="Times New Roman"/>
          <w:i/>
          <w:color w:val="131413"/>
          <w:sz w:val="20"/>
          <w:szCs w:val="20"/>
        </w:rPr>
        <w:t xml:space="preserve">Science of the Total Environment, </w:t>
      </w:r>
      <w:r w:rsidRPr="00804F29">
        <w:rPr>
          <w:rFonts w:ascii="Times New Roman" w:hAnsi="Times New Roman"/>
          <w:color w:val="131413"/>
          <w:sz w:val="20"/>
          <w:szCs w:val="20"/>
        </w:rPr>
        <w:t>211: 79–109</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Filik I. C., Emiroglu, O., Ilhan, S., Arslan, N., Yilmaz, V. &amp; Ahiska, S. (</w:t>
      </w:r>
      <w:r w:rsidRPr="00804F29">
        <w:rPr>
          <w:rFonts w:ascii="Times New Roman" w:hAnsi="Times New Roman"/>
          <w:bCs/>
          <w:sz w:val="20"/>
          <w:szCs w:val="20"/>
        </w:rPr>
        <w:t>2008)</w:t>
      </w:r>
      <w:r w:rsidRPr="00804F29">
        <w:rPr>
          <w:rFonts w:ascii="Times New Roman" w:hAnsi="Times New Roman"/>
          <w:sz w:val="20"/>
          <w:szCs w:val="20"/>
        </w:rPr>
        <w:t xml:space="preserve">. Application of multivariate statistical techniques in the assessment of surface water quality in Ulubat Lake. Turkey. </w:t>
      </w:r>
      <w:r w:rsidRPr="00804F29">
        <w:rPr>
          <w:rFonts w:ascii="Times New Roman" w:hAnsi="Times New Roman"/>
          <w:i/>
          <w:iCs/>
          <w:sz w:val="20"/>
          <w:szCs w:val="20"/>
        </w:rPr>
        <w:t>Environmental Monitoring and Assessment</w:t>
      </w:r>
      <w:r w:rsidRPr="00804F29">
        <w:rPr>
          <w:rFonts w:ascii="Times New Roman" w:hAnsi="Times New Roman"/>
          <w:i/>
          <w:sz w:val="20"/>
          <w:szCs w:val="20"/>
        </w:rPr>
        <w:t xml:space="preserve">, </w:t>
      </w:r>
      <w:r w:rsidRPr="00804F29">
        <w:rPr>
          <w:rFonts w:ascii="Times New Roman" w:hAnsi="Times New Roman"/>
          <w:iCs/>
          <w:sz w:val="20"/>
          <w:szCs w:val="20"/>
        </w:rPr>
        <w:t>144</w:t>
      </w:r>
      <w:r w:rsidRPr="00804F29">
        <w:rPr>
          <w:rFonts w:ascii="Times New Roman" w:hAnsi="Times New Roman"/>
          <w:sz w:val="20"/>
          <w:szCs w:val="20"/>
        </w:rPr>
        <w:t>: 269-276.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Zhang, Y., Guo, F., Meng, W. &amp; Wang, X. (</w:t>
      </w:r>
      <w:r w:rsidRPr="00804F29">
        <w:rPr>
          <w:rFonts w:ascii="Times New Roman" w:hAnsi="Times New Roman"/>
          <w:bCs/>
          <w:sz w:val="20"/>
          <w:szCs w:val="20"/>
        </w:rPr>
        <w:t>2009</w:t>
      </w:r>
      <w:r w:rsidRPr="00804F29">
        <w:rPr>
          <w:rFonts w:ascii="Times New Roman" w:hAnsi="Times New Roman"/>
          <w:b/>
          <w:bCs/>
          <w:sz w:val="20"/>
          <w:szCs w:val="20"/>
        </w:rPr>
        <w:t>)</w:t>
      </w:r>
      <w:r w:rsidRPr="00804F29">
        <w:rPr>
          <w:rFonts w:ascii="Times New Roman" w:hAnsi="Times New Roman"/>
          <w:sz w:val="20"/>
          <w:szCs w:val="20"/>
        </w:rPr>
        <w:t xml:space="preserve">. Water quality assessment and source identification of Daliao river basin using multivariate statistical methods. </w:t>
      </w:r>
      <w:r w:rsidRPr="00804F29">
        <w:rPr>
          <w:rFonts w:ascii="Times New Roman" w:hAnsi="Times New Roman"/>
          <w:i/>
          <w:iCs/>
          <w:sz w:val="20"/>
          <w:szCs w:val="20"/>
        </w:rPr>
        <w:t>Environmental Monitoring and Assessment</w:t>
      </w:r>
      <w:r w:rsidRPr="00804F29">
        <w:rPr>
          <w:rFonts w:ascii="Times New Roman" w:hAnsi="Times New Roman"/>
          <w:i/>
          <w:sz w:val="20"/>
          <w:szCs w:val="20"/>
        </w:rPr>
        <w:t xml:space="preserve">, </w:t>
      </w:r>
      <w:r w:rsidRPr="00804F29">
        <w:rPr>
          <w:rFonts w:ascii="Times New Roman" w:hAnsi="Times New Roman"/>
          <w:iCs/>
          <w:sz w:val="20"/>
          <w:szCs w:val="20"/>
        </w:rPr>
        <w:t>152</w:t>
      </w:r>
      <w:r w:rsidRPr="00804F29">
        <w:rPr>
          <w:rFonts w:ascii="Times New Roman" w:hAnsi="Times New Roman"/>
          <w:sz w:val="20"/>
          <w:szCs w:val="20"/>
        </w:rPr>
        <w:t>: 105-121.</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Shrestha, S. &amp; Kazama, F. (2007). Assessment of surface water quality using multivariate statistical</w:t>
      </w:r>
      <w:r>
        <w:rPr>
          <w:rFonts w:ascii="Times New Roman" w:hAnsi="Times New Roman"/>
          <w:sz w:val="20"/>
          <w:szCs w:val="20"/>
        </w:rPr>
        <w:t xml:space="preserve"> </w:t>
      </w:r>
      <w:r w:rsidRPr="00804F29">
        <w:rPr>
          <w:rFonts w:ascii="Times New Roman" w:hAnsi="Times New Roman"/>
          <w:sz w:val="20"/>
          <w:szCs w:val="20"/>
        </w:rPr>
        <w:t xml:space="preserve">techniqueas: Fuji river basin Japan. </w:t>
      </w:r>
      <w:r w:rsidRPr="00804F29">
        <w:rPr>
          <w:rFonts w:ascii="Times New Roman" w:hAnsi="Times New Roman"/>
          <w:i/>
          <w:sz w:val="20"/>
          <w:szCs w:val="20"/>
        </w:rPr>
        <w:t>Environnmental Modeling and Software,</w:t>
      </w:r>
      <w:r w:rsidRPr="00804F29">
        <w:rPr>
          <w:rFonts w:ascii="Times New Roman" w:hAnsi="Times New Roman"/>
          <w:sz w:val="20"/>
          <w:szCs w:val="20"/>
        </w:rPr>
        <w:t xml:space="preserve"> 22(4): 464-475.</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Pejman, A. H., Bidhendi, G. R., Karbassi, A. R., Mehrdadi, N. &amp; Bidendi, M.E. (</w:t>
      </w:r>
      <w:r w:rsidRPr="00804F29">
        <w:rPr>
          <w:rFonts w:ascii="Times New Roman" w:hAnsi="Times New Roman"/>
          <w:bCs/>
          <w:sz w:val="20"/>
          <w:szCs w:val="20"/>
        </w:rPr>
        <w:t>2009)</w:t>
      </w:r>
      <w:r w:rsidRPr="00804F29">
        <w:rPr>
          <w:rFonts w:ascii="Times New Roman" w:hAnsi="Times New Roman"/>
          <w:sz w:val="20"/>
          <w:szCs w:val="20"/>
        </w:rPr>
        <w:t>. Evaluation of spatial and seasonal variations in surface water quality using multivariate statistical techniques.</w:t>
      </w:r>
      <w:r w:rsidRPr="00804F29">
        <w:rPr>
          <w:rFonts w:ascii="Times New Roman" w:hAnsi="Times New Roman"/>
          <w:i/>
          <w:iCs/>
          <w:sz w:val="20"/>
          <w:szCs w:val="20"/>
        </w:rPr>
        <w:t>International Journal of Environmental Science and Technology,</w:t>
      </w:r>
      <w:r w:rsidRPr="00804F29">
        <w:rPr>
          <w:rFonts w:ascii="Times New Roman" w:hAnsi="Times New Roman"/>
          <w:iCs/>
          <w:sz w:val="20"/>
          <w:szCs w:val="20"/>
        </w:rPr>
        <w:t xml:space="preserve"> 6</w:t>
      </w:r>
      <w:r w:rsidRPr="00804F29">
        <w:rPr>
          <w:rFonts w:ascii="Times New Roman" w:hAnsi="Times New Roman"/>
          <w:sz w:val="20"/>
          <w:szCs w:val="20"/>
        </w:rPr>
        <w:t>(3): 467-476.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Mayback &amp; Helmer, (1998). The quality of rivers from pristine statge to global pollution.Palaeogr,</w:t>
      </w:r>
      <w:r>
        <w:rPr>
          <w:rFonts w:ascii="Times New Roman" w:hAnsi="Times New Roman"/>
          <w:sz w:val="20"/>
          <w:szCs w:val="20"/>
        </w:rPr>
        <w:t xml:space="preserve"> </w:t>
      </w:r>
      <w:r w:rsidRPr="00804F29">
        <w:rPr>
          <w:rFonts w:ascii="Times New Roman" w:hAnsi="Times New Roman"/>
          <w:sz w:val="20"/>
          <w:szCs w:val="20"/>
        </w:rPr>
        <w:t>palaeclamatol, palaeoecol. (Global planet sect) 75, 283-309.</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Kuppusamy M. R. &amp; Giridhar V. V. (</w:t>
      </w:r>
      <w:r w:rsidRPr="00804F29">
        <w:rPr>
          <w:rFonts w:ascii="Times New Roman" w:hAnsi="Times New Roman"/>
          <w:bCs/>
          <w:sz w:val="20"/>
          <w:szCs w:val="20"/>
        </w:rPr>
        <w:t>2006)</w:t>
      </w:r>
      <w:r w:rsidRPr="00804F29">
        <w:rPr>
          <w:rFonts w:ascii="Times New Roman" w:hAnsi="Times New Roman"/>
          <w:sz w:val="20"/>
          <w:szCs w:val="20"/>
        </w:rPr>
        <w:t xml:space="preserve">. Factor analysis of water quality characteristics including      trace metal speciation in the coastal environmental system of Chennai Ennore. </w:t>
      </w:r>
      <w:r w:rsidRPr="00804F29">
        <w:rPr>
          <w:rFonts w:ascii="Times New Roman" w:hAnsi="Times New Roman"/>
          <w:i/>
          <w:iCs/>
          <w:sz w:val="20"/>
          <w:szCs w:val="20"/>
        </w:rPr>
        <w:t>Environment International</w:t>
      </w:r>
      <w:r w:rsidRPr="00804F29">
        <w:rPr>
          <w:rFonts w:ascii="Times New Roman" w:hAnsi="Times New Roman"/>
          <w:i/>
          <w:sz w:val="20"/>
          <w:szCs w:val="20"/>
        </w:rPr>
        <w:t xml:space="preserve">, </w:t>
      </w:r>
      <w:r w:rsidRPr="00804F29">
        <w:rPr>
          <w:rFonts w:ascii="Times New Roman" w:hAnsi="Times New Roman"/>
          <w:iCs/>
          <w:sz w:val="20"/>
          <w:szCs w:val="20"/>
        </w:rPr>
        <w:t xml:space="preserve">32 </w:t>
      </w:r>
      <w:r w:rsidRPr="00804F29">
        <w:rPr>
          <w:rFonts w:ascii="Times New Roman" w:hAnsi="Times New Roman"/>
          <w:sz w:val="20"/>
          <w:szCs w:val="20"/>
        </w:rPr>
        <w:t>(2): 174-179.</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Tanriverdi, C., Alp, A., Demirkiran, A. R. &amp; Ucjarde, F. (</w:t>
      </w:r>
      <w:r w:rsidRPr="00804F29">
        <w:rPr>
          <w:rFonts w:ascii="Times New Roman" w:hAnsi="Times New Roman"/>
          <w:bCs/>
          <w:sz w:val="20"/>
          <w:szCs w:val="20"/>
        </w:rPr>
        <w:t>2010)</w:t>
      </w:r>
      <w:r w:rsidRPr="00804F29">
        <w:rPr>
          <w:rFonts w:ascii="Times New Roman" w:hAnsi="Times New Roman"/>
          <w:sz w:val="20"/>
          <w:szCs w:val="20"/>
        </w:rPr>
        <w:t>. Assessment of surface water quality of the Ceyhan River basin, Turkey.</w:t>
      </w:r>
      <w:r w:rsidRPr="00804F29">
        <w:rPr>
          <w:rFonts w:ascii="Times New Roman" w:hAnsi="Times New Roman"/>
          <w:i/>
          <w:iCs/>
          <w:sz w:val="20"/>
          <w:szCs w:val="20"/>
        </w:rPr>
        <w:t>Environmental Monitoring &amp; Assessment</w:t>
      </w:r>
      <w:r w:rsidRPr="00804F29">
        <w:rPr>
          <w:rFonts w:ascii="Times New Roman" w:hAnsi="Times New Roman"/>
          <w:i/>
          <w:sz w:val="20"/>
          <w:szCs w:val="20"/>
        </w:rPr>
        <w:t>,</w:t>
      </w:r>
      <w:r w:rsidRPr="00804F29">
        <w:rPr>
          <w:rFonts w:ascii="Times New Roman" w:hAnsi="Times New Roman"/>
          <w:iCs/>
          <w:sz w:val="20"/>
          <w:szCs w:val="20"/>
        </w:rPr>
        <w:t>167</w:t>
      </w:r>
      <w:r w:rsidRPr="00804F29">
        <w:rPr>
          <w:rFonts w:ascii="Times New Roman" w:hAnsi="Times New Roman"/>
          <w:sz w:val="20"/>
          <w:szCs w:val="20"/>
        </w:rPr>
        <w:t>, 175-184.</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Simeonova, P., Simeonova, V. &amp; Andreev, G. (2003). Environmetric analysis of the Struma River water quality. </w:t>
      </w:r>
      <w:r w:rsidRPr="00804F29">
        <w:rPr>
          <w:rFonts w:ascii="Times New Roman" w:hAnsi="Times New Roman"/>
          <w:i/>
          <w:sz w:val="20"/>
          <w:szCs w:val="20"/>
        </w:rPr>
        <w:t>Central European journal of Chemistry,</w:t>
      </w:r>
      <w:r w:rsidRPr="00804F29">
        <w:rPr>
          <w:rFonts w:ascii="Times New Roman" w:hAnsi="Times New Roman"/>
          <w:sz w:val="20"/>
          <w:szCs w:val="20"/>
        </w:rPr>
        <w:t xml:space="preserve"> 2: 121-126.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lastRenderedPageBreak/>
        <w:t>Huang, J., Ho, M. &amp; Du, P. (</w:t>
      </w:r>
      <w:r w:rsidRPr="00804F29">
        <w:rPr>
          <w:rFonts w:ascii="Times New Roman" w:hAnsi="Times New Roman"/>
          <w:bCs/>
          <w:sz w:val="20"/>
          <w:szCs w:val="20"/>
        </w:rPr>
        <w:t>2011)</w:t>
      </w:r>
      <w:r w:rsidRPr="00804F29">
        <w:rPr>
          <w:rFonts w:ascii="Times New Roman" w:hAnsi="Times New Roman"/>
          <w:sz w:val="20"/>
          <w:szCs w:val="20"/>
        </w:rPr>
        <w:t>. Assessment of temporal and spatial variation of coastal water quality and source identification along Macau Peninsular.</w:t>
      </w:r>
      <w:r w:rsidRPr="00804F29">
        <w:rPr>
          <w:rFonts w:ascii="Times New Roman" w:hAnsi="Times New Roman"/>
          <w:i/>
          <w:iCs/>
          <w:sz w:val="20"/>
          <w:szCs w:val="20"/>
        </w:rPr>
        <w:t>Stochastic Environmental Research and Risk Assessmen</w:t>
      </w:r>
      <w:r w:rsidRPr="00804F29">
        <w:rPr>
          <w:rFonts w:ascii="Times New Roman" w:hAnsi="Times New Roman"/>
          <w:i/>
          <w:sz w:val="20"/>
          <w:szCs w:val="20"/>
        </w:rPr>
        <w:t xml:space="preserve">t, </w:t>
      </w:r>
      <w:r w:rsidRPr="00804F29">
        <w:rPr>
          <w:rFonts w:ascii="Times New Roman" w:hAnsi="Times New Roman"/>
          <w:iCs/>
          <w:sz w:val="20"/>
          <w:szCs w:val="20"/>
        </w:rPr>
        <w:t>25</w:t>
      </w:r>
      <w:r w:rsidRPr="00804F29">
        <w:rPr>
          <w:rFonts w:ascii="Times New Roman" w:hAnsi="Times New Roman"/>
          <w:sz w:val="20"/>
          <w:szCs w:val="20"/>
        </w:rPr>
        <w:t>: 353-361.</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Ifabiyi, I.P. (1997). Variation in Water Gravity with Rainfall Incidences: A Case Study of Ogbe Stream Ile-Ife, Ife. Res. Publications Geogr, 6(1&amp;2): 139-144.</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Jaji M.O., Bamgbose, O., Odukoya O.O. &amp; Arowolo T.A. (2007). Water Quality Assessment of Ogun River, South West Nigeria.  </w:t>
      </w:r>
      <w:r w:rsidRPr="00804F29">
        <w:rPr>
          <w:rFonts w:ascii="Times New Roman" w:hAnsi="Times New Roman"/>
          <w:i/>
          <w:sz w:val="20"/>
          <w:szCs w:val="20"/>
        </w:rPr>
        <w:t>Environment Monitoring Assessment,</w:t>
      </w:r>
      <w:r w:rsidRPr="00804F29">
        <w:rPr>
          <w:rFonts w:ascii="Times New Roman" w:hAnsi="Times New Roman"/>
          <w:sz w:val="20"/>
          <w:szCs w:val="20"/>
        </w:rPr>
        <w:t xml:space="preserve"> 133: 473-482.</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Mazlum, N., Ozer, A. &amp; Mazlum, S. (1999). Interpretation of water quality data by principal components analysis.</w:t>
      </w:r>
      <w:r w:rsidRPr="00804F29">
        <w:rPr>
          <w:rFonts w:ascii="Times New Roman" w:hAnsi="Times New Roman"/>
          <w:i/>
          <w:sz w:val="20"/>
          <w:szCs w:val="20"/>
        </w:rPr>
        <w:t>Turkish Journal of Environmental Science,</w:t>
      </w:r>
      <w:r w:rsidRPr="00804F29">
        <w:rPr>
          <w:rFonts w:ascii="Times New Roman" w:hAnsi="Times New Roman"/>
          <w:sz w:val="20"/>
          <w:szCs w:val="20"/>
        </w:rPr>
        <w:t xml:space="preserve"> 23: 19-26.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Zhao, Z. &amp; Cui, F. (</w:t>
      </w:r>
      <w:r w:rsidRPr="00804F29">
        <w:rPr>
          <w:rFonts w:ascii="Times New Roman" w:hAnsi="Times New Roman"/>
          <w:bCs/>
          <w:sz w:val="20"/>
          <w:szCs w:val="20"/>
        </w:rPr>
        <w:t xml:space="preserve">2009). </w:t>
      </w:r>
      <w:r w:rsidRPr="00804F29">
        <w:rPr>
          <w:rFonts w:ascii="Times New Roman" w:hAnsi="Times New Roman"/>
          <w:sz w:val="20"/>
          <w:szCs w:val="20"/>
        </w:rPr>
        <w:t>Multivariate statistical analysis for the surface water quality of the Luan River, China.</w:t>
      </w:r>
      <w:r w:rsidRPr="00804F29">
        <w:rPr>
          <w:rFonts w:ascii="Times New Roman" w:hAnsi="Times New Roman"/>
          <w:i/>
          <w:iCs/>
          <w:sz w:val="20"/>
          <w:szCs w:val="20"/>
        </w:rPr>
        <w:t>Journal of Zhejiang University Science A</w:t>
      </w:r>
      <w:r w:rsidRPr="00804F29">
        <w:rPr>
          <w:rFonts w:ascii="Times New Roman" w:hAnsi="Times New Roman"/>
          <w:i/>
          <w:sz w:val="20"/>
          <w:szCs w:val="20"/>
        </w:rPr>
        <w:t xml:space="preserve">, </w:t>
      </w:r>
      <w:r w:rsidRPr="00804F29">
        <w:rPr>
          <w:rFonts w:ascii="Times New Roman" w:hAnsi="Times New Roman"/>
          <w:iCs/>
          <w:sz w:val="20"/>
          <w:szCs w:val="20"/>
        </w:rPr>
        <w:t>10</w:t>
      </w:r>
      <w:r w:rsidRPr="00804F29">
        <w:rPr>
          <w:rFonts w:ascii="Times New Roman" w:hAnsi="Times New Roman"/>
          <w:sz w:val="20"/>
          <w:szCs w:val="20"/>
        </w:rPr>
        <w:t>(1): 142-148.</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Juahir, H., Zain, M.S., Yosoff, M.K., Ismail, T.T.H., Samah, A.M.A., Toriman, M.E. &amp; Moktar, M. (2010b). Spatial assessment of Langtan River Basin (Malaysia) using environmentric techniques. </w:t>
      </w:r>
      <w:r w:rsidRPr="00804F29">
        <w:rPr>
          <w:rFonts w:ascii="Times New Roman" w:hAnsi="Times New Roman"/>
          <w:i/>
          <w:sz w:val="20"/>
          <w:szCs w:val="20"/>
        </w:rPr>
        <w:t>Environment Monitoring Assessment,</w:t>
      </w:r>
      <w:r w:rsidRPr="00804F29">
        <w:rPr>
          <w:rFonts w:ascii="Times New Roman" w:hAnsi="Times New Roman"/>
          <w:sz w:val="20"/>
          <w:szCs w:val="20"/>
        </w:rPr>
        <w:t xml:space="preserve"> 173: 625-641.</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Noor, A.S. &amp; Khawar, S., (2010). Geochemical baselines of major, minor and trace elements in the tropical sediments of the Terengganu River Basin Malaysia. </w:t>
      </w:r>
      <w:r w:rsidRPr="00804F29">
        <w:rPr>
          <w:rFonts w:ascii="Times New Roman" w:hAnsi="Times New Roman"/>
          <w:i/>
          <w:sz w:val="20"/>
          <w:szCs w:val="20"/>
        </w:rPr>
        <w:t>International Journal of Sediment Research</w:t>
      </w:r>
      <w:r w:rsidRPr="00804F29">
        <w:rPr>
          <w:rFonts w:ascii="Times New Roman" w:hAnsi="Times New Roman"/>
          <w:sz w:val="20"/>
          <w:szCs w:val="20"/>
        </w:rPr>
        <w:t>, 25: 340-354.</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bCs/>
          <w:kern w:val="36"/>
          <w:sz w:val="20"/>
          <w:szCs w:val="20"/>
          <w:lang w:eastAsia="en-MY"/>
        </w:rPr>
        <w:t>Malaysia population census Department of Statistic population of Terengganu (2014). Online access on www.statitics.gov.my/portal/index.php?option=com</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bCs/>
          <w:kern w:val="36"/>
          <w:sz w:val="20"/>
          <w:szCs w:val="20"/>
          <w:lang w:eastAsia="en-MY"/>
        </w:rPr>
        <w:t>Kuala Terengganu city Council (MBKT), (2014). Online access on http://mbkt.terengganu.gov.my/jadual-pbt</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Tobiszewski, M., Tsakovski, S., Simeonov, V. &amp; Namiesnik, J. (2010). Surface water quality assessment by the use of combination of multivariate statistical classification and expert information.</w:t>
      </w:r>
      <w:r w:rsidRPr="00804F29">
        <w:rPr>
          <w:rFonts w:ascii="Times New Roman" w:hAnsi="Times New Roman"/>
          <w:i/>
          <w:sz w:val="20"/>
          <w:szCs w:val="20"/>
        </w:rPr>
        <w:t>Chemosphere,</w:t>
      </w:r>
      <w:r w:rsidRPr="00804F29">
        <w:rPr>
          <w:rFonts w:ascii="Times New Roman" w:hAnsi="Times New Roman"/>
          <w:bCs/>
          <w:sz w:val="20"/>
          <w:szCs w:val="20"/>
        </w:rPr>
        <w:t xml:space="preserve">80: </w:t>
      </w:r>
      <w:r w:rsidRPr="00804F29">
        <w:rPr>
          <w:rFonts w:ascii="Times New Roman" w:hAnsi="Times New Roman"/>
          <w:sz w:val="20"/>
          <w:szCs w:val="20"/>
        </w:rPr>
        <w:t>740-746.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Singh, K.P., Malik, A., Mohan, D. &amp; Sinha, S. (2004). Multivariate statistical techniques   for the      evaluation of spatial and temporal variations in water quality of Gomti River (India): a case study. </w:t>
      </w:r>
      <w:r w:rsidRPr="00804F29">
        <w:rPr>
          <w:rFonts w:ascii="Times New Roman" w:hAnsi="Times New Roman"/>
          <w:i/>
          <w:sz w:val="20"/>
          <w:szCs w:val="20"/>
        </w:rPr>
        <w:t>Water Research,</w:t>
      </w:r>
      <w:r w:rsidRPr="00804F29">
        <w:rPr>
          <w:rFonts w:ascii="Times New Roman" w:hAnsi="Times New Roman"/>
          <w:sz w:val="20"/>
          <w:szCs w:val="20"/>
        </w:rPr>
        <w:t xml:space="preserve"> 38: 3980-3992. </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Voudouris, K., Panagopoulos, A. &amp; Koumantakis, J. (2000). Multivariate statistical analysis in the assessment of hydrochemistry of the Northern Korinthia Prefecture Alluvial Aquifer System (Paloponnese, Greece). </w:t>
      </w:r>
      <w:r w:rsidRPr="00804F29">
        <w:rPr>
          <w:rFonts w:ascii="Times New Roman" w:hAnsi="Times New Roman"/>
          <w:i/>
          <w:sz w:val="20"/>
          <w:szCs w:val="20"/>
        </w:rPr>
        <w:t>Natural Resources Research,</w:t>
      </w:r>
      <w:r w:rsidRPr="00804F29">
        <w:rPr>
          <w:rFonts w:ascii="Times New Roman" w:hAnsi="Times New Roman"/>
          <w:sz w:val="20"/>
          <w:szCs w:val="20"/>
        </w:rPr>
        <w:t xml:space="preserve"> 9: 135-146.</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Simeonova, P., Simeonova, V. &amp; Andreev, G. (2003). Environmetric analysis of the Struma River water quality central.</w:t>
      </w:r>
      <w:r w:rsidRPr="00804F29">
        <w:rPr>
          <w:rFonts w:ascii="Times New Roman" w:hAnsi="Times New Roman"/>
          <w:i/>
          <w:sz w:val="20"/>
          <w:szCs w:val="20"/>
        </w:rPr>
        <w:t>European journal of Chemistry,</w:t>
      </w:r>
      <w:r w:rsidRPr="00804F29">
        <w:rPr>
          <w:rFonts w:ascii="Times New Roman" w:hAnsi="Times New Roman"/>
          <w:sz w:val="20"/>
          <w:szCs w:val="20"/>
        </w:rPr>
        <w:t xml:space="preserve"> 2: 121-126. </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Singh, K.P., Malik, A. &amp; Sinha, S. (2005). Water quality assessment and apportionment of pollution sources of Gomti river (India) using multivariate statistical techniques: a case study. </w:t>
      </w:r>
      <w:r w:rsidRPr="00804F29">
        <w:rPr>
          <w:rFonts w:ascii="Times New Roman" w:hAnsi="Times New Roman"/>
          <w:i/>
          <w:sz w:val="20"/>
          <w:szCs w:val="20"/>
        </w:rPr>
        <w:t>Analytical Chemical Acta</w:t>
      </w:r>
      <w:r w:rsidRPr="00804F29">
        <w:rPr>
          <w:rFonts w:ascii="Times New Roman" w:hAnsi="Times New Roman"/>
          <w:sz w:val="20"/>
          <w:szCs w:val="20"/>
        </w:rPr>
        <w:t xml:space="preserve"> 538, 355-374.</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McKenna Jr., J.E. (2003). An enhanced cluster analysis program with bootstrap significance testing for</w:t>
      </w:r>
      <w:r>
        <w:rPr>
          <w:rFonts w:ascii="Times New Roman" w:hAnsi="Times New Roman"/>
          <w:sz w:val="20"/>
          <w:szCs w:val="20"/>
        </w:rPr>
        <w:t xml:space="preserve"> </w:t>
      </w:r>
      <w:r w:rsidRPr="00804F29">
        <w:rPr>
          <w:rFonts w:ascii="Times New Roman" w:hAnsi="Times New Roman"/>
          <w:sz w:val="20"/>
          <w:szCs w:val="20"/>
        </w:rPr>
        <w:t xml:space="preserve">ecological community analysis. </w:t>
      </w:r>
      <w:r w:rsidRPr="00804F29">
        <w:rPr>
          <w:rFonts w:ascii="Times New Roman" w:hAnsi="Times New Roman"/>
          <w:i/>
          <w:sz w:val="20"/>
          <w:szCs w:val="20"/>
        </w:rPr>
        <w:t>Environmental Modeling &amp; Software,</w:t>
      </w:r>
      <w:r w:rsidRPr="00804F29">
        <w:rPr>
          <w:rFonts w:ascii="Times New Roman" w:hAnsi="Times New Roman"/>
          <w:sz w:val="20"/>
          <w:szCs w:val="20"/>
        </w:rPr>
        <w:t xml:space="preserve"> 18 (3): 205-220.</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Jornson, R.A. &amp; Wichern, D.W. (1992).  </w:t>
      </w:r>
      <w:r w:rsidRPr="00804F29">
        <w:rPr>
          <w:rFonts w:ascii="Times New Roman" w:hAnsi="Times New Roman"/>
          <w:i/>
          <w:sz w:val="20"/>
          <w:szCs w:val="20"/>
        </w:rPr>
        <w:t>Applied Multivariate Statistical Analysis</w:t>
      </w:r>
      <w:r w:rsidRPr="00804F29">
        <w:rPr>
          <w:rFonts w:ascii="Times New Roman" w:hAnsi="Times New Roman"/>
          <w:sz w:val="20"/>
          <w:szCs w:val="20"/>
        </w:rPr>
        <w:t>, 3</w:t>
      </w:r>
      <w:r w:rsidRPr="00804F29">
        <w:rPr>
          <w:rFonts w:ascii="Times New Roman" w:hAnsi="Times New Roman"/>
          <w:sz w:val="20"/>
          <w:szCs w:val="20"/>
          <w:vertAlign w:val="superscript"/>
        </w:rPr>
        <w:t>rd</w:t>
      </w:r>
      <w:r w:rsidRPr="00804F29">
        <w:rPr>
          <w:rFonts w:ascii="Times New Roman" w:hAnsi="Times New Roman"/>
          <w:sz w:val="20"/>
          <w:szCs w:val="20"/>
        </w:rPr>
        <w:t>edn, Prentice – Hall lut., New Jersey.</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Lattin, J., Carroll, D. &amp; Green, P. (2003). </w:t>
      </w:r>
      <w:r w:rsidRPr="00804F29">
        <w:rPr>
          <w:rFonts w:ascii="Times New Roman" w:hAnsi="Times New Roman"/>
          <w:i/>
          <w:sz w:val="20"/>
          <w:szCs w:val="20"/>
        </w:rPr>
        <w:t>Analyzing Multivariate Data</w:t>
      </w:r>
      <w:r w:rsidRPr="00804F29">
        <w:rPr>
          <w:rFonts w:ascii="Times New Roman" w:hAnsi="Times New Roman"/>
          <w:sz w:val="20"/>
          <w:szCs w:val="20"/>
        </w:rPr>
        <w:t>. New York: Duxbury.</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Wunderlin, D.A., Diaz, M.P., Ame, M.V., Pesce, S.F., Hued, A.C. &amp; Bistoni, M.A. (2001). Pattern recognition techniques for the evaluation of spatial and temporal variations in water quality. A case study: Suquia river basin (Cordoba, Argentina). </w:t>
      </w:r>
      <w:r w:rsidRPr="00804F29">
        <w:rPr>
          <w:rFonts w:ascii="Times New Roman" w:hAnsi="Times New Roman"/>
          <w:i/>
          <w:sz w:val="20"/>
          <w:szCs w:val="20"/>
        </w:rPr>
        <w:t>Water Research,</w:t>
      </w:r>
      <w:r w:rsidRPr="00804F29">
        <w:rPr>
          <w:rFonts w:ascii="Times New Roman" w:hAnsi="Times New Roman"/>
          <w:sz w:val="20"/>
          <w:szCs w:val="20"/>
        </w:rPr>
        <w:t xml:space="preserve"> 35(12): 2881-2894.</w:t>
      </w:r>
    </w:p>
    <w:p w:rsid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Brumelis, G., Lapina, L., Nikodemus, O. &amp; Tabors, G. (2000). Use of an artifici</w:t>
      </w:r>
      <w:r>
        <w:rPr>
          <w:rFonts w:ascii="Times New Roman" w:hAnsi="Times New Roman"/>
          <w:sz w:val="20"/>
          <w:szCs w:val="20"/>
        </w:rPr>
        <w:t xml:space="preserve">al model of monitoring data  </w:t>
      </w:r>
      <w:r w:rsidRPr="00804F29">
        <w:rPr>
          <w:rFonts w:ascii="Times New Roman" w:hAnsi="Times New Roman"/>
          <w:sz w:val="20"/>
          <w:szCs w:val="20"/>
        </w:rPr>
        <w:t xml:space="preserve">to aid interpretation of principal component analysis. </w:t>
      </w:r>
      <w:r w:rsidRPr="00804F29">
        <w:rPr>
          <w:rFonts w:ascii="Times New Roman" w:hAnsi="Times New Roman"/>
          <w:i/>
          <w:sz w:val="20"/>
          <w:szCs w:val="20"/>
        </w:rPr>
        <w:t>Environmental modelling and software</w:t>
      </w:r>
      <w:r w:rsidRPr="00804F29">
        <w:rPr>
          <w:rFonts w:ascii="Times New Roman" w:hAnsi="Times New Roman"/>
          <w:sz w:val="20"/>
          <w:szCs w:val="20"/>
        </w:rPr>
        <w:t>, 15(8): 755-763.</w:t>
      </w:r>
    </w:p>
    <w:p w:rsidR="00E66197"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Helena, B., Pardo, R., Vega, M., Barrado, E., Fernandex, J.M. &amp; Fernendex, L. (2000). Temporal evolution of ground water composition in an alluvial aquifer composition in an alluvial aquifer (Pisuegariver, Spain) by principal component analysis.</w:t>
      </w:r>
      <w:r w:rsidRPr="00804F29">
        <w:rPr>
          <w:rFonts w:ascii="Times New Roman" w:hAnsi="Times New Roman"/>
          <w:i/>
          <w:sz w:val="20"/>
          <w:szCs w:val="20"/>
        </w:rPr>
        <w:t>Water Research</w:t>
      </w:r>
      <w:r w:rsidRPr="00804F29">
        <w:rPr>
          <w:rFonts w:ascii="Times New Roman" w:hAnsi="Times New Roman"/>
          <w:sz w:val="20"/>
          <w:szCs w:val="20"/>
        </w:rPr>
        <w:t xml:space="preserve">, 34: 807-816.   </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Abdul-Wahab, S.A., Bakheit, C.S. &amp; Al-Alawi, S.M. (2005). Principal component and multiple regression analysis in modeling of ground-level ozone and factors affecting its concentrations. </w:t>
      </w:r>
      <w:r w:rsidRPr="00804F29">
        <w:rPr>
          <w:rFonts w:ascii="Times New Roman" w:hAnsi="Times New Roman"/>
          <w:i/>
          <w:sz w:val="20"/>
          <w:szCs w:val="20"/>
        </w:rPr>
        <w:t>Environmental Modelin &amp; Software,</w:t>
      </w:r>
      <w:r w:rsidRPr="00804F29">
        <w:rPr>
          <w:rFonts w:ascii="Times New Roman" w:hAnsi="Times New Roman"/>
          <w:sz w:val="20"/>
          <w:szCs w:val="20"/>
        </w:rPr>
        <w:t xml:space="preserve"> 20(10): 1263-1271.</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Love, D., Hallbauer, D., Amos, A. &amp; Hranova, R. (2004). Factor analysis as a tool in groundwater quality management: two southern African case studies. </w:t>
      </w:r>
      <w:r w:rsidRPr="00804F29">
        <w:rPr>
          <w:rFonts w:ascii="Times New Roman" w:hAnsi="Times New Roman"/>
          <w:i/>
          <w:sz w:val="20"/>
          <w:szCs w:val="20"/>
        </w:rPr>
        <w:t>Physics &amp; Chemistry of the Earth,</w:t>
      </w:r>
      <w:r w:rsidRPr="00804F29">
        <w:rPr>
          <w:rFonts w:ascii="Times New Roman" w:hAnsi="Times New Roman"/>
          <w:sz w:val="20"/>
          <w:szCs w:val="20"/>
        </w:rPr>
        <w:t xml:space="preserve"> 29: 1135-1143.</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Kim, J.O. &amp; Mueller, C.W. (1987). Introduction to factor analysis: what it is and how to do it. Quantitative  Applications in the Social Sciences Series. Sage University Press, Newbury Park.</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lastRenderedPageBreak/>
        <w:t>Liu, C.W., Lin, K.H. &amp; Kuo, Y.M. (2003). Application of factor analysis in the assessment of groundwater in a Blackfoot disease area in Taiwan.</w:t>
      </w:r>
      <w:r w:rsidRPr="00804F29">
        <w:rPr>
          <w:rFonts w:ascii="Times New Roman" w:hAnsi="Times New Roman"/>
          <w:i/>
          <w:sz w:val="20"/>
          <w:szCs w:val="20"/>
        </w:rPr>
        <w:t xml:space="preserve">Science of the Total Environment, </w:t>
      </w:r>
      <w:r w:rsidRPr="00804F29">
        <w:rPr>
          <w:rFonts w:ascii="Times New Roman" w:hAnsi="Times New Roman"/>
          <w:sz w:val="20"/>
          <w:szCs w:val="20"/>
        </w:rPr>
        <w:t>313(1-13): 77-89.</w:t>
      </w:r>
    </w:p>
    <w:p w:rsidR="00804F29" w:rsidRPr="00804F29" w:rsidRDefault="00804F29" w:rsidP="00804F29">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Yang, Y.H., Zhou, F., Guo, H.C., Sheng, H., Liu, H., Dao, X. &amp; He, C.J. (</w:t>
      </w:r>
      <w:r w:rsidRPr="00804F29">
        <w:rPr>
          <w:rFonts w:ascii="Times New Roman" w:hAnsi="Times New Roman"/>
          <w:bCs/>
          <w:sz w:val="20"/>
          <w:szCs w:val="20"/>
        </w:rPr>
        <w:t>2010</w:t>
      </w:r>
      <w:r w:rsidRPr="00804F29">
        <w:rPr>
          <w:rFonts w:ascii="Times New Roman" w:hAnsi="Times New Roman"/>
          <w:b/>
          <w:bCs/>
          <w:sz w:val="20"/>
          <w:szCs w:val="20"/>
        </w:rPr>
        <w:t>)</w:t>
      </w:r>
      <w:r w:rsidRPr="00804F29">
        <w:rPr>
          <w:rFonts w:ascii="Times New Roman" w:hAnsi="Times New Roman"/>
          <w:sz w:val="20"/>
          <w:szCs w:val="20"/>
        </w:rPr>
        <w:t xml:space="preserve">. Analysis of spatial and temporal water pollution patterns in Lake Dianchi using multivariate statistical methods. </w:t>
      </w:r>
      <w:r w:rsidRPr="00804F29">
        <w:rPr>
          <w:rFonts w:ascii="Times New Roman" w:hAnsi="Times New Roman"/>
          <w:i/>
          <w:iCs/>
          <w:sz w:val="20"/>
          <w:szCs w:val="20"/>
        </w:rPr>
        <w:t>Environmental Monitoring and Assessment</w:t>
      </w:r>
      <w:r w:rsidRPr="00804F29">
        <w:rPr>
          <w:rFonts w:ascii="Times New Roman" w:hAnsi="Times New Roman"/>
          <w:sz w:val="20"/>
          <w:szCs w:val="20"/>
        </w:rPr>
        <w:t xml:space="preserve">, </w:t>
      </w:r>
      <w:r w:rsidRPr="00804F29">
        <w:rPr>
          <w:rFonts w:ascii="Times New Roman" w:hAnsi="Times New Roman"/>
          <w:iCs/>
          <w:sz w:val="20"/>
          <w:szCs w:val="20"/>
        </w:rPr>
        <w:t>170</w:t>
      </w:r>
      <w:r w:rsidRPr="00804F29">
        <w:rPr>
          <w:rFonts w:ascii="Times New Roman" w:hAnsi="Times New Roman"/>
          <w:sz w:val="20"/>
          <w:szCs w:val="20"/>
        </w:rPr>
        <w:t>: 407-416.</w:t>
      </w:r>
    </w:p>
    <w:sectPr w:rsidR="00804F29" w:rsidRPr="00804F29" w:rsidSect="00FA140B">
      <w:headerReference w:type="even" r:id="rId13"/>
      <w:headerReference w:type="default" r:id="rId14"/>
      <w:footerReference w:type="even" r:id="rId15"/>
      <w:footerReference w:type="default" r:id="rId16"/>
      <w:pgSz w:w="12240" w:h="15840" w:code="1"/>
      <w:pgMar w:top="1800" w:right="1469" w:bottom="1699" w:left="1440" w:header="706" w:footer="706" w:gutter="0"/>
      <w:pgNumType w:start="3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9317AF">
      <w:rPr>
        <w:rFonts w:ascii="Times New Roman" w:hAnsi="Times New Roman"/>
        <w:noProof/>
      </w:rPr>
      <w:t>346</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9317AF">
      <w:rPr>
        <w:rFonts w:ascii="Times New Roman" w:hAnsi="Times New Roman"/>
        <w:noProof/>
      </w:rPr>
      <w:t>345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804F29"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804F29">
      <w:rPr>
        <w:rFonts w:ascii="Times New Roman" w:hAnsi="Times New Roman"/>
        <w:i/>
        <w:lang w:val="en-US"/>
      </w:rPr>
      <w:t>338 - 348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804F29" w:rsidRDefault="001A2185" w:rsidP="001A2185">
    <w:pPr>
      <w:pStyle w:val="Header"/>
      <w:ind w:left="1800" w:hanging="1800"/>
      <w:rPr>
        <w:rFonts w:ascii="Times New Roman" w:hAnsi="Times New Roman"/>
        <w:lang w:val="en-US"/>
      </w:rPr>
    </w:pPr>
    <w:r>
      <w:rPr>
        <w:rFonts w:ascii="Times New Roman" w:hAnsi="Times New Roman"/>
        <w:lang w:val="en-US"/>
      </w:rPr>
      <w:t>Aminu Ibrahim et al</w:t>
    </w:r>
    <w:r w:rsidR="008E6968" w:rsidRPr="00804F29">
      <w:rPr>
        <w:rFonts w:ascii="Times New Roman" w:hAnsi="Times New Roman"/>
        <w:lang w:val="en-US"/>
      </w:rPr>
      <w:t xml:space="preserve">:  </w:t>
    </w:r>
    <w:r w:rsidR="00804F29" w:rsidRPr="00804F29">
      <w:rPr>
        <w:rFonts w:ascii="Times New Roman" w:hAnsi="Times New Roman"/>
      </w:rPr>
      <w:t>ASSESSMENT OF SURFACE WATER QUALITY USING MULTIVARIATE STATISTICAL TECHNIQUES IN THE TERENGGANU RIVER BASIN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3906"/>
    <w:multiLevelType w:val="hybridMultilevel"/>
    <w:tmpl w:val="2018BE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CF00FD4"/>
    <w:multiLevelType w:val="hybridMultilevel"/>
    <w:tmpl w:val="305A6C6A"/>
    <w:lvl w:ilvl="0" w:tplc="A3E4C9D4">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A2185"/>
    <w:rsid w:val="001D035A"/>
    <w:rsid w:val="001D3855"/>
    <w:rsid w:val="001D6F2C"/>
    <w:rsid w:val="002B188F"/>
    <w:rsid w:val="002B3BD8"/>
    <w:rsid w:val="002F3F91"/>
    <w:rsid w:val="00304767"/>
    <w:rsid w:val="00304B34"/>
    <w:rsid w:val="00361BAF"/>
    <w:rsid w:val="00367D1F"/>
    <w:rsid w:val="003D585B"/>
    <w:rsid w:val="003E7DA6"/>
    <w:rsid w:val="003F12FF"/>
    <w:rsid w:val="004760D4"/>
    <w:rsid w:val="005C6768"/>
    <w:rsid w:val="00634C25"/>
    <w:rsid w:val="006416AB"/>
    <w:rsid w:val="006768E9"/>
    <w:rsid w:val="00687982"/>
    <w:rsid w:val="006B3EC8"/>
    <w:rsid w:val="006D695E"/>
    <w:rsid w:val="00725A6A"/>
    <w:rsid w:val="007943F3"/>
    <w:rsid w:val="007A738C"/>
    <w:rsid w:val="007B1349"/>
    <w:rsid w:val="00804F29"/>
    <w:rsid w:val="0082181A"/>
    <w:rsid w:val="0088085A"/>
    <w:rsid w:val="008B470E"/>
    <w:rsid w:val="008E5BBF"/>
    <w:rsid w:val="008E6968"/>
    <w:rsid w:val="0090769D"/>
    <w:rsid w:val="009317AF"/>
    <w:rsid w:val="00A14DB9"/>
    <w:rsid w:val="00A4762A"/>
    <w:rsid w:val="00AD1B8A"/>
    <w:rsid w:val="00AE713F"/>
    <w:rsid w:val="00B1121C"/>
    <w:rsid w:val="00B25B65"/>
    <w:rsid w:val="00B2770A"/>
    <w:rsid w:val="00B314AD"/>
    <w:rsid w:val="00B327BF"/>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E246B1"/>
    <w:rsid w:val="00E66197"/>
    <w:rsid w:val="00E80AD7"/>
    <w:rsid w:val="00F31093"/>
    <w:rsid w:val="00F43667"/>
    <w:rsid w:val="00F447A7"/>
    <w:rsid w:val="00FA14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FA140B"/>
  </w:style>
  <w:style w:type="table" w:styleId="TableGrid">
    <w:name w:val="Table Grid"/>
    <w:basedOn w:val="TableNormal"/>
    <w:uiPriority w:val="59"/>
    <w:rsid w:val="00FA140B"/>
    <w:rPr>
      <w:rFonts w:ascii="Times New Roman" w:eastAsiaTheme="minorHAnsi" w:hAnsi="Times New Roman"/>
      <w:sz w:val="24"/>
      <w:szCs w:val="24"/>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s">
    <w:name w:val="words"/>
    <w:basedOn w:val="DefaultParagraphFont"/>
    <w:rsid w:val="00FA1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FA140B"/>
  </w:style>
  <w:style w:type="table" w:styleId="TableGrid">
    <w:name w:val="Table Grid"/>
    <w:basedOn w:val="TableNormal"/>
    <w:uiPriority w:val="59"/>
    <w:rsid w:val="00FA140B"/>
    <w:rPr>
      <w:rFonts w:ascii="Times New Roman" w:eastAsiaTheme="minorHAnsi" w:hAnsi="Times New Roman"/>
      <w:sz w:val="24"/>
      <w:szCs w:val="24"/>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s">
    <w:name w:val="words"/>
    <w:basedOn w:val="DefaultParagraphFont"/>
    <w:rsid w:val="00FA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H:\excel%20water%20qual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900" b="1"/>
            </a:pPr>
            <a:r>
              <a:rPr lang="en-US"/>
              <a:t>Scree plot</a:t>
            </a:r>
          </a:p>
        </c:rich>
      </c:tx>
      <c:layout/>
      <c:overlay val="0"/>
    </c:title>
    <c:autoTitleDeleted val="0"/>
    <c:plotArea>
      <c:layout>
        <c:manualLayout>
          <c:layoutTarget val="inner"/>
          <c:xMode val="edge"/>
          <c:yMode val="edge"/>
          <c:x val="0.1437836202678055"/>
          <c:y val="0.11165779953181527"/>
          <c:w val="0.81235375239112062"/>
          <c:h val="0.75049216145279141"/>
        </c:manualLayout>
      </c:layout>
      <c:barChart>
        <c:barDir val="col"/>
        <c:grouping val="clustered"/>
        <c:varyColors val="0"/>
        <c:ser>
          <c:idx val="0"/>
          <c:order val="0"/>
          <c:tx>
            <c:strRef>
              <c:f>'PCA9'!$B$64</c:f>
              <c:strCache>
                <c:ptCount val="1"/>
                <c:pt idx="0">
                  <c:v>Eigenvalue</c:v>
                </c:pt>
              </c:strCache>
            </c:strRef>
          </c:tx>
          <c:spPr>
            <a:solidFill>
              <a:srgbClr val="0000FF"/>
            </a:solidFill>
            <a:ln>
              <a:solidFill>
                <a:srgbClr val="000000"/>
              </a:solidFill>
              <a:prstDash val="solid"/>
            </a:ln>
            <a:effectLst/>
          </c:spPr>
          <c:invertIfNegative val="0"/>
          <c:cat>
            <c:strRef>
              <c:f>'PCA9'!$C$63:$O$63</c:f>
              <c:strCache>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Cache>
            </c:strRef>
          </c:cat>
          <c:val>
            <c:numRef>
              <c:f>'PCA9'!$C$64:$O$64</c:f>
              <c:numCache>
                <c:formatCode>0.000</c:formatCode>
                <c:ptCount val="13"/>
                <c:pt idx="0">
                  <c:v>2.8400603296217937</c:v>
                </c:pt>
                <c:pt idx="1">
                  <c:v>2.5807682536416006</c:v>
                </c:pt>
                <c:pt idx="2">
                  <c:v>1.4929559474980261</c:v>
                </c:pt>
                <c:pt idx="3">
                  <c:v>1.2922364919195528</c:v>
                </c:pt>
                <c:pt idx="4">
                  <c:v>1.1817185896996985</c:v>
                </c:pt>
                <c:pt idx="5">
                  <c:v>0.8390330296820212</c:v>
                </c:pt>
                <c:pt idx="6">
                  <c:v>0.74369847214351414</c:v>
                </c:pt>
                <c:pt idx="7">
                  <c:v>0.5275419375790773</c:v>
                </c:pt>
                <c:pt idx="8">
                  <c:v>0.43899526496712887</c:v>
                </c:pt>
                <c:pt idx="9">
                  <c:v>0.39994007010077742</c:v>
                </c:pt>
                <c:pt idx="10">
                  <c:v>0.35915518223709997</c:v>
                </c:pt>
                <c:pt idx="11">
                  <c:v>0.27382945838170236</c:v>
                </c:pt>
                <c:pt idx="12">
                  <c:v>3.0066972528021232E-2</c:v>
                </c:pt>
              </c:numCache>
            </c:numRef>
          </c:val>
        </c:ser>
        <c:dLbls>
          <c:showLegendKey val="0"/>
          <c:showVal val="0"/>
          <c:showCatName val="0"/>
          <c:showSerName val="0"/>
          <c:showPercent val="0"/>
          <c:showBubbleSize val="0"/>
        </c:dLbls>
        <c:gapWidth val="50"/>
        <c:overlap val="-30"/>
        <c:axId val="78153984"/>
        <c:axId val="35410688"/>
      </c:barChart>
      <c:lineChart>
        <c:grouping val="standard"/>
        <c:varyColors val="0"/>
        <c:ser>
          <c:idx val="1"/>
          <c:order val="1"/>
          <c:tx>
            <c:strRef>
              <c:f>'PCA9'!$B$66</c:f>
              <c:strCache>
                <c:ptCount val="1"/>
                <c:pt idx="0">
                  <c:v>Cumulative %</c:v>
                </c:pt>
              </c:strCache>
            </c:strRef>
          </c:tx>
          <c:spPr>
            <a:ln w="12700">
              <a:solidFill>
                <a:srgbClr val="FF0000"/>
              </a:solidFill>
              <a:prstDash val="solid"/>
            </a:ln>
            <a:effectLst/>
          </c:spPr>
          <c:marker>
            <c:symbol val="circle"/>
            <c:size val="4"/>
            <c:spPr>
              <a:solidFill>
                <a:srgbClr val="FFFFFF"/>
              </a:solidFill>
              <a:ln>
                <a:solidFill>
                  <a:srgbClr val="FF0000"/>
                </a:solidFill>
                <a:prstDash val="solid"/>
              </a:ln>
            </c:spPr>
          </c:marker>
          <c:cat>
            <c:strRef>
              <c:f>'PCA9'!$C$63:$O$63</c:f>
              <c:strCache>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Cache>
            </c:strRef>
          </c:cat>
          <c:val>
            <c:numRef>
              <c:f>'PCA9'!$C$66:$O$66</c:f>
              <c:numCache>
                <c:formatCode>0.000</c:formatCode>
                <c:ptCount val="13"/>
                <c:pt idx="0">
                  <c:v>21.846617920167589</c:v>
                </c:pt>
                <c:pt idx="1">
                  <c:v>41.698681409718219</c:v>
                </c:pt>
                <c:pt idx="2">
                  <c:v>53.182957928934172</c:v>
                </c:pt>
                <c:pt idx="3">
                  <c:v>63.123238636007613</c:v>
                </c:pt>
                <c:pt idx="4">
                  <c:v>72.21338163369748</c:v>
                </c:pt>
                <c:pt idx="5">
                  <c:v>78.667481862020196</c:v>
                </c:pt>
                <c:pt idx="6">
                  <c:v>84.38823934004769</c:v>
                </c:pt>
                <c:pt idx="7">
                  <c:v>88.44625424450264</c:v>
                </c:pt>
                <c:pt idx="8">
                  <c:v>91.823140898095389</c:v>
                </c:pt>
                <c:pt idx="9">
                  <c:v>94.899602975793684</c:v>
                </c:pt>
                <c:pt idx="10">
                  <c:v>97.662335146847767</c:v>
                </c:pt>
                <c:pt idx="11">
                  <c:v>99.768715595938332</c:v>
                </c:pt>
                <c:pt idx="12">
                  <c:v>100.00000000000001</c:v>
                </c:pt>
              </c:numCache>
            </c:numRef>
          </c:val>
          <c:smooth val="0"/>
        </c:ser>
        <c:dLbls>
          <c:showLegendKey val="0"/>
          <c:showVal val="0"/>
          <c:showCatName val="0"/>
          <c:showSerName val="0"/>
          <c:showPercent val="0"/>
          <c:showBubbleSize val="0"/>
        </c:dLbls>
        <c:marker val="1"/>
        <c:smooth val="0"/>
        <c:axId val="35427072"/>
        <c:axId val="35412608"/>
      </c:lineChart>
      <c:catAx>
        <c:axId val="78153984"/>
        <c:scaling>
          <c:orientation val="minMax"/>
        </c:scaling>
        <c:delete val="0"/>
        <c:axPos val="b"/>
        <c:title>
          <c:tx>
            <c:rich>
              <a:bodyPr/>
              <a:lstStyle/>
              <a:p>
                <a:pPr>
                  <a:defRPr lang="en-US" sz="800" b="1"/>
                </a:pPr>
                <a:r>
                  <a:rPr lang="en-US"/>
                  <a:t>Axis  (Parameters)</a:t>
                </a:r>
              </a:p>
            </c:rich>
          </c:tx>
          <c:layout/>
          <c:overlay val="0"/>
        </c:title>
        <c:numFmt formatCode="General" sourceLinked="0"/>
        <c:majorTickMark val="cross"/>
        <c:minorTickMark val="none"/>
        <c:tickLblPos val="nextTo"/>
        <c:txPr>
          <a:bodyPr/>
          <a:lstStyle/>
          <a:p>
            <a:pPr>
              <a:defRPr lang="en-US" sz="700"/>
            </a:pPr>
            <a:endParaRPr lang="en-US"/>
          </a:p>
        </c:txPr>
        <c:crossAx val="35410688"/>
        <c:crosses val="autoZero"/>
        <c:auto val="1"/>
        <c:lblAlgn val="ctr"/>
        <c:lblOffset val="100"/>
        <c:noMultiLvlLbl val="0"/>
      </c:catAx>
      <c:valAx>
        <c:axId val="35410688"/>
        <c:scaling>
          <c:orientation val="minMax"/>
          <c:min val="0"/>
        </c:scaling>
        <c:delete val="0"/>
        <c:axPos val="l"/>
        <c:title>
          <c:tx>
            <c:rich>
              <a:bodyPr/>
              <a:lstStyle/>
              <a:p>
                <a:pPr>
                  <a:defRPr lang="en-US" sz="800" b="1"/>
                </a:pPr>
                <a:r>
                  <a:rPr lang="en-US"/>
                  <a:t>Eigenvalue</a:t>
                </a:r>
              </a:p>
            </c:rich>
          </c:tx>
          <c:layout/>
          <c:overlay val="0"/>
        </c:title>
        <c:numFmt formatCode="General" sourceLinked="0"/>
        <c:majorTickMark val="cross"/>
        <c:minorTickMark val="none"/>
        <c:tickLblPos val="nextTo"/>
        <c:txPr>
          <a:bodyPr/>
          <a:lstStyle/>
          <a:p>
            <a:pPr>
              <a:defRPr lang="en-US" sz="700"/>
            </a:pPr>
            <a:endParaRPr lang="en-US"/>
          </a:p>
        </c:txPr>
        <c:crossAx val="78153984"/>
        <c:crosses val="autoZero"/>
        <c:crossBetween val="between"/>
      </c:valAx>
      <c:valAx>
        <c:axId val="35412608"/>
        <c:scaling>
          <c:orientation val="minMax"/>
          <c:max val="100"/>
          <c:min val="0"/>
        </c:scaling>
        <c:delete val="0"/>
        <c:axPos val="r"/>
        <c:title>
          <c:tx>
            <c:rich>
              <a:bodyPr/>
              <a:lstStyle/>
              <a:p>
                <a:pPr>
                  <a:defRPr lang="en-US" sz="800" b="1"/>
                </a:pPr>
                <a:r>
                  <a:rPr lang="en-US"/>
                  <a:t>Cumulative variability (%)</a:t>
                </a:r>
              </a:p>
            </c:rich>
          </c:tx>
          <c:layout/>
          <c:overlay val="0"/>
        </c:title>
        <c:numFmt formatCode="General" sourceLinked="0"/>
        <c:majorTickMark val="cross"/>
        <c:minorTickMark val="none"/>
        <c:tickLblPos val="nextTo"/>
        <c:txPr>
          <a:bodyPr/>
          <a:lstStyle/>
          <a:p>
            <a:pPr>
              <a:defRPr lang="en-US" sz="700"/>
            </a:pPr>
            <a:endParaRPr lang="en-US"/>
          </a:p>
        </c:txPr>
        <c:crossAx val="35427072"/>
        <c:crosses val="max"/>
        <c:crossBetween val="between"/>
        <c:majorUnit val="20"/>
      </c:valAx>
      <c:catAx>
        <c:axId val="35427072"/>
        <c:scaling>
          <c:orientation val="minMax"/>
        </c:scaling>
        <c:delete val="1"/>
        <c:axPos val="b"/>
        <c:majorTickMark val="out"/>
        <c:minorTickMark val="none"/>
        <c:tickLblPos val="nextTo"/>
        <c:crossAx val="35412608"/>
        <c:crosses val="autoZero"/>
        <c:auto val="1"/>
        <c:lblAlgn val="ctr"/>
        <c:lblOffset val="100"/>
        <c:noMultiLvlLbl val="0"/>
      </c:catAx>
      <c:spPr>
        <a:ln>
          <a:solidFill>
            <a:srgbClr val="808080"/>
          </a:solidFill>
          <a:prstDash val="solid"/>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15421-115F-44A2-AF5D-A244CEF2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4684</Words>
  <Characters>26701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31323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6</cp:revision>
  <dcterms:created xsi:type="dcterms:W3CDTF">2015-03-21T00:28:00Z</dcterms:created>
  <dcterms:modified xsi:type="dcterms:W3CDTF">2015-04-02T02:10:00Z</dcterms:modified>
</cp:coreProperties>
</file>