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937D50" w:rsidRPr="006079AD" w:rsidRDefault="00937D50" w:rsidP="00937D50">
      <w:pPr>
        <w:tabs>
          <w:tab w:val="left" w:pos="567"/>
        </w:tabs>
        <w:spacing w:after="0" w:line="240" w:lineRule="auto"/>
        <w:ind w:left="567" w:hanging="567"/>
        <w:jc w:val="center"/>
        <w:rPr>
          <w:rFonts w:ascii="Times New Roman" w:hAnsi="Times New Roman"/>
          <w:bCs/>
          <w:sz w:val="28"/>
          <w:szCs w:val="28"/>
        </w:rPr>
      </w:pPr>
      <w:r w:rsidRPr="006079AD">
        <w:rPr>
          <w:rFonts w:ascii="Times New Roman" w:hAnsi="Times New Roman"/>
          <w:bCs/>
          <w:sz w:val="28"/>
          <w:szCs w:val="28"/>
        </w:rPr>
        <w:t>EFFECT OF TEMPERATURE IN CALCINATION PROCESS OF SEASHELLS</w:t>
      </w:r>
    </w:p>
    <w:p w:rsidR="006768E9" w:rsidRPr="00802DCC" w:rsidRDefault="006768E9" w:rsidP="006B1068">
      <w:pPr>
        <w:spacing w:after="0" w:line="240" w:lineRule="auto"/>
        <w:jc w:val="center"/>
        <w:rPr>
          <w:rFonts w:ascii="Times New Roman" w:hAnsi="Times New Roman"/>
          <w:noProof/>
          <w:sz w:val="24"/>
          <w:szCs w:val="24"/>
          <w:lang w:bidi="ar-SA"/>
        </w:rPr>
      </w:pPr>
    </w:p>
    <w:p w:rsidR="006768E9" w:rsidRPr="00802DCC" w:rsidRDefault="006768E9" w:rsidP="00937D50">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937D50" w:rsidRPr="006079AD">
        <w:rPr>
          <w:rFonts w:ascii="Times New Roman" w:hAnsi="Times New Roman"/>
          <w:sz w:val="24"/>
          <w:szCs w:val="24"/>
        </w:rPr>
        <w:t>Kesan Suhu Dalam Proses Pengkalsinan Kulit Kerang</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937D50" w:rsidRPr="00CA7765" w:rsidRDefault="00937D50" w:rsidP="00937D50">
      <w:pPr>
        <w:spacing w:after="0" w:line="240" w:lineRule="auto"/>
        <w:jc w:val="center"/>
        <w:rPr>
          <w:rFonts w:ascii="Times New Roman" w:hAnsi="Times New Roman"/>
          <w:sz w:val="20"/>
          <w:szCs w:val="20"/>
        </w:rPr>
      </w:pPr>
      <w:r w:rsidRPr="00CA7765">
        <w:rPr>
          <w:rFonts w:ascii="Times New Roman" w:hAnsi="Times New Roman"/>
          <w:sz w:val="20"/>
          <w:szCs w:val="20"/>
        </w:rPr>
        <w:t>Nurfatirah Nordin</w:t>
      </w:r>
      <w:r w:rsidRPr="00CA7765">
        <w:rPr>
          <w:rFonts w:ascii="Times New Roman" w:hAnsi="Times New Roman"/>
          <w:sz w:val="20"/>
          <w:szCs w:val="20"/>
          <w:vertAlign w:val="superscript"/>
        </w:rPr>
        <w:t>1</w:t>
      </w:r>
      <w:r w:rsidR="00800A88">
        <w:rPr>
          <w:rFonts w:ascii="Times New Roman" w:hAnsi="Times New Roman"/>
          <w:sz w:val="20"/>
          <w:szCs w:val="20"/>
          <w:vertAlign w:val="superscript"/>
        </w:rPr>
        <w:t>,2</w:t>
      </w:r>
      <w:r w:rsidRPr="00CA7765">
        <w:rPr>
          <w:rFonts w:ascii="Times New Roman" w:hAnsi="Times New Roman"/>
          <w:sz w:val="20"/>
          <w:szCs w:val="20"/>
        </w:rPr>
        <w:t>, Zainab Hamzah</w:t>
      </w:r>
      <w:r w:rsidRPr="00CA7765">
        <w:rPr>
          <w:rFonts w:ascii="Times New Roman" w:hAnsi="Times New Roman"/>
          <w:sz w:val="20"/>
          <w:szCs w:val="20"/>
          <w:vertAlign w:val="superscript"/>
        </w:rPr>
        <w:t>1</w:t>
      </w:r>
      <w:r w:rsidRPr="00CA7765">
        <w:rPr>
          <w:rFonts w:ascii="Times New Roman" w:hAnsi="Times New Roman"/>
          <w:sz w:val="20"/>
          <w:szCs w:val="20"/>
        </w:rPr>
        <w:t>*, Othman Hashim</w:t>
      </w:r>
      <w:r w:rsidRPr="00CA7765">
        <w:rPr>
          <w:rFonts w:ascii="Times New Roman" w:hAnsi="Times New Roman"/>
          <w:sz w:val="20"/>
          <w:szCs w:val="20"/>
          <w:vertAlign w:val="superscript"/>
        </w:rPr>
        <w:t>1</w:t>
      </w:r>
      <w:r w:rsidRPr="00CA7765">
        <w:rPr>
          <w:rFonts w:ascii="Times New Roman" w:hAnsi="Times New Roman"/>
          <w:sz w:val="20"/>
          <w:szCs w:val="20"/>
        </w:rPr>
        <w:t>, Farizul Hafiz Kasim</w:t>
      </w:r>
      <w:r w:rsidRPr="00CA7765">
        <w:rPr>
          <w:rFonts w:ascii="Times New Roman" w:hAnsi="Times New Roman"/>
          <w:sz w:val="20"/>
          <w:szCs w:val="20"/>
          <w:vertAlign w:val="superscript"/>
        </w:rPr>
        <w:t>2</w:t>
      </w:r>
      <w:r w:rsidRPr="00CA7765">
        <w:rPr>
          <w:rFonts w:ascii="Times New Roman" w:hAnsi="Times New Roman"/>
          <w:sz w:val="20"/>
          <w:szCs w:val="20"/>
        </w:rPr>
        <w:t>, Rozaini Abdullah</w:t>
      </w:r>
      <w:r w:rsidRPr="00CA7765">
        <w:rPr>
          <w:rFonts w:ascii="Times New Roman" w:hAnsi="Times New Roman"/>
          <w:sz w:val="20"/>
          <w:szCs w:val="20"/>
          <w:vertAlign w:val="superscript"/>
        </w:rPr>
        <w:t xml:space="preserve">1 </w:t>
      </w:r>
    </w:p>
    <w:p w:rsidR="006768E9" w:rsidRPr="00802DCC" w:rsidRDefault="006768E9" w:rsidP="00937D50">
      <w:pPr>
        <w:spacing w:after="0" w:line="240" w:lineRule="auto"/>
        <w:rPr>
          <w:rFonts w:ascii="Times New Roman" w:hAnsi="Times New Roman"/>
          <w:noProof/>
          <w:sz w:val="18"/>
          <w:szCs w:val="18"/>
          <w:lang w:bidi="ar-SA"/>
        </w:rPr>
      </w:pPr>
    </w:p>
    <w:p w:rsidR="00937D50" w:rsidRDefault="00937D50" w:rsidP="00937D50">
      <w:pPr>
        <w:spacing w:after="0" w:line="240" w:lineRule="auto"/>
        <w:jc w:val="center"/>
        <w:rPr>
          <w:rFonts w:ascii="Times New Roman" w:hAnsi="Times New Roman"/>
          <w:i/>
          <w:sz w:val="18"/>
          <w:szCs w:val="18"/>
        </w:rPr>
      </w:pPr>
      <w:r w:rsidRPr="00CA7765">
        <w:rPr>
          <w:rFonts w:ascii="Times New Roman" w:hAnsi="Times New Roman"/>
          <w:i/>
          <w:sz w:val="18"/>
          <w:szCs w:val="18"/>
          <w:vertAlign w:val="superscript"/>
        </w:rPr>
        <w:t>1</w:t>
      </w:r>
      <w:r w:rsidRPr="00CA7765">
        <w:rPr>
          <w:rFonts w:ascii="Times New Roman" w:hAnsi="Times New Roman"/>
          <w:i/>
          <w:sz w:val="18"/>
          <w:szCs w:val="18"/>
        </w:rPr>
        <w:t xml:space="preserve">Faculty </w:t>
      </w:r>
      <w:r w:rsidR="005545DF">
        <w:rPr>
          <w:rFonts w:ascii="Times New Roman" w:hAnsi="Times New Roman"/>
          <w:i/>
          <w:sz w:val="18"/>
          <w:szCs w:val="18"/>
        </w:rPr>
        <w:t xml:space="preserve">of </w:t>
      </w:r>
      <w:r w:rsidRPr="00CA7765">
        <w:rPr>
          <w:rFonts w:ascii="Times New Roman" w:hAnsi="Times New Roman"/>
          <w:i/>
          <w:sz w:val="18"/>
          <w:szCs w:val="18"/>
        </w:rPr>
        <w:t xml:space="preserve">Engineering Technology (FETech), </w:t>
      </w:r>
    </w:p>
    <w:p w:rsidR="00937D50" w:rsidRDefault="00937D50" w:rsidP="00937D50">
      <w:pPr>
        <w:spacing w:after="0" w:line="240" w:lineRule="auto"/>
        <w:jc w:val="center"/>
        <w:rPr>
          <w:rFonts w:ascii="Times New Roman" w:hAnsi="Times New Roman"/>
          <w:i/>
          <w:sz w:val="18"/>
          <w:szCs w:val="18"/>
        </w:rPr>
      </w:pPr>
      <w:r w:rsidRPr="00CA7765">
        <w:rPr>
          <w:rFonts w:ascii="Times New Roman" w:hAnsi="Times New Roman"/>
          <w:i/>
          <w:sz w:val="18"/>
          <w:szCs w:val="18"/>
        </w:rPr>
        <w:t xml:space="preserve">Universiti Malaysia Perlis, </w:t>
      </w:r>
    </w:p>
    <w:p w:rsidR="005545DF" w:rsidRPr="00CA7765" w:rsidRDefault="001A10AB" w:rsidP="003C12C7">
      <w:pPr>
        <w:spacing w:after="0" w:line="240" w:lineRule="auto"/>
        <w:jc w:val="center"/>
        <w:rPr>
          <w:rFonts w:ascii="Times New Roman" w:hAnsi="Times New Roman"/>
          <w:i/>
          <w:sz w:val="18"/>
          <w:szCs w:val="18"/>
        </w:rPr>
      </w:pPr>
      <w:r>
        <w:rPr>
          <w:rFonts w:ascii="Times New Roman" w:hAnsi="Times New Roman"/>
          <w:i/>
          <w:color w:val="313B3D"/>
          <w:sz w:val="18"/>
          <w:szCs w:val="18"/>
          <w:lang w:bidi="ar-SA"/>
        </w:rPr>
        <w:t xml:space="preserve">Aras 1 Blok S2, </w:t>
      </w:r>
      <w:bookmarkStart w:id="0" w:name="_GoBack"/>
      <w:bookmarkEnd w:id="0"/>
      <w:r w:rsidR="005545DF" w:rsidRPr="005545DF">
        <w:rPr>
          <w:rFonts w:ascii="Times New Roman" w:hAnsi="Times New Roman"/>
          <w:i/>
          <w:color w:val="313B3D"/>
          <w:sz w:val="18"/>
          <w:szCs w:val="18"/>
          <w:lang w:bidi="ar-SA"/>
        </w:rPr>
        <w:t>Kampus UniCITI Alam</w:t>
      </w:r>
      <w:r w:rsidR="003C12C7">
        <w:rPr>
          <w:rFonts w:ascii="Times New Roman" w:hAnsi="Times New Roman"/>
          <w:i/>
          <w:sz w:val="18"/>
          <w:szCs w:val="18"/>
        </w:rPr>
        <w:t xml:space="preserve">, </w:t>
      </w:r>
      <w:r w:rsidR="005545DF" w:rsidRPr="005545DF">
        <w:rPr>
          <w:rFonts w:ascii="Times New Roman" w:hAnsi="Times New Roman"/>
          <w:i/>
          <w:color w:val="313B3D"/>
          <w:sz w:val="18"/>
          <w:szCs w:val="18"/>
          <w:lang w:bidi="ar-SA"/>
        </w:rPr>
        <w:t>Sungai Chuchuh, Padang Besar </w:t>
      </w:r>
      <w:r w:rsidR="003C12C7">
        <w:rPr>
          <w:rFonts w:ascii="Times New Roman" w:hAnsi="Times New Roman"/>
          <w:i/>
          <w:color w:val="313B3D"/>
          <w:sz w:val="18"/>
          <w:szCs w:val="18"/>
          <w:lang w:bidi="ar-SA"/>
        </w:rPr>
        <w:t>02100 Perlis, Malaysia</w:t>
      </w:r>
    </w:p>
    <w:p w:rsidR="00937D50" w:rsidRDefault="00937D50" w:rsidP="00937D50">
      <w:pPr>
        <w:spacing w:after="0" w:line="240" w:lineRule="auto"/>
        <w:jc w:val="center"/>
        <w:rPr>
          <w:rFonts w:ascii="Times New Roman" w:hAnsi="Times New Roman"/>
          <w:i/>
          <w:sz w:val="18"/>
          <w:szCs w:val="18"/>
          <w:lang w:val="en-AU"/>
        </w:rPr>
      </w:pPr>
      <w:r w:rsidRPr="00CA7765">
        <w:rPr>
          <w:rFonts w:ascii="Times New Roman" w:hAnsi="Times New Roman"/>
          <w:i/>
          <w:sz w:val="18"/>
          <w:szCs w:val="18"/>
        </w:rPr>
        <w:t xml:space="preserve"> </w:t>
      </w:r>
      <w:r w:rsidRPr="00CA7765">
        <w:rPr>
          <w:rFonts w:ascii="Times New Roman" w:hAnsi="Times New Roman"/>
          <w:i/>
          <w:sz w:val="18"/>
          <w:szCs w:val="18"/>
          <w:vertAlign w:val="superscript"/>
          <w:lang w:val="en-AU"/>
        </w:rPr>
        <w:t>2</w:t>
      </w:r>
      <w:r w:rsidRPr="00CA7765">
        <w:rPr>
          <w:rFonts w:ascii="Times New Roman" w:hAnsi="Times New Roman"/>
          <w:i/>
          <w:sz w:val="18"/>
          <w:szCs w:val="18"/>
          <w:lang w:val="en-AU"/>
        </w:rPr>
        <w:t xml:space="preserve">School of Bioprocess Engineering, </w:t>
      </w:r>
    </w:p>
    <w:p w:rsidR="00937D50" w:rsidRDefault="00937D50" w:rsidP="00937D50">
      <w:pPr>
        <w:spacing w:after="0" w:line="240" w:lineRule="auto"/>
        <w:jc w:val="center"/>
        <w:rPr>
          <w:rFonts w:ascii="Times New Roman" w:hAnsi="Times New Roman"/>
          <w:i/>
          <w:sz w:val="18"/>
          <w:szCs w:val="18"/>
          <w:lang w:val="en-AU"/>
        </w:rPr>
      </w:pPr>
      <w:r w:rsidRPr="00CA7765">
        <w:rPr>
          <w:rFonts w:ascii="Times New Roman" w:hAnsi="Times New Roman"/>
          <w:i/>
          <w:sz w:val="18"/>
          <w:szCs w:val="18"/>
          <w:lang w:val="en-AU"/>
        </w:rPr>
        <w:t xml:space="preserve">Universiti Malaysia Perlis, </w:t>
      </w:r>
    </w:p>
    <w:p w:rsidR="00937D50" w:rsidRPr="00937D50" w:rsidRDefault="00937D50" w:rsidP="00937D50">
      <w:pPr>
        <w:spacing w:after="0" w:line="240" w:lineRule="auto"/>
        <w:jc w:val="center"/>
        <w:rPr>
          <w:rFonts w:ascii="Times New Roman" w:hAnsi="Times New Roman"/>
          <w:i/>
          <w:sz w:val="18"/>
          <w:szCs w:val="18"/>
          <w:lang w:val="en-AU"/>
        </w:rPr>
      </w:pPr>
      <w:r w:rsidRPr="00CA7765">
        <w:rPr>
          <w:rFonts w:ascii="Times New Roman" w:hAnsi="Times New Roman"/>
          <w:i/>
          <w:sz w:val="18"/>
          <w:szCs w:val="18"/>
          <w:lang w:val="en-AU"/>
        </w:rPr>
        <w:t>Kompleks Pengajian Jejawi 3, 02600 Arau, Perlis, Malaysia</w:t>
      </w:r>
      <w:r w:rsidRPr="00CA7765">
        <w:rPr>
          <w:rFonts w:ascii="Times New Roman" w:hAnsi="Times New Roman"/>
          <w:i/>
          <w:sz w:val="20"/>
          <w:szCs w:val="20"/>
          <w:lang w:val="en-AU"/>
        </w:rPr>
        <w:t>.</w:t>
      </w:r>
    </w:p>
    <w:p w:rsidR="006768E9" w:rsidRPr="00802DCC" w:rsidRDefault="006768E9" w:rsidP="00937D50">
      <w:pPr>
        <w:spacing w:after="0" w:line="240" w:lineRule="auto"/>
        <w:jc w:val="center"/>
        <w:rPr>
          <w:rFonts w:ascii="Times New Roman" w:hAnsi="Times New Roman"/>
          <w:noProof/>
          <w:sz w:val="18"/>
          <w:szCs w:val="18"/>
          <w:lang w:bidi="ar-SA"/>
        </w:rPr>
      </w:pPr>
    </w:p>
    <w:p w:rsidR="006768E9" w:rsidRPr="00937D50"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937D50" w:rsidRPr="00937D50">
        <w:rPr>
          <w:rFonts w:ascii="Times New Roman" w:hAnsi="Times New Roman"/>
          <w:i/>
          <w:sz w:val="18"/>
          <w:szCs w:val="18"/>
          <w:lang w:val="en-AU"/>
        </w:rPr>
        <w:t>zainab@unimap.edu.my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937D50" w:rsidRPr="00CA7765" w:rsidRDefault="00937D50" w:rsidP="00937D50">
      <w:pPr>
        <w:pStyle w:val="Default"/>
        <w:jc w:val="both"/>
        <w:rPr>
          <w:color w:val="auto"/>
          <w:sz w:val="18"/>
          <w:szCs w:val="18"/>
        </w:rPr>
      </w:pPr>
      <w:r w:rsidRPr="00CA7765">
        <w:rPr>
          <w:bCs/>
          <w:color w:val="auto"/>
          <w:sz w:val="18"/>
          <w:szCs w:val="18"/>
        </w:rPr>
        <w:t>Catalyst affects the rate of chemical reactions but emerges from the process unchanged. In this study calcium oxide (CaO) from seashell is used as catalyst in altering the products obtained from pyrolysis.</w:t>
      </w:r>
      <w:r w:rsidRPr="00CA7765">
        <w:rPr>
          <w:color w:val="auto"/>
          <w:sz w:val="18"/>
          <w:szCs w:val="18"/>
        </w:rPr>
        <w:t xml:space="preserve"> CaO can be synthesized from natural calcium carbonate (CaCO</w:t>
      </w:r>
      <w:r w:rsidRPr="00CA7765">
        <w:rPr>
          <w:color w:val="auto"/>
          <w:sz w:val="18"/>
          <w:szCs w:val="18"/>
          <w:vertAlign w:val="subscript"/>
        </w:rPr>
        <w:t>3</w:t>
      </w:r>
      <w:r w:rsidRPr="00CA7765">
        <w:rPr>
          <w:color w:val="auto"/>
          <w:sz w:val="18"/>
          <w:szCs w:val="18"/>
        </w:rPr>
        <w:t>) source, such as seashell, through the calcination process. The objective of this study is to investigate the effect of temperature in the calcination process of seashell. Calcinated CaO from seashell were analysed using thermogravimetric analysis (TGA), X-ray fluorescence (XRF), scanning electron microscopy (SEM) and energy dispersive X-ray analyser (EDX). There was a significant relationship observed between structural properties of calcinated CaO and temperature. It was also found that by increasing the temperature in the calcination process resulted in an increase in weight of CaO. Seashell calcined at 800˚C gave a higher amount of CaO compared to a calcination temperature of 700˚C and 900˚C. Therefore, 800˚C seems to be an optimum temperature for calcination of seashell. The presence of a CaO catalyst increased the bio-oil production in the pyrolysis of empty fruit bunches (EFB) from 33.4% to 45.6%.</w:t>
      </w:r>
    </w:p>
    <w:p w:rsidR="00937D50" w:rsidRPr="00CA7765" w:rsidRDefault="00937D50" w:rsidP="00937D50">
      <w:pPr>
        <w:pStyle w:val="Default"/>
        <w:jc w:val="both"/>
        <w:rPr>
          <w:color w:val="auto"/>
          <w:sz w:val="18"/>
          <w:szCs w:val="18"/>
        </w:rPr>
      </w:pPr>
    </w:p>
    <w:p w:rsidR="00937D50" w:rsidRPr="00CA7765" w:rsidRDefault="00937D50" w:rsidP="00937D50">
      <w:pPr>
        <w:pStyle w:val="Default"/>
        <w:jc w:val="both"/>
        <w:rPr>
          <w:color w:val="auto"/>
          <w:sz w:val="18"/>
          <w:szCs w:val="18"/>
        </w:rPr>
      </w:pPr>
      <w:r w:rsidRPr="00CA7765">
        <w:rPr>
          <w:b/>
          <w:bCs/>
          <w:color w:val="auto"/>
          <w:sz w:val="18"/>
          <w:szCs w:val="18"/>
        </w:rPr>
        <w:t>Keyword</w:t>
      </w:r>
      <w:r>
        <w:rPr>
          <w:b/>
          <w:bCs/>
          <w:color w:val="auto"/>
          <w:sz w:val="18"/>
          <w:szCs w:val="18"/>
        </w:rPr>
        <w:t>s</w:t>
      </w:r>
      <w:r>
        <w:rPr>
          <w:color w:val="auto"/>
          <w:sz w:val="18"/>
          <w:szCs w:val="18"/>
        </w:rPr>
        <w:t>: s</w:t>
      </w:r>
      <w:r w:rsidRPr="00CA7765">
        <w:rPr>
          <w:color w:val="auto"/>
          <w:sz w:val="18"/>
          <w:szCs w:val="18"/>
        </w:rPr>
        <w:t>eashell, calcination, calcium oxide (CaO), and calcium carbonate (CaCO</w:t>
      </w:r>
      <w:r w:rsidRPr="00CA7765">
        <w:rPr>
          <w:color w:val="auto"/>
          <w:sz w:val="18"/>
          <w:szCs w:val="18"/>
          <w:vertAlign w:val="subscript"/>
        </w:rPr>
        <w:t>3</w:t>
      </w:r>
      <w:r w:rsidRPr="00CA7765">
        <w:rPr>
          <w:color w:val="auto"/>
          <w:sz w:val="18"/>
          <w:szCs w:val="18"/>
        </w:rPr>
        <w:t>)</w:t>
      </w:r>
    </w:p>
    <w:p w:rsidR="006768E9" w:rsidRPr="00802DCC" w:rsidRDefault="006768E9" w:rsidP="00937D50">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937D50" w:rsidRDefault="00937D50" w:rsidP="00937D50">
      <w:pPr>
        <w:spacing w:after="0" w:line="240" w:lineRule="auto"/>
        <w:jc w:val="both"/>
        <w:rPr>
          <w:rFonts w:ascii="Times New Roman" w:hAnsi="Times New Roman"/>
          <w:sz w:val="18"/>
          <w:szCs w:val="18"/>
        </w:rPr>
      </w:pPr>
      <w:r w:rsidRPr="00CA7765">
        <w:rPr>
          <w:rFonts w:ascii="Times New Roman" w:hAnsi="Times New Roman"/>
          <w:sz w:val="18"/>
          <w:szCs w:val="18"/>
        </w:rPr>
        <w:t>Kalsium oksida (CaO) adalah pemangkin yang berkesan dalam mengubah produk daripada pirolisis. CaO boleh disintesis daripada sumber kalsium karbonat semula jadi (CaCO3), seperti kerang, melalui proses pengkalsinan. Objektif kajian ini adalah untuk mengkaji kesan suhu dalam proses pengkalsinan bagi kerang. CaO yang telah dikalsinkan daripada kerang telah dianalisis dengan menggunakan mikroskop imbasan elektron (SEM), tenaga serakan X-ray analyzer (EDX), termo analisis gravimetrik (TGA) dan sinar-X pendarfluor (XRF). Terdapat hubungan yang signifikan diperhatikan di antara sifat-sifat struktur calcinated CaO dan suhu. Ia juga mendapati bahawa dengan meningkatkan suhu dalam proses pengkalsinan akan menyebabkan peningkatan berat peratusan CaO. Ini menunjukkan bahawa dengan peningkatan suhu semasa proses pengkalsinan kesan pemangkin kerang akan lebih cekap semasa proses pirolisis. Kerang yang dikalsinkan pada 800˚C memberikan jumlah yang lebih tinggi berbanding  suhu  700˚C dan 900˚C. Oleh itu, suhu 800˚C adalah suhu optimum untuk pembentukan CaO. Kehadiran pemangkin CaO meningkatkan pengeluaran bio minyak pirolisis buah tandan kosong (EFB) daripada 33.4% sehingga 45.6%.</w:t>
      </w:r>
    </w:p>
    <w:p w:rsidR="00937D50" w:rsidRPr="00CA7765" w:rsidRDefault="00937D50" w:rsidP="00937D50">
      <w:pPr>
        <w:spacing w:after="0" w:line="240" w:lineRule="auto"/>
        <w:jc w:val="both"/>
        <w:rPr>
          <w:rFonts w:ascii="Times New Roman" w:hAnsi="Times New Roman"/>
          <w:sz w:val="18"/>
          <w:szCs w:val="18"/>
        </w:rPr>
      </w:pPr>
    </w:p>
    <w:p w:rsidR="00937D50" w:rsidRPr="00CA7765" w:rsidRDefault="00937D50" w:rsidP="00937D50">
      <w:pPr>
        <w:spacing w:after="0" w:line="240" w:lineRule="auto"/>
        <w:rPr>
          <w:rFonts w:ascii="Times New Roman" w:hAnsi="Times New Roman"/>
          <w:sz w:val="18"/>
          <w:szCs w:val="20"/>
        </w:rPr>
      </w:pPr>
      <w:r w:rsidRPr="00CA7765">
        <w:rPr>
          <w:rFonts w:ascii="Times New Roman" w:hAnsi="Times New Roman"/>
          <w:b/>
          <w:sz w:val="18"/>
          <w:szCs w:val="20"/>
        </w:rPr>
        <w:t>Kata kunci:</w:t>
      </w:r>
      <w:r>
        <w:rPr>
          <w:rFonts w:ascii="Times New Roman" w:hAnsi="Times New Roman"/>
          <w:sz w:val="18"/>
          <w:szCs w:val="20"/>
        </w:rPr>
        <w:t xml:space="preserve"> k</w:t>
      </w:r>
      <w:r w:rsidRPr="00CA7765">
        <w:rPr>
          <w:rFonts w:ascii="Times New Roman" w:hAnsi="Times New Roman"/>
          <w:sz w:val="18"/>
          <w:szCs w:val="20"/>
        </w:rPr>
        <w:t>ulit kerang, pengkalsinan, kalsium oksida and kalsium karbonat</w:t>
      </w:r>
    </w:p>
    <w:p w:rsidR="006768E9" w:rsidRPr="00937D50" w:rsidRDefault="006768E9" w:rsidP="00937D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937D50" w:rsidRPr="00CA7765" w:rsidRDefault="00937D50" w:rsidP="00937D50">
      <w:pPr>
        <w:spacing w:after="0" w:line="240" w:lineRule="auto"/>
        <w:jc w:val="both"/>
        <w:rPr>
          <w:rFonts w:ascii="Times New Roman" w:hAnsi="Times New Roman"/>
          <w:sz w:val="20"/>
          <w:szCs w:val="20"/>
        </w:rPr>
      </w:pPr>
      <w:r w:rsidRPr="00CA7765">
        <w:rPr>
          <w:rFonts w:ascii="Times New Roman" w:hAnsi="Times New Roman"/>
          <w:sz w:val="20"/>
          <w:szCs w:val="20"/>
        </w:rPr>
        <w:t xml:space="preserve">Marine source material can be found abundantly in Malaysia, considering the country is surrounded by sea. One of the marine sources in the coastal area is seashell. The usage of seashell is well documented and researched. The utilization of seashell for medical, domestic and agriculture use can be found in the literature [1]. Seashell was also reported to be used as a catalyst in the production of biodiesel and also as a source of raw material for production of calcium oxide [2]. Seashell needs to undergo a calcination process before it can be used as a catalyst in the form of calcium oxide. One of the main factors influencing the calcination process is temperature [3]. Mohamed et al. (2012) in his study on calcinations of cockle shell found that the calcium oxide production was highly dependent on </w:t>
      </w:r>
      <w:r w:rsidRPr="00CA7765">
        <w:rPr>
          <w:rFonts w:ascii="Times New Roman" w:hAnsi="Times New Roman"/>
          <w:sz w:val="20"/>
          <w:szCs w:val="20"/>
        </w:rPr>
        <w:lastRenderedPageBreak/>
        <w:t xml:space="preserve">variables such as temperature and time [4]. Calcium oxide is usually formed at high calcination temperature. A study by Rashidi </w:t>
      </w:r>
      <w:r w:rsidRPr="00CA7765">
        <w:rPr>
          <w:rFonts w:ascii="Times New Roman" w:hAnsi="Times New Roman"/>
          <w:i/>
          <w:sz w:val="20"/>
          <w:szCs w:val="20"/>
        </w:rPr>
        <w:t>et al</w:t>
      </w:r>
      <w:r w:rsidRPr="00CA7765">
        <w:rPr>
          <w:rFonts w:ascii="Times New Roman" w:hAnsi="Times New Roman"/>
          <w:sz w:val="20"/>
          <w:szCs w:val="20"/>
        </w:rPr>
        <w:t>, (2011) reported that apart from temperature of the furnace, the particle size and heating rate also played important roles in the production of calcium oxide [5]. Their results were concluded based on the analysis using thermogravimetric analysis (TGA). Further analysis of calcined shell by X-ray fluorescence (XRF), scanning electron microscopy (SEM), and energy dispersive X-ray analyser (EDX) confirmed the change of calcium carbonate in the shells to calcium oxide after calcination process. The findings from this study prove that seashells are rich in calcium, which acts as a source of calcium oxide [6].</w:t>
      </w:r>
    </w:p>
    <w:p w:rsidR="006768E9" w:rsidRPr="00802DCC" w:rsidRDefault="006768E9" w:rsidP="00937D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937D50" w:rsidRPr="00CA7765" w:rsidRDefault="00937D50" w:rsidP="00937D50">
      <w:pPr>
        <w:spacing w:after="0" w:line="240" w:lineRule="auto"/>
        <w:jc w:val="both"/>
        <w:rPr>
          <w:rFonts w:ascii="Times New Roman" w:hAnsi="Times New Roman"/>
          <w:b/>
          <w:iCs/>
          <w:sz w:val="20"/>
          <w:szCs w:val="20"/>
        </w:rPr>
      </w:pPr>
      <w:r w:rsidRPr="00CA7765">
        <w:rPr>
          <w:rFonts w:ascii="Times New Roman" w:hAnsi="Times New Roman"/>
          <w:b/>
          <w:iCs/>
          <w:sz w:val="20"/>
          <w:szCs w:val="20"/>
        </w:rPr>
        <w:t>Sample preparation</w:t>
      </w:r>
    </w:p>
    <w:p w:rsidR="00937D50" w:rsidRPr="00CA7765" w:rsidRDefault="00937D50" w:rsidP="00937D50">
      <w:pPr>
        <w:spacing w:after="0" w:line="240" w:lineRule="auto"/>
        <w:jc w:val="both"/>
        <w:rPr>
          <w:rFonts w:ascii="Times New Roman" w:hAnsi="Times New Roman"/>
          <w:sz w:val="20"/>
          <w:szCs w:val="20"/>
        </w:rPr>
      </w:pPr>
      <w:r w:rsidRPr="00CA7765">
        <w:rPr>
          <w:rFonts w:ascii="Times New Roman" w:hAnsi="Times New Roman"/>
          <w:sz w:val="20"/>
          <w:szCs w:val="20"/>
        </w:rPr>
        <w:t>CaO used in this study was obtained by calcination of seashells (CaCO</w:t>
      </w:r>
      <w:r w:rsidRPr="00CA7765">
        <w:rPr>
          <w:rFonts w:ascii="Times New Roman" w:hAnsi="Times New Roman"/>
          <w:sz w:val="20"/>
          <w:szCs w:val="20"/>
          <w:vertAlign w:val="subscript"/>
        </w:rPr>
        <w:t>3</w:t>
      </w:r>
      <w:r w:rsidRPr="00CA7765">
        <w:rPr>
          <w:rFonts w:ascii="Times New Roman" w:hAnsi="Times New Roman"/>
          <w:sz w:val="20"/>
          <w:szCs w:val="20"/>
        </w:rPr>
        <w:t>) in a muffle furnace. Calcium oxide (CaO) was prepared from seashells collected from a local beach at Kuala Perlis, Malaysia. The seashells were washed with distilled water and then dried in an oven (Binder, ED53) for 2 hours at 110˚C.The seashells were finely ground using a commercial blender (Pensonic).The shell powder were sieved using stainless steel laboratory test sieve (Retsch, AS200). The CaO was prepared by calcinations at three different temperatures, namely 700, 800, and 900˚C in the furnace (Carbolite,CWF 11/13) for 2 hours. After cooling, the resultant solid product was ground in a grinder. The powder were sieved and stored in air tight sample bottles.</w:t>
      </w:r>
    </w:p>
    <w:p w:rsidR="00937D50" w:rsidRPr="00CA7765" w:rsidRDefault="00937D50" w:rsidP="00937D50">
      <w:pPr>
        <w:spacing w:after="0" w:line="240" w:lineRule="auto"/>
        <w:jc w:val="both"/>
        <w:rPr>
          <w:rFonts w:ascii="Times New Roman" w:hAnsi="Times New Roman"/>
          <w:sz w:val="20"/>
          <w:szCs w:val="20"/>
        </w:rPr>
      </w:pPr>
    </w:p>
    <w:p w:rsidR="00937D50" w:rsidRPr="00CA7765" w:rsidRDefault="00937D50" w:rsidP="00937D50">
      <w:pPr>
        <w:spacing w:after="0" w:line="240" w:lineRule="auto"/>
        <w:jc w:val="both"/>
        <w:rPr>
          <w:rFonts w:ascii="Times New Roman" w:hAnsi="Times New Roman"/>
          <w:b/>
          <w:bCs/>
          <w:iCs/>
          <w:sz w:val="20"/>
          <w:szCs w:val="20"/>
        </w:rPr>
      </w:pPr>
      <w:r w:rsidRPr="00CA7765">
        <w:rPr>
          <w:rFonts w:ascii="Times New Roman" w:hAnsi="Times New Roman"/>
          <w:b/>
          <w:bCs/>
          <w:iCs/>
          <w:sz w:val="20"/>
          <w:szCs w:val="20"/>
        </w:rPr>
        <w:t>Catalyst characterization</w:t>
      </w:r>
    </w:p>
    <w:p w:rsidR="00937D50" w:rsidRPr="00CA7765" w:rsidRDefault="00937D50" w:rsidP="00937D50">
      <w:pPr>
        <w:spacing w:after="0" w:line="240" w:lineRule="auto"/>
        <w:jc w:val="both"/>
        <w:rPr>
          <w:rFonts w:ascii="Times New Roman" w:hAnsi="Times New Roman"/>
          <w:i/>
          <w:sz w:val="20"/>
          <w:szCs w:val="20"/>
        </w:rPr>
      </w:pPr>
      <w:r w:rsidRPr="00CA7765">
        <w:rPr>
          <w:rFonts w:ascii="Times New Roman" w:hAnsi="Times New Roman"/>
          <w:sz w:val="20"/>
          <w:szCs w:val="20"/>
        </w:rPr>
        <w:t>The thermal decomposition patterns of seashell particles were studied using thermogravimetric analyzer (Mettler Toledo, TGA/DSC). Approximately, 10.5 mg of seashell powder were placed in a crucible and weighed. The sample was then placed inside the furnace and programmed for continuous heating from room temperature to 1300˚C at a heating rate of 20 ˚C/min under nitrogen flow at the rate of 100 mL/min. The chemical compositition of calcined seashells were estimated using Panalytical Minipal 4. The surface morphologies and elemental analyses were performed using scanning electron microscope SEM and EDX (Hitachi TM 3000). The powder was mounted onto the SEM stubs layer (layer with sticky tape). The stub was then placed in sputter coater (Auto line cutter, JEOL: JFC-1600) for five minutes for coating with platinum to provide high reflectivity during the scanning process.</w:t>
      </w:r>
    </w:p>
    <w:p w:rsidR="00937D50" w:rsidRPr="00CA7765" w:rsidRDefault="00937D50" w:rsidP="00937D50">
      <w:pPr>
        <w:spacing w:after="0" w:line="240" w:lineRule="auto"/>
        <w:jc w:val="both"/>
        <w:rPr>
          <w:rFonts w:ascii="Times New Roman" w:hAnsi="Times New Roman"/>
          <w:sz w:val="20"/>
          <w:szCs w:val="20"/>
        </w:rPr>
      </w:pPr>
    </w:p>
    <w:p w:rsidR="00937D50" w:rsidRPr="00CA7765" w:rsidRDefault="00937D50" w:rsidP="00937D50">
      <w:pPr>
        <w:spacing w:after="0" w:line="240" w:lineRule="auto"/>
        <w:jc w:val="both"/>
        <w:rPr>
          <w:rFonts w:ascii="Times New Roman" w:hAnsi="Times New Roman"/>
          <w:b/>
          <w:bCs/>
          <w:iCs/>
          <w:sz w:val="20"/>
          <w:szCs w:val="20"/>
        </w:rPr>
      </w:pPr>
      <w:r w:rsidRPr="00CA7765">
        <w:rPr>
          <w:rFonts w:ascii="Times New Roman" w:hAnsi="Times New Roman"/>
          <w:b/>
          <w:bCs/>
          <w:iCs/>
          <w:sz w:val="20"/>
          <w:szCs w:val="20"/>
        </w:rPr>
        <w:t>Bio- oil production</w:t>
      </w:r>
    </w:p>
    <w:p w:rsidR="00937D50" w:rsidRDefault="00937D50" w:rsidP="00937D50">
      <w:pPr>
        <w:spacing w:after="0" w:line="240" w:lineRule="auto"/>
        <w:jc w:val="both"/>
        <w:rPr>
          <w:rFonts w:ascii="Times New Roman" w:eastAsia="Calibri" w:hAnsi="Times New Roman"/>
          <w:sz w:val="20"/>
          <w:szCs w:val="20"/>
        </w:rPr>
      </w:pPr>
      <w:r w:rsidRPr="00CA7765">
        <w:rPr>
          <w:rFonts w:ascii="Times New Roman" w:hAnsi="Times New Roman"/>
          <w:sz w:val="20"/>
          <w:szCs w:val="20"/>
        </w:rPr>
        <w:t xml:space="preserve">The empty fruit bunch (EFB) was obtained from Fong Wee Sawiminyak Sdn. Bhd. located at Sungai Siput, Perak. The sample was washed and chopped into smaller size and dried at 105˚C for 24 hours in an oven. The biomass is sieved for screening to obtain a sample of &lt;710 µm. 100 g of biomass was mixed 10 g CaO catalyst. The sample was placed in a pyrolysis reactor. Pyrolysis was conducted at a temperature of 550˚C under nitrogen gas flow rate of 500 ml/minute. The pyrolysis vapour products passed through the condenser and the liquid collector. The pyrolyzate was collected in a conical flask at 0°C. After pyrolysis the products obtained were </w:t>
      </w:r>
      <w:r w:rsidRPr="00CA7765">
        <w:rPr>
          <w:rFonts w:ascii="Times New Roman" w:eastAsia="Calibri" w:hAnsi="Times New Roman"/>
          <w:sz w:val="20"/>
          <w:szCs w:val="20"/>
        </w:rPr>
        <w:t xml:space="preserve">biochar and bio-oil. Biochar and bio-oil yields were estimated on a weight basis according to Equation (1)-(3). </w:t>
      </w:r>
    </w:p>
    <w:p w:rsidR="00937D50" w:rsidRPr="00CA7765" w:rsidRDefault="00937D50" w:rsidP="00937D50">
      <w:pPr>
        <w:spacing w:after="0" w:line="240" w:lineRule="auto"/>
        <w:jc w:val="both"/>
        <w:rPr>
          <w:rFonts w:ascii="Times New Roman" w:eastAsia="Calibri" w:hAnsi="Times New Roman"/>
          <w:sz w:val="20"/>
          <w:szCs w:val="20"/>
        </w:rPr>
      </w:pPr>
    </w:p>
    <w:p w:rsidR="00937D50" w:rsidRDefault="00937D50" w:rsidP="00937D50">
      <w:pPr>
        <w:spacing w:after="0" w:line="240" w:lineRule="auto"/>
        <w:ind w:firstLine="720"/>
        <w:jc w:val="both"/>
        <w:rPr>
          <w:rFonts w:ascii="Times New Roman" w:eastAsia="Calibri" w:hAnsi="Times New Roman"/>
          <w:sz w:val="20"/>
          <w:szCs w:val="20"/>
        </w:rPr>
      </w:pPr>
      <w:r w:rsidRPr="00CA7765">
        <w:rPr>
          <w:rFonts w:ascii="Times New Roman" w:eastAsia="Calibri" w:hAnsi="Times New Roman"/>
          <w:sz w:val="20"/>
          <w:szCs w:val="20"/>
        </w:rPr>
        <w:t xml:space="preserve">Biochar yield (%) = (char product (g)) </w:t>
      </w:r>
      <w:r w:rsidRPr="00CA7765">
        <w:rPr>
          <w:rFonts w:ascii="Times New Roman" w:eastAsia="Calibri" w:hAnsi="Times New Roman"/>
          <w:b/>
          <w:bCs/>
          <w:sz w:val="20"/>
          <w:szCs w:val="20"/>
        </w:rPr>
        <w:t>/ (</w:t>
      </w:r>
      <w:r w:rsidRPr="00CA7765">
        <w:rPr>
          <w:rFonts w:ascii="Times New Roman" w:eastAsia="Calibri" w:hAnsi="Times New Roman"/>
          <w:sz w:val="20"/>
          <w:szCs w:val="20"/>
        </w:rPr>
        <w:t>EFB sample (g)) x100%</w:t>
      </w:r>
      <w:r w:rsidRPr="00CA7765">
        <w:rPr>
          <w:rFonts w:ascii="Times New Roman" w:eastAsia="Calibri" w:hAnsi="Times New Roman"/>
          <w:sz w:val="20"/>
          <w:szCs w:val="20"/>
        </w:rPr>
        <w:tab/>
      </w:r>
      <w:r w:rsidRPr="00CA7765">
        <w:rPr>
          <w:rFonts w:ascii="Times New Roman" w:eastAsia="Calibri" w:hAnsi="Times New Roman"/>
          <w:sz w:val="20"/>
          <w:szCs w:val="20"/>
        </w:rPr>
        <w:tab/>
      </w:r>
      <w:r>
        <w:rPr>
          <w:rFonts w:ascii="Times New Roman" w:eastAsia="Calibri" w:hAnsi="Times New Roman"/>
          <w:sz w:val="20"/>
          <w:szCs w:val="20"/>
        </w:rPr>
        <w:t xml:space="preserve">  </w:t>
      </w:r>
      <w:r w:rsidRPr="00CA7765">
        <w:rPr>
          <w:rFonts w:ascii="Times New Roman" w:eastAsia="Calibri" w:hAnsi="Times New Roman"/>
          <w:sz w:val="20"/>
          <w:szCs w:val="20"/>
        </w:rPr>
        <w:tab/>
      </w:r>
      <w:r>
        <w:rPr>
          <w:rFonts w:ascii="Times New Roman" w:eastAsia="Calibri" w:hAnsi="Times New Roman"/>
          <w:sz w:val="20"/>
          <w:szCs w:val="20"/>
        </w:rPr>
        <w:t xml:space="preserve">                       </w:t>
      </w:r>
      <w:r w:rsidRPr="00CA7765">
        <w:rPr>
          <w:rFonts w:ascii="Times New Roman" w:eastAsia="Calibri" w:hAnsi="Times New Roman"/>
          <w:sz w:val="20"/>
          <w:szCs w:val="20"/>
        </w:rPr>
        <w:t>(1)</w:t>
      </w:r>
    </w:p>
    <w:p w:rsidR="00937D50" w:rsidRPr="00CA7765" w:rsidRDefault="00937D50" w:rsidP="00937D50">
      <w:pPr>
        <w:spacing w:after="0" w:line="240" w:lineRule="auto"/>
        <w:jc w:val="center"/>
        <w:rPr>
          <w:rFonts w:ascii="Times New Roman" w:eastAsia="Calibri" w:hAnsi="Times New Roman"/>
          <w:sz w:val="20"/>
          <w:szCs w:val="20"/>
        </w:rPr>
      </w:pPr>
    </w:p>
    <w:p w:rsidR="00937D50" w:rsidRDefault="00937D50" w:rsidP="00937D50">
      <w:pPr>
        <w:spacing w:after="0" w:line="240" w:lineRule="auto"/>
        <w:ind w:firstLine="720"/>
        <w:rPr>
          <w:rFonts w:ascii="Times New Roman" w:eastAsia="Calibri" w:hAnsi="Times New Roman"/>
          <w:sz w:val="20"/>
          <w:szCs w:val="20"/>
        </w:rPr>
      </w:pPr>
      <w:r w:rsidRPr="00CA7765">
        <w:rPr>
          <w:rFonts w:ascii="Times New Roman" w:eastAsia="Calibri" w:hAnsi="Times New Roman"/>
          <w:sz w:val="20"/>
          <w:szCs w:val="20"/>
        </w:rPr>
        <w:t>Bio oil yield (%) = (liquid product (g)) / (EFB sample (g)) x100%</w:t>
      </w:r>
      <w:r w:rsidRPr="00CA7765">
        <w:rPr>
          <w:rFonts w:ascii="Times New Roman" w:eastAsia="Calibri" w:hAnsi="Times New Roman"/>
          <w:sz w:val="20"/>
          <w:szCs w:val="20"/>
        </w:rPr>
        <w:tab/>
      </w:r>
      <w:r w:rsidRPr="00CA7765">
        <w:rPr>
          <w:rFonts w:ascii="Times New Roman" w:eastAsia="Calibri" w:hAnsi="Times New Roman"/>
          <w:sz w:val="20"/>
          <w:szCs w:val="20"/>
        </w:rPr>
        <w:tab/>
      </w:r>
      <w:r w:rsidRPr="00CA7765">
        <w:rPr>
          <w:rFonts w:ascii="Times New Roman" w:eastAsia="Calibri" w:hAnsi="Times New Roman"/>
          <w:sz w:val="20"/>
          <w:szCs w:val="20"/>
        </w:rPr>
        <w:tab/>
      </w:r>
      <w:r w:rsidRPr="00CA7765">
        <w:rPr>
          <w:rFonts w:ascii="Times New Roman" w:eastAsia="Calibri" w:hAnsi="Times New Roman"/>
          <w:sz w:val="20"/>
          <w:szCs w:val="20"/>
        </w:rPr>
        <w:tab/>
      </w:r>
      <w:r>
        <w:rPr>
          <w:rFonts w:ascii="Times New Roman" w:eastAsia="Calibri" w:hAnsi="Times New Roman"/>
          <w:sz w:val="20"/>
          <w:szCs w:val="20"/>
        </w:rPr>
        <w:t xml:space="preserve">         </w:t>
      </w:r>
      <w:r w:rsidRPr="00CA7765">
        <w:rPr>
          <w:rFonts w:ascii="Times New Roman" w:eastAsia="Calibri" w:hAnsi="Times New Roman"/>
          <w:sz w:val="20"/>
          <w:szCs w:val="20"/>
        </w:rPr>
        <w:t>(2)</w:t>
      </w:r>
    </w:p>
    <w:p w:rsidR="00937D50" w:rsidRPr="00CA7765" w:rsidRDefault="00937D50" w:rsidP="00937D50">
      <w:pPr>
        <w:spacing w:after="0" w:line="240" w:lineRule="auto"/>
        <w:jc w:val="center"/>
        <w:rPr>
          <w:rFonts w:ascii="Times New Roman" w:eastAsia="Calibri" w:hAnsi="Times New Roman"/>
          <w:sz w:val="20"/>
          <w:szCs w:val="20"/>
        </w:rPr>
      </w:pPr>
    </w:p>
    <w:p w:rsidR="00937D50" w:rsidRPr="00CA7765" w:rsidRDefault="00937D50" w:rsidP="00937D50">
      <w:pPr>
        <w:spacing w:after="0" w:line="240" w:lineRule="auto"/>
        <w:ind w:firstLine="720"/>
        <w:rPr>
          <w:rFonts w:ascii="Times New Roman" w:eastAsia="Calibri" w:hAnsi="Times New Roman"/>
          <w:sz w:val="20"/>
          <w:szCs w:val="20"/>
        </w:rPr>
      </w:pPr>
      <w:r w:rsidRPr="00CA7765">
        <w:rPr>
          <w:rFonts w:ascii="Times New Roman" w:eastAsia="Calibri" w:hAnsi="Times New Roman"/>
          <w:sz w:val="20"/>
          <w:szCs w:val="20"/>
        </w:rPr>
        <w:t>Gas yield (%) =100% - (Biochar yield (%) +Bio oil yield (%))</w:t>
      </w:r>
      <w:r w:rsidRPr="00CA7765">
        <w:rPr>
          <w:rFonts w:ascii="Times New Roman" w:eastAsia="Calibri" w:hAnsi="Times New Roman"/>
          <w:sz w:val="20"/>
          <w:szCs w:val="20"/>
        </w:rPr>
        <w:tab/>
      </w:r>
      <w:r w:rsidRPr="00CA7765">
        <w:rPr>
          <w:rFonts w:ascii="Times New Roman" w:eastAsia="Calibri" w:hAnsi="Times New Roman"/>
          <w:sz w:val="20"/>
          <w:szCs w:val="20"/>
        </w:rPr>
        <w:tab/>
      </w:r>
      <w:r w:rsidRPr="00CA7765">
        <w:rPr>
          <w:rFonts w:ascii="Times New Roman" w:eastAsia="Calibri" w:hAnsi="Times New Roman"/>
          <w:sz w:val="20"/>
          <w:szCs w:val="20"/>
        </w:rPr>
        <w:tab/>
      </w:r>
      <w:r w:rsidRPr="00CA7765">
        <w:rPr>
          <w:rFonts w:ascii="Times New Roman" w:eastAsia="Calibri" w:hAnsi="Times New Roman"/>
          <w:sz w:val="20"/>
          <w:szCs w:val="20"/>
        </w:rPr>
        <w:tab/>
      </w:r>
      <w:r w:rsidRPr="00CA7765">
        <w:rPr>
          <w:rFonts w:ascii="Times New Roman" w:eastAsia="Calibri" w:hAnsi="Times New Roman"/>
          <w:sz w:val="20"/>
          <w:szCs w:val="20"/>
        </w:rPr>
        <w:tab/>
      </w:r>
      <w:r>
        <w:rPr>
          <w:rFonts w:ascii="Times New Roman" w:eastAsia="Calibri" w:hAnsi="Times New Roman"/>
          <w:sz w:val="20"/>
          <w:szCs w:val="20"/>
        </w:rPr>
        <w:t xml:space="preserve">         </w:t>
      </w:r>
      <w:r w:rsidRPr="00CA7765">
        <w:rPr>
          <w:rFonts w:ascii="Times New Roman" w:eastAsia="Calibri" w:hAnsi="Times New Roman"/>
          <w:sz w:val="20"/>
          <w:szCs w:val="20"/>
        </w:rPr>
        <w:t>(3)</w:t>
      </w:r>
    </w:p>
    <w:p w:rsidR="006768E9" w:rsidRDefault="006768E9" w:rsidP="00937D50">
      <w:pPr>
        <w:spacing w:after="0" w:line="240" w:lineRule="auto"/>
        <w:jc w:val="center"/>
        <w:rPr>
          <w:rFonts w:ascii="Times New Roman" w:hAnsi="Times New Roman"/>
          <w:noProof/>
          <w:sz w:val="20"/>
          <w:szCs w:val="20"/>
          <w:lang w:bidi="ar-SA"/>
        </w:rPr>
      </w:pPr>
    </w:p>
    <w:p w:rsidR="00937D50" w:rsidRPr="00802DCC" w:rsidRDefault="00937D50" w:rsidP="00937D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937D50" w:rsidRPr="00CA7765" w:rsidRDefault="00937D50" w:rsidP="00937D50">
      <w:pPr>
        <w:spacing w:after="0" w:line="240" w:lineRule="auto"/>
        <w:jc w:val="both"/>
        <w:rPr>
          <w:rFonts w:ascii="Times New Roman" w:hAnsi="Times New Roman"/>
          <w:sz w:val="20"/>
          <w:szCs w:val="20"/>
        </w:rPr>
      </w:pPr>
      <w:r w:rsidRPr="00CA7765">
        <w:rPr>
          <w:rFonts w:ascii="Times New Roman" w:hAnsi="Times New Roman"/>
          <w:sz w:val="20"/>
          <w:szCs w:val="20"/>
        </w:rPr>
        <w:t xml:space="preserve">To evaluate the thermal decomposition process of raw seashell, thermal analysis was conducted in a simultaneous TGA analyser. Figure 1 shows that the temperature curve peaked at 780˚C. Islam </w:t>
      </w:r>
      <w:r w:rsidRPr="00CA7765">
        <w:rPr>
          <w:rFonts w:ascii="Times New Roman" w:hAnsi="Times New Roman"/>
          <w:i/>
          <w:sz w:val="20"/>
          <w:szCs w:val="20"/>
        </w:rPr>
        <w:t>et al</w:t>
      </w:r>
      <w:r w:rsidRPr="00CA7765">
        <w:rPr>
          <w:rFonts w:ascii="Times New Roman" w:hAnsi="Times New Roman"/>
          <w:sz w:val="20"/>
          <w:szCs w:val="20"/>
        </w:rPr>
        <w:t>., (2013) studied the decomposition of calcium carbonate (CaCO</w:t>
      </w:r>
      <w:r w:rsidRPr="00CA7765">
        <w:rPr>
          <w:rFonts w:ascii="Times New Roman" w:hAnsi="Times New Roman"/>
          <w:sz w:val="20"/>
          <w:szCs w:val="20"/>
          <w:vertAlign w:val="subscript"/>
        </w:rPr>
        <w:t>3</w:t>
      </w:r>
      <w:r w:rsidRPr="00CA7765">
        <w:rPr>
          <w:rFonts w:ascii="Times New Roman" w:hAnsi="Times New Roman"/>
          <w:sz w:val="20"/>
          <w:szCs w:val="20"/>
        </w:rPr>
        <w:t>) and found two distinct phases in the decomposition pattern of CaCO</w:t>
      </w:r>
      <w:r w:rsidRPr="00CA7765">
        <w:rPr>
          <w:rFonts w:ascii="Times New Roman" w:hAnsi="Times New Roman"/>
          <w:sz w:val="20"/>
          <w:szCs w:val="20"/>
          <w:vertAlign w:val="subscript"/>
        </w:rPr>
        <w:t>3</w:t>
      </w:r>
      <w:r w:rsidRPr="00CA7765">
        <w:rPr>
          <w:rFonts w:ascii="Times New Roman" w:hAnsi="Times New Roman"/>
          <w:sz w:val="20"/>
          <w:szCs w:val="20"/>
        </w:rPr>
        <w:t xml:space="preserve"> [7]. The first phase initial process started with a very small weight loss which is due to the removal of water and alkyl group. The second phase started at 580˚C and ended at 815˚C</w:t>
      </w:r>
      <w:r w:rsidRPr="00CA7765">
        <w:rPr>
          <w:rFonts w:ascii="Times New Roman" w:hAnsi="Times New Roman"/>
          <w:sz w:val="20"/>
          <w:szCs w:val="20"/>
          <w:vertAlign w:val="subscript"/>
        </w:rPr>
        <w:t>.</w:t>
      </w:r>
      <w:r w:rsidRPr="00CA7765">
        <w:rPr>
          <w:rFonts w:ascii="Times New Roman" w:hAnsi="Times New Roman"/>
          <w:sz w:val="20"/>
          <w:szCs w:val="20"/>
        </w:rPr>
        <w:t xml:space="preserve"> As the temperature increased between 700-900˚C, a rapid weight changes occur as the volatile matter in the sample was removed, and the CaCO</w:t>
      </w:r>
      <w:r w:rsidRPr="00CA7765">
        <w:rPr>
          <w:rFonts w:ascii="Times New Roman" w:hAnsi="Times New Roman"/>
          <w:sz w:val="20"/>
          <w:szCs w:val="20"/>
          <w:vertAlign w:val="subscript"/>
        </w:rPr>
        <w:t xml:space="preserve">3, </w:t>
      </w:r>
      <w:r w:rsidRPr="00CA7765">
        <w:rPr>
          <w:rFonts w:ascii="Times New Roman" w:hAnsi="Times New Roman"/>
          <w:sz w:val="20"/>
          <w:szCs w:val="20"/>
        </w:rPr>
        <w:t xml:space="preserve">contained in </w:t>
      </w:r>
      <w:r w:rsidRPr="00CA7765">
        <w:rPr>
          <w:rFonts w:ascii="Times New Roman" w:hAnsi="Times New Roman"/>
          <w:sz w:val="20"/>
          <w:szCs w:val="20"/>
        </w:rPr>
        <w:lastRenderedPageBreak/>
        <w:t>seashell was transformed as CaO. However, the sample weight was constant until the temperature reached 900 ˚C. This shows that the process was completed and the sample left as residue.</w:t>
      </w:r>
    </w:p>
    <w:p w:rsidR="00937D50" w:rsidRDefault="00937D50" w:rsidP="00937D50">
      <w:pPr>
        <w:spacing w:after="0"/>
        <w:jc w:val="both"/>
        <w:rPr>
          <w:rFonts w:ascii="Times New Roman" w:hAnsi="Times New Roman"/>
          <w:sz w:val="20"/>
          <w:szCs w:val="20"/>
        </w:rPr>
      </w:pPr>
    </w:p>
    <w:p w:rsidR="00937D50" w:rsidRPr="00CA7765" w:rsidRDefault="00937D50" w:rsidP="00937D50">
      <w:pPr>
        <w:spacing w:after="0"/>
        <w:jc w:val="both"/>
        <w:rPr>
          <w:rFonts w:ascii="Times New Roman" w:hAnsi="Times New Roman"/>
          <w:sz w:val="20"/>
          <w:szCs w:val="20"/>
        </w:rPr>
      </w:pPr>
    </w:p>
    <w:p w:rsidR="00937D50" w:rsidRPr="00CA7765" w:rsidRDefault="00937D50" w:rsidP="00937D50">
      <w:pPr>
        <w:jc w:val="center"/>
        <w:rPr>
          <w:rFonts w:ascii="Times New Roman" w:hAnsi="Times New Roman"/>
          <w:sz w:val="20"/>
          <w:szCs w:val="20"/>
        </w:rPr>
      </w:pPr>
      <w:r w:rsidRPr="00CA7765">
        <w:rPr>
          <w:rFonts w:ascii="Times New Roman" w:hAnsi="Times New Roman"/>
          <w:noProof/>
          <w:sz w:val="20"/>
          <w:szCs w:val="20"/>
          <w:lang w:bidi="ar-SA"/>
        </w:rPr>
        <w:drawing>
          <wp:inline distT="0" distB="0" distL="0" distR="0" wp14:anchorId="37C99E4F" wp14:editId="4CCB0F58">
            <wp:extent cx="3135251" cy="2286423"/>
            <wp:effectExtent l="0" t="0" r="0" b="0"/>
            <wp:docPr id="3" name="Picture 3" descr="C:\Users\Nur Fatirah\Desktop\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 Fatirah\Desktop\z.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5806" cy="2286827"/>
                    </a:xfrm>
                    <a:prstGeom prst="rect">
                      <a:avLst/>
                    </a:prstGeom>
                    <a:noFill/>
                    <a:ln>
                      <a:noFill/>
                    </a:ln>
                  </pic:spPr>
                </pic:pic>
              </a:graphicData>
            </a:graphic>
          </wp:inline>
        </w:drawing>
      </w:r>
    </w:p>
    <w:p w:rsidR="00937D50" w:rsidRPr="00CA7765" w:rsidRDefault="00937D50" w:rsidP="00937D50">
      <w:pPr>
        <w:spacing w:after="0" w:line="240" w:lineRule="auto"/>
        <w:jc w:val="center"/>
        <w:rPr>
          <w:rFonts w:ascii="Times New Roman" w:hAnsi="Times New Roman"/>
          <w:sz w:val="20"/>
          <w:szCs w:val="20"/>
        </w:rPr>
      </w:pPr>
      <w:r w:rsidRPr="00CA7765">
        <w:rPr>
          <w:rFonts w:ascii="Times New Roman" w:hAnsi="Times New Roman"/>
          <w:sz w:val="20"/>
          <w:szCs w:val="20"/>
        </w:rPr>
        <w:t>Figure 1. TGA curve of raw seashell</w:t>
      </w:r>
    </w:p>
    <w:p w:rsidR="00937D50" w:rsidRDefault="00937D50" w:rsidP="00937D50">
      <w:pPr>
        <w:tabs>
          <w:tab w:val="left" w:pos="6820"/>
        </w:tabs>
        <w:spacing w:after="0" w:line="240" w:lineRule="auto"/>
        <w:jc w:val="both"/>
        <w:rPr>
          <w:rFonts w:ascii="Times New Roman" w:eastAsia="PMingLiU" w:hAnsi="Times New Roman"/>
          <w:sz w:val="20"/>
          <w:szCs w:val="20"/>
        </w:rPr>
      </w:pPr>
    </w:p>
    <w:p w:rsidR="00937D50" w:rsidRDefault="00937D50" w:rsidP="00937D50">
      <w:pPr>
        <w:tabs>
          <w:tab w:val="left" w:pos="6820"/>
        </w:tabs>
        <w:spacing w:after="0" w:line="240" w:lineRule="auto"/>
        <w:jc w:val="both"/>
        <w:rPr>
          <w:rFonts w:ascii="Times New Roman" w:eastAsia="PMingLiU" w:hAnsi="Times New Roman"/>
          <w:sz w:val="20"/>
          <w:szCs w:val="20"/>
        </w:rPr>
      </w:pPr>
    </w:p>
    <w:p w:rsidR="00937D50" w:rsidRDefault="00937D50" w:rsidP="00937D50">
      <w:pPr>
        <w:tabs>
          <w:tab w:val="left" w:pos="6820"/>
        </w:tabs>
        <w:spacing w:after="0" w:line="240" w:lineRule="auto"/>
        <w:jc w:val="both"/>
        <w:rPr>
          <w:rFonts w:ascii="Times New Roman" w:eastAsia="PMingLiU" w:hAnsi="Times New Roman"/>
          <w:sz w:val="20"/>
          <w:szCs w:val="20"/>
        </w:rPr>
      </w:pPr>
      <w:r w:rsidRPr="00CA7765">
        <w:rPr>
          <w:rFonts w:ascii="Times New Roman" w:eastAsia="PMingLiU" w:hAnsi="Times New Roman"/>
          <w:sz w:val="20"/>
          <w:szCs w:val="20"/>
        </w:rPr>
        <w:t>The chemical composition of the calcined seashells determined using</w:t>
      </w:r>
      <w:r w:rsidRPr="00CA7765">
        <w:rPr>
          <w:rFonts w:ascii="Times New Roman" w:hAnsi="Times New Roman"/>
          <w:sz w:val="20"/>
          <w:szCs w:val="20"/>
        </w:rPr>
        <w:t xml:space="preserve"> XRF</w:t>
      </w:r>
      <w:r w:rsidRPr="00CA7765">
        <w:rPr>
          <w:rFonts w:ascii="Times New Roman" w:eastAsia="PMingLiU" w:hAnsi="Times New Roman"/>
          <w:sz w:val="20"/>
          <w:szCs w:val="20"/>
        </w:rPr>
        <w:t xml:space="preserve"> is shown in Table 1. The main composition of calcined seashell is CaO followed by low levels of undesirable impurities, such as Na</w:t>
      </w:r>
      <w:r w:rsidRPr="00CA7765">
        <w:rPr>
          <w:rFonts w:ascii="Times New Roman" w:eastAsia="PMingLiU" w:hAnsi="Times New Roman"/>
          <w:sz w:val="20"/>
          <w:szCs w:val="20"/>
          <w:vertAlign w:val="subscript"/>
        </w:rPr>
        <w:t>2</w:t>
      </w:r>
      <w:r w:rsidRPr="00CA7765">
        <w:rPr>
          <w:rFonts w:ascii="Times New Roman" w:eastAsia="PMingLiU" w:hAnsi="Times New Roman"/>
          <w:sz w:val="20"/>
          <w:szCs w:val="20"/>
        </w:rPr>
        <w:t>O, SrO, RuO</w:t>
      </w:r>
      <w:r w:rsidRPr="00CA7765">
        <w:rPr>
          <w:rFonts w:ascii="Times New Roman" w:eastAsia="PMingLiU" w:hAnsi="Times New Roman"/>
          <w:sz w:val="20"/>
          <w:szCs w:val="20"/>
          <w:vertAlign w:val="subscript"/>
        </w:rPr>
        <w:t>2,</w:t>
      </w:r>
      <w:r w:rsidRPr="00CA7765">
        <w:rPr>
          <w:rFonts w:ascii="Times New Roman" w:eastAsia="PMingLiU" w:hAnsi="Times New Roman"/>
          <w:sz w:val="20"/>
          <w:szCs w:val="20"/>
        </w:rPr>
        <w:t xml:space="preserve"> Fe</w:t>
      </w:r>
      <w:r w:rsidRPr="00CA7765">
        <w:rPr>
          <w:rFonts w:ascii="Times New Roman" w:eastAsia="PMingLiU" w:hAnsi="Times New Roman"/>
          <w:sz w:val="20"/>
          <w:szCs w:val="20"/>
          <w:vertAlign w:val="subscript"/>
        </w:rPr>
        <w:t>2</w:t>
      </w:r>
      <w:r w:rsidRPr="00CA7765">
        <w:rPr>
          <w:rFonts w:ascii="Times New Roman" w:eastAsia="PMingLiU" w:hAnsi="Times New Roman"/>
          <w:sz w:val="20"/>
          <w:szCs w:val="20"/>
        </w:rPr>
        <w:t>O</w:t>
      </w:r>
      <w:r w:rsidRPr="00CA7765">
        <w:rPr>
          <w:rFonts w:ascii="Times New Roman" w:eastAsia="PMingLiU" w:hAnsi="Times New Roman"/>
          <w:sz w:val="20"/>
          <w:szCs w:val="20"/>
          <w:vertAlign w:val="subscript"/>
        </w:rPr>
        <w:t>3,</w:t>
      </w:r>
      <w:r w:rsidRPr="00CA7765">
        <w:rPr>
          <w:rFonts w:ascii="Times New Roman" w:eastAsia="PMingLiU" w:hAnsi="Times New Roman"/>
          <w:sz w:val="20"/>
          <w:szCs w:val="20"/>
        </w:rPr>
        <w:t xml:space="preserve"> and CuO. As shown in Table 1, the chemical composition analysis indicated that the CaO contents of calcined seashells at 700˚C and calcined seashell at 900˚C were comparable, whereas in the case of calcined seashells at 800˚C the contents were relatively higher.</w:t>
      </w:r>
    </w:p>
    <w:p w:rsidR="00937D50" w:rsidRDefault="00937D50" w:rsidP="00937D50">
      <w:pPr>
        <w:tabs>
          <w:tab w:val="left" w:pos="6820"/>
        </w:tabs>
        <w:spacing w:after="0" w:line="240" w:lineRule="auto"/>
        <w:jc w:val="both"/>
        <w:rPr>
          <w:rFonts w:ascii="Times New Roman" w:eastAsia="PMingLiU" w:hAnsi="Times New Roman"/>
          <w:sz w:val="20"/>
          <w:szCs w:val="20"/>
        </w:rPr>
      </w:pPr>
    </w:p>
    <w:p w:rsidR="00937D50" w:rsidRPr="00CA7765" w:rsidRDefault="00937D50" w:rsidP="00937D50">
      <w:pPr>
        <w:tabs>
          <w:tab w:val="left" w:pos="6820"/>
        </w:tabs>
        <w:spacing w:after="0" w:line="240" w:lineRule="auto"/>
        <w:jc w:val="both"/>
        <w:rPr>
          <w:rFonts w:ascii="Times New Roman" w:eastAsia="PMingLiU" w:hAnsi="Times New Roman"/>
          <w:sz w:val="20"/>
          <w:szCs w:val="20"/>
        </w:rPr>
      </w:pPr>
    </w:p>
    <w:p w:rsidR="00937D50" w:rsidRPr="00CA7765" w:rsidRDefault="00937D50" w:rsidP="00937D50">
      <w:pPr>
        <w:tabs>
          <w:tab w:val="left" w:pos="6820"/>
        </w:tabs>
        <w:spacing w:after="120" w:line="240" w:lineRule="auto"/>
        <w:jc w:val="center"/>
        <w:rPr>
          <w:rFonts w:ascii="Times New Roman" w:eastAsia="PMingLiU" w:hAnsi="Times New Roman"/>
          <w:sz w:val="20"/>
          <w:szCs w:val="20"/>
        </w:rPr>
      </w:pPr>
      <w:r w:rsidRPr="00CA7765">
        <w:rPr>
          <w:rFonts w:ascii="Times New Roman" w:eastAsia="PMingLiU" w:hAnsi="Times New Roman"/>
          <w:sz w:val="20"/>
          <w:szCs w:val="20"/>
        </w:rPr>
        <w:t>Table 1. Chemical compound of calcined seashells at different temperatures</w:t>
      </w:r>
    </w:p>
    <w:tbl>
      <w:tblPr>
        <w:tblStyle w:val="LightShading"/>
        <w:tblW w:w="7551" w:type="dxa"/>
        <w:jc w:val="center"/>
        <w:tblInd w:w="-918" w:type="dxa"/>
        <w:tblLook w:val="04A0" w:firstRow="1" w:lastRow="0" w:firstColumn="1" w:lastColumn="0" w:noHBand="0" w:noVBand="1"/>
      </w:tblPr>
      <w:tblGrid>
        <w:gridCol w:w="10"/>
        <w:gridCol w:w="2310"/>
        <w:gridCol w:w="1536"/>
        <w:gridCol w:w="1553"/>
        <w:gridCol w:w="2142"/>
      </w:tblGrid>
      <w:tr w:rsidR="00937D50" w:rsidRPr="00937D50" w:rsidTr="00937D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0" w:type="dxa"/>
            <w:gridSpan w:val="2"/>
            <w:shd w:val="clear" w:color="auto" w:fill="auto"/>
          </w:tcPr>
          <w:p w:rsidR="00937D50" w:rsidRPr="00937D50" w:rsidRDefault="00937D50" w:rsidP="00937D50">
            <w:pPr>
              <w:tabs>
                <w:tab w:val="left" w:pos="6820"/>
              </w:tabs>
              <w:spacing w:before="120" w:after="120" w:line="240" w:lineRule="auto"/>
              <w:jc w:val="center"/>
              <w:rPr>
                <w:rFonts w:ascii="Times New Roman" w:eastAsia="PMingLiU" w:hAnsi="Times New Roman" w:cs="Times New Roman"/>
                <w:bCs w:val="0"/>
                <w:color w:val="auto"/>
                <w:sz w:val="20"/>
                <w:szCs w:val="20"/>
                <w:lang w:val="en-US"/>
              </w:rPr>
            </w:pPr>
            <w:r w:rsidRPr="00937D50">
              <w:rPr>
                <w:rFonts w:ascii="Times New Roman" w:eastAsia="PMingLiU" w:hAnsi="Times New Roman" w:cs="Times New Roman"/>
                <w:bCs w:val="0"/>
                <w:iCs/>
                <w:color w:val="auto"/>
                <w:sz w:val="20"/>
                <w:szCs w:val="20"/>
                <w:lang w:val="en-US"/>
              </w:rPr>
              <w:t>Compound</w:t>
            </w:r>
          </w:p>
        </w:tc>
        <w:tc>
          <w:tcPr>
            <w:tcW w:w="1536" w:type="dxa"/>
            <w:shd w:val="clear" w:color="auto" w:fill="auto"/>
          </w:tcPr>
          <w:p w:rsidR="00937D50" w:rsidRPr="00937D50" w:rsidRDefault="00937D50" w:rsidP="00937D50">
            <w:pPr>
              <w:tabs>
                <w:tab w:val="left" w:pos="68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r w:rsidRPr="00937D50">
              <w:rPr>
                <w:rFonts w:ascii="Times New Roman" w:eastAsia="PMingLiU" w:hAnsi="Times New Roman" w:cs="Times New Roman"/>
                <w:bCs w:val="0"/>
                <w:iCs/>
                <w:color w:val="auto"/>
                <w:sz w:val="20"/>
                <w:szCs w:val="20"/>
                <w:lang w:val="en-US"/>
              </w:rPr>
              <w:t>Calcined seashell at 700˚C (wt %)</w:t>
            </w:r>
          </w:p>
        </w:tc>
        <w:tc>
          <w:tcPr>
            <w:tcW w:w="1553" w:type="dxa"/>
            <w:shd w:val="clear" w:color="auto" w:fill="auto"/>
          </w:tcPr>
          <w:p w:rsidR="00937D50" w:rsidRPr="00937D50" w:rsidRDefault="00937D50" w:rsidP="00937D50">
            <w:pPr>
              <w:tabs>
                <w:tab w:val="left" w:pos="68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r w:rsidRPr="00937D50">
              <w:rPr>
                <w:rFonts w:ascii="Times New Roman" w:eastAsia="PMingLiU" w:hAnsi="Times New Roman" w:cs="Times New Roman"/>
                <w:bCs w:val="0"/>
                <w:iCs/>
                <w:color w:val="auto"/>
                <w:sz w:val="20"/>
                <w:szCs w:val="20"/>
                <w:lang w:val="en-US"/>
              </w:rPr>
              <w:t>Calcined seashell at 800˚C (wt %)</w:t>
            </w:r>
          </w:p>
        </w:tc>
        <w:tc>
          <w:tcPr>
            <w:tcW w:w="2142" w:type="dxa"/>
            <w:shd w:val="clear" w:color="auto" w:fill="auto"/>
          </w:tcPr>
          <w:p w:rsidR="00937D50" w:rsidRDefault="00937D50" w:rsidP="00937D50">
            <w:pPr>
              <w:tabs>
                <w:tab w:val="left" w:pos="6820"/>
              </w:tabs>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iCs/>
                <w:color w:val="auto"/>
                <w:sz w:val="20"/>
                <w:szCs w:val="20"/>
                <w:lang w:val="en-US"/>
              </w:rPr>
            </w:pPr>
            <w:r w:rsidRPr="00937D50">
              <w:rPr>
                <w:rFonts w:ascii="Times New Roman" w:eastAsia="PMingLiU" w:hAnsi="Times New Roman" w:cs="Times New Roman"/>
                <w:bCs w:val="0"/>
                <w:iCs/>
                <w:color w:val="auto"/>
                <w:sz w:val="20"/>
                <w:szCs w:val="20"/>
                <w:lang w:val="en-US"/>
              </w:rPr>
              <w:t xml:space="preserve">Calcined </w:t>
            </w:r>
          </w:p>
          <w:p w:rsidR="00937D50" w:rsidRDefault="00937D50" w:rsidP="00937D50">
            <w:pPr>
              <w:tabs>
                <w:tab w:val="left" w:pos="682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iCs/>
                <w:color w:val="auto"/>
                <w:sz w:val="20"/>
                <w:szCs w:val="20"/>
                <w:lang w:val="en-US"/>
              </w:rPr>
            </w:pPr>
            <w:r w:rsidRPr="00937D50">
              <w:rPr>
                <w:rFonts w:ascii="Times New Roman" w:eastAsia="PMingLiU" w:hAnsi="Times New Roman" w:cs="Times New Roman"/>
                <w:bCs w:val="0"/>
                <w:iCs/>
                <w:color w:val="auto"/>
                <w:sz w:val="20"/>
                <w:szCs w:val="20"/>
                <w:lang w:val="en-US"/>
              </w:rPr>
              <w:t xml:space="preserve">seashell at </w:t>
            </w:r>
          </w:p>
          <w:p w:rsidR="00937D50" w:rsidRPr="00937D50" w:rsidRDefault="00937D50" w:rsidP="00937D50">
            <w:pPr>
              <w:tabs>
                <w:tab w:val="left" w:pos="682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r w:rsidRPr="00937D50">
              <w:rPr>
                <w:rFonts w:ascii="Times New Roman" w:eastAsia="PMingLiU" w:hAnsi="Times New Roman" w:cs="Times New Roman"/>
                <w:bCs w:val="0"/>
                <w:iCs/>
                <w:color w:val="auto"/>
                <w:sz w:val="20"/>
                <w:szCs w:val="20"/>
                <w:lang w:val="en-US"/>
              </w:rPr>
              <w:t>900˚C (wt %)</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937D50">
            <w:pPr>
              <w:tabs>
                <w:tab w:val="left" w:pos="6820"/>
              </w:tabs>
              <w:spacing w:before="120" w:after="0" w:line="240" w:lineRule="auto"/>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Na</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p>
        </w:tc>
        <w:tc>
          <w:tcPr>
            <w:tcW w:w="1536" w:type="dxa"/>
            <w:shd w:val="clear" w:color="auto" w:fill="auto"/>
          </w:tcPr>
          <w:p w:rsidR="00937D50" w:rsidRPr="00937D50" w:rsidRDefault="00937D50" w:rsidP="00937D50">
            <w:pPr>
              <w:tabs>
                <w:tab w:val="left" w:pos="68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2.800</w:t>
            </w:r>
          </w:p>
        </w:tc>
        <w:tc>
          <w:tcPr>
            <w:tcW w:w="1553" w:type="dxa"/>
            <w:shd w:val="clear" w:color="auto" w:fill="auto"/>
          </w:tcPr>
          <w:p w:rsidR="00937D50" w:rsidRPr="00937D50" w:rsidRDefault="00937D50" w:rsidP="00937D50">
            <w:pPr>
              <w:tabs>
                <w:tab w:val="left" w:pos="68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shd w:val="clear" w:color="auto" w:fill="auto"/>
          </w:tcPr>
          <w:p w:rsidR="00937D50" w:rsidRPr="00937D50" w:rsidRDefault="00937D50" w:rsidP="00937D50">
            <w:pPr>
              <w:tabs>
                <w:tab w:val="left" w:pos="68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2.600</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CaO</w:t>
            </w:r>
          </w:p>
        </w:tc>
        <w:tc>
          <w:tcPr>
            <w:tcW w:w="1536"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95.620</w:t>
            </w:r>
          </w:p>
        </w:tc>
        <w:tc>
          <w:tcPr>
            <w:tcW w:w="1553"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98.490</w:t>
            </w:r>
          </w:p>
        </w:tc>
        <w:tc>
          <w:tcPr>
            <w:tcW w:w="2142"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96.260</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TiO</w:t>
            </w:r>
            <w:r w:rsidRPr="00937D50">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0.0064</w:t>
            </w:r>
          </w:p>
        </w:tc>
        <w:tc>
          <w:tcPr>
            <w:tcW w:w="1553"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Fe</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0.170</w:t>
            </w:r>
          </w:p>
        </w:tc>
        <w:tc>
          <w:tcPr>
            <w:tcW w:w="1553"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0.083</w:t>
            </w:r>
          </w:p>
        </w:tc>
        <w:tc>
          <w:tcPr>
            <w:tcW w:w="2142"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0.120</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CuO</w:t>
            </w:r>
          </w:p>
        </w:tc>
        <w:tc>
          <w:tcPr>
            <w:tcW w:w="1536"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0.007</w:t>
            </w:r>
          </w:p>
        </w:tc>
        <w:tc>
          <w:tcPr>
            <w:tcW w:w="1553"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0.044</w:t>
            </w:r>
          </w:p>
        </w:tc>
        <w:tc>
          <w:tcPr>
            <w:tcW w:w="2142"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0.037</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SrO</w:t>
            </w:r>
          </w:p>
        </w:tc>
        <w:tc>
          <w:tcPr>
            <w:tcW w:w="1536"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0.414</w:t>
            </w:r>
          </w:p>
        </w:tc>
        <w:tc>
          <w:tcPr>
            <w:tcW w:w="1553"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0.448</w:t>
            </w:r>
          </w:p>
        </w:tc>
        <w:tc>
          <w:tcPr>
            <w:tcW w:w="2142" w:type="dxa"/>
            <w:shd w:val="clear" w:color="auto" w:fill="auto"/>
          </w:tcPr>
          <w:p w:rsidR="00937D50" w:rsidRPr="00937D50" w:rsidRDefault="00937D50" w:rsidP="00563AD8">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0.388</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563AD8">
            <w:pPr>
              <w:tabs>
                <w:tab w:val="left" w:pos="6820"/>
              </w:tabs>
              <w:contextualSpacing/>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RuO</w:t>
            </w:r>
            <w:r w:rsidRPr="00937D50">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0.340</w:t>
            </w:r>
          </w:p>
        </w:tc>
        <w:tc>
          <w:tcPr>
            <w:tcW w:w="1553"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0.370</w:t>
            </w:r>
          </w:p>
        </w:tc>
        <w:tc>
          <w:tcPr>
            <w:tcW w:w="2142" w:type="dxa"/>
            <w:shd w:val="clear" w:color="auto" w:fill="auto"/>
          </w:tcPr>
          <w:p w:rsidR="00937D50" w:rsidRPr="00937D50" w:rsidRDefault="00937D50" w:rsidP="00563AD8">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0.250</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CeO</w:t>
            </w:r>
            <w:r w:rsidRPr="00937D50">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0.120</w:t>
            </w:r>
          </w:p>
        </w:tc>
        <w:tc>
          <w:tcPr>
            <w:tcW w:w="1553" w:type="dxa"/>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Tm</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0.250</w:t>
            </w:r>
          </w:p>
        </w:tc>
        <w:tc>
          <w:tcPr>
            <w:tcW w:w="1553"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Lu</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3</w:t>
            </w:r>
          </w:p>
        </w:tc>
        <w:tc>
          <w:tcPr>
            <w:tcW w:w="1536" w:type="dxa"/>
            <w:tcBorders>
              <w:bottom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0.038</w:t>
            </w:r>
          </w:p>
        </w:tc>
        <w:tc>
          <w:tcPr>
            <w:tcW w:w="1553" w:type="dxa"/>
            <w:tcBorders>
              <w:bottom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tcBorders>
              <w:bottom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0.072</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Co</w:t>
            </w:r>
            <w:r w:rsidRPr="00937D50">
              <w:rPr>
                <w:rFonts w:ascii="Times New Roman" w:eastAsia="PMingLiU" w:hAnsi="Times New Roman" w:cs="Times New Roman"/>
                <w:b w:val="0"/>
                <w:color w:val="auto"/>
                <w:sz w:val="20"/>
                <w:szCs w:val="20"/>
                <w:vertAlign w:val="subscript"/>
                <w:lang w:val="en-US"/>
              </w:rPr>
              <w:t>3</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4</w:t>
            </w:r>
          </w:p>
        </w:tc>
        <w:tc>
          <w:tcPr>
            <w:tcW w:w="1536" w:type="dxa"/>
            <w:tcBorders>
              <w:top w:val="nil"/>
              <w:bottom w:val="nil"/>
            </w:tcBorders>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1553" w:type="dxa"/>
            <w:tcBorders>
              <w:top w:val="nil"/>
              <w:bottom w:val="nil"/>
            </w:tcBorders>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0.084</w:t>
            </w:r>
          </w:p>
        </w:tc>
        <w:tc>
          <w:tcPr>
            <w:tcW w:w="2142" w:type="dxa"/>
            <w:tcBorders>
              <w:top w:val="nil"/>
              <w:bottom w:val="nil"/>
            </w:tcBorders>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tcBorders>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lang w:val="en-US"/>
              </w:rPr>
            </w:pPr>
            <w:r w:rsidRPr="00937D50">
              <w:rPr>
                <w:rFonts w:ascii="Times New Roman" w:eastAsia="PMingLiU" w:hAnsi="Times New Roman" w:cs="Times New Roman"/>
                <w:b w:val="0"/>
                <w:color w:val="auto"/>
                <w:sz w:val="20"/>
                <w:szCs w:val="20"/>
                <w:lang w:val="en-US"/>
              </w:rPr>
              <w:t>BaO</w:t>
            </w:r>
          </w:p>
        </w:tc>
        <w:tc>
          <w:tcPr>
            <w:tcW w:w="1536" w:type="dxa"/>
            <w:tcBorders>
              <w:top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1553" w:type="dxa"/>
            <w:tcBorders>
              <w:top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0.260</w:t>
            </w:r>
          </w:p>
        </w:tc>
        <w:tc>
          <w:tcPr>
            <w:tcW w:w="2142" w:type="dxa"/>
            <w:tcBorders>
              <w:top w:val="nil"/>
            </w:tcBorders>
            <w:shd w:val="clear" w:color="auto" w:fill="auto"/>
          </w:tcPr>
          <w:p w:rsidR="00937D50" w:rsidRPr="00937D50" w:rsidRDefault="00937D50" w:rsidP="00937D50">
            <w:pPr>
              <w:tabs>
                <w:tab w:val="left" w:pos="68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937D50">
            <w:pPr>
              <w:tabs>
                <w:tab w:val="left" w:pos="6820"/>
              </w:tabs>
              <w:spacing w:after="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Al</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1553"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0.200</w:t>
            </w:r>
          </w:p>
        </w:tc>
        <w:tc>
          <w:tcPr>
            <w:tcW w:w="2142" w:type="dxa"/>
            <w:shd w:val="clear" w:color="auto" w:fill="auto"/>
          </w:tcPr>
          <w:p w:rsidR="00937D50" w:rsidRPr="00937D50" w:rsidRDefault="00937D50" w:rsidP="00937D50">
            <w:pPr>
              <w:tabs>
                <w:tab w:val="left" w:pos="68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r>
      <w:tr w:rsidR="00937D50" w:rsidRPr="00937D50" w:rsidTr="00937D50">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tcPr>
          <w:p w:rsidR="00937D50" w:rsidRPr="00937D50" w:rsidRDefault="00937D50" w:rsidP="00937D50">
            <w:pPr>
              <w:tabs>
                <w:tab w:val="left" w:pos="6820"/>
              </w:tabs>
              <w:spacing w:after="120" w:line="240" w:lineRule="auto"/>
              <w:jc w:val="center"/>
              <w:rPr>
                <w:rFonts w:ascii="Times New Roman" w:eastAsia="PMingLiU" w:hAnsi="Times New Roman" w:cs="Times New Roman"/>
                <w:b w:val="0"/>
                <w:color w:val="auto"/>
                <w:sz w:val="20"/>
                <w:szCs w:val="20"/>
                <w:vertAlign w:val="subscript"/>
                <w:lang w:val="en-US"/>
              </w:rPr>
            </w:pPr>
            <w:r w:rsidRPr="00937D50">
              <w:rPr>
                <w:rFonts w:ascii="Times New Roman" w:eastAsia="PMingLiU" w:hAnsi="Times New Roman" w:cs="Times New Roman"/>
                <w:b w:val="0"/>
                <w:color w:val="auto"/>
                <w:sz w:val="20"/>
                <w:szCs w:val="20"/>
                <w:lang w:val="en-US"/>
              </w:rPr>
              <w:t>Cr</w:t>
            </w:r>
            <w:r w:rsidRPr="00937D50">
              <w:rPr>
                <w:rFonts w:ascii="Times New Roman" w:eastAsia="PMingLiU" w:hAnsi="Times New Roman" w:cs="Times New Roman"/>
                <w:b w:val="0"/>
                <w:color w:val="auto"/>
                <w:sz w:val="20"/>
                <w:szCs w:val="20"/>
                <w:vertAlign w:val="subscript"/>
                <w:lang w:val="en-US"/>
              </w:rPr>
              <w:t>2</w:t>
            </w:r>
            <w:r w:rsidRPr="00937D50">
              <w:rPr>
                <w:rFonts w:ascii="Times New Roman" w:eastAsia="PMingLiU" w:hAnsi="Times New Roman" w:cs="Times New Roman"/>
                <w:b w:val="0"/>
                <w:color w:val="auto"/>
                <w:sz w:val="20"/>
                <w:szCs w:val="20"/>
                <w:lang w:val="en-US"/>
              </w:rPr>
              <w:t>O</w:t>
            </w:r>
            <w:r w:rsidRPr="00937D50">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937D50" w:rsidRPr="00937D50" w:rsidRDefault="00937D50" w:rsidP="00937D50">
            <w:pPr>
              <w:tabs>
                <w:tab w:val="left" w:pos="68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1553" w:type="dxa"/>
            <w:shd w:val="clear" w:color="auto" w:fill="auto"/>
          </w:tcPr>
          <w:p w:rsidR="00937D50" w:rsidRPr="00937D50" w:rsidRDefault="00937D50" w:rsidP="00937D50">
            <w:pPr>
              <w:tabs>
                <w:tab w:val="left" w:pos="68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w:t>
            </w:r>
          </w:p>
        </w:tc>
        <w:tc>
          <w:tcPr>
            <w:tcW w:w="2142" w:type="dxa"/>
            <w:shd w:val="clear" w:color="auto" w:fill="auto"/>
          </w:tcPr>
          <w:p w:rsidR="00937D50" w:rsidRPr="00937D50" w:rsidRDefault="00937D50" w:rsidP="00937D50">
            <w:pPr>
              <w:tabs>
                <w:tab w:val="left" w:pos="68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937D50">
              <w:rPr>
                <w:rFonts w:ascii="Times New Roman" w:eastAsia="PMingLiU" w:hAnsi="Times New Roman" w:cs="Times New Roman"/>
                <w:color w:val="auto"/>
                <w:sz w:val="20"/>
                <w:szCs w:val="20"/>
                <w:lang w:val="en-US"/>
              </w:rPr>
              <w:t>0.025</w:t>
            </w:r>
          </w:p>
        </w:tc>
      </w:tr>
    </w:tbl>
    <w:p w:rsidR="00937D50" w:rsidRPr="00CA7765" w:rsidRDefault="00937D50" w:rsidP="00937D50">
      <w:pPr>
        <w:tabs>
          <w:tab w:val="left" w:pos="6820"/>
        </w:tabs>
        <w:spacing w:after="0" w:line="240" w:lineRule="auto"/>
        <w:contextualSpacing/>
        <w:jc w:val="center"/>
        <w:rPr>
          <w:rFonts w:ascii="Times New Roman" w:eastAsia="PMingLiU" w:hAnsi="Times New Roman"/>
          <w:sz w:val="20"/>
          <w:szCs w:val="20"/>
        </w:rPr>
      </w:pPr>
    </w:p>
    <w:p w:rsidR="00937D50" w:rsidRPr="00CA7765" w:rsidRDefault="00937D50" w:rsidP="00937D50">
      <w:pPr>
        <w:spacing w:line="240" w:lineRule="auto"/>
        <w:jc w:val="both"/>
        <w:rPr>
          <w:rFonts w:ascii="Times New Roman" w:hAnsi="Times New Roman"/>
          <w:sz w:val="18"/>
          <w:szCs w:val="18"/>
          <w:lang w:eastAsia="en-MY"/>
        </w:rPr>
      </w:pPr>
      <w:r w:rsidRPr="00CA7765">
        <w:rPr>
          <w:rFonts w:ascii="Times New Roman" w:hAnsi="Times New Roman"/>
          <w:sz w:val="20"/>
          <w:szCs w:val="20"/>
          <w:lang w:eastAsia="en-MY"/>
        </w:rPr>
        <w:t>Changes in the shell’s structure at different temperatures after calcination was observed by SEM analysis. Figure 2 shows the seashell structure before calcinations process. Figure 2a shows the seashell structure before calcinations process. Although the structures change after 700˚C, the structures were not uniform (Figure 2b). At a</w:t>
      </w:r>
      <w:r w:rsidRPr="00CA7765">
        <w:rPr>
          <w:rFonts w:ascii="Times New Roman" w:eastAsia="Calibri" w:hAnsi="Times New Roman"/>
          <w:sz w:val="20"/>
          <w:szCs w:val="20"/>
        </w:rPr>
        <w:t xml:space="preserve"> higher calcination temperature of 800˚C and 900˚C the curves were showing smoother and more uniform surface as shown in Figure 3c and Figure 3d, respectively.</w:t>
      </w:r>
      <w:r w:rsidRPr="00CA7765">
        <w:rPr>
          <w:rFonts w:ascii="Times New Roman" w:hAnsi="Times New Roman"/>
          <w:sz w:val="18"/>
          <w:szCs w:val="18"/>
          <w:lang w:eastAsia="en-MY"/>
        </w:rPr>
        <w:t xml:space="preserve">  </w:t>
      </w:r>
    </w:p>
    <w:p w:rsidR="00937D50" w:rsidRPr="00CA7765" w:rsidRDefault="00937D50" w:rsidP="00937D50">
      <w:pPr>
        <w:spacing w:after="0" w:line="240" w:lineRule="auto"/>
        <w:jc w:val="both"/>
        <w:rPr>
          <w:rFonts w:ascii="Times New Roman" w:eastAsia="Calibri" w:hAnsi="Times New Roman"/>
          <w:sz w:val="20"/>
          <w:szCs w:val="20"/>
        </w:rPr>
      </w:pPr>
      <w:r w:rsidRPr="00CA7765">
        <w:rPr>
          <w:rFonts w:ascii="Times New Roman" w:eastAsia="Calibri" w:hAnsi="Times New Roman"/>
          <w:sz w:val="20"/>
          <w:szCs w:val="20"/>
        </w:rPr>
        <w:t>Based on the Figure 2, the raw seashells showed a rough and disordered surface with low porosity grains, whereas the surface of calcined seashells show clusters of tidy and porous grains, confirming the thermal decomposition process.</w:t>
      </w:r>
    </w:p>
    <w:p w:rsidR="00937D50" w:rsidRPr="00CA7765" w:rsidRDefault="00937D50" w:rsidP="00937D50">
      <w:pPr>
        <w:spacing w:line="240" w:lineRule="auto"/>
        <w:jc w:val="both"/>
        <w:rPr>
          <w:rFonts w:ascii="Times New Roman" w:hAnsi="Times New Roman"/>
          <w:sz w:val="20"/>
          <w:szCs w:val="20"/>
          <w:lang w:eastAsia="en-MY"/>
        </w:rPr>
      </w:pPr>
    </w:p>
    <w:p w:rsidR="00937D50" w:rsidRPr="00CA7765" w:rsidRDefault="00937D50" w:rsidP="00937D50">
      <w:pPr>
        <w:spacing w:after="0"/>
        <w:jc w:val="center"/>
        <w:rPr>
          <w:rFonts w:ascii="Times New Roman" w:eastAsia="Calibri" w:hAnsi="Times New Roman"/>
          <w:sz w:val="20"/>
          <w:szCs w:val="20"/>
        </w:rPr>
      </w:pPr>
      <w:r w:rsidRPr="00CA7765">
        <w:rPr>
          <w:rFonts w:ascii="Times New Roman" w:eastAsia="Calibri" w:hAnsi="Times New Roman"/>
          <w:noProof/>
          <w:sz w:val="20"/>
          <w:szCs w:val="20"/>
          <w:lang w:bidi="ar-SA"/>
        </w:rPr>
        <w:drawing>
          <wp:inline distT="0" distB="0" distL="0" distR="0" wp14:anchorId="25188A39" wp14:editId="397B6BB9">
            <wp:extent cx="3558963" cy="301550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 8-1.jpg"/>
                    <pic:cNvPicPr/>
                  </pic:nvPicPr>
                  <pic:blipFill>
                    <a:blip r:embed="rId11">
                      <a:extLst>
                        <a:ext uri="{28A0092B-C50C-407E-A947-70E740481C1C}">
                          <a14:useLocalDpi xmlns:a14="http://schemas.microsoft.com/office/drawing/2010/main" val="0"/>
                        </a:ext>
                      </a:extLst>
                    </a:blip>
                    <a:stretch>
                      <a:fillRect/>
                    </a:stretch>
                  </pic:blipFill>
                  <pic:spPr>
                    <a:xfrm>
                      <a:off x="0" y="0"/>
                      <a:ext cx="3560773" cy="3017040"/>
                    </a:xfrm>
                    <a:prstGeom prst="rect">
                      <a:avLst/>
                    </a:prstGeom>
                  </pic:spPr>
                </pic:pic>
              </a:graphicData>
            </a:graphic>
          </wp:inline>
        </w:drawing>
      </w:r>
    </w:p>
    <w:p w:rsidR="00937D50" w:rsidRPr="00CA7765" w:rsidRDefault="00937D50" w:rsidP="00937D50">
      <w:pPr>
        <w:spacing w:after="0"/>
        <w:ind w:left="810" w:hanging="810"/>
        <w:jc w:val="both"/>
        <w:rPr>
          <w:rFonts w:ascii="Times New Roman" w:eastAsia="Calibri" w:hAnsi="Times New Roman"/>
          <w:sz w:val="20"/>
          <w:szCs w:val="20"/>
        </w:rPr>
      </w:pPr>
      <w:r w:rsidRPr="00CA7765">
        <w:rPr>
          <w:rFonts w:ascii="Times New Roman" w:eastAsia="Calibri" w:hAnsi="Times New Roman"/>
          <w:sz w:val="20"/>
          <w:szCs w:val="20"/>
        </w:rPr>
        <w:t>Figure 2. (a) SEM image of raw seashel and changes in shell structure at different calcined temperature using SEM, (a) 700˚C, (b) 800˚C and (c) 900˚C</w:t>
      </w:r>
    </w:p>
    <w:p w:rsidR="00937D50" w:rsidRDefault="00937D50" w:rsidP="00937D50">
      <w:pPr>
        <w:spacing w:after="0" w:line="240" w:lineRule="auto"/>
        <w:jc w:val="both"/>
        <w:rPr>
          <w:rFonts w:ascii="Times New Roman" w:eastAsia="Calibri" w:hAnsi="Times New Roman"/>
          <w:sz w:val="20"/>
          <w:szCs w:val="20"/>
        </w:rPr>
      </w:pPr>
    </w:p>
    <w:p w:rsidR="00937D50" w:rsidRPr="00CA7765" w:rsidRDefault="00937D50" w:rsidP="00937D50">
      <w:pPr>
        <w:spacing w:after="0" w:line="240" w:lineRule="auto"/>
        <w:jc w:val="both"/>
        <w:rPr>
          <w:rFonts w:ascii="Times New Roman" w:eastAsia="Calibri" w:hAnsi="Times New Roman"/>
          <w:sz w:val="20"/>
          <w:szCs w:val="20"/>
        </w:rPr>
      </w:pPr>
    </w:p>
    <w:p w:rsidR="00937D50" w:rsidRPr="00CA7765" w:rsidRDefault="00937D50" w:rsidP="00937D50">
      <w:pPr>
        <w:spacing w:after="0" w:line="240" w:lineRule="auto"/>
        <w:jc w:val="both"/>
        <w:rPr>
          <w:rFonts w:ascii="Times New Roman" w:eastAsia="PMingLiU" w:hAnsi="Times New Roman"/>
          <w:sz w:val="20"/>
          <w:szCs w:val="20"/>
        </w:rPr>
      </w:pPr>
      <w:r w:rsidRPr="00CA7765">
        <w:rPr>
          <w:rFonts w:ascii="Times New Roman" w:hAnsi="Times New Roman"/>
          <w:sz w:val="20"/>
          <w:szCs w:val="20"/>
        </w:rPr>
        <w:t xml:space="preserve">EDX </w:t>
      </w:r>
      <w:r w:rsidRPr="00CA7765">
        <w:rPr>
          <w:rFonts w:ascii="Times New Roman" w:eastAsia="PMingLiU" w:hAnsi="Times New Roman"/>
          <w:sz w:val="20"/>
          <w:szCs w:val="20"/>
        </w:rPr>
        <w:t>analysis result indicates that CaCO</w:t>
      </w:r>
      <w:r w:rsidRPr="00CA7765">
        <w:rPr>
          <w:rFonts w:ascii="Times New Roman" w:eastAsia="PMingLiU" w:hAnsi="Times New Roman"/>
          <w:sz w:val="20"/>
          <w:szCs w:val="20"/>
          <w:vertAlign w:val="subscript"/>
        </w:rPr>
        <w:t>3</w:t>
      </w:r>
      <w:r w:rsidRPr="00CA7765">
        <w:rPr>
          <w:rFonts w:ascii="Times New Roman" w:eastAsia="PMingLiU" w:hAnsi="Times New Roman"/>
          <w:sz w:val="20"/>
          <w:szCs w:val="20"/>
        </w:rPr>
        <w:t xml:space="preserve"> was present but the proportion changed after calcination. Calcination increased the amounts of calcium (Ca) from 44.7% to 56.9% and reduced the weight percent of carbon (C) from 17.7% to 3.0% (Table 2).</w:t>
      </w:r>
    </w:p>
    <w:p w:rsidR="00937D50" w:rsidRPr="00CA7765" w:rsidRDefault="00937D50" w:rsidP="00937D50">
      <w:pPr>
        <w:spacing w:after="0" w:line="240" w:lineRule="auto"/>
        <w:jc w:val="both"/>
        <w:rPr>
          <w:rFonts w:ascii="Times New Roman" w:eastAsia="PMingLiU" w:hAnsi="Times New Roman"/>
          <w:sz w:val="20"/>
          <w:szCs w:val="20"/>
        </w:rPr>
      </w:pPr>
    </w:p>
    <w:p w:rsidR="00937D50" w:rsidRPr="00CA7765" w:rsidRDefault="00937D50" w:rsidP="00937D50">
      <w:pPr>
        <w:spacing w:after="120" w:line="240" w:lineRule="auto"/>
        <w:jc w:val="center"/>
        <w:rPr>
          <w:rFonts w:ascii="Times New Roman" w:eastAsia="PMingLiU" w:hAnsi="Times New Roman"/>
          <w:sz w:val="20"/>
          <w:szCs w:val="20"/>
        </w:rPr>
      </w:pPr>
      <w:r w:rsidRPr="00CA7765">
        <w:rPr>
          <w:rFonts w:ascii="Times New Roman" w:eastAsia="PMingLiU" w:hAnsi="Times New Roman"/>
          <w:sz w:val="20"/>
          <w:szCs w:val="20"/>
        </w:rPr>
        <w:t>Table 2. EDX analysis of raw seashells and calcined seashells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743"/>
        <w:gridCol w:w="2654"/>
        <w:gridCol w:w="2832"/>
      </w:tblGrid>
      <w:tr w:rsidR="00937D50" w:rsidRPr="00CA7765" w:rsidTr="00563AD8">
        <w:trPr>
          <w:trHeight w:val="357"/>
          <w:jc w:val="center"/>
        </w:trPr>
        <w:tc>
          <w:tcPr>
            <w:tcW w:w="2743" w:type="dxa"/>
            <w:tcBorders>
              <w:top w:val="single" w:sz="8" w:space="0" w:color="000000"/>
              <w:left w:val="nil"/>
              <w:bottom w:val="single" w:sz="8" w:space="0" w:color="000000"/>
              <w:right w:val="nil"/>
            </w:tcBorders>
            <w:shd w:val="clear" w:color="auto" w:fill="auto"/>
          </w:tcPr>
          <w:p w:rsidR="00937D50" w:rsidRPr="00CA7765" w:rsidRDefault="00937D50" w:rsidP="00937D50">
            <w:pPr>
              <w:spacing w:before="120" w:after="120" w:line="240" w:lineRule="auto"/>
              <w:jc w:val="center"/>
              <w:rPr>
                <w:rFonts w:ascii="Times New Roman" w:eastAsia="Calibri" w:hAnsi="Times New Roman"/>
                <w:b/>
                <w:sz w:val="20"/>
                <w:szCs w:val="20"/>
              </w:rPr>
            </w:pPr>
            <w:r w:rsidRPr="00CA7765">
              <w:rPr>
                <w:rFonts w:ascii="Times New Roman" w:eastAsia="Calibri" w:hAnsi="Times New Roman"/>
                <w:b/>
                <w:sz w:val="20"/>
                <w:szCs w:val="20"/>
              </w:rPr>
              <w:t>Element</w:t>
            </w:r>
          </w:p>
        </w:tc>
        <w:tc>
          <w:tcPr>
            <w:tcW w:w="2654" w:type="dxa"/>
            <w:tcBorders>
              <w:top w:val="single" w:sz="8" w:space="0" w:color="000000"/>
              <w:left w:val="nil"/>
              <w:bottom w:val="single" w:sz="8" w:space="0" w:color="000000"/>
              <w:right w:val="nil"/>
            </w:tcBorders>
            <w:shd w:val="clear" w:color="auto" w:fill="auto"/>
          </w:tcPr>
          <w:p w:rsidR="00937D50" w:rsidRPr="00CA7765" w:rsidRDefault="00937D50" w:rsidP="00937D50">
            <w:pPr>
              <w:spacing w:before="120" w:after="120" w:line="240" w:lineRule="auto"/>
              <w:jc w:val="center"/>
              <w:rPr>
                <w:rFonts w:ascii="Times New Roman" w:eastAsia="Calibri" w:hAnsi="Times New Roman"/>
                <w:b/>
                <w:sz w:val="20"/>
                <w:szCs w:val="20"/>
              </w:rPr>
            </w:pPr>
            <w:r w:rsidRPr="00CA7765">
              <w:rPr>
                <w:rFonts w:ascii="Times New Roman" w:eastAsia="Calibri" w:hAnsi="Times New Roman"/>
                <w:b/>
                <w:sz w:val="20"/>
                <w:szCs w:val="20"/>
              </w:rPr>
              <w:t>Raw seashells (wt %)</w:t>
            </w:r>
          </w:p>
        </w:tc>
        <w:tc>
          <w:tcPr>
            <w:tcW w:w="2832" w:type="dxa"/>
            <w:tcBorders>
              <w:top w:val="single" w:sz="8" w:space="0" w:color="000000"/>
              <w:left w:val="nil"/>
              <w:bottom w:val="single" w:sz="8" w:space="0" w:color="000000"/>
              <w:right w:val="nil"/>
            </w:tcBorders>
            <w:shd w:val="clear" w:color="auto" w:fill="auto"/>
          </w:tcPr>
          <w:p w:rsidR="00937D50" w:rsidRPr="00CA7765" w:rsidRDefault="00937D50" w:rsidP="00937D50">
            <w:pPr>
              <w:spacing w:before="120" w:after="120" w:line="240" w:lineRule="auto"/>
              <w:jc w:val="center"/>
              <w:rPr>
                <w:rFonts w:ascii="Times New Roman" w:eastAsia="Calibri" w:hAnsi="Times New Roman"/>
                <w:b/>
                <w:sz w:val="20"/>
                <w:szCs w:val="20"/>
              </w:rPr>
            </w:pPr>
            <w:r w:rsidRPr="00CA7765">
              <w:rPr>
                <w:rFonts w:ascii="Times New Roman" w:eastAsia="Calibri" w:hAnsi="Times New Roman"/>
                <w:b/>
                <w:sz w:val="20"/>
                <w:szCs w:val="20"/>
              </w:rPr>
              <w:t>Calcined seashells (wt %)</w:t>
            </w:r>
          </w:p>
        </w:tc>
      </w:tr>
      <w:tr w:rsidR="00937D50" w:rsidRPr="00CA7765" w:rsidTr="00E17904">
        <w:trPr>
          <w:trHeight w:val="1258"/>
          <w:jc w:val="center"/>
        </w:trPr>
        <w:tc>
          <w:tcPr>
            <w:tcW w:w="2743" w:type="dxa"/>
            <w:tcBorders>
              <w:left w:val="nil"/>
              <w:right w:val="nil"/>
            </w:tcBorders>
            <w:shd w:val="clear" w:color="auto" w:fill="auto"/>
          </w:tcPr>
          <w:p w:rsidR="00937D50" w:rsidRPr="00CA7765" w:rsidRDefault="00937D50" w:rsidP="00E17904">
            <w:pPr>
              <w:spacing w:before="120" w:after="0" w:line="240" w:lineRule="auto"/>
              <w:jc w:val="center"/>
              <w:rPr>
                <w:rFonts w:ascii="Times New Roman" w:eastAsia="Calibri" w:hAnsi="Times New Roman"/>
                <w:bCs/>
                <w:sz w:val="20"/>
                <w:szCs w:val="20"/>
              </w:rPr>
            </w:pPr>
            <w:r w:rsidRPr="00CA7765">
              <w:rPr>
                <w:rFonts w:ascii="Times New Roman" w:eastAsia="Calibri" w:hAnsi="Times New Roman"/>
                <w:bCs/>
                <w:sz w:val="20"/>
                <w:szCs w:val="20"/>
              </w:rPr>
              <w:t>C</w:t>
            </w:r>
          </w:p>
          <w:p w:rsidR="00937D50" w:rsidRPr="00CA7765" w:rsidRDefault="00937D50" w:rsidP="00E17904">
            <w:pPr>
              <w:spacing w:before="120" w:after="0" w:line="240" w:lineRule="auto"/>
              <w:jc w:val="center"/>
              <w:rPr>
                <w:rFonts w:ascii="Times New Roman" w:eastAsia="Calibri" w:hAnsi="Times New Roman"/>
                <w:bCs/>
                <w:sz w:val="20"/>
                <w:szCs w:val="20"/>
              </w:rPr>
            </w:pPr>
            <w:r w:rsidRPr="00CA7765">
              <w:rPr>
                <w:rFonts w:ascii="Times New Roman" w:eastAsia="Calibri" w:hAnsi="Times New Roman"/>
                <w:bCs/>
                <w:sz w:val="20"/>
                <w:szCs w:val="20"/>
              </w:rPr>
              <w:t>O</w:t>
            </w:r>
          </w:p>
          <w:p w:rsidR="00937D50" w:rsidRPr="00CA7765" w:rsidRDefault="00937D50" w:rsidP="00E17904">
            <w:pPr>
              <w:spacing w:before="120" w:after="0" w:line="240" w:lineRule="auto"/>
              <w:jc w:val="center"/>
              <w:rPr>
                <w:rFonts w:ascii="Times New Roman" w:eastAsia="Calibri" w:hAnsi="Times New Roman"/>
                <w:bCs/>
                <w:sz w:val="20"/>
                <w:szCs w:val="20"/>
              </w:rPr>
            </w:pPr>
            <w:r w:rsidRPr="00CA7765">
              <w:rPr>
                <w:rFonts w:ascii="Times New Roman" w:eastAsia="Calibri" w:hAnsi="Times New Roman"/>
                <w:bCs/>
                <w:sz w:val="20"/>
                <w:szCs w:val="20"/>
              </w:rPr>
              <w:t>Ca</w:t>
            </w:r>
          </w:p>
          <w:p w:rsidR="00937D50" w:rsidRPr="00CA7765" w:rsidRDefault="00937D50" w:rsidP="00E17904">
            <w:pPr>
              <w:tabs>
                <w:tab w:val="left" w:pos="1279"/>
              </w:tabs>
              <w:spacing w:before="120" w:after="0" w:line="240" w:lineRule="auto"/>
              <w:jc w:val="center"/>
              <w:rPr>
                <w:rFonts w:ascii="Times New Roman" w:eastAsia="Calibri" w:hAnsi="Times New Roman"/>
                <w:bCs/>
                <w:sz w:val="20"/>
                <w:szCs w:val="20"/>
              </w:rPr>
            </w:pPr>
          </w:p>
        </w:tc>
        <w:tc>
          <w:tcPr>
            <w:tcW w:w="2654" w:type="dxa"/>
            <w:tcBorders>
              <w:left w:val="nil"/>
              <w:right w:val="nil"/>
            </w:tcBorders>
            <w:shd w:val="clear" w:color="auto" w:fill="auto"/>
          </w:tcPr>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17.7</w:t>
            </w:r>
          </w:p>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37.6</w:t>
            </w:r>
          </w:p>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44.7</w:t>
            </w:r>
          </w:p>
        </w:tc>
        <w:tc>
          <w:tcPr>
            <w:tcW w:w="2832" w:type="dxa"/>
            <w:tcBorders>
              <w:left w:val="nil"/>
              <w:right w:val="nil"/>
            </w:tcBorders>
            <w:shd w:val="clear" w:color="auto" w:fill="auto"/>
          </w:tcPr>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3.0</w:t>
            </w:r>
          </w:p>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40.1</w:t>
            </w:r>
          </w:p>
          <w:p w:rsidR="00937D50" w:rsidRPr="00CA7765" w:rsidRDefault="00937D50" w:rsidP="00E17904">
            <w:pPr>
              <w:spacing w:before="120" w:after="0" w:line="240" w:lineRule="auto"/>
              <w:jc w:val="center"/>
              <w:rPr>
                <w:rFonts w:ascii="Times New Roman" w:eastAsia="Calibri" w:hAnsi="Times New Roman"/>
                <w:sz w:val="20"/>
                <w:szCs w:val="20"/>
              </w:rPr>
            </w:pPr>
            <w:r w:rsidRPr="00CA7765">
              <w:rPr>
                <w:rFonts w:ascii="Times New Roman" w:eastAsia="Calibri" w:hAnsi="Times New Roman"/>
                <w:sz w:val="20"/>
                <w:szCs w:val="20"/>
              </w:rPr>
              <w:t>56.9</w:t>
            </w:r>
          </w:p>
        </w:tc>
      </w:tr>
    </w:tbl>
    <w:p w:rsidR="00937D50" w:rsidRPr="00CA7765" w:rsidRDefault="00937D50" w:rsidP="00937D50">
      <w:pPr>
        <w:spacing w:after="0"/>
        <w:rPr>
          <w:rFonts w:ascii="Times New Roman" w:eastAsia="PMingLiU" w:hAnsi="Times New Roman"/>
          <w:b/>
          <w:bCs/>
          <w:iCs/>
          <w:sz w:val="20"/>
          <w:szCs w:val="20"/>
        </w:rPr>
      </w:pPr>
    </w:p>
    <w:p w:rsidR="00937D50" w:rsidRDefault="00937D50" w:rsidP="00937D50">
      <w:pPr>
        <w:spacing w:after="0"/>
        <w:rPr>
          <w:rFonts w:ascii="Times New Roman" w:eastAsia="PMingLiU" w:hAnsi="Times New Roman"/>
          <w:b/>
          <w:bCs/>
          <w:iCs/>
          <w:sz w:val="20"/>
          <w:szCs w:val="20"/>
        </w:rPr>
      </w:pPr>
    </w:p>
    <w:p w:rsidR="00937D50" w:rsidRDefault="00937D50" w:rsidP="00937D50">
      <w:pPr>
        <w:spacing w:after="0"/>
        <w:rPr>
          <w:rFonts w:ascii="Times New Roman" w:eastAsia="PMingLiU" w:hAnsi="Times New Roman"/>
          <w:b/>
          <w:bCs/>
          <w:iCs/>
          <w:sz w:val="20"/>
          <w:szCs w:val="20"/>
        </w:rPr>
      </w:pPr>
      <w:r w:rsidRPr="00CA7765">
        <w:rPr>
          <w:rFonts w:ascii="Times New Roman" w:eastAsia="PMingLiU" w:hAnsi="Times New Roman"/>
          <w:b/>
          <w:bCs/>
          <w:iCs/>
          <w:sz w:val="20"/>
          <w:szCs w:val="20"/>
        </w:rPr>
        <w:lastRenderedPageBreak/>
        <w:t>Effect of catalyst CaO and yield of bio-oil</w:t>
      </w:r>
    </w:p>
    <w:p w:rsidR="00E17904" w:rsidRPr="00CA7765" w:rsidRDefault="00E17904" w:rsidP="00937D50">
      <w:pPr>
        <w:spacing w:after="0"/>
        <w:rPr>
          <w:rFonts w:ascii="Times New Roman" w:eastAsia="PMingLiU" w:hAnsi="Times New Roman"/>
          <w:b/>
          <w:bCs/>
          <w:iCs/>
          <w:sz w:val="20"/>
          <w:szCs w:val="20"/>
        </w:rPr>
      </w:pPr>
    </w:p>
    <w:p w:rsidR="00937D50" w:rsidRPr="00CA7765" w:rsidRDefault="00937D50" w:rsidP="00937D50">
      <w:pPr>
        <w:spacing w:after="0" w:line="240" w:lineRule="auto"/>
        <w:rPr>
          <w:rFonts w:ascii="Times New Roman" w:eastAsia="PMingLiU" w:hAnsi="Times New Roman"/>
          <w:sz w:val="20"/>
          <w:szCs w:val="20"/>
        </w:rPr>
      </w:pPr>
    </w:p>
    <w:p w:rsidR="00937D50" w:rsidRPr="00CA7765" w:rsidRDefault="00937D50" w:rsidP="00937D50">
      <w:pPr>
        <w:spacing w:after="0" w:line="240" w:lineRule="auto"/>
        <w:jc w:val="center"/>
        <w:rPr>
          <w:rFonts w:ascii="Times New Roman" w:eastAsia="PMingLiU" w:hAnsi="Times New Roman"/>
          <w:sz w:val="20"/>
          <w:szCs w:val="20"/>
        </w:rPr>
      </w:pPr>
      <w:r w:rsidRPr="00CA7765">
        <w:rPr>
          <w:rFonts w:ascii="Times New Roman" w:hAnsi="Times New Roman"/>
          <w:noProof/>
          <w:sz w:val="18"/>
          <w:szCs w:val="18"/>
          <w:lang w:bidi="ar-SA"/>
        </w:rPr>
        <w:drawing>
          <wp:inline distT="0" distB="0" distL="0" distR="0" wp14:anchorId="4EE068D4" wp14:editId="122277F1">
            <wp:extent cx="3774863" cy="2332990"/>
            <wp:effectExtent l="0" t="0" r="35560" b="292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7D50" w:rsidRPr="00CA7765" w:rsidRDefault="00937D50" w:rsidP="00937D50">
      <w:pPr>
        <w:spacing w:after="0" w:line="240" w:lineRule="auto"/>
        <w:jc w:val="center"/>
        <w:rPr>
          <w:rFonts w:ascii="Times New Roman" w:eastAsia="PMingLiU" w:hAnsi="Times New Roman"/>
          <w:sz w:val="20"/>
          <w:szCs w:val="20"/>
        </w:rPr>
      </w:pPr>
    </w:p>
    <w:p w:rsidR="00937D50" w:rsidRDefault="00937D50" w:rsidP="00937D50">
      <w:pPr>
        <w:spacing w:after="0" w:line="240" w:lineRule="auto"/>
        <w:jc w:val="center"/>
        <w:rPr>
          <w:rFonts w:ascii="Times New Roman" w:hAnsi="Times New Roman"/>
          <w:bCs/>
          <w:sz w:val="20"/>
          <w:szCs w:val="20"/>
        </w:rPr>
      </w:pPr>
      <w:r w:rsidRPr="00CA7765">
        <w:rPr>
          <w:rFonts w:ascii="Times New Roman" w:eastAsia="PMingLiU" w:hAnsi="Times New Roman"/>
          <w:sz w:val="20"/>
          <w:szCs w:val="20"/>
        </w:rPr>
        <w:t xml:space="preserve">Figure 3. The product yield at 550 </w:t>
      </w:r>
      <w:r w:rsidRPr="00CA7765">
        <w:rPr>
          <w:rFonts w:ascii="Times New Roman" w:hAnsi="Times New Roman"/>
          <w:bCs/>
          <w:sz w:val="20"/>
          <w:szCs w:val="20"/>
        </w:rPr>
        <w:t>˚C in non-catalytic and</w:t>
      </w:r>
      <w:r w:rsidR="00E17904">
        <w:rPr>
          <w:rFonts w:ascii="Times New Roman" w:hAnsi="Times New Roman"/>
          <w:bCs/>
          <w:sz w:val="20"/>
          <w:szCs w:val="20"/>
        </w:rPr>
        <w:t xml:space="preserve"> catalytic pyrolysis of biomass</w:t>
      </w:r>
    </w:p>
    <w:p w:rsidR="00937D50" w:rsidRDefault="00937D50" w:rsidP="00E17904">
      <w:pPr>
        <w:spacing w:after="0" w:line="240" w:lineRule="auto"/>
        <w:jc w:val="both"/>
        <w:rPr>
          <w:rFonts w:ascii="Times New Roman" w:eastAsia="PMingLiU" w:hAnsi="Times New Roman"/>
          <w:sz w:val="20"/>
          <w:szCs w:val="20"/>
        </w:rPr>
      </w:pPr>
    </w:p>
    <w:p w:rsidR="00E17904" w:rsidRPr="00E17904" w:rsidRDefault="00E17904" w:rsidP="00E17904">
      <w:pPr>
        <w:spacing w:after="0" w:line="240" w:lineRule="auto"/>
        <w:jc w:val="both"/>
        <w:rPr>
          <w:rFonts w:ascii="Times New Roman" w:eastAsia="PMingLiU" w:hAnsi="Times New Roman"/>
          <w:sz w:val="20"/>
          <w:szCs w:val="20"/>
        </w:rPr>
      </w:pPr>
    </w:p>
    <w:p w:rsidR="00937D50" w:rsidRPr="00CA7765" w:rsidRDefault="00937D50" w:rsidP="00937D50">
      <w:pPr>
        <w:spacing w:after="0" w:line="240" w:lineRule="auto"/>
        <w:jc w:val="both"/>
        <w:rPr>
          <w:rFonts w:ascii="Times New Roman" w:eastAsia="Calibri" w:hAnsi="Times New Roman"/>
          <w:sz w:val="20"/>
          <w:szCs w:val="20"/>
          <w:lang w:val="en-GB"/>
        </w:rPr>
      </w:pPr>
      <w:r w:rsidRPr="00CA7765">
        <w:rPr>
          <w:rFonts w:ascii="Times New Roman" w:eastAsia="PMingLiU" w:hAnsi="Times New Roman"/>
          <w:sz w:val="20"/>
          <w:szCs w:val="20"/>
        </w:rPr>
        <w:t xml:space="preserve">The catalytic effects of CaO on the products of EFB pyrolysis were studied experimentally. The pyrolysis processes were carried out using </w:t>
      </w:r>
      <w:r w:rsidRPr="00CA7765">
        <w:rPr>
          <w:rFonts w:ascii="Times New Roman" w:hAnsi="Times New Roman"/>
          <w:sz w:val="20"/>
          <w:szCs w:val="20"/>
        </w:rPr>
        <w:t>100 g of biomass was mixed to 10 g CaO catalyst</w:t>
      </w:r>
      <w:r w:rsidRPr="00CA7765">
        <w:rPr>
          <w:rFonts w:ascii="Times New Roman" w:eastAsia="PMingLiU" w:hAnsi="Times New Roman"/>
          <w:sz w:val="20"/>
          <w:szCs w:val="20"/>
        </w:rPr>
        <w:t xml:space="preserve"> at 550 ˚C. Figure 3 shows product yield at 550 ˚C in presence and absence of catalyst. The presence of catalyst enhanced the yield of bio-oil and biochar and reduced the yield of gas product. The bio-oil and biochar increased from 33.5% to 45.6% and 20.9% to 32.2% respectively and the gas product decreased from 51.7% to 22.2%. The addition of catalyst to the biomass enhanced the production of bio-oil. The result obtained is in agreement with date reported by </w:t>
      </w:r>
      <w:r w:rsidRPr="00CA7765">
        <w:rPr>
          <w:rFonts w:ascii="Times New Roman" w:eastAsia="Calibri" w:hAnsi="Times New Roman"/>
          <w:sz w:val="20"/>
          <w:szCs w:val="20"/>
          <w:lang w:val="en-GB"/>
        </w:rPr>
        <w:t xml:space="preserve">Feldmann </w:t>
      </w:r>
      <w:r w:rsidRPr="00784A72">
        <w:rPr>
          <w:rFonts w:ascii="Times New Roman" w:eastAsia="Calibri" w:hAnsi="Times New Roman"/>
          <w:iCs/>
          <w:sz w:val="20"/>
          <w:szCs w:val="20"/>
          <w:lang w:val="en-GB"/>
        </w:rPr>
        <w:t xml:space="preserve">et al. </w:t>
      </w:r>
      <w:r w:rsidRPr="00CA7765">
        <w:rPr>
          <w:rFonts w:ascii="Times New Roman" w:eastAsia="Calibri" w:hAnsi="Times New Roman"/>
          <w:sz w:val="20"/>
          <w:szCs w:val="20"/>
          <w:lang w:val="en-GB"/>
        </w:rPr>
        <w:t>(1981). He reported that mixing of wood ash with CaO increased the yield of liquid products.</w:t>
      </w:r>
    </w:p>
    <w:p w:rsidR="006768E9" w:rsidRPr="00802DCC" w:rsidRDefault="006768E9" w:rsidP="00937D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17904" w:rsidRPr="00CA7765" w:rsidRDefault="00E17904" w:rsidP="00E17904">
      <w:pPr>
        <w:spacing w:after="0" w:line="240" w:lineRule="auto"/>
        <w:jc w:val="both"/>
        <w:rPr>
          <w:rFonts w:ascii="Times New Roman" w:hAnsi="Times New Roman"/>
          <w:sz w:val="20"/>
          <w:szCs w:val="20"/>
        </w:rPr>
      </w:pPr>
      <w:r w:rsidRPr="00CA7765">
        <w:rPr>
          <w:rFonts w:ascii="Times New Roman" w:hAnsi="Times New Roman"/>
          <w:sz w:val="20"/>
          <w:szCs w:val="20"/>
        </w:rPr>
        <w:t>Temperature has a significant effect on the calcination process of seashells. Seashell calcined at 800˚C gave a higher amount of CaO compared to that at 700˚C and 900˚C. Therefore, 800˚C seems to be an optimum CaO temperature for calcinations of seashell for formation of CaO catalyst.</w:t>
      </w:r>
      <w:r w:rsidRPr="00CA7765">
        <w:rPr>
          <w:rFonts w:ascii="Times New Roman" w:hAnsi="Times New Roman"/>
          <w:b/>
          <w:bCs/>
          <w:sz w:val="20"/>
          <w:szCs w:val="20"/>
        </w:rPr>
        <w:t xml:space="preserve"> </w:t>
      </w:r>
      <w:r w:rsidRPr="00CA7765">
        <w:rPr>
          <w:rFonts w:ascii="Times New Roman" w:hAnsi="Times New Roman"/>
          <w:bCs/>
          <w:sz w:val="20"/>
          <w:szCs w:val="20"/>
        </w:rPr>
        <w:t xml:space="preserve">The thermal decomposition occurred at 580˚C. The XRF and TGA analysis confirmed the structural transformation of natural seashell to calcium oxide. </w:t>
      </w:r>
      <w:r w:rsidRPr="00CA7765">
        <w:rPr>
          <w:rFonts w:ascii="Times New Roman" w:hAnsi="Times New Roman"/>
          <w:sz w:val="20"/>
          <w:szCs w:val="20"/>
        </w:rPr>
        <w:t xml:space="preserve">High temperature plays an important role in the formation of calcium oxide catalyst from the seashell. The oil yield increased from 33.4% to 45.6%. CaO enhanced the production of pyrolysis oil. </w:t>
      </w:r>
      <w:r w:rsidRPr="00CA7765">
        <w:rPr>
          <w:rFonts w:ascii="Times New Roman" w:hAnsi="Times New Roman"/>
          <w:bCs/>
          <w:sz w:val="20"/>
          <w:szCs w:val="20"/>
        </w:rPr>
        <w:t>The natural seashell, after thermal treatment at a higher temperature of 800˚C produced activated seashell, which could be used as a cracking catalyst in the biomass pyrolysis.</w:t>
      </w:r>
    </w:p>
    <w:p w:rsidR="006768E9" w:rsidRPr="00802DCC" w:rsidRDefault="006768E9" w:rsidP="00E17904">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17904" w:rsidRPr="00F2295C" w:rsidRDefault="00E17904" w:rsidP="00E17904">
      <w:pPr>
        <w:spacing w:after="0" w:line="240" w:lineRule="auto"/>
        <w:jc w:val="both"/>
        <w:rPr>
          <w:rFonts w:ascii="Times New Roman" w:hAnsi="Times New Roman"/>
          <w:b/>
          <w:bCs/>
          <w:sz w:val="20"/>
          <w:szCs w:val="20"/>
        </w:rPr>
      </w:pPr>
      <w:r w:rsidRPr="00F2295C">
        <w:rPr>
          <w:rFonts w:ascii="Times New Roman" w:hAnsi="Times New Roman"/>
          <w:sz w:val="20"/>
          <w:szCs w:val="20"/>
        </w:rPr>
        <w:t>The authors would like to thank the Malaysia Technical University Network (</w:t>
      </w:r>
      <w:r w:rsidRPr="00F2295C">
        <w:rPr>
          <w:rStyle w:val="Strong"/>
          <w:rFonts w:ascii="Times New Roman" w:hAnsi="Times New Roman"/>
          <w:b w:val="0"/>
          <w:sz w:val="20"/>
          <w:szCs w:val="20"/>
        </w:rPr>
        <w:t>MTUN CoE Grant 9016-00005) for funding this research project and School of Bioprocess Engineering, University Malaysia Perlis (UniMAP) for technical support.</w:t>
      </w:r>
    </w:p>
    <w:p w:rsidR="006768E9" w:rsidRPr="00802DCC" w:rsidRDefault="006768E9" w:rsidP="00E17904">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Barros, M. C., Bello, P. M., Bao, M. and Torrado, J. J. (2009). From waste to commodity: transforming shells into high purity calcium carbonate. </w:t>
      </w:r>
      <w:r w:rsidRPr="00F2295C">
        <w:rPr>
          <w:rFonts w:ascii="Times New Roman" w:hAnsi="Times New Roman"/>
          <w:i/>
          <w:iCs/>
          <w:sz w:val="20"/>
          <w:szCs w:val="20"/>
          <w:lang w:eastAsia="en-MY"/>
        </w:rPr>
        <w:t>Journal of Cleaner Production</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17</w:t>
      </w:r>
      <w:r w:rsidRPr="00F2295C">
        <w:rPr>
          <w:rFonts w:ascii="Times New Roman" w:hAnsi="Times New Roman"/>
          <w:sz w:val="20"/>
          <w:szCs w:val="20"/>
          <w:lang w:eastAsia="en-MY"/>
        </w:rPr>
        <w:t xml:space="preserve">(3), 400–407. </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Rezaei, R., Mohadesi, M. and Moradi, G. R. (2013).Optimization of biodiesel production using waste mussel shell catalyst.</w:t>
      </w:r>
      <w:r w:rsidRPr="00F2295C">
        <w:rPr>
          <w:rFonts w:ascii="Times New Roman" w:eastAsia="PMingLiU" w:hAnsi="Times New Roman"/>
          <w:i/>
          <w:sz w:val="20"/>
          <w:szCs w:val="20"/>
        </w:rPr>
        <w:t>Fuel</w:t>
      </w:r>
      <w:r w:rsidRPr="00F2295C">
        <w:rPr>
          <w:rFonts w:ascii="Times New Roman" w:eastAsia="PMingLiU" w:hAnsi="Times New Roman"/>
          <w:sz w:val="20"/>
          <w:szCs w:val="20"/>
        </w:rPr>
        <w:t>, 534-541.</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 xml:space="preserve">Borgwardt, R.H. (1989). Calcium oxide sintering in atmosphere containing water and carbon dioxide. </w:t>
      </w:r>
      <w:r w:rsidRPr="00F2295C">
        <w:rPr>
          <w:rFonts w:ascii="Times New Roman" w:eastAsia="PMingLiU" w:hAnsi="Times New Roman"/>
          <w:i/>
          <w:sz w:val="20"/>
          <w:szCs w:val="20"/>
        </w:rPr>
        <w:t>Industrial&amp; Engineering Chemistry Research</w:t>
      </w:r>
      <w:r w:rsidRPr="00F2295C">
        <w:rPr>
          <w:rFonts w:ascii="Times New Roman" w:eastAsia="PMingLiU" w:hAnsi="Times New Roman"/>
          <w:sz w:val="20"/>
          <w:szCs w:val="20"/>
        </w:rPr>
        <w:t>, 493-500.</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lastRenderedPageBreak/>
        <w:t xml:space="preserve">Boro, J., Thakur, A. J. and Deka, D. (2011). Solid oxide derived from waste shells of Turbonilla striatula as a renewable catalyst for biodiesel production. </w:t>
      </w:r>
      <w:r w:rsidRPr="00F2295C">
        <w:rPr>
          <w:rFonts w:ascii="Times New Roman" w:hAnsi="Times New Roman"/>
          <w:i/>
          <w:iCs/>
          <w:sz w:val="20"/>
          <w:szCs w:val="20"/>
          <w:lang w:eastAsia="en-MY"/>
        </w:rPr>
        <w:t>Fuel Processing Technology</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92</w:t>
      </w:r>
      <w:r w:rsidRPr="00F2295C">
        <w:rPr>
          <w:rFonts w:ascii="Times New Roman" w:hAnsi="Times New Roman"/>
          <w:sz w:val="20"/>
          <w:szCs w:val="20"/>
          <w:lang w:eastAsia="en-MY"/>
        </w:rPr>
        <w:t xml:space="preserve">(10), 2061–2067. </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 xml:space="preserve">Rashidi, N.A, Mohamed M. and Yusup S. (2011). A study of calcination and carbonation of cockle shell. </w:t>
      </w:r>
      <w:r w:rsidRPr="00F2295C">
        <w:rPr>
          <w:rFonts w:ascii="Times New Roman" w:eastAsia="PMingLiU" w:hAnsi="Times New Roman"/>
          <w:i/>
          <w:sz w:val="20"/>
          <w:szCs w:val="20"/>
        </w:rPr>
        <w:t>Engineering and Technology</w:t>
      </w:r>
      <w:r w:rsidRPr="00F2295C">
        <w:rPr>
          <w:rFonts w:ascii="Times New Roman" w:eastAsia="PMingLiU" w:hAnsi="Times New Roman"/>
          <w:sz w:val="20"/>
          <w:szCs w:val="20"/>
        </w:rPr>
        <w:t>, 818-823.</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Islam, K. N., Bakar, M. Z. B. A., Ali, M. E., Hussein, M. Z. Bin, Noordin, M. M., Loqman, M. Y. and Hashim, U. (2013). A novel method for the synthesis of calcium carbonate (aragonite) nanoparticles from cockle shells. </w:t>
      </w:r>
      <w:r w:rsidRPr="00F2295C">
        <w:rPr>
          <w:rFonts w:ascii="Times New Roman" w:hAnsi="Times New Roman"/>
          <w:i/>
          <w:iCs/>
          <w:sz w:val="20"/>
          <w:szCs w:val="20"/>
          <w:lang w:eastAsia="en-MY"/>
        </w:rPr>
        <w:t>Powder Technology</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235</w:t>
      </w:r>
      <w:r w:rsidRPr="00F2295C">
        <w:rPr>
          <w:rFonts w:ascii="Times New Roman" w:hAnsi="Times New Roman"/>
          <w:sz w:val="20"/>
          <w:szCs w:val="20"/>
          <w:lang w:eastAsia="en-MY"/>
        </w:rPr>
        <w:t xml:space="preserve">, 70–75. </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Mohamed, M., Rashidi, N. A., Yusup, S., Teong, L. K., Rashid, U. and Ali, R. M. (2012). Effects of experimental variables on conversion of cockle shell to calcium oxide using thermal gravimetric analysis. </w:t>
      </w:r>
      <w:r w:rsidRPr="00F2295C">
        <w:rPr>
          <w:rFonts w:ascii="Times New Roman" w:hAnsi="Times New Roman"/>
          <w:i/>
          <w:iCs/>
          <w:sz w:val="20"/>
          <w:szCs w:val="20"/>
          <w:lang w:eastAsia="en-MY"/>
        </w:rPr>
        <w:t>Journal of Cleaner Production</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37</w:t>
      </w:r>
      <w:r w:rsidRPr="00F2295C">
        <w:rPr>
          <w:rFonts w:ascii="Times New Roman" w:hAnsi="Times New Roman"/>
          <w:sz w:val="20"/>
          <w:szCs w:val="20"/>
          <w:lang w:eastAsia="en-MY"/>
        </w:rPr>
        <w:t xml:space="preserve">, 394–397. </w:t>
      </w:r>
    </w:p>
    <w:p w:rsidR="00E17904" w:rsidRPr="00F2295C" w:rsidRDefault="00E17904" w:rsidP="00E17904">
      <w:pPr>
        <w:pStyle w:val="ListParagraph"/>
        <w:numPr>
          <w:ilvl w:val="0"/>
          <w:numId w:val="2"/>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Mohammed, M. A. A., Salmiaton, A., Wan Azlina, W. A. K. G., Mohamad Amran, M. S. and Taufiq-Yap, Y. H. (2013). Preparation and Characterization of Malaysian Dolomites as a Tar Cracking Catalyst in Biomass Gasification Process. </w:t>
      </w:r>
      <w:r w:rsidRPr="00F2295C">
        <w:rPr>
          <w:rFonts w:ascii="Times New Roman" w:hAnsi="Times New Roman"/>
          <w:i/>
          <w:iCs/>
          <w:sz w:val="20"/>
          <w:szCs w:val="20"/>
          <w:lang w:eastAsia="en-MY"/>
        </w:rPr>
        <w:t>Journal of Energy</w:t>
      </w:r>
      <w:r w:rsidRPr="00F2295C">
        <w:rPr>
          <w:rFonts w:ascii="Times New Roman" w:hAnsi="Times New Roman"/>
          <w:sz w:val="20"/>
          <w:szCs w:val="20"/>
          <w:lang w:eastAsia="en-MY"/>
        </w:rPr>
        <w:t>, 1–8.</w:t>
      </w:r>
    </w:p>
    <w:p w:rsidR="00E66197" w:rsidRPr="00136AC1" w:rsidRDefault="00E17904" w:rsidP="001124F6">
      <w:pPr>
        <w:pStyle w:val="ListParagraph"/>
        <w:numPr>
          <w:ilvl w:val="0"/>
          <w:numId w:val="2"/>
        </w:numPr>
        <w:spacing w:after="0" w:line="240" w:lineRule="auto"/>
        <w:ind w:left="360" w:hanging="288"/>
        <w:jc w:val="both"/>
        <w:rPr>
          <w:rFonts w:ascii="Times New Roman" w:hAnsi="Times New Roman"/>
          <w:noProof/>
          <w:lang w:bidi="ar-SA"/>
        </w:rPr>
      </w:pPr>
      <w:r w:rsidRPr="00B9125E">
        <w:rPr>
          <w:rFonts w:ascii="Times New Roman" w:hAnsi="Times New Roman"/>
          <w:sz w:val="20"/>
          <w:szCs w:val="20"/>
        </w:rPr>
        <w:t>Feldmann, H. F., Chol, P. S., Conkle, H. N. and Charhan, S. P. (1981) In 'Biomass as a Non Fossil Fuel Source' (Ed. D. L. Klass), Symposium Series No. 144, American Chemical Society,Washington</w:t>
      </w:r>
      <w:r w:rsidR="00B9125E">
        <w:rPr>
          <w:rFonts w:ascii="Times New Roman" w:hAnsi="Times New Roman"/>
          <w:sz w:val="20"/>
          <w:szCs w:val="20"/>
        </w:rPr>
        <w:t>.</w:t>
      </w:r>
    </w:p>
    <w:sectPr w:rsidR="00E66197" w:rsidRPr="00136AC1" w:rsidSect="00937D50">
      <w:headerReference w:type="even" r:id="rId13"/>
      <w:headerReference w:type="default" r:id="rId14"/>
      <w:footerReference w:type="even" r:id="rId15"/>
      <w:footerReference w:type="default" r:id="rId16"/>
      <w:pgSz w:w="12240" w:h="15840" w:code="1"/>
      <w:pgMar w:top="1800" w:right="1469" w:bottom="1699" w:left="1440" w:header="706" w:footer="706"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10AB">
      <w:rPr>
        <w:rFonts w:ascii="Times New Roman" w:hAnsi="Times New Roman"/>
        <w:noProof/>
      </w:rPr>
      <w:t>70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10AB">
      <w:rPr>
        <w:rFonts w:ascii="Times New Roman" w:hAnsi="Times New Roman"/>
        <w:noProof/>
      </w:rPr>
      <w:t>65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04" w:rsidRPr="00E17904" w:rsidRDefault="00E17904" w:rsidP="00E17904">
    <w:pPr>
      <w:tabs>
        <w:tab w:val="left" w:pos="567"/>
      </w:tabs>
      <w:spacing w:after="0" w:line="240" w:lineRule="auto"/>
      <w:ind w:left="567" w:hanging="567"/>
      <w:rPr>
        <w:rFonts w:ascii="Times New Roman" w:hAnsi="Times New Roman"/>
        <w:bCs/>
        <w:sz w:val="20"/>
        <w:szCs w:val="20"/>
      </w:rPr>
    </w:pPr>
    <w:r>
      <w:rPr>
        <w:rFonts w:ascii="Times New Roman" w:hAnsi="Times New Roman"/>
        <w:sz w:val="20"/>
        <w:szCs w:val="20"/>
      </w:rPr>
      <w:t>Nurfatirah et al</w:t>
    </w:r>
    <w:r w:rsidR="00A14DB9" w:rsidRPr="00E17904">
      <w:rPr>
        <w:rFonts w:ascii="Times New Roman" w:hAnsi="Times New Roman"/>
        <w:sz w:val="20"/>
        <w:szCs w:val="20"/>
      </w:rPr>
      <w:t xml:space="preserve">: </w:t>
    </w:r>
    <w:r>
      <w:rPr>
        <w:rFonts w:ascii="Times New Roman" w:hAnsi="Times New Roman"/>
        <w:sz w:val="20"/>
        <w:szCs w:val="20"/>
      </w:rPr>
      <w:t xml:space="preserve"> </w:t>
    </w:r>
    <w:r w:rsidRPr="00E17904">
      <w:rPr>
        <w:rFonts w:ascii="Times New Roman" w:hAnsi="Times New Roman"/>
        <w:bCs/>
        <w:sz w:val="20"/>
        <w:szCs w:val="20"/>
      </w:rPr>
      <w:t>EFFECT OF TEMPERATURE IN CALCINATION PROCESS OF SEASHELLS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E1790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D452EB">
      <w:rPr>
        <w:rFonts w:ascii="Times New Roman" w:hAnsi="Times New Roman"/>
        <w:i/>
        <w:lang w:val="en-US"/>
      </w:rPr>
      <w:t>9</w:t>
    </w:r>
    <w:r w:rsidR="00D452EB">
      <w:rPr>
        <w:rFonts w:ascii="Times New Roman" w:hAnsi="Times New Roman"/>
        <w:i/>
      </w:rPr>
      <w:t xml:space="preserve"> </w:t>
    </w:r>
    <w:r w:rsidR="006F4479">
      <w:rPr>
        <w:rFonts w:ascii="Times New Roman" w:hAnsi="Times New Roman"/>
        <w:i/>
        <w:lang w:val="en-US"/>
      </w:rPr>
      <w:t>No 1</w:t>
    </w:r>
    <w:r w:rsidR="00012278">
      <w:rPr>
        <w:rFonts w:ascii="Times New Roman" w:hAnsi="Times New Roman"/>
        <w:i/>
      </w:rPr>
      <w:t xml:space="preserve"> (201</w:t>
    </w:r>
    <w:r w:rsidR="00D452EB">
      <w:rPr>
        <w:rFonts w:ascii="Times New Roman" w:hAnsi="Times New Roman"/>
        <w:i/>
        <w:lang w:val="en-US"/>
      </w:rPr>
      <w:t>5</w:t>
    </w:r>
    <w:r w:rsidRPr="00D75B35">
      <w:rPr>
        <w:rFonts w:ascii="Times New Roman" w:hAnsi="Times New Roman"/>
        <w:i/>
      </w:rPr>
      <w:t xml:space="preserve">): </w:t>
    </w:r>
    <w:r w:rsidR="00E17904">
      <w:rPr>
        <w:rFonts w:ascii="Times New Roman" w:hAnsi="Times New Roman"/>
        <w:i/>
        <w:lang w:val="en-US"/>
      </w:rPr>
      <w:t>65 - 70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4D4BE3"/>
    <w:multiLevelType w:val="multilevel"/>
    <w:tmpl w:val="F33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0C772A"/>
    <w:multiLevelType w:val="hybridMultilevel"/>
    <w:tmpl w:val="AE9E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A10AB"/>
    <w:rsid w:val="001B35D1"/>
    <w:rsid w:val="001D035A"/>
    <w:rsid w:val="001E6B6A"/>
    <w:rsid w:val="00295A67"/>
    <w:rsid w:val="002B188F"/>
    <w:rsid w:val="002F2505"/>
    <w:rsid w:val="00317C2D"/>
    <w:rsid w:val="00330EFD"/>
    <w:rsid w:val="00361BAF"/>
    <w:rsid w:val="003C12C7"/>
    <w:rsid w:val="003D585B"/>
    <w:rsid w:val="003E7DA6"/>
    <w:rsid w:val="00461C5C"/>
    <w:rsid w:val="00522681"/>
    <w:rsid w:val="005367DB"/>
    <w:rsid w:val="00544B69"/>
    <w:rsid w:val="005545DF"/>
    <w:rsid w:val="005E552B"/>
    <w:rsid w:val="006768E9"/>
    <w:rsid w:val="006B1068"/>
    <w:rsid w:val="006C300F"/>
    <w:rsid w:val="006C64F5"/>
    <w:rsid w:val="006C780C"/>
    <w:rsid w:val="006D0052"/>
    <w:rsid w:val="006D695E"/>
    <w:rsid w:val="006F4479"/>
    <w:rsid w:val="00725A6A"/>
    <w:rsid w:val="00762D11"/>
    <w:rsid w:val="00800A88"/>
    <w:rsid w:val="00802DCC"/>
    <w:rsid w:val="00805D1F"/>
    <w:rsid w:val="0082181A"/>
    <w:rsid w:val="00822688"/>
    <w:rsid w:val="00862958"/>
    <w:rsid w:val="008B1EAF"/>
    <w:rsid w:val="008B3A1F"/>
    <w:rsid w:val="008B470E"/>
    <w:rsid w:val="008C77F2"/>
    <w:rsid w:val="008E5BBF"/>
    <w:rsid w:val="00937D50"/>
    <w:rsid w:val="009B140D"/>
    <w:rsid w:val="00A14DB9"/>
    <w:rsid w:val="00A42874"/>
    <w:rsid w:val="00A43654"/>
    <w:rsid w:val="00A4762A"/>
    <w:rsid w:val="00B1121C"/>
    <w:rsid w:val="00B2639F"/>
    <w:rsid w:val="00B2770A"/>
    <w:rsid w:val="00B314AD"/>
    <w:rsid w:val="00B9125E"/>
    <w:rsid w:val="00BB58AF"/>
    <w:rsid w:val="00BC3ED2"/>
    <w:rsid w:val="00BF0954"/>
    <w:rsid w:val="00C218CA"/>
    <w:rsid w:val="00C31E76"/>
    <w:rsid w:val="00C43D22"/>
    <w:rsid w:val="00C5417D"/>
    <w:rsid w:val="00CA513F"/>
    <w:rsid w:val="00D4023F"/>
    <w:rsid w:val="00D452EB"/>
    <w:rsid w:val="00D75B35"/>
    <w:rsid w:val="00D878E4"/>
    <w:rsid w:val="00D9792A"/>
    <w:rsid w:val="00E17904"/>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37D50"/>
    <w:pPr>
      <w:autoSpaceDE w:val="0"/>
      <w:autoSpaceDN w:val="0"/>
      <w:adjustRightInd w:val="0"/>
    </w:pPr>
    <w:rPr>
      <w:rFonts w:ascii="Times New Roman" w:eastAsiaTheme="minorHAnsi" w:hAnsi="Times New Roman"/>
      <w:color w:val="000000"/>
      <w:sz w:val="24"/>
      <w:szCs w:val="24"/>
      <w:lang w:val="en-MY"/>
    </w:rPr>
  </w:style>
  <w:style w:type="table" w:styleId="LightShading">
    <w:name w:val="Light Shading"/>
    <w:basedOn w:val="TableNormal"/>
    <w:uiPriority w:val="60"/>
    <w:rsid w:val="00937D50"/>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37D50"/>
    <w:pPr>
      <w:autoSpaceDE w:val="0"/>
      <w:autoSpaceDN w:val="0"/>
      <w:adjustRightInd w:val="0"/>
    </w:pPr>
    <w:rPr>
      <w:rFonts w:ascii="Times New Roman" w:eastAsiaTheme="minorHAnsi" w:hAnsi="Times New Roman"/>
      <w:color w:val="000000"/>
      <w:sz w:val="24"/>
      <w:szCs w:val="24"/>
      <w:lang w:val="en-MY"/>
    </w:rPr>
  </w:style>
  <w:style w:type="table" w:styleId="LightShading">
    <w:name w:val="Light Shading"/>
    <w:basedOn w:val="TableNormal"/>
    <w:uiPriority w:val="60"/>
    <w:rsid w:val="00937D50"/>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8471">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Chart%20in%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Bio oil</c:v>
                </c:pt>
              </c:strCache>
            </c:strRef>
          </c:tx>
          <c:invertIfNegative val="0"/>
          <c:cat>
            <c:strRef>
              <c:f>Sheet1!$A$2:$A$3</c:f>
              <c:strCache>
                <c:ptCount val="2"/>
                <c:pt idx="0">
                  <c:v>Non-catalytic</c:v>
                </c:pt>
                <c:pt idx="1">
                  <c:v>Catalytic</c:v>
                </c:pt>
              </c:strCache>
            </c:strRef>
          </c:cat>
          <c:val>
            <c:numRef>
              <c:f>Sheet1!$B$2:$B$3</c:f>
              <c:numCache>
                <c:formatCode>General</c:formatCode>
                <c:ptCount val="2"/>
                <c:pt idx="0">
                  <c:v>33.46</c:v>
                </c:pt>
                <c:pt idx="1">
                  <c:v>45.6</c:v>
                </c:pt>
              </c:numCache>
            </c:numRef>
          </c:val>
        </c:ser>
        <c:ser>
          <c:idx val="1"/>
          <c:order val="1"/>
          <c:tx>
            <c:strRef>
              <c:f>Sheet1!$C$1</c:f>
              <c:strCache>
                <c:ptCount val="1"/>
                <c:pt idx="0">
                  <c:v>Bio char</c:v>
                </c:pt>
              </c:strCache>
            </c:strRef>
          </c:tx>
          <c:invertIfNegative val="0"/>
          <c:cat>
            <c:strRef>
              <c:f>Sheet1!$A$2:$A$3</c:f>
              <c:strCache>
                <c:ptCount val="2"/>
                <c:pt idx="0">
                  <c:v>Non-catalytic</c:v>
                </c:pt>
                <c:pt idx="1">
                  <c:v>Catalytic</c:v>
                </c:pt>
              </c:strCache>
            </c:strRef>
          </c:cat>
          <c:val>
            <c:numRef>
              <c:f>Sheet1!$C$2:$C$3</c:f>
              <c:numCache>
                <c:formatCode>General</c:formatCode>
                <c:ptCount val="2"/>
                <c:pt idx="0">
                  <c:v>20.85</c:v>
                </c:pt>
                <c:pt idx="1">
                  <c:v>32.200000000000003</c:v>
                </c:pt>
              </c:numCache>
            </c:numRef>
          </c:val>
        </c:ser>
        <c:ser>
          <c:idx val="2"/>
          <c:order val="2"/>
          <c:tx>
            <c:strRef>
              <c:f>Sheet1!$D$1</c:f>
              <c:strCache>
                <c:ptCount val="1"/>
                <c:pt idx="0">
                  <c:v>Gas</c:v>
                </c:pt>
              </c:strCache>
            </c:strRef>
          </c:tx>
          <c:invertIfNegative val="0"/>
          <c:cat>
            <c:strRef>
              <c:f>Sheet1!$A$2:$A$3</c:f>
              <c:strCache>
                <c:ptCount val="2"/>
                <c:pt idx="0">
                  <c:v>Non-catalytic</c:v>
                </c:pt>
                <c:pt idx="1">
                  <c:v>Catalytic</c:v>
                </c:pt>
              </c:strCache>
            </c:strRef>
          </c:cat>
          <c:val>
            <c:numRef>
              <c:f>Sheet1!$D$2:$D$3</c:f>
              <c:numCache>
                <c:formatCode>General</c:formatCode>
                <c:ptCount val="2"/>
                <c:pt idx="0">
                  <c:v>51.75</c:v>
                </c:pt>
                <c:pt idx="1">
                  <c:v>22.2</c:v>
                </c:pt>
              </c:numCache>
            </c:numRef>
          </c:val>
        </c:ser>
        <c:dLbls>
          <c:showLegendKey val="0"/>
          <c:showVal val="0"/>
          <c:showCatName val="0"/>
          <c:showSerName val="0"/>
          <c:showPercent val="0"/>
          <c:showBubbleSize val="0"/>
        </c:dLbls>
        <c:gapWidth val="150"/>
        <c:axId val="71430528"/>
        <c:axId val="71432064"/>
      </c:barChart>
      <c:catAx>
        <c:axId val="71430528"/>
        <c:scaling>
          <c:orientation val="minMax"/>
        </c:scaling>
        <c:delete val="0"/>
        <c:axPos val="b"/>
        <c:numFmt formatCode="General" sourceLinked="0"/>
        <c:majorTickMark val="out"/>
        <c:minorTickMark val="none"/>
        <c:tickLblPos val="nextTo"/>
        <c:crossAx val="71432064"/>
        <c:crosses val="autoZero"/>
        <c:auto val="1"/>
        <c:lblAlgn val="ctr"/>
        <c:lblOffset val="100"/>
        <c:noMultiLvlLbl val="0"/>
      </c:catAx>
      <c:valAx>
        <c:axId val="71432064"/>
        <c:scaling>
          <c:orientation val="minMax"/>
        </c:scaling>
        <c:delete val="0"/>
        <c:axPos val="l"/>
        <c:title>
          <c:tx>
            <c:rich>
              <a:bodyPr rot="-5400000" vert="horz"/>
              <a:lstStyle/>
              <a:p>
                <a:pPr>
                  <a:defRPr/>
                </a:pPr>
                <a:r>
                  <a:rPr lang="en-US"/>
                  <a:t>Yield(%)</a:t>
                </a:r>
              </a:p>
            </c:rich>
          </c:tx>
          <c:overlay val="0"/>
        </c:title>
        <c:numFmt formatCode="General" sourceLinked="1"/>
        <c:majorTickMark val="out"/>
        <c:minorTickMark val="none"/>
        <c:tickLblPos val="nextTo"/>
        <c:crossAx val="71430528"/>
        <c:crosses val="autoZero"/>
        <c:crossBetween val="between"/>
      </c:valAx>
    </c:plotArea>
    <c:legend>
      <c:legendPos val="r"/>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FE1B-FFD6-4234-8131-427B23F7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2015-01-28T10:47:00Z</cp:lastPrinted>
  <dcterms:created xsi:type="dcterms:W3CDTF">2015-01-28T10:20:00Z</dcterms:created>
  <dcterms:modified xsi:type="dcterms:W3CDTF">2015-02-17T16:14:00Z</dcterms:modified>
</cp:coreProperties>
</file>