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263F1A" w:rsidRPr="004A0870" w:rsidRDefault="00263F1A" w:rsidP="00263F1A">
      <w:pPr>
        <w:pStyle w:val="TTPTitle"/>
        <w:spacing w:after="0"/>
        <w:rPr>
          <w:rFonts w:ascii="Times New Roman" w:hAnsi="Times New Roman" w:cs="Times New Roman"/>
          <w:b w:val="0"/>
          <w:sz w:val="28"/>
          <w:szCs w:val="28"/>
        </w:rPr>
      </w:pPr>
      <w:r w:rsidRPr="004A0870">
        <w:rPr>
          <w:rFonts w:ascii="Times New Roman" w:hAnsi="Times New Roman" w:cs="Times New Roman"/>
          <w:b w:val="0"/>
          <w:sz w:val="28"/>
          <w:szCs w:val="28"/>
        </w:rPr>
        <w:t>THERMOGRAVIMETRIC ANALYSIS OF RICE HUSK AND COCONUT PULP FOR POTENTIAL BIOFUEL PRODUCTION BY FLASH PYROLYSIS</w:t>
      </w:r>
    </w:p>
    <w:p w:rsidR="006768E9" w:rsidRPr="00802DCC" w:rsidRDefault="006768E9" w:rsidP="00263F1A">
      <w:pPr>
        <w:spacing w:after="0" w:line="240" w:lineRule="auto"/>
        <w:jc w:val="center"/>
        <w:rPr>
          <w:rFonts w:ascii="Times New Roman" w:hAnsi="Times New Roman"/>
          <w:noProof/>
          <w:sz w:val="24"/>
          <w:szCs w:val="24"/>
          <w:lang w:bidi="ar-SA"/>
        </w:rPr>
      </w:pPr>
    </w:p>
    <w:p w:rsidR="006768E9" w:rsidRPr="00802DCC" w:rsidRDefault="006768E9" w:rsidP="00263F1A">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263F1A" w:rsidRPr="004A0870">
        <w:rPr>
          <w:rFonts w:ascii="Times New Roman" w:hAnsi="Times New Roman"/>
          <w:sz w:val="24"/>
          <w:szCs w:val="24"/>
        </w:rPr>
        <w:t>Analisa Thermogravimetrik Sekam Padi dan Pulpa Kelapa Untuk Mengkaji Potensi Penghasilan Minyak Bio Melalui Pirolisis Pantas</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263F1A" w:rsidRDefault="00263F1A" w:rsidP="00263F1A">
      <w:pPr>
        <w:pStyle w:val="TTPAuthors"/>
        <w:spacing w:before="0"/>
        <w:rPr>
          <w:rFonts w:ascii="Times New Roman" w:hAnsi="Times New Roman" w:cs="Times New Roman"/>
          <w:sz w:val="20"/>
          <w:szCs w:val="20"/>
        </w:rPr>
      </w:pPr>
      <w:r w:rsidRPr="0021035D">
        <w:rPr>
          <w:rFonts w:ascii="Times New Roman" w:hAnsi="Times New Roman" w:cs="Times New Roman"/>
          <w:sz w:val="20"/>
          <w:szCs w:val="20"/>
        </w:rPr>
        <w:t>Noorhaza Alias</w:t>
      </w:r>
      <w:r>
        <w:rPr>
          <w:rFonts w:ascii="Times New Roman" w:hAnsi="Times New Roman" w:cs="Times New Roman"/>
          <w:sz w:val="20"/>
          <w:szCs w:val="20"/>
          <w:vertAlign w:val="superscript"/>
        </w:rPr>
        <w:t>1</w:t>
      </w:r>
      <w:r w:rsidRPr="0021035D">
        <w:rPr>
          <w:rFonts w:ascii="Times New Roman" w:hAnsi="Times New Roman" w:cs="Times New Roman"/>
          <w:bCs/>
          <w:sz w:val="20"/>
          <w:szCs w:val="20"/>
        </w:rPr>
        <w:t>,</w:t>
      </w:r>
      <w:r w:rsidRPr="0021035D">
        <w:rPr>
          <w:rFonts w:ascii="Times New Roman" w:hAnsi="Times New Roman" w:cs="Times New Roman"/>
          <w:sz w:val="20"/>
          <w:szCs w:val="20"/>
        </w:rPr>
        <w:t xml:space="preserve"> Norazana Ibrahim</w:t>
      </w:r>
      <w:r>
        <w:rPr>
          <w:rFonts w:ascii="Times New Roman" w:hAnsi="Times New Roman" w:cs="Times New Roman"/>
          <w:sz w:val="20"/>
          <w:szCs w:val="20"/>
          <w:vertAlign w:val="superscript"/>
        </w:rPr>
        <w:t>1</w:t>
      </w:r>
      <w:r w:rsidRPr="00263F1A">
        <w:rPr>
          <w:rFonts w:ascii="Times New Roman" w:hAnsi="Times New Roman" w:cs="Times New Roman"/>
          <w:sz w:val="20"/>
          <w:szCs w:val="20"/>
        </w:rPr>
        <w:t>*</w:t>
      </w:r>
      <w:r w:rsidRPr="0021035D">
        <w:rPr>
          <w:rFonts w:ascii="Times New Roman" w:hAnsi="Times New Roman" w:cs="Times New Roman"/>
          <w:sz w:val="20"/>
          <w:szCs w:val="20"/>
        </w:rPr>
        <w:t>, Mohd. Kamaruddin Abd. Hamid</w:t>
      </w:r>
      <w:r w:rsidRPr="0021035D">
        <w:rPr>
          <w:rFonts w:ascii="Times New Roman" w:hAnsi="Times New Roman" w:cs="Times New Roman"/>
          <w:sz w:val="20"/>
          <w:szCs w:val="20"/>
          <w:vertAlign w:val="superscript"/>
        </w:rPr>
        <w:t>2</w:t>
      </w:r>
      <w:r w:rsidRPr="0021035D">
        <w:rPr>
          <w:rFonts w:ascii="Times New Roman" w:hAnsi="Times New Roman" w:cs="Times New Roman"/>
          <w:sz w:val="20"/>
          <w:szCs w:val="20"/>
        </w:rPr>
        <w:t>, Hasrinah Hasbullah</w:t>
      </w:r>
      <w:r w:rsidRPr="0021035D">
        <w:rPr>
          <w:rFonts w:ascii="Times New Roman" w:hAnsi="Times New Roman" w:cs="Times New Roman"/>
          <w:sz w:val="20"/>
          <w:szCs w:val="20"/>
          <w:vertAlign w:val="superscript"/>
        </w:rPr>
        <w:t>3</w:t>
      </w:r>
      <w:r w:rsidRPr="0021035D">
        <w:rPr>
          <w:rFonts w:ascii="Times New Roman" w:hAnsi="Times New Roman" w:cs="Times New Roman"/>
          <w:sz w:val="20"/>
          <w:szCs w:val="20"/>
        </w:rPr>
        <w:t xml:space="preserve">, </w:t>
      </w:r>
    </w:p>
    <w:p w:rsidR="00263F1A" w:rsidRPr="0021035D" w:rsidRDefault="00263F1A" w:rsidP="00263F1A">
      <w:pPr>
        <w:pStyle w:val="TTPAuthors"/>
        <w:spacing w:before="0"/>
        <w:rPr>
          <w:rFonts w:ascii="Times New Roman" w:hAnsi="Times New Roman" w:cs="Times New Roman"/>
          <w:sz w:val="20"/>
          <w:szCs w:val="20"/>
          <w:vertAlign w:val="superscript"/>
        </w:rPr>
      </w:pPr>
      <w:r w:rsidRPr="0021035D">
        <w:rPr>
          <w:rFonts w:ascii="Times New Roman" w:hAnsi="Times New Roman" w:cs="Times New Roman"/>
          <w:sz w:val="20"/>
          <w:szCs w:val="20"/>
        </w:rPr>
        <w:t>Roshafima Rasit Ali</w:t>
      </w:r>
      <w:r w:rsidRPr="0021035D">
        <w:rPr>
          <w:rFonts w:ascii="Times New Roman" w:hAnsi="Times New Roman" w:cs="Times New Roman"/>
          <w:sz w:val="20"/>
          <w:szCs w:val="20"/>
          <w:vertAlign w:val="superscript"/>
        </w:rPr>
        <w:t>4</w:t>
      </w:r>
      <w:r w:rsidRPr="0021035D">
        <w:rPr>
          <w:rFonts w:ascii="Times New Roman" w:hAnsi="Times New Roman" w:cs="Times New Roman"/>
          <w:sz w:val="20"/>
          <w:szCs w:val="20"/>
        </w:rPr>
        <w:t xml:space="preserve">, Aziatul Niza </w:t>
      </w:r>
      <w:r w:rsidRPr="00263F1A">
        <w:rPr>
          <w:rFonts w:ascii="Times New Roman" w:hAnsi="Times New Roman" w:cs="Times New Roman"/>
          <w:sz w:val="20"/>
          <w:szCs w:val="20"/>
        </w:rPr>
        <w:t>Sadikin</w:t>
      </w:r>
      <w:r w:rsidRPr="00263F1A">
        <w:rPr>
          <w:rFonts w:ascii="Times New Roman" w:hAnsi="Times New Roman" w:cs="Times New Roman"/>
          <w:sz w:val="20"/>
          <w:szCs w:val="20"/>
          <w:vertAlign w:val="superscript"/>
        </w:rPr>
        <w:t>4</w:t>
      </w:r>
      <w:r>
        <w:rPr>
          <w:rFonts w:ascii="Times New Roman" w:hAnsi="Times New Roman" w:cs="Times New Roman"/>
          <w:sz w:val="20"/>
          <w:szCs w:val="20"/>
        </w:rPr>
        <w:t xml:space="preserve">, </w:t>
      </w:r>
      <w:r w:rsidRPr="00263F1A">
        <w:rPr>
          <w:rFonts w:ascii="Times New Roman" w:hAnsi="Times New Roman" w:cs="Times New Roman"/>
          <w:sz w:val="20"/>
          <w:szCs w:val="20"/>
        </w:rPr>
        <w:t>Umi</w:t>
      </w:r>
      <w:r w:rsidRPr="0021035D">
        <w:rPr>
          <w:rFonts w:ascii="Times New Roman" w:hAnsi="Times New Roman" w:cs="Times New Roman"/>
          <w:sz w:val="20"/>
          <w:szCs w:val="20"/>
        </w:rPr>
        <w:t xml:space="preserve"> Aisah Asli</w:t>
      </w:r>
      <w:r w:rsidRPr="0021035D">
        <w:rPr>
          <w:rFonts w:ascii="Times New Roman" w:hAnsi="Times New Roman" w:cs="Times New Roman"/>
          <w:sz w:val="20"/>
          <w:szCs w:val="20"/>
          <w:vertAlign w:val="superscript"/>
        </w:rPr>
        <w:t>4</w:t>
      </w:r>
    </w:p>
    <w:p w:rsidR="006768E9" w:rsidRPr="00802DCC" w:rsidRDefault="006768E9" w:rsidP="00263F1A">
      <w:pPr>
        <w:spacing w:after="0" w:line="240" w:lineRule="auto"/>
        <w:jc w:val="center"/>
        <w:rPr>
          <w:rFonts w:ascii="Times New Roman" w:hAnsi="Times New Roman"/>
          <w:noProof/>
          <w:sz w:val="18"/>
          <w:szCs w:val="18"/>
          <w:lang w:bidi="ar-SA"/>
        </w:rPr>
      </w:pPr>
    </w:p>
    <w:p w:rsidR="00263F1A" w:rsidRDefault="00263F1A" w:rsidP="00263F1A">
      <w:pPr>
        <w:pStyle w:val="CETAddress"/>
        <w:spacing w:after="0" w:line="240" w:lineRule="auto"/>
        <w:jc w:val="center"/>
        <w:rPr>
          <w:rFonts w:ascii="Times New Roman" w:hAnsi="Times New Roman"/>
          <w:i/>
          <w:sz w:val="18"/>
        </w:rPr>
      </w:pPr>
      <w:r w:rsidRPr="0021035D">
        <w:rPr>
          <w:rFonts w:ascii="Times New Roman" w:hAnsi="Times New Roman"/>
          <w:i/>
          <w:sz w:val="18"/>
          <w:vertAlign w:val="superscript"/>
        </w:rPr>
        <w:t>1</w:t>
      </w:r>
      <w:r w:rsidRPr="0021035D">
        <w:rPr>
          <w:rFonts w:ascii="Times New Roman" w:hAnsi="Times New Roman"/>
          <w:i/>
          <w:sz w:val="18"/>
        </w:rPr>
        <w:t xml:space="preserve">UTM-MPRC Institute for Oil and Gas, Faculty of Petroleum and Renewable Energy Engineering, </w:t>
      </w:r>
    </w:p>
    <w:p w:rsidR="00263F1A" w:rsidRDefault="00263F1A" w:rsidP="00263F1A">
      <w:pPr>
        <w:pStyle w:val="CETAddress"/>
        <w:spacing w:after="0" w:line="240" w:lineRule="auto"/>
        <w:jc w:val="center"/>
        <w:rPr>
          <w:rFonts w:ascii="Times New Roman" w:hAnsi="Times New Roman"/>
          <w:i/>
          <w:sz w:val="18"/>
        </w:rPr>
      </w:pPr>
      <w:r w:rsidRPr="00A46D48">
        <w:rPr>
          <w:rFonts w:ascii="Times New Roman" w:hAnsi="Times New Roman"/>
          <w:i/>
          <w:sz w:val="18"/>
          <w:vertAlign w:val="superscript"/>
        </w:rPr>
        <w:t>2</w:t>
      </w:r>
      <w:r w:rsidRPr="00A46D48">
        <w:rPr>
          <w:rFonts w:ascii="Times New Roman" w:hAnsi="Times New Roman"/>
          <w:i/>
          <w:sz w:val="18"/>
        </w:rPr>
        <w:t xml:space="preserve">Process Systems of Engineering Centre, Faculty of Chemical Engineering, </w:t>
      </w:r>
    </w:p>
    <w:p w:rsidR="00263F1A"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vertAlign w:val="superscript"/>
        </w:rPr>
        <w:t>3</w:t>
      </w:r>
      <w:r w:rsidRPr="0021035D">
        <w:rPr>
          <w:rFonts w:ascii="Times New Roman" w:hAnsi="Times New Roman"/>
          <w:i/>
          <w:sz w:val="18"/>
          <w:szCs w:val="20"/>
        </w:rPr>
        <w:t xml:space="preserve">AMTEC, Faculty of Petroleum and Renewable Energy Engineering, </w:t>
      </w:r>
    </w:p>
    <w:p w:rsidR="00263F1A"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vertAlign w:val="superscript"/>
        </w:rPr>
        <w:t>4</w:t>
      </w:r>
      <w:r w:rsidRPr="0021035D">
        <w:rPr>
          <w:rFonts w:ascii="Times New Roman" w:hAnsi="Times New Roman"/>
          <w:i/>
          <w:sz w:val="18"/>
          <w:szCs w:val="20"/>
        </w:rPr>
        <w:t xml:space="preserve">Faculty of Chemical Engineering, </w:t>
      </w:r>
    </w:p>
    <w:p w:rsidR="00263F1A" w:rsidRPr="0021035D" w:rsidRDefault="00263F1A" w:rsidP="00263F1A">
      <w:pPr>
        <w:spacing w:after="0" w:line="240" w:lineRule="auto"/>
        <w:jc w:val="center"/>
        <w:rPr>
          <w:rFonts w:ascii="Times New Roman" w:hAnsi="Times New Roman"/>
          <w:i/>
          <w:sz w:val="18"/>
          <w:szCs w:val="20"/>
        </w:rPr>
      </w:pPr>
      <w:r w:rsidRPr="0021035D">
        <w:rPr>
          <w:rFonts w:ascii="Times New Roman" w:hAnsi="Times New Roman"/>
          <w:i/>
          <w:sz w:val="18"/>
          <w:szCs w:val="20"/>
        </w:rPr>
        <w:t>Universiti Teknologi Malaysia, 81310 UTM Johor Bahru, Johor, Malaysia</w:t>
      </w:r>
    </w:p>
    <w:p w:rsidR="006768E9" w:rsidRPr="00802DCC" w:rsidRDefault="006768E9" w:rsidP="00263F1A">
      <w:pPr>
        <w:spacing w:after="0" w:line="240" w:lineRule="auto"/>
        <w:jc w:val="center"/>
        <w:rPr>
          <w:rFonts w:ascii="Times New Roman" w:hAnsi="Times New Roman"/>
          <w:noProof/>
          <w:sz w:val="18"/>
          <w:szCs w:val="18"/>
          <w:lang w:bidi="ar-SA"/>
        </w:rPr>
      </w:pPr>
    </w:p>
    <w:p w:rsidR="006768E9" w:rsidRPr="00263F1A" w:rsidRDefault="006768E9" w:rsidP="00263F1A">
      <w:pPr>
        <w:spacing w:after="0" w:line="240" w:lineRule="auto"/>
        <w:jc w:val="cente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263F1A" w:rsidRPr="00A46D48">
        <w:rPr>
          <w:rFonts w:ascii="Times New Roman" w:hAnsi="Times New Roman"/>
          <w:i/>
          <w:sz w:val="18"/>
          <w:szCs w:val="18"/>
        </w:rPr>
        <w:t>norazana@petroleum.utm.my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r w:rsidRPr="00403581">
        <w:rPr>
          <w:rFonts w:ascii="Times New Roman" w:eastAsia="Calibri" w:hAnsi="Times New Roman"/>
          <w:sz w:val="18"/>
          <w:szCs w:val="18"/>
        </w:rPr>
        <w:t>The purpose of this paper is to study the characteristics and thermal degradation behavior of rice husk and coconut pulp for biofuel production via flash pyrolysis technology.</w:t>
      </w:r>
      <w:r w:rsidRPr="00403581">
        <w:rPr>
          <w:rFonts w:ascii="Times New Roman" w:eastAsia="Calibri" w:hAnsi="Times New Roman"/>
          <w:color w:val="000000"/>
          <w:sz w:val="18"/>
          <w:szCs w:val="18"/>
        </w:rPr>
        <w:t xml:space="preserve"> The elemental properties of the feedstock were characterized by an elemental analyzer while thermal properties were investigated using thermogravimetric analyzer (TGA).</w:t>
      </w:r>
      <w:r w:rsidRPr="00403581">
        <w:rPr>
          <w:rFonts w:ascii="Times New Roman" w:eastAsia="Calibri" w:hAnsi="Times New Roman"/>
          <w:sz w:val="18"/>
          <w:szCs w:val="18"/>
        </w:rPr>
        <w:t xml:space="preserve"> The pyrolysis processes </w:t>
      </w:r>
      <w:r w:rsidR="003E36BC">
        <w:rPr>
          <w:rFonts w:ascii="Times New Roman" w:eastAsia="Calibri" w:hAnsi="Times New Roman"/>
          <w:color w:val="000000"/>
          <w:sz w:val="18"/>
          <w:szCs w:val="18"/>
        </w:rPr>
        <w:t>were carried</w:t>
      </w:r>
      <w:r w:rsidRPr="00403581">
        <w:rPr>
          <w:rFonts w:ascii="Times New Roman" w:eastAsia="Calibri" w:hAnsi="Times New Roman"/>
          <w:color w:val="000000"/>
          <w:sz w:val="18"/>
          <w:szCs w:val="18"/>
        </w:rPr>
        <w:t xml:space="preserve"> out </w:t>
      </w:r>
      <w:r w:rsidRPr="00403581">
        <w:rPr>
          <w:rFonts w:ascii="Times New Roman" w:eastAsia="Calibri" w:hAnsi="Times New Roman"/>
          <w:sz w:val="18"/>
          <w:szCs w:val="18"/>
        </w:rPr>
        <w:t xml:space="preserve">at room temperature up to 700°C </w:t>
      </w:r>
      <w:r w:rsidRPr="00403581">
        <w:rPr>
          <w:rFonts w:ascii="Times New Roman" w:eastAsia="Calibri" w:hAnsi="Times New Roman"/>
          <w:color w:val="000000"/>
          <w:sz w:val="18"/>
          <w:szCs w:val="18"/>
        </w:rPr>
        <w:t>in the presence of nitrogen gas flowing at 150 ml/min</w:t>
      </w:r>
      <w:r w:rsidRPr="00403581">
        <w:rPr>
          <w:rFonts w:ascii="Times New Roman" w:eastAsia="Calibri" w:hAnsi="Times New Roman"/>
          <w:sz w:val="18"/>
          <w:szCs w:val="18"/>
        </w:rPr>
        <w:t xml:space="preserve">. </w:t>
      </w:r>
      <w:r w:rsidRPr="00403581">
        <w:rPr>
          <w:rFonts w:ascii="Times New Roman" w:eastAsia="Calibri" w:hAnsi="Times New Roman"/>
          <w:color w:val="000000"/>
          <w:sz w:val="18"/>
          <w:szCs w:val="18"/>
        </w:rPr>
        <w:t>The investigated parameters are particle sizes and heating rates.</w:t>
      </w:r>
      <w:r w:rsidRPr="00403581">
        <w:rPr>
          <w:rFonts w:ascii="Times New Roman" w:eastAsia="Calibri" w:hAnsi="Times New Roman"/>
          <w:sz w:val="18"/>
          <w:szCs w:val="18"/>
        </w:rPr>
        <w:t xml:space="preserve"> </w:t>
      </w:r>
      <w:r w:rsidRPr="00403581">
        <w:rPr>
          <w:rFonts w:ascii="Times New Roman" w:eastAsia="Calibri" w:hAnsi="Times New Roman"/>
          <w:color w:val="000000"/>
          <w:sz w:val="18"/>
          <w:szCs w:val="18"/>
        </w:rPr>
        <w:t>The particle sizes varied in the range of dp</w:t>
      </w:r>
      <w:r w:rsidRPr="00403581">
        <w:rPr>
          <w:rFonts w:ascii="Times New Roman" w:eastAsia="Calibri" w:hAnsi="Times New Roman"/>
          <w:color w:val="000000"/>
          <w:sz w:val="18"/>
          <w:szCs w:val="18"/>
          <w:vertAlign w:val="subscript"/>
        </w:rPr>
        <w:t>1</w:t>
      </w:r>
      <w:r w:rsidRPr="00403581">
        <w:rPr>
          <w:rFonts w:ascii="Times New Roman" w:eastAsia="Calibri" w:hAnsi="Times New Roman"/>
          <w:color w:val="000000"/>
          <w:sz w:val="18"/>
          <w:szCs w:val="18"/>
        </w:rPr>
        <w:t xml:space="preserve"> &lt; 0.30 mm and 0.30≤ dp</w:t>
      </w:r>
      <w:r w:rsidRPr="00403581">
        <w:rPr>
          <w:rFonts w:ascii="Times New Roman" w:eastAsia="Calibri" w:hAnsi="Times New Roman"/>
          <w:color w:val="000000"/>
          <w:sz w:val="18"/>
          <w:szCs w:val="18"/>
          <w:vertAlign w:val="subscript"/>
        </w:rPr>
        <w:t xml:space="preserve">2 </w:t>
      </w:r>
      <w:r w:rsidRPr="00403581">
        <w:rPr>
          <w:rFonts w:ascii="Times New Roman" w:eastAsia="Calibri" w:hAnsi="Times New Roman"/>
          <w:color w:val="000000"/>
          <w:sz w:val="18"/>
          <w:szCs w:val="18"/>
        </w:rPr>
        <w:t xml:space="preserve">&lt;0.50 mm. The heating rates applied were 50°C/min and 80°C/min. It was shown </w:t>
      </w:r>
      <w:r w:rsidRPr="00403581">
        <w:rPr>
          <w:rFonts w:ascii="Times New Roman" w:hAnsi="Times New Roman"/>
          <w:bCs/>
          <w:sz w:val="18"/>
          <w:szCs w:val="18"/>
        </w:rPr>
        <w:t>smaller particle size produces 2.11-3.59% less volatile product when pyrolized at 50</w:t>
      </w:r>
      <w:r w:rsidRPr="00403581">
        <w:rPr>
          <w:rFonts w:ascii="Times New Roman" w:eastAsia="Calibri" w:hAnsi="Times New Roman"/>
          <w:sz w:val="18"/>
          <w:szCs w:val="18"/>
        </w:rPr>
        <w:t>°C/min compared to 80°C/min</w:t>
      </w:r>
      <w:r w:rsidRPr="00403581">
        <w:rPr>
          <w:rFonts w:ascii="Times New Roman" w:hAnsi="Times New Roman"/>
          <w:bCs/>
          <w:sz w:val="18"/>
          <w:szCs w:val="18"/>
        </w:rPr>
        <w:t>. Higher heating rates causes biomass degrades in a narrow temperature range by 25</w:t>
      </w:r>
      <w:r w:rsidRPr="00403581">
        <w:rPr>
          <w:rFonts w:ascii="Times New Roman" w:eastAsia="Calibri" w:hAnsi="Times New Roman"/>
          <w:sz w:val="18"/>
          <w:szCs w:val="18"/>
        </w:rPr>
        <w:t xml:space="preserve">°C. It also </w:t>
      </w:r>
      <w:r w:rsidRPr="00403581">
        <w:rPr>
          <w:rFonts w:ascii="Times New Roman" w:hAnsi="Times New Roman"/>
          <w:bCs/>
          <w:sz w:val="18"/>
          <w:szCs w:val="18"/>
        </w:rPr>
        <w:t>increases the maximum peak rate by 0.01 mg/s for rice husk at dp</w:t>
      </w:r>
      <w:r w:rsidRPr="00403581">
        <w:rPr>
          <w:rFonts w:ascii="Times New Roman" w:hAnsi="Times New Roman"/>
          <w:bCs/>
          <w:sz w:val="18"/>
          <w:szCs w:val="18"/>
          <w:vertAlign w:val="subscript"/>
        </w:rPr>
        <w:t>1</w:t>
      </w:r>
      <w:r w:rsidRPr="00403581">
        <w:rPr>
          <w:rFonts w:ascii="Times New Roman" w:eastAsia="Calibri" w:hAnsi="Times New Roman"/>
          <w:sz w:val="18"/>
          <w:szCs w:val="18"/>
        </w:rPr>
        <w:t xml:space="preserve"> and 0.02 mg/s at </w:t>
      </w:r>
      <w:r w:rsidRPr="00403581">
        <w:rPr>
          <w:rFonts w:ascii="Times New Roman" w:hAnsi="Times New Roman"/>
          <w:bCs/>
          <w:sz w:val="18"/>
          <w:szCs w:val="18"/>
        </w:rPr>
        <w:t>dp</w:t>
      </w:r>
      <w:r w:rsidRPr="00403581">
        <w:rPr>
          <w:rFonts w:ascii="Times New Roman" w:hAnsi="Times New Roman"/>
          <w:bCs/>
          <w:sz w:val="18"/>
          <w:szCs w:val="18"/>
          <w:vertAlign w:val="subscript"/>
        </w:rPr>
        <w:t>2</w:t>
      </w:r>
      <w:r w:rsidRPr="00403581">
        <w:rPr>
          <w:rFonts w:ascii="Times New Roman" w:hAnsi="Times New Roman"/>
          <w:bCs/>
          <w:sz w:val="18"/>
          <w:szCs w:val="18"/>
        </w:rPr>
        <w:t>. In case of coconut pulp, the change is not significant for dp</w:t>
      </w:r>
      <w:r w:rsidRPr="00403581">
        <w:rPr>
          <w:rFonts w:ascii="Times New Roman" w:hAnsi="Times New Roman"/>
          <w:bCs/>
          <w:sz w:val="18"/>
          <w:szCs w:val="18"/>
          <w:vertAlign w:val="subscript"/>
        </w:rPr>
        <w:t xml:space="preserve">1 </w:t>
      </w:r>
      <w:r w:rsidRPr="00403581">
        <w:rPr>
          <w:rFonts w:ascii="Times New Roman" w:hAnsi="Times New Roman"/>
          <w:sz w:val="18"/>
          <w:szCs w:val="18"/>
        </w:rPr>
        <w:t xml:space="preserve">but for </w:t>
      </w:r>
      <w:r w:rsidRPr="00403581">
        <w:rPr>
          <w:rFonts w:ascii="Times New Roman" w:hAnsi="Times New Roman"/>
          <w:bCs/>
          <w:sz w:val="18"/>
          <w:szCs w:val="18"/>
        </w:rPr>
        <w:t>dp</w:t>
      </w:r>
      <w:r w:rsidRPr="00403581">
        <w:rPr>
          <w:rFonts w:ascii="Times New Roman" w:hAnsi="Times New Roman"/>
          <w:bCs/>
          <w:sz w:val="18"/>
          <w:szCs w:val="18"/>
          <w:vertAlign w:val="subscript"/>
        </w:rPr>
        <w:t xml:space="preserve">2 </w:t>
      </w:r>
      <w:r w:rsidRPr="00403581">
        <w:rPr>
          <w:rFonts w:ascii="Times New Roman" w:hAnsi="Times New Roman"/>
          <w:bCs/>
          <w:sz w:val="18"/>
          <w:szCs w:val="18"/>
        </w:rPr>
        <w:t>a 0.02 mg/s changes was recorded.</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p>
    <w:p w:rsidR="00263F1A" w:rsidRPr="00BC2535" w:rsidRDefault="00263F1A" w:rsidP="00263F1A">
      <w:pPr>
        <w:autoSpaceDE w:val="0"/>
        <w:autoSpaceDN w:val="0"/>
        <w:adjustRightInd w:val="0"/>
        <w:spacing w:after="0" w:line="240" w:lineRule="auto"/>
        <w:jc w:val="both"/>
        <w:rPr>
          <w:rFonts w:ascii="Times New Roman" w:hAnsi="Times New Roman"/>
          <w:color w:val="000000"/>
          <w:sz w:val="18"/>
          <w:szCs w:val="18"/>
        </w:rPr>
      </w:pPr>
      <w:r w:rsidRPr="00BC2535">
        <w:rPr>
          <w:rFonts w:ascii="Times New Roman" w:hAnsi="Times New Roman"/>
          <w:b/>
          <w:bCs/>
          <w:color w:val="000000"/>
          <w:sz w:val="18"/>
          <w:szCs w:val="18"/>
        </w:rPr>
        <w:t>Keyword</w:t>
      </w:r>
      <w:r>
        <w:rPr>
          <w:rFonts w:ascii="Times New Roman" w:hAnsi="Times New Roman"/>
          <w:b/>
          <w:bCs/>
          <w:color w:val="000000"/>
          <w:sz w:val="18"/>
          <w:szCs w:val="18"/>
        </w:rPr>
        <w:t>s</w:t>
      </w:r>
      <w:r w:rsidRPr="00BC2535">
        <w:rPr>
          <w:rFonts w:ascii="Times New Roman" w:hAnsi="Times New Roman"/>
          <w:b/>
          <w:color w:val="000000"/>
          <w:sz w:val="18"/>
          <w:szCs w:val="18"/>
        </w:rPr>
        <w:t>:</w:t>
      </w:r>
      <w:r w:rsidRPr="00BC2535">
        <w:rPr>
          <w:rFonts w:ascii="Times New Roman" w:hAnsi="Times New Roman"/>
          <w:color w:val="000000"/>
          <w:sz w:val="18"/>
          <w:szCs w:val="18"/>
        </w:rPr>
        <w:t xml:space="preserve"> </w:t>
      </w:r>
      <w:r w:rsidR="003E36BC">
        <w:rPr>
          <w:rFonts w:ascii="Times New Roman" w:hAnsi="Times New Roman"/>
          <w:bCs/>
          <w:sz w:val="18"/>
          <w:szCs w:val="18"/>
        </w:rPr>
        <w:t>rice husk, c</w:t>
      </w:r>
      <w:r>
        <w:rPr>
          <w:rFonts w:ascii="Times New Roman" w:hAnsi="Times New Roman"/>
          <w:bCs/>
          <w:sz w:val="18"/>
          <w:szCs w:val="18"/>
        </w:rPr>
        <w:t>oconut</w:t>
      </w:r>
      <w:r w:rsidR="003E36BC">
        <w:rPr>
          <w:rFonts w:ascii="Times New Roman" w:hAnsi="Times New Roman"/>
          <w:bCs/>
          <w:sz w:val="18"/>
          <w:szCs w:val="18"/>
        </w:rPr>
        <w:t xml:space="preserve"> pulp, t</w:t>
      </w:r>
      <w:r>
        <w:rPr>
          <w:rFonts w:ascii="Times New Roman" w:hAnsi="Times New Roman"/>
          <w:bCs/>
          <w:sz w:val="18"/>
          <w:szCs w:val="18"/>
        </w:rPr>
        <w:t>hermogravimetric analyses,</w:t>
      </w:r>
      <w:r w:rsidR="003E36BC">
        <w:rPr>
          <w:rFonts w:ascii="Times New Roman" w:hAnsi="Times New Roman"/>
          <w:bCs/>
          <w:sz w:val="18"/>
          <w:szCs w:val="18"/>
        </w:rPr>
        <w:t xml:space="preserve"> f</w:t>
      </w:r>
      <w:r w:rsidRPr="00403581">
        <w:rPr>
          <w:rFonts w:ascii="Times New Roman" w:hAnsi="Times New Roman"/>
          <w:bCs/>
          <w:sz w:val="18"/>
          <w:szCs w:val="18"/>
        </w:rPr>
        <w:t>lash pyrolysis</w:t>
      </w:r>
      <w:r>
        <w:rPr>
          <w:rFonts w:ascii="Times New Roman" w:hAnsi="Times New Roman"/>
          <w:sz w:val="18"/>
          <w:szCs w:val="18"/>
        </w:rPr>
        <w:t xml:space="preserve">, </w:t>
      </w:r>
      <w:r w:rsidR="003E36BC">
        <w:rPr>
          <w:rFonts w:ascii="Times New Roman" w:hAnsi="Times New Roman"/>
          <w:sz w:val="18"/>
          <w:szCs w:val="18"/>
        </w:rPr>
        <w:t>b</w:t>
      </w:r>
      <w:r w:rsidRPr="00403581">
        <w:rPr>
          <w:rFonts w:ascii="Times New Roman" w:hAnsi="Times New Roman"/>
          <w:sz w:val="18"/>
          <w:szCs w:val="18"/>
        </w:rPr>
        <w:t>iofuel</w:t>
      </w:r>
    </w:p>
    <w:p w:rsidR="00263F1A" w:rsidRPr="00403581" w:rsidRDefault="00263F1A" w:rsidP="00263F1A">
      <w:pPr>
        <w:autoSpaceDE w:val="0"/>
        <w:autoSpaceDN w:val="0"/>
        <w:adjustRightInd w:val="0"/>
        <w:spacing w:after="0" w:line="240" w:lineRule="auto"/>
        <w:jc w:val="center"/>
        <w:rPr>
          <w:rFonts w:ascii="Times New Roman" w:hAnsi="Times New Roman"/>
          <w:b/>
          <w:bCs/>
          <w:color w:val="000000"/>
          <w:sz w:val="18"/>
          <w:szCs w:val="18"/>
        </w:rPr>
      </w:pPr>
    </w:p>
    <w:p w:rsidR="00263F1A" w:rsidRPr="00BC2535" w:rsidRDefault="00263F1A" w:rsidP="00263F1A">
      <w:pPr>
        <w:autoSpaceDE w:val="0"/>
        <w:autoSpaceDN w:val="0"/>
        <w:adjustRightInd w:val="0"/>
        <w:spacing w:after="0"/>
        <w:jc w:val="center"/>
        <w:rPr>
          <w:rFonts w:ascii="Times New Roman" w:hAnsi="Times New Roman"/>
          <w:color w:val="000000"/>
          <w:sz w:val="18"/>
          <w:szCs w:val="18"/>
        </w:rPr>
      </w:pPr>
      <w:r w:rsidRPr="00BC2535">
        <w:rPr>
          <w:rFonts w:ascii="Times New Roman" w:hAnsi="Times New Roman"/>
          <w:b/>
          <w:bCs/>
          <w:color w:val="000000"/>
          <w:sz w:val="18"/>
          <w:szCs w:val="18"/>
        </w:rPr>
        <w:t>Abstrak</w:t>
      </w:r>
    </w:p>
    <w:p w:rsidR="00263F1A" w:rsidRPr="00403581" w:rsidRDefault="00263F1A" w:rsidP="00263F1A">
      <w:pPr>
        <w:autoSpaceDE w:val="0"/>
        <w:autoSpaceDN w:val="0"/>
        <w:adjustRightInd w:val="0"/>
        <w:spacing w:after="0" w:line="240" w:lineRule="auto"/>
        <w:jc w:val="both"/>
        <w:rPr>
          <w:rFonts w:ascii="Times New Roman" w:hAnsi="Times New Roman"/>
          <w:bCs/>
          <w:sz w:val="18"/>
          <w:szCs w:val="18"/>
        </w:rPr>
      </w:pPr>
      <w:r w:rsidRPr="00403581">
        <w:rPr>
          <w:rFonts w:ascii="Times New Roman" w:hAnsi="Times New Roman"/>
          <w:color w:val="000000"/>
          <w:sz w:val="18"/>
          <w:szCs w:val="18"/>
        </w:rPr>
        <w:t xml:space="preserve">Tujuan kajian ini dijalankan adalah untuk mengenalpasti ciri-ciri serta corak degradasi therma sekam padi dan pulpa kelapa bagi tujuan penghasilan minyak bio melalui proses pirolisis pantas. Komposisi unsur ditentukan dengan menggunakan penganalisa unsur manakala ciri-ciri therma dikaji menggunakan penganalisa thermogravimetrik (TGA). Proses degradasi therma dijalankan pada suhu bilik sehingga mencapai </w:t>
      </w:r>
      <w:r w:rsidRPr="00403581">
        <w:rPr>
          <w:rFonts w:ascii="Times New Roman" w:eastAsia="Calibri" w:hAnsi="Times New Roman"/>
          <w:sz w:val="18"/>
          <w:szCs w:val="18"/>
        </w:rPr>
        <w:t xml:space="preserve">700°C, dengan aliran gas nitrogen pada kadar </w:t>
      </w:r>
      <w:r w:rsidRPr="00403581">
        <w:rPr>
          <w:rFonts w:ascii="Times New Roman" w:eastAsia="Calibri" w:hAnsi="Times New Roman"/>
          <w:color w:val="000000"/>
          <w:sz w:val="18"/>
          <w:szCs w:val="18"/>
        </w:rPr>
        <w:t>150 ml/min. Dua pemboleh ubah telah dikenalpasti sebagai fokus kajian iaitu saiz partikel dan kadar pemanasan. Saiz partikel yang digunakan adalah dp</w:t>
      </w:r>
      <w:r w:rsidRPr="00403581">
        <w:rPr>
          <w:rFonts w:ascii="Times New Roman" w:eastAsia="Calibri" w:hAnsi="Times New Roman"/>
          <w:color w:val="000000"/>
          <w:sz w:val="18"/>
          <w:szCs w:val="18"/>
          <w:vertAlign w:val="subscript"/>
        </w:rPr>
        <w:t>1</w:t>
      </w:r>
      <w:r w:rsidRPr="00403581">
        <w:rPr>
          <w:rFonts w:ascii="Times New Roman" w:eastAsia="Calibri" w:hAnsi="Times New Roman"/>
          <w:color w:val="000000"/>
          <w:sz w:val="18"/>
          <w:szCs w:val="18"/>
        </w:rPr>
        <w:t xml:space="preserve"> &lt; 0.30 mm dan 0.30≤ dp</w:t>
      </w:r>
      <w:r w:rsidRPr="00403581">
        <w:rPr>
          <w:rFonts w:ascii="Times New Roman" w:eastAsia="Calibri" w:hAnsi="Times New Roman"/>
          <w:color w:val="000000"/>
          <w:sz w:val="18"/>
          <w:szCs w:val="18"/>
          <w:vertAlign w:val="subscript"/>
        </w:rPr>
        <w:t xml:space="preserve">2 </w:t>
      </w:r>
      <w:r w:rsidRPr="00403581">
        <w:rPr>
          <w:rFonts w:ascii="Times New Roman" w:eastAsia="Calibri" w:hAnsi="Times New Roman"/>
          <w:color w:val="000000"/>
          <w:sz w:val="18"/>
          <w:szCs w:val="18"/>
        </w:rPr>
        <w:t xml:space="preserve">&lt;0.50 mm manakala kadar pemanasan ditetapkan pada suhu 50°C/min dan 80°C/min. Hasil kajian mendapati bahawa saiz partikel yang lebih kecil menghasilkan kurang produk meruap sebanyak 2.11 - 3.59% apabila diproses pada suhu </w:t>
      </w:r>
      <w:r w:rsidRPr="00403581">
        <w:rPr>
          <w:rFonts w:ascii="Times New Roman" w:hAnsi="Times New Roman"/>
          <w:bCs/>
          <w:sz w:val="18"/>
          <w:szCs w:val="18"/>
        </w:rPr>
        <w:t>50</w:t>
      </w:r>
      <w:r w:rsidRPr="00403581">
        <w:rPr>
          <w:rFonts w:ascii="Times New Roman" w:eastAsia="Calibri" w:hAnsi="Times New Roman"/>
          <w:sz w:val="18"/>
          <w:szCs w:val="18"/>
        </w:rPr>
        <w:t xml:space="preserve">°C/min. Kadar pemanasan yang tinggi menyebabkan kedua-dua sampel lupus pada jangka suhu yang lebih cepat iaitu sebanyak </w:t>
      </w:r>
      <w:r w:rsidRPr="00403581">
        <w:rPr>
          <w:rFonts w:ascii="Times New Roman" w:hAnsi="Times New Roman"/>
          <w:bCs/>
          <w:sz w:val="18"/>
          <w:szCs w:val="18"/>
        </w:rPr>
        <w:t>25</w:t>
      </w:r>
      <w:r w:rsidRPr="00403581">
        <w:rPr>
          <w:rFonts w:ascii="Times New Roman" w:eastAsia="Calibri" w:hAnsi="Times New Roman"/>
          <w:sz w:val="18"/>
          <w:szCs w:val="18"/>
        </w:rPr>
        <w:t>°C. Kadar degradasi maxima bagi sekam padi turut meningkat sebanyak 0</w:t>
      </w:r>
      <w:r w:rsidRPr="00403581">
        <w:rPr>
          <w:rFonts w:ascii="Times New Roman" w:hAnsi="Times New Roman"/>
          <w:bCs/>
          <w:sz w:val="18"/>
          <w:szCs w:val="18"/>
        </w:rPr>
        <w:t>.01 mg/s pada dp</w:t>
      </w:r>
      <w:r w:rsidRPr="00403581">
        <w:rPr>
          <w:rFonts w:ascii="Times New Roman" w:hAnsi="Times New Roman"/>
          <w:bCs/>
          <w:sz w:val="18"/>
          <w:szCs w:val="18"/>
          <w:vertAlign w:val="subscript"/>
        </w:rPr>
        <w:t>1</w:t>
      </w:r>
      <w:r w:rsidRPr="00403581">
        <w:rPr>
          <w:rFonts w:ascii="Times New Roman" w:eastAsia="Calibri" w:hAnsi="Times New Roman"/>
          <w:sz w:val="18"/>
          <w:szCs w:val="18"/>
        </w:rPr>
        <w:t xml:space="preserve"> dan 0.02 mg/s pada </w:t>
      </w:r>
      <w:r w:rsidRPr="00403581">
        <w:rPr>
          <w:rFonts w:ascii="Times New Roman" w:hAnsi="Times New Roman"/>
          <w:bCs/>
          <w:sz w:val="18"/>
          <w:szCs w:val="18"/>
        </w:rPr>
        <w:t>dp</w:t>
      </w:r>
      <w:r w:rsidRPr="00403581">
        <w:rPr>
          <w:rFonts w:ascii="Times New Roman" w:hAnsi="Times New Roman"/>
          <w:bCs/>
          <w:sz w:val="18"/>
          <w:szCs w:val="18"/>
          <w:vertAlign w:val="subscript"/>
        </w:rPr>
        <w:t>2</w:t>
      </w:r>
      <w:r w:rsidRPr="00403581">
        <w:rPr>
          <w:rFonts w:ascii="Times New Roman" w:hAnsi="Times New Roman"/>
          <w:bCs/>
          <w:sz w:val="18"/>
          <w:szCs w:val="18"/>
        </w:rPr>
        <w:t>. Pulpa kelapa tidak mencatat sebarang perubahan yang signifikan pada dp</w:t>
      </w:r>
      <w:r w:rsidRPr="00403581">
        <w:rPr>
          <w:rFonts w:ascii="Times New Roman" w:hAnsi="Times New Roman"/>
          <w:bCs/>
          <w:sz w:val="18"/>
          <w:szCs w:val="18"/>
          <w:vertAlign w:val="subscript"/>
        </w:rPr>
        <w:t xml:space="preserve">1 </w:t>
      </w:r>
      <w:r w:rsidRPr="00403581">
        <w:rPr>
          <w:rFonts w:ascii="Times New Roman" w:hAnsi="Times New Roman"/>
          <w:sz w:val="18"/>
          <w:szCs w:val="18"/>
        </w:rPr>
        <w:t xml:space="preserve">tetapi pada </w:t>
      </w:r>
      <w:r w:rsidRPr="00403581">
        <w:rPr>
          <w:rFonts w:ascii="Times New Roman" w:hAnsi="Times New Roman"/>
          <w:bCs/>
          <w:sz w:val="18"/>
          <w:szCs w:val="18"/>
        </w:rPr>
        <w:t>dp</w:t>
      </w:r>
      <w:r w:rsidRPr="00403581">
        <w:rPr>
          <w:rFonts w:ascii="Times New Roman" w:hAnsi="Times New Roman"/>
          <w:bCs/>
          <w:sz w:val="18"/>
          <w:szCs w:val="18"/>
          <w:vertAlign w:val="subscript"/>
        </w:rPr>
        <w:t xml:space="preserve">2  </w:t>
      </w:r>
      <w:r w:rsidRPr="00403581">
        <w:rPr>
          <w:rFonts w:ascii="Times New Roman" w:hAnsi="Times New Roman"/>
          <w:bCs/>
          <w:sz w:val="18"/>
          <w:szCs w:val="18"/>
        </w:rPr>
        <w:t>peningkatan sebanyak 0.02 mg/s telah direkodkan.</w:t>
      </w: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p>
    <w:p w:rsidR="00263F1A" w:rsidRPr="00403581" w:rsidRDefault="00263F1A" w:rsidP="00263F1A">
      <w:pPr>
        <w:autoSpaceDE w:val="0"/>
        <w:autoSpaceDN w:val="0"/>
        <w:adjustRightInd w:val="0"/>
        <w:spacing w:after="0" w:line="240" w:lineRule="auto"/>
        <w:jc w:val="both"/>
        <w:rPr>
          <w:rFonts w:ascii="Times New Roman" w:hAnsi="Times New Roman"/>
          <w:b/>
          <w:bCs/>
          <w:color w:val="000000"/>
          <w:sz w:val="18"/>
          <w:szCs w:val="18"/>
        </w:rPr>
      </w:pPr>
      <w:r w:rsidRPr="00BC2535">
        <w:rPr>
          <w:rFonts w:ascii="Times New Roman" w:hAnsi="Times New Roman"/>
          <w:b/>
          <w:bCs/>
          <w:color w:val="000000"/>
          <w:sz w:val="18"/>
          <w:szCs w:val="18"/>
        </w:rPr>
        <w:t xml:space="preserve">Kata kunci: </w:t>
      </w:r>
      <w:r w:rsidR="003E36BC">
        <w:rPr>
          <w:rFonts w:ascii="Times New Roman" w:hAnsi="Times New Roman"/>
          <w:bCs/>
          <w:color w:val="000000"/>
          <w:sz w:val="18"/>
          <w:szCs w:val="18"/>
        </w:rPr>
        <w:t>sekam padi, p</w:t>
      </w:r>
      <w:r>
        <w:rPr>
          <w:rFonts w:ascii="Times New Roman" w:hAnsi="Times New Roman"/>
          <w:bCs/>
          <w:color w:val="000000"/>
          <w:sz w:val="18"/>
          <w:szCs w:val="18"/>
        </w:rPr>
        <w:t>ulpa kelapa,</w:t>
      </w:r>
      <w:r w:rsidR="003E36BC">
        <w:rPr>
          <w:rFonts w:ascii="Times New Roman" w:hAnsi="Times New Roman"/>
          <w:bCs/>
          <w:color w:val="000000"/>
          <w:sz w:val="18"/>
          <w:szCs w:val="18"/>
        </w:rPr>
        <w:t xml:space="preserve"> a</w:t>
      </w:r>
      <w:r w:rsidRPr="00403581">
        <w:rPr>
          <w:rFonts w:ascii="Times New Roman" w:hAnsi="Times New Roman"/>
          <w:bCs/>
          <w:color w:val="000000"/>
          <w:sz w:val="18"/>
          <w:szCs w:val="18"/>
        </w:rPr>
        <w:t>nalisa th</w:t>
      </w:r>
      <w:r>
        <w:rPr>
          <w:rFonts w:ascii="Times New Roman" w:hAnsi="Times New Roman"/>
          <w:bCs/>
          <w:color w:val="000000"/>
          <w:sz w:val="18"/>
          <w:szCs w:val="18"/>
        </w:rPr>
        <w:t>ermogravimetrik,</w:t>
      </w:r>
      <w:r w:rsidR="003E36BC">
        <w:rPr>
          <w:rFonts w:ascii="Times New Roman" w:hAnsi="Times New Roman"/>
          <w:bCs/>
          <w:color w:val="000000"/>
          <w:sz w:val="18"/>
          <w:szCs w:val="18"/>
        </w:rPr>
        <w:t xml:space="preserve"> piroli</w:t>
      </w:r>
      <w:r w:rsidRPr="00403581">
        <w:rPr>
          <w:rFonts w:ascii="Times New Roman" w:hAnsi="Times New Roman"/>
          <w:bCs/>
          <w:color w:val="000000"/>
          <w:sz w:val="18"/>
          <w:szCs w:val="18"/>
        </w:rPr>
        <w:t>sis pantas</w:t>
      </w:r>
      <w:r>
        <w:rPr>
          <w:rFonts w:ascii="Times New Roman" w:hAnsi="Times New Roman"/>
          <w:bCs/>
          <w:color w:val="000000"/>
          <w:sz w:val="18"/>
          <w:szCs w:val="18"/>
        </w:rPr>
        <w:t>,</w:t>
      </w:r>
      <w:r w:rsidR="003E36BC">
        <w:rPr>
          <w:rFonts w:ascii="Times New Roman" w:hAnsi="Times New Roman"/>
          <w:bCs/>
          <w:color w:val="000000"/>
          <w:sz w:val="18"/>
          <w:szCs w:val="18"/>
        </w:rPr>
        <w:t xml:space="preserve"> m</w:t>
      </w:r>
      <w:bookmarkStart w:id="0" w:name="_GoBack"/>
      <w:bookmarkEnd w:id="0"/>
      <w:r w:rsidRPr="00403581">
        <w:rPr>
          <w:rFonts w:ascii="Times New Roman" w:hAnsi="Times New Roman"/>
          <w:bCs/>
          <w:color w:val="000000"/>
          <w:sz w:val="18"/>
          <w:szCs w:val="18"/>
        </w:rPr>
        <w:t>inyak bio</w:t>
      </w:r>
    </w:p>
    <w:p w:rsidR="006768E9" w:rsidRPr="00263F1A"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263F1A" w:rsidRPr="00A46D48" w:rsidRDefault="00263F1A" w:rsidP="00263F1A">
      <w:pPr>
        <w:pStyle w:val="TTPSectionHeading"/>
        <w:spacing w:before="0" w:after="0"/>
        <w:rPr>
          <w:b w:val="0"/>
          <w:bCs w:val="0"/>
          <w:sz w:val="20"/>
          <w:szCs w:val="20"/>
        </w:rPr>
      </w:pPr>
      <w:r w:rsidRPr="00A46D48">
        <w:rPr>
          <w:b w:val="0"/>
          <w:sz w:val="20"/>
          <w:szCs w:val="20"/>
        </w:rPr>
        <w:t xml:space="preserve">Biomass is defined as the products fraction of biologically degradable waste from agriculture which includes animal and vegetable materials, forestry and biologically degradable fraction of industrial and household waste [1]. In Malaysia, the amount of biomass generated from agricultural waste is </w:t>
      </w:r>
      <w:r w:rsidRPr="00A46D48">
        <w:rPr>
          <w:b w:val="0"/>
          <w:sz w:val="20"/>
          <w:szCs w:val="20"/>
          <w:lang w:val="en-GB"/>
        </w:rPr>
        <w:t>72, 962 kton/year and holds an annual potential electricity generation of 5863 GWh [2</w:t>
      </w:r>
      <w:r w:rsidRPr="00A46D48">
        <w:rPr>
          <w:sz w:val="20"/>
          <w:szCs w:val="20"/>
          <w:lang w:val="en-GB"/>
        </w:rPr>
        <w:t>]</w:t>
      </w:r>
      <w:r w:rsidRPr="00A46D48">
        <w:rPr>
          <w:b w:val="0"/>
          <w:color w:val="000000"/>
          <w:sz w:val="20"/>
          <w:szCs w:val="20"/>
        </w:rPr>
        <w:t xml:space="preserve">. The technology of converting biomass into energy is a right option </w:t>
      </w:r>
      <w:r w:rsidRPr="00A46D48">
        <w:rPr>
          <w:b w:val="0"/>
          <w:color w:val="000000"/>
          <w:sz w:val="20"/>
          <w:szCs w:val="20"/>
        </w:rPr>
        <w:lastRenderedPageBreak/>
        <w:t>since it is a renewable type of energy source that could dramatically improve the environment, economy and energy security. Fast p</w:t>
      </w:r>
      <w:r w:rsidRPr="00A46D48">
        <w:rPr>
          <w:b w:val="0"/>
          <w:sz w:val="20"/>
          <w:szCs w:val="20"/>
        </w:rPr>
        <w:t xml:space="preserve">yrolysis is one of the most promising technologies of biomass utilization, and it is also the first stage of biomass thermochemical conversion. Under this process, biomass is converted into liquid oil, char and gases. Up to 50-75% of biomass can be converted into liquid oils, which can be directly used in combustion application or upgraded for high-end chemical recovery. In the absence of oxygen, the yields and compositions of pyrolysis products depends on the type of biomass, operating temperature, heating rates, type of reactors, particles size and co-reactant </w:t>
      </w:r>
      <w:r w:rsidRPr="00A46D48">
        <w:rPr>
          <w:b w:val="0"/>
          <w:color w:val="000000"/>
          <w:sz w:val="20"/>
          <w:szCs w:val="20"/>
        </w:rPr>
        <w:t>[3].</w:t>
      </w:r>
      <w:r w:rsidRPr="00A46D48">
        <w:rPr>
          <w:b w:val="0"/>
          <w:sz w:val="20"/>
          <w:szCs w:val="20"/>
        </w:rPr>
        <w:t xml:space="preserve"> The objective of this study is to investigate the </w:t>
      </w:r>
      <w:r w:rsidRPr="00A46D48">
        <w:rPr>
          <w:b w:val="0"/>
          <w:bCs w:val="0"/>
          <w:sz w:val="20"/>
          <w:szCs w:val="20"/>
        </w:rPr>
        <w:t>characteristic and thermal degradation behavior</w:t>
      </w:r>
      <w:r w:rsidRPr="00A46D48">
        <w:rPr>
          <w:b w:val="0"/>
          <w:sz w:val="20"/>
          <w:szCs w:val="20"/>
        </w:rPr>
        <w:t xml:space="preserve"> of </w:t>
      </w:r>
      <w:r w:rsidRPr="00A46D48">
        <w:rPr>
          <w:b w:val="0"/>
          <w:bCs w:val="0"/>
          <w:sz w:val="20"/>
          <w:szCs w:val="20"/>
        </w:rPr>
        <w:t xml:space="preserve">rice husk and coconut pulp </w:t>
      </w:r>
      <w:r w:rsidRPr="00A46D48">
        <w:rPr>
          <w:b w:val="0"/>
          <w:sz w:val="20"/>
          <w:szCs w:val="20"/>
        </w:rPr>
        <w:t>by</w:t>
      </w:r>
      <w:r w:rsidRPr="00A46D48">
        <w:rPr>
          <w:b w:val="0"/>
          <w:bCs w:val="0"/>
          <w:sz w:val="20"/>
          <w:szCs w:val="20"/>
        </w:rPr>
        <w:t xml:space="preserve"> using</w:t>
      </w:r>
      <w:r w:rsidRPr="00A46D48">
        <w:rPr>
          <w:b w:val="0"/>
          <w:sz w:val="20"/>
          <w:szCs w:val="20"/>
        </w:rPr>
        <w:t xml:space="preserve"> thermogravimetric analysis</w:t>
      </w:r>
      <w:r w:rsidRPr="00A46D48">
        <w:rPr>
          <w:b w:val="0"/>
          <w:bCs w:val="0"/>
          <w:sz w:val="20"/>
          <w:szCs w:val="20"/>
        </w:rPr>
        <w:t xml:space="preserve"> (TGA). This study </w:t>
      </w:r>
      <w:r w:rsidRPr="00A46D48">
        <w:rPr>
          <w:b w:val="0"/>
          <w:sz w:val="20"/>
          <w:szCs w:val="20"/>
        </w:rPr>
        <w:t>will provide</w:t>
      </w:r>
      <w:r w:rsidRPr="00A46D48">
        <w:rPr>
          <w:b w:val="0"/>
          <w:bCs w:val="0"/>
          <w:sz w:val="20"/>
          <w:szCs w:val="20"/>
        </w:rPr>
        <w:t xml:space="preserve"> important information </w:t>
      </w:r>
      <w:r w:rsidRPr="00A46D48">
        <w:rPr>
          <w:b w:val="0"/>
          <w:sz w:val="20"/>
          <w:szCs w:val="20"/>
        </w:rPr>
        <w:t>for potent</w:t>
      </w:r>
      <w:r w:rsidRPr="00A46D48">
        <w:rPr>
          <w:b w:val="0"/>
          <w:bCs w:val="0"/>
          <w:sz w:val="20"/>
          <w:szCs w:val="20"/>
        </w:rPr>
        <w:t xml:space="preserve">ial biofuels production from these two types of biomass. </w:t>
      </w:r>
    </w:p>
    <w:p w:rsidR="006768E9" w:rsidRPr="00802DCC" w:rsidRDefault="006768E9"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263F1A" w:rsidRPr="00480EDA" w:rsidRDefault="00263F1A" w:rsidP="00263F1A">
      <w:pPr>
        <w:pStyle w:val="Els-body-text"/>
        <w:spacing w:line="240" w:lineRule="auto"/>
        <w:ind w:firstLine="0"/>
        <w:rPr>
          <w:bCs/>
        </w:rPr>
      </w:pPr>
      <w:r>
        <w:rPr>
          <w:b/>
          <w:iCs/>
        </w:rPr>
        <w:t>Materials P</w:t>
      </w:r>
      <w:r w:rsidRPr="00480EDA">
        <w:rPr>
          <w:b/>
          <w:iCs/>
        </w:rPr>
        <w:t xml:space="preserve">reparation and </w:t>
      </w:r>
      <w:r>
        <w:rPr>
          <w:b/>
          <w:iCs/>
        </w:rPr>
        <w:t>C</w:t>
      </w:r>
      <w:r w:rsidRPr="00480EDA">
        <w:rPr>
          <w:b/>
          <w:iCs/>
        </w:rPr>
        <w:t>haracterization</w:t>
      </w:r>
      <w:r w:rsidRPr="00480EDA">
        <w:rPr>
          <w:bCs/>
        </w:rPr>
        <w:t xml:space="preserve"> </w:t>
      </w:r>
    </w:p>
    <w:p w:rsidR="00263F1A" w:rsidRDefault="00263F1A" w:rsidP="00263F1A">
      <w:pPr>
        <w:pStyle w:val="Els-body-text"/>
        <w:spacing w:line="240" w:lineRule="auto"/>
        <w:ind w:firstLine="0"/>
        <w:rPr>
          <w:bCs/>
        </w:rPr>
      </w:pPr>
      <w:r w:rsidRPr="00480EDA">
        <w:rPr>
          <w:bCs/>
        </w:rPr>
        <w:t xml:space="preserve">Rice husk was obtained from Bernas factory in Sabak Bernam, Selangor while coconut pulp was obtained from local coconut milk producer in Johor Bahru, Johor. All feedstock were first milled and sieved into smaller particle size of </w:t>
      </w:r>
      <w:r w:rsidRPr="00480EDA">
        <w:rPr>
          <w:color w:val="000000"/>
        </w:rPr>
        <w:t>&lt;</w:t>
      </w:r>
      <w:r w:rsidRPr="00480EDA">
        <w:rPr>
          <w:bCs/>
        </w:rPr>
        <w:t xml:space="preserve">0.50 mm. The characterizations of rice husk and coconut pulp were performed in order to obtain its ultimate, proximate and high heating value (HHV). The ultimate analysis was carried by out using elemental analyzer </w:t>
      </w:r>
      <w:r w:rsidRPr="00480EDA">
        <w:t>(The PerkinElmer 2400 Series II)</w:t>
      </w:r>
      <w:r w:rsidRPr="00480EDA">
        <w:rPr>
          <w:bCs/>
        </w:rPr>
        <w:t xml:space="preserve"> to determine the amount of carbon, hydrogen, nitrogen and sulphur in the feedstock. The proximate analysis was conducted by using thermogravimetry analyzers (TGA) (TA Instruments Q500) to analyze volatile matter (VM), fixed carbon (FC), moisture content and ash content in all samples. The HHV of rice husk and coconut pulp were determined by using bomb ca</w:t>
      </w:r>
      <w:r>
        <w:rPr>
          <w:bCs/>
        </w:rPr>
        <w:t>lorimeter (Suprashesh ABC-123).</w:t>
      </w:r>
    </w:p>
    <w:p w:rsidR="00263F1A" w:rsidRDefault="00263F1A" w:rsidP="00263F1A">
      <w:pPr>
        <w:pStyle w:val="Els-body-text"/>
        <w:spacing w:line="240" w:lineRule="auto"/>
        <w:ind w:firstLine="0"/>
        <w:rPr>
          <w:bCs/>
        </w:rPr>
      </w:pPr>
    </w:p>
    <w:p w:rsidR="00263F1A" w:rsidRPr="00A46D48" w:rsidRDefault="00263F1A" w:rsidP="00263F1A">
      <w:pPr>
        <w:pStyle w:val="Els-body-text"/>
        <w:spacing w:line="240" w:lineRule="auto"/>
        <w:ind w:firstLine="0"/>
        <w:rPr>
          <w:bCs/>
        </w:rPr>
      </w:pPr>
      <w:r w:rsidRPr="00480EDA">
        <w:rPr>
          <w:b/>
          <w:iCs/>
        </w:rPr>
        <w:t xml:space="preserve">Experimental </w:t>
      </w:r>
      <w:r>
        <w:rPr>
          <w:b/>
          <w:iCs/>
        </w:rPr>
        <w:t>P</w:t>
      </w:r>
      <w:r w:rsidRPr="00480EDA">
        <w:rPr>
          <w:b/>
          <w:iCs/>
        </w:rPr>
        <w:t>rocedures</w:t>
      </w:r>
    </w:p>
    <w:p w:rsidR="00263F1A" w:rsidRPr="00480EDA" w:rsidRDefault="00263F1A" w:rsidP="00263F1A">
      <w:pPr>
        <w:spacing w:after="0" w:line="240" w:lineRule="auto"/>
        <w:jc w:val="both"/>
        <w:rPr>
          <w:rFonts w:ascii="Times New Roman" w:hAnsi="Times New Roman"/>
          <w:color w:val="000000"/>
          <w:sz w:val="20"/>
          <w:szCs w:val="20"/>
        </w:rPr>
      </w:pPr>
      <w:r w:rsidRPr="00480EDA">
        <w:rPr>
          <w:rFonts w:ascii="Times New Roman" w:hAnsi="Times New Roman"/>
          <w:color w:val="000000"/>
          <w:sz w:val="20"/>
          <w:szCs w:val="20"/>
        </w:rPr>
        <w:t>TGA was carried out in the presence of nitrogen (N</w:t>
      </w:r>
      <w:r w:rsidRPr="00480EDA">
        <w:rPr>
          <w:rFonts w:ascii="Times New Roman" w:hAnsi="Times New Roman"/>
          <w:color w:val="000000"/>
          <w:sz w:val="20"/>
          <w:szCs w:val="20"/>
          <w:vertAlign w:val="subscript"/>
        </w:rPr>
        <w:t>2</w:t>
      </w:r>
      <w:r w:rsidRPr="00480EDA">
        <w:rPr>
          <w:rFonts w:ascii="Times New Roman" w:hAnsi="Times New Roman"/>
          <w:color w:val="000000"/>
          <w:sz w:val="20"/>
          <w:szCs w:val="20"/>
        </w:rPr>
        <w:t>) at the flowing rate of 150 ml/min. Rice husk and coconut pulp samples between 0.5 and 1.0 g were pyrolyzed to a maximum temperature of 700°C. The samples were first heated to 110°C and kept at that temperature for 30 minutes to remove any moisture. After that, the samples were heated at the rate of 50°C/min and 80°C/min individually until it reaches the maximum temperature. The experiment was repeated for each type of biomass at different particle size as follows: dp</w:t>
      </w:r>
      <w:r w:rsidRPr="00480EDA">
        <w:rPr>
          <w:rFonts w:ascii="Times New Roman" w:hAnsi="Times New Roman"/>
          <w:color w:val="000000"/>
          <w:sz w:val="20"/>
          <w:szCs w:val="20"/>
          <w:vertAlign w:val="subscript"/>
        </w:rPr>
        <w:t>1</w:t>
      </w:r>
      <w:r w:rsidRPr="00480EDA">
        <w:rPr>
          <w:rFonts w:ascii="Times New Roman" w:hAnsi="Times New Roman"/>
          <w:color w:val="000000"/>
          <w:sz w:val="20"/>
          <w:szCs w:val="20"/>
        </w:rPr>
        <w:t xml:space="preserve"> &lt; 0.30 mm and 0.30≤ dp</w:t>
      </w:r>
      <w:r w:rsidRPr="00480EDA">
        <w:rPr>
          <w:rFonts w:ascii="Times New Roman" w:hAnsi="Times New Roman"/>
          <w:color w:val="000000"/>
          <w:sz w:val="20"/>
          <w:szCs w:val="20"/>
          <w:vertAlign w:val="subscript"/>
        </w:rPr>
        <w:t>2</w:t>
      </w:r>
      <w:r w:rsidRPr="00480EDA">
        <w:rPr>
          <w:rFonts w:ascii="Times New Roman" w:hAnsi="Times New Roman"/>
          <w:color w:val="000000"/>
          <w:sz w:val="20"/>
          <w:szCs w:val="20"/>
        </w:rPr>
        <w:t xml:space="preserve"> &lt; 0.50 mm.</w:t>
      </w:r>
    </w:p>
    <w:p w:rsidR="006768E9" w:rsidRPr="00802DCC" w:rsidRDefault="006768E9"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263F1A" w:rsidRDefault="00263F1A" w:rsidP="00263F1A">
      <w:pPr>
        <w:pStyle w:val="TTPParagraphothers"/>
        <w:ind w:firstLine="0"/>
        <w:rPr>
          <w:b/>
          <w:sz w:val="20"/>
          <w:szCs w:val="20"/>
        </w:rPr>
      </w:pPr>
      <w:r w:rsidRPr="00480EDA">
        <w:rPr>
          <w:b/>
          <w:sz w:val="20"/>
          <w:szCs w:val="20"/>
        </w:rPr>
        <w:t xml:space="preserve">Properties and Composition of </w:t>
      </w:r>
      <w:r>
        <w:rPr>
          <w:b/>
          <w:sz w:val="20"/>
          <w:szCs w:val="20"/>
        </w:rPr>
        <w:t>Feedstock</w:t>
      </w:r>
    </w:p>
    <w:p w:rsidR="00263F1A" w:rsidRPr="00480EDA" w:rsidRDefault="00263F1A" w:rsidP="00263F1A">
      <w:pPr>
        <w:pStyle w:val="TTPParagraphothers"/>
        <w:ind w:firstLine="0"/>
        <w:rPr>
          <w:sz w:val="20"/>
          <w:szCs w:val="20"/>
        </w:rPr>
      </w:pPr>
      <w:r w:rsidRPr="00480EDA">
        <w:rPr>
          <w:rFonts w:eastAsia="Calibri"/>
          <w:sz w:val="20"/>
          <w:szCs w:val="20"/>
        </w:rPr>
        <w:t>From the analysis</w:t>
      </w:r>
      <w:r>
        <w:rPr>
          <w:rFonts w:eastAsia="Calibri"/>
          <w:sz w:val="20"/>
          <w:szCs w:val="20"/>
        </w:rPr>
        <w:t xml:space="preserve"> conducted</w:t>
      </w:r>
      <w:r w:rsidRPr="00480EDA">
        <w:rPr>
          <w:rFonts w:eastAsia="Calibri"/>
          <w:sz w:val="20"/>
          <w:szCs w:val="20"/>
        </w:rPr>
        <w:t xml:space="preserve">, moisture contents for both types of biomass vary with 2.82%. Higher moisture content decreases the heating value of the coconut pulp, in this case by 0.88% because of some energy were needed to vaporize the moisture at the beginning of conversion process [4]. Rice husk contains high amount of ash due to the presence of silica that can constitute up to 90-97% in the final residue [5]. Coconut pulp contains higher volatile matter and fixed carbon content compared to rice husk by 5.22% and 7.37%, respectively. The elemental properties for both samples do not differ much as been reported. In general, coconut pulp contains higher amount of carbon and hydrogen but lower nitrogen and sulphur content. </w:t>
      </w:r>
      <w:r w:rsidRPr="00480EDA">
        <w:rPr>
          <w:sz w:val="20"/>
          <w:szCs w:val="20"/>
        </w:rPr>
        <w:t xml:space="preserve">The properties of rice husk and coconut pulp used in this </w:t>
      </w:r>
      <w:r>
        <w:rPr>
          <w:sz w:val="20"/>
          <w:szCs w:val="20"/>
        </w:rPr>
        <w:t>study are summarized in Table 1.</w:t>
      </w:r>
    </w:p>
    <w:p w:rsidR="00263F1A" w:rsidRDefault="00263F1A" w:rsidP="00263F1A">
      <w:pPr>
        <w:spacing w:after="0"/>
        <w:jc w:val="both"/>
        <w:rPr>
          <w:rFonts w:ascii="Times New Roman" w:hAnsi="Times New Roman"/>
          <w:sz w:val="20"/>
          <w:szCs w:val="20"/>
        </w:rPr>
      </w:pPr>
    </w:p>
    <w:p w:rsidR="00263F1A" w:rsidRPr="00480EDA" w:rsidRDefault="00263F1A" w:rsidP="00263F1A">
      <w:pPr>
        <w:pStyle w:val="TTPParagraphothers"/>
        <w:ind w:firstLine="0"/>
        <w:rPr>
          <w:rFonts w:eastAsia="Calibri"/>
          <w:sz w:val="20"/>
          <w:szCs w:val="20"/>
        </w:rPr>
      </w:pPr>
      <w:r w:rsidRPr="00480EDA">
        <w:rPr>
          <w:rFonts w:eastAsia="Calibri"/>
          <w:sz w:val="20"/>
          <w:szCs w:val="20"/>
        </w:rPr>
        <w:t>In general, the pyrolysis of any biomass can be divided into three phases which are drying and evaporation of light components (phase I), devolatilization of hemicellulose and cellulose (phase II) and decomposition of lignin (phase III). Phase I occurs at temperature below 150°C, phase II starts from 150</w:t>
      </w:r>
      <w:r w:rsidRPr="00480EDA">
        <w:rPr>
          <w:rFonts w:eastAsia="Calibri"/>
          <w:sz w:val="20"/>
          <w:szCs w:val="20"/>
          <w:vertAlign w:val="superscript"/>
        </w:rPr>
        <w:t>o</w:t>
      </w:r>
      <w:r w:rsidRPr="00480EDA">
        <w:rPr>
          <w:rFonts w:eastAsia="Calibri"/>
          <w:sz w:val="20"/>
          <w:szCs w:val="20"/>
        </w:rPr>
        <w:t>C to 450°C and finally phase III is attained at temperature above 450°C. From Fig. 1 (a), it was observed that the amount of residue left for dp</w:t>
      </w:r>
      <w:r w:rsidRPr="00480EDA">
        <w:rPr>
          <w:rFonts w:eastAsia="Calibri"/>
          <w:sz w:val="20"/>
          <w:szCs w:val="20"/>
          <w:vertAlign w:val="subscript"/>
        </w:rPr>
        <w:t>1</w:t>
      </w:r>
      <w:r w:rsidRPr="00480EDA">
        <w:rPr>
          <w:rFonts w:eastAsia="Calibri"/>
          <w:sz w:val="20"/>
          <w:szCs w:val="20"/>
        </w:rPr>
        <w:t xml:space="preserve"> at higher heating rate (80°C/min) are 2.43% and 3.01% lower for rice husk and coconut pulp, respectively. When bigger particle size dp</w:t>
      </w:r>
      <w:r w:rsidRPr="00480EDA">
        <w:rPr>
          <w:rFonts w:eastAsia="Calibri"/>
          <w:sz w:val="20"/>
          <w:szCs w:val="20"/>
          <w:vertAlign w:val="subscript"/>
        </w:rPr>
        <w:t xml:space="preserve">2 </w:t>
      </w:r>
      <w:r w:rsidRPr="00480EDA">
        <w:rPr>
          <w:rFonts w:eastAsia="Calibri"/>
          <w:sz w:val="20"/>
          <w:szCs w:val="20"/>
        </w:rPr>
        <w:t xml:space="preserve">is used however, the residue at higher heating rates is 1.99% and 1.18% more for rice husk and coconut pulp, respectively (see Fig.2 (a)). It is well agreed in the literature that larger particle sizes yields more residue because poor heat transfer to the inner surfaces leads to a low average particles temperature [6,7]. However, in this study it was shown that particle size does not provide a significant effect on thermal degradation of both rice husk and coconut pulp. </w:t>
      </w: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Default="00263F1A" w:rsidP="00263F1A">
      <w:pPr>
        <w:spacing w:after="0"/>
        <w:jc w:val="both"/>
        <w:rPr>
          <w:rFonts w:ascii="Times New Roman" w:hAnsi="Times New Roman"/>
          <w:sz w:val="20"/>
          <w:szCs w:val="20"/>
        </w:rPr>
      </w:pPr>
    </w:p>
    <w:p w:rsidR="00263F1A" w:rsidRPr="00480EDA" w:rsidRDefault="00263F1A" w:rsidP="00263F1A">
      <w:pPr>
        <w:spacing w:after="120" w:line="240" w:lineRule="auto"/>
        <w:ind w:firstLine="706"/>
        <w:jc w:val="center"/>
        <w:rPr>
          <w:rFonts w:ascii="Times New Roman" w:hAnsi="Times New Roman"/>
          <w:sz w:val="20"/>
          <w:szCs w:val="20"/>
        </w:rPr>
      </w:pPr>
      <w:r w:rsidRPr="00480EDA">
        <w:rPr>
          <w:rFonts w:ascii="Times New Roman" w:hAnsi="Times New Roman"/>
          <w:sz w:val="20"/>
          <w:szCs w:val="20"/>
        </w:rPr>
        <w:lastRenderedPageBreak/>
        <w:t>Table 1</w:t>
      </w:r>
      <w:r>
        <w:rPr>
          <w:rFonts w:ascii="Times New Roman" w:hAnsi="Times New Roman"/>
          <w:sz w:val="20"/>
          <w:szCs w:val="20"/>
        </w:rPr>
        <w:t xml:space="preserve">. </w:t>
      </w:r>
      <w:r w:rsidRPr="00480EDA">
        <w:rPr>
          <w:rFonts w:ascii="Times New Roman" w:hAnsi="Times New Roman"/>
          <w:sz w:val="20"/>
          <w:szCs w:val="20"/>
        </w:rPr>
        <w:t>Properties of rice husk and coconut pulp</w:t>
      </w:r>
    </w:p>
    <w:tbl>
      <w:tblPr>
        <w:tblStyle w:val="LightShading-Accent11"/>
        <w:tblW w:w="4952" w:type="pct"/>
        <w:jc w:val="center"/>
        <w:tblLook w:val="0660" w:firstRow="1" w:lastRow="1" w:firstColumn="0" w:lastColumn="0" w:noHBand="1" w:noVBand="1"/>
      </w:tblPr>
      <w:tblGrid>
        <w:gridCol w:w="3348"/>
        <w:gridCol w:w="2405"/>
        <w:gridCol w:w="187"/>
        <w:gridCol w:w="1571"/>
        <w:gridCol w:w="185"/>
        <w:gridCol w:w="1759"/>
      </w:tblGrid>
      <w:tr w:rsidR="00263F1A" w:rsidRPr="00BC2535" w:rsidTr="00263F1A">
        <w:trPr>
          <w:cnfStyle w:val="100000000000" w:firstRow="1" w:lastRow="0" w:firstColumn="0" w:lastColumn="0" w:oddVBand="0" w:evenVBand="0" w:oddHBand="0" w:evenHBand="0" w:firstRowFirstColumn="0" w:firstRowLastColumn="0" w:lastRowFirstColumn="0" w:lastRowLastColumn="0"/>
          <w:jc w:val="center"/>
        </w:trPr>
        <w:tc>
          <w:tcPr>
            <w:tcW w:w="1770" w:type="pct"/>
            <w:tcBorders>
              <w:top w:val="single" w:sz="4" w:space="0" w:color="auto"/>
              <w:bottom w:val="single" w:sz="4" w:space="0" w:color="auto"/>
            </w:tcBorders>
            <w:noWrap/>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Analysis</w:t>
            </w:r>
          </w:p>
        </w:tc>
        <w:tc>
          <w:tcPr>
            <w:tcW w:w="1272" w:type="pct"/>
            <w:tcBorders>
              <w:top w:val="single" w:sz="4" w:space="0" w:color="auto"/>
              <w:bottom w:val="single" w:sz="4" w:space="0" w:color="auto"/>
            </w:tcBorders>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p>
        </w:tc>
        <w:tc>
          <w:tcPr>
            <w:tcW w:w="930" w:type="pct"/>
            <w:gridSpan w:val="2"/>
            <w:tcBorders>
              <w:top w:val="single" w:sz="4" w:space="0" w:color="auto"/>
              <w:bottom w:val="single" w:sz="4" w:space="0" w:color="auto"/>
            </w:tcBorders>
          </w:tcPr>
          <w:p w:rsidR="00263F1A" w:rsidRPr="00BC2535" w:rsidRDefault="00263F1A" w:rsidP="00263F1A">
            <w:pPr>
              <w:spacing w:before="120" w:after="12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Rice husk</w:t>
            </w:r>
          </w:p>
        </w:tc>
        <w:tc>
          <w:tcPr>
            <w:tcW w:w="1028" w:type="pct"/>
            <w:gridSpan w:val="2"/>
            <w:tcBorders>
              <w:top w:val="single" w:sz="4" w:space="0" w:color="auto"/>
              <w:bottom w:val="single" w:sz="4" w:space="0" w:color="auto"/>
            </w:tcBorders>
          </w:tcPr>
          <w:p w:rsidR="00263F1A" w:rsidRPr="00BC2535" w:rsidRDefault="00263F1A" w:rsidP="00263F1A">
            <w:pPr>
              <w:spacing w:before="120" w:after="120" w:line="240" w:lineRule="auto"/>
              <w:ind w:right="-468"/>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Coconut pulp</w:t>
            </w:r>
          </w:p>
        </w:tc>
      </w:tr>
      <w:tr w:rsidR="00263F1A" w:rsidRPr="00BC2535" w:rsidTr="00263F1A">
        <w:trPr>
          <w:trHeight w:val="1598"/>
          <w:jc w:val="center"/>
        </w:trPr>
        <w:tc>
          <w:tcPr>
            <w:tcW w:w="1770" w:type="pct"/>
            <w:tcBorders>
              <w:top w:val="nil"/>
              <w:bottom w:val="single" w:sz="4" w:space="0" w:color="auto"/>
            </w:tcBorders>
            <w:noWrap/>
            <w:vAlign w:val="center"/>
          </w:tcPr>
          <w:p w:rsidR="00263F1A" w:rsidRPr="00BC2535" w:rsidRDefault="00263F1A" w:rsidP="00263F1A">
            <w:pPr>
              <w:pStyle w:val="Els-table-text"/>
              <w:rPr>
                <w:b/>
                <w:sz w:val="20"/>
              </w:rPr>
            </w:pPr>
            <w:r w:rsidRPr="00BC2535">
              <w:rPr>
                <w:b/>
                <w:sz w:val="20"/>
              </w:rPr>
              <w:t>Proximate analysis (db wt %)</w:t>
            </w:r>
          </w:p>
        </w:tc>
        <w:tc>
          <w:tcPr>
            <w:tcW w:w="1371" w:type="pct"/>
            <w:gridSpan w:val="2"/>
            <w:tcBorders>
              <w:top w:val="nil"/>
              <w:bottom w:val="single" w:sz="4" w:space="0" w:color="auto"/>
            </w:tcBorders>
            <w:vAlign w:val="center"/>
          </w:tcPr>
          <w:p w:rsidR="00263F1A" w:rsidRPr="00BC2535" w:rsidRDefault="00263F1A" w:rsidP="00263F1A">
            <w:pPr>
              <w:pStyle w:val="Els-table-text"/>
              <w:spacing w:before="120"/>
              <w:rPr>
                <w:sz w:val="20"/>
              </w:rPr>
            </w:pPr>
            <w:r w:rsidRPr="00BC2535">
              <w:rPr>
                <w:sz w:val="20"/>
              </w:rPr>
              <w:t>Moisture content</w:t>
            </w:r>
          </w:p>
          <w:p w:rsidR="00263F1A" w:rsidRPr="00BC2535" w:rsidRDefault="00263F1A" w:rsidP="00263F1A">
            <w:pPr>
              <w:pStyle w:val="Els-table-text"/>
              <w:spacing w:before="120"/>
              <w:rPr>
                <w:sz w:val="20"/>
              </w:rPr>
            </w:pPr>
            <w:r w:rsidRPr="00BC2535">
              <w:rPr>
                <w:sz w:val="20"/>
              </w:rPr>
              <w:t xml:space="preserve">Ash content </w:t>
            </w:r>
          </w:p>
          <w:p w:rsidR="00263F1A" w:rsidRPr="00BC2535" w:rsidRDefault="00263F1A" w:rsidP="00263F1A">
            <w:pPr>
              <w:pStyle w:val="Els-table-text"/>
              <w:spacing w:before="120"/>
              <w:rPr>
                <w:sz w:val="20"/>
              </w:rPr>
            </w:pPr>
            <w:r w:rsidRPr="00BC2535">
              <w:rPr>
                <w:sz w:val="20"/>
              </w:rPr>
              <w:t>Volatile matter</w:t>
            </w:r>
          </w:p>
          <w:p w:rsidR="00263F1A" w:rsidRPr="00BC2535" w:rsidRDefault="00263F1A" w:rsidP="00263F1A">
            <w:pPr>
              <w:pStyle w:val="Els-table-text"/>
              <w:spacing w:before="120"/>
              <w:rPr>
                <w:sz w:val="20"/>
              </w:rPr>
            </w:pPr>
            <w:r w:rsidRPr="00BC2535">
              <w:rPr>
                <w:sz w:val="20"/>
              </w:rPr>
              <w:t>Fixed Carbon</w:t>
            </w:r>
          </w:p>
          <w:p w:rsidR="00263F1A" w:rsidRPr="00BC2535" w:rsidRDefault="00263F1A" w:rsidP="00263F1A">
            <w:pPr>
              <w:pStyle w:val="Els-table-text"/>
              <w:spacing w:before="120" w:after="120"/>
              <w:rPr>
                <w:sz w:val="20"/>
              </w:rPr>
            </w:pPr>
            <w:r w:rsidRPr="00BC2535">
              <w:rPr>
                <w:sz w:val="20"/>
              </w:rPr>
              <w:t>High heating value (HHV) (MJ/Kg)</w:t>
            </w:r>
          </w:p>
        </w:tc>
        <w:tc>
          <w:tcPr>
            <w:tcW w:w="929" w:type="pct"/>
            <w:gridSpan w:val="2"/>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6.73</w:t>
            </w:r>
          </w:p>
          <w:p w:rsidR="00263F1A" w:rsidRPr="00BC2535" w:rsidRDefault="00263F1A" w:rsidP="00263F1A">
            <w:pPr>
              <w:pStyle w:val="DecimalAligned"/>
              <w:spacing w:before="120" w:after="0" w:line="240" w:lineRule="auto"/>
              <w:ind w:right="-230"/>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17.06</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62.61</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14.96</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17.91</w:t>
            </w:r>
          </w:p>
        </w:tc>
        <w:tc>
          <w:tcPr>
            <w:tcW w:w="930" w:type="pct"/>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9.55</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0.45</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67.83</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22.30</w:t>
            </w:r>
          </w:p>
          <w:p w:rsidR="00263F1A" w:rsidRPr="00BC2535" w:rsidRDefault="00263F1A" w:rsidP="00263F1A">
            <w:pPr>
              <w:pStyle w:val="DecimalAligned"/>
              <w:spacing w:before="120" w:after="0" w:line="240" w:lineRule="auto"/>
              <w:rPr>
                <w:rFonts w:ascii="Times New Roman" w:hAnsi="Times New Roman" w:cs="Times New Roman"/>
                <w:color w:val="000000" w:themeColor="text1"/>
                <w:sz w:val="20"/>
                <w:szCs w:val="24"/>
              </w:rPr>
            </w:pPr>
            <w:r w:rsidRPr="00BC2535">
              <w:rPr>
                <w:rFonts w:ascii="Times New Roman" w:hAnsi="Times New Roman" w:cs="Times New Roman"/>
                <w:color w:val="000000" w:themeColor="text1"/>
                <w:sz w:val="20"/>
                <w:szCs w:val="24"/>
              </w:rPr>
              <w:t>17.03</w:t>
            </w:r>
          </w:p>
        </w:tc>
      </w:tr>
      <w:tr w:rsidR="00263F1A" w:rsidRPr="00BC2535" w:rsidTr="00263F1A">
        <w:trPr>
          <w:cnfStyle w:val="010000000000" w:firstRow="0" w:lastRow="1" w:firstColumn="0" w:lastColumn="0" w:oddVBand="0" w:evenVBand="0" w:oddHBand="0" w:evenHBand="0" w:firstRowFirstColumn="0" w:firstRowLastColumn="0" w:lastRowFirstColumn="0" w:lastRowLastColumn="0"/>
          <w:trHeight w:val="589"/>
          <w:jc w:val="center"/>
        </w:trPr>
        <w:tc>
          <w:tcPr>
            <w:tcW w:w="1770" w:type="pct"/>
            <w:tcBorders>
              <w:top w:val="nil"/>
              <w:bottom w:val="single" w:sz="4" w:space="0" w:color="auto"/>
            </w:tcBorders>
            <w:noWrap/>
            <w:vAlign w:val="center"/>
          </w:tcPr>
          <w:p w:rsidR="00263F1A" w:rsidRPr="00BC2535" w:rsidRDefault="00263F1A" w:rsidP="00263F1A">
            <w:pPr>
              <w:pStyle w:val="Els-table-text"/>
              <w:rPr>
                <w:sz w:val="20"/>
              </w:rPr>
            </w:pPr>
            <w:r w:rsidRPr="00BC2535">
              <w:rPr>
                <w:sz w:val="20"/>
              </w:rPr>
              <w:t>Ultimate analysis (db wt %)</w:t>
            </w:r>
          </w:p>
        </w:tc>
        <w:tc>
          <w:tcPr>
            <w:tcW w:w="1371" w:type="pct"/>
            <w:gridSpan w:val="2"/>
            <w:tcBorders>
              <w:top w:val="nil"/>
              <w:bottom w:val="single" w:sz="4" w:space="0" w:color="auto"/>
            </w:tcBorders>
          </w:tcPr>
          <w:p w:rsidR="00263F1A" w:rsidRPr="00BC2535" w:rsidRDefault="00263F1A" w:rsidP="00263F1A">
            <w:pPr>
              <w:pStyle w:val="Els-table-text"/>
              <w:spacing w:before="120"/>
              <w:rPr>
                <w:b w:val="0"/>
                <w:sz w:val="20"/>
              </w:rPr>
            </w:pPr>
            <w:r w:rsidRPr="00BC2535">
              <w:rPr>
                <w:b w:val="0"/>
                <w:sz w:val="20"/>
              </w:rPr>
              <w:t>Carbon (C)</w:t>
            </w:r>
          </w:p>
          <w:p w:rsidR="00263F1A" w:rsidRPr="00BC2535" w:rsidRDefault="00263F1A" w:rsidP="00263F1A">
            <w:pPr>
              <w:pStyle w:val="Els-table-text"/>
              <w:spacing w:before="120"/>
              <w:rPr>
                <w:b w:val="0"/>
                <w:sz w:val="20"/>
              </w:rPr>
            </w:pPr>
            <w:r w:rsidRPr="00BC2535">
              <w:rPr>
                <w:b w:val="0"/>
                <w:sz w:val="20"/>
              </w:rPr>
              <w:t>Hydrogen(H)</w:t>
            </w:r>
          </w:p>
          <w:p w:rsidR="00263F1A" w:rsidRPr="00BC2535" w:rsidRDefault="00263F1A" w:rsidP="00263F1A">
            <w:pPr>
              <w:pStyle w:val="Els-table-text"/>
              <w:spacing w:before="120"/>
              <w:rPr>
                <w:b w:val="0"/>
                <w:sz w:val="20"/>
              </w:rPr>
            </w:pPr>
            <w:r w:rsidRPr="00BC2535">
              <w:rPr>
                <w:b w:val="0"/>
                <w:sz w:val="20"/>
              </w:rPr>
              <w:t>Nitrogen (N)</w:t>
            </w:r>
          </w:p>
          <w:p w:rsidR="00263F1A" w:rsidRPr="00BC2535" w:rsidRDefault="00263F1A" w:rsidP="00263F1A">
            <w:pPr>
              <w:pStyle w:val="Els-table-text"/>
              <w:spacing w:before="120" w:after="120"/>
              <w:rPr>
                <w:sz w:val="20"/>
              </w:rPr>
            </w:pPr>
            <w:r w:rsidRPr="00BC2535">
              <w:rPr>
                <w:b w:val="0"/>
                <w:sz w:val="20"/>
              </w:rPr>
              <w:t>Sulphur (S)</w:t>
            </w:r>
          </w:p>
        </w:tc>
        <w:tc>
          <w:tcPr>
            <w:tcW w:w="929" w:type="pct"/>
            <w:gridSpan w:val="2"/>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38.22</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5.88</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0.68</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0.07</w:t>
            </w:r>
          </w:p>
        </w:tc>
        <w:tc>
          <w:tcPr>
            <w:tcW w:w="930" w:type="pct"/>
            <w:tcBorders>
              <w:top w:val="nil"/>
              <w:bottom w:val="single" w:sz="4" w:space="0" w:color="auto"/>
            </w:tcBorders>
          </w:tcPr>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39.44</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6.14</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0.50</w:t>
            </w:r>
          </w:p>
          <w:p w:rsidR="00263F1A" w:rsidRPr="00BC2535" w:rsidRDefault="00263F1A" w:rsidP="00263F1A">
            <w:pPr>
              <w:pStyle w:val="DecimalAligned"/>
              <w:spacing w:before="120" w:after="0" w:line="240" w:lineRule="auto"/>
              <w:rPr>
                <w:rFonts w:ascii="Times New Roman" w:hAnsi="Times New Roman" w:cs="Times New Roman"/>
                <w:b w:val="0"/>
                <w:color w:val="000000" w:themeColor="text1"/>
                <w:sz w:val="20"/>
                <w:szCs w:val="24"/>
              </w:rPr>
            </w:pPr>
            <w:r w:rsidRPr="00BC2535">
              <w:rPr>
                <w:rFonts w:ascii="Times New Roman" w:hAnsi="Times New Roman" w:cs="Times New Roman"/>
                <w:b w:val="0"/>
                <w:color w:val="000000" w:themeColor="text1"/>
                <w:sz w:val="20"/>
                <w:szCs w:val="24"/>
              </w:rPr>
              <w:t>0.04</w:t>
            </w:r>
          </w:p>
        </w:tc>
      </w:tr>
    </w:tbl>
    <w:p w:rsidR="00263F1A" w:rsidRDefault="00263F1A" w:rsidP="00EB08DA">
      <w:pPr>
        <w:autoSpaceDE w:val="0"/>
        <w:autoSpaceDN w:val="0"/>
        <w:adjustRightInd w:val="0"/>
        <w:spacing w:after="0" w:line="240" w:lineRule="auto"/>
        <w:jc w:val="both"/>
        <w:rPr>
          <w:rFonts w:ascii="Times New Roman" w:hAnsi="Times New Roman"/>
          <w:b/>
          <w:bCs/>
          <w:color w:val="000000"/>
          <w:sz w:val="20"/>
          <w:szCs w:val="20"/>
        </w:rPr>
      </w:pPr>
    </w:p>
    <w:p w:rsidR="00263F1A" w:rsidRDefault="00263F1A" w:rsidP="00EB08DA">
      <w:pPr>
        <w:autoSpaceDE w:val="0"/>
        <w:autoSpaceDN w:val="0"/>
        <w:adjustRightInd w:val="0"/>
        <w:spacing w:after="0" w:line="240" w:lineRule="auto"/>
        <w:jc w:val="both"/>
        <w:rPr>
          <w:rFonts w:ascii="Times New Roman" w:hAnsi="Times New Roman"/>
          <w:b/>
          <w:bCs/>
          <w:color w:val="000000"/>
          <w:sz w:val="20"/>
          <w:szCs w:val="20"/>
        </w:rPr>
      </w:pPr>
    </w:p>
    <w:p w:rsidR="00EB08DA" w:rsidRDefault="00263F1A" w:rsidP="00EB08DA">
      <w:pPr>
        <w:autoSpaceDE w:val="0"/>
        <w:autoSpaceDN w:val="0"/>
        <w:adjustRightInd w:val="0"/>
        <w:spacing w:after="0" w:line="240" w:lineRule="auto"/>
        <w:jc w:val="center"/>
        <w:rPr>
          <w:rFonts w:eastAsia="Calibri"/>
          <w:noProof/>
          <w:sz w:val="20"/>
          <w:szCs w:val="20"/>
        </w:rPr>
      </w:pPr>
      <w:r>
        <w:rPr>
          <w:noProof/>
          <w:lang w:bidi="ar-SA"/>
        </w:rPr>
        <w:drawing>
          <wp:inline distT="0" distB="0" distL="0" distR="0" wp14:anchorId="7E3D7EF3" wp14:editId="183C3D12">
            <wp:extent cx="2971800" cy="419053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93204" cy="4220720"/>
                    </a:xfrm>
                    <a:prstGeom prst="rect">
                      <a:avLst/>
                    </a:prstGeom>
                  </pic:spPr>
                </pic:pic>
              </a:graphicData>
            </a:graphic>
          </wp:inline>
        </w:drawing>
      </w:r>
    </w:p>
    <w:p w:rsidR="00263F1A" w:rsidRPr="00EB08DA" w:rsidRDefault="00263F1A" w:rsidP="00EB08DA">
      <w:pPr>
        <w:autoSpaceDE w:val="0"/>
        <w:autoSpaceDN w:val="0"/>
        <w:adjustRightInd w:val="0"/>
        <w:spacing w:after="0" w:line="240" w:lineRule="auto"/>
        <w:ind w:left="990" w:hanging="990"/>
        <w:jc w:val="both"/>
        <w:rPr>
          <w:rFonts w:ascii="Times New Roman" w:eastAsia="Calibri" w:hAnsi="Times New Roman"/>
          <w:sz w:val="20"/>
          <w:szCs w:val="20"/>
        </w:rPr>
      </w:pPr>
      <w:r w:rsidRPr="00EB08DA">
        <w:rPr>
          <w:rFonts w:ascii="Times New Roman" w:eastAsia="Calibri" w:hAnsi="Times New Roman"/>
          <w:noProof/>
          <w:sz w:val="20"/>
          <w:szCs w:val="20"/>
        </w:rPr>
        <w:t xml:space="preserve">Figure 1. </w:t>
      </w:r>
      <w:r w:rsidR="00EB08DA" w:rsidRPr="00EB08DA">
        <w:rPr>
          <w:rFonts w:ascii="Times New Roman" w:eastAsia="Calibri" w:hAnsi="Times New Roman"/>
          <w:noProof/>
          <w:sz w:val="20"/>
          <w:szCs w:val="20"/>
        </w:rPr>
        <w:t xml:space="preserve">  </w:t>
      </w:r>
      <w:r w:rsidRPr="00EB08DA">
        <w:rPr>
          <w:rFonts w:ascii="Times New Roman" w:eastAsia="Calibri" w:hAnsi="Times New Roman"/>
          <w:noProof/>
          <w:sz w:val="20"/>
          <w:szCs w:val="20"/>
        </w:rPr>
        <w:t>A plot of  (a) TGA and (b) DTG for dp</w:t>
      </w:r>
      <w:r w:rsidRPr="00EB08DA">
        <w:rPr>
          <w:rFonts w:ascii="Times New Roman" w:eastAsia="Calibri" w:hAnsi="Times New Roman"/>
          <w:noProof/>
          <w:sz w:val="20"/>
          <w:szCs w:val="20"/>
          <w:vertAlign w:val="subscript"/>
        </w:rPr>
        <w:t>1</w:t>
      </w:r>
      <w:r w:rsidRPr="00EB08DA">
        <w:rPr>
          <w:rFonts w:ascii="Times New Roman" w:eastAsia="Calibri" w:hAnsi="Times New Roman"/>
          <w:noProof/>
          <w:sz w:val="20"/>
          <w:szCs w:val="20"/>
        </w:rPr>
        <w:t xml:space="preserve"> at both heating rates, where HR1 = 50</w:t>
      </w:r>
      <w:r w:rsidRPr="00EB08DA">
        <w:rPr>
          <w:rFonts w:ascii="Times New Roman" w:eastAsia="Calibri" w:hAnsi="Times New Roman"/>
          <w:sz w:val="20"/>
          <w:szCs w:val="20"/>
        </w:rPr>
        <w:t>°C/min and HR2 = 80 °C/min</w:t>
      </w:r>
    </w:p>
    <w:p w:rsidR="00263F1A" w:rsidRDefault="00263F1A" w:rsidP="00EB08DA">
      <w:pPr>
        <w:pStyle w:val="TTPParagraphothers"/>
        <w:ind w:firstLine="0"/>
        <w:rPr>
          <w:rFonts w:eastAsia="Calibri"/>
          <w:sz w:val="20"/>
          <w:szCs w:val="20"/>
        </w:rPr>
      </w:pPr>
    </w:p>
    <w:p w:rsidR="00263F1A" w:rsidRPr="00480EDA" w:rsidRDefault="00263F1A" w:rsidP="00EB08DA">
      <w:pPr>
        <w:pStyle w:val="TTPParagraphothers"/>
        <w:ind w:firstLine="708"/>
        <w:rPr>
          <w:rFonts w:eastAsia="Calibri"/>
          <w:sz w:val="20"/>
          <w:szCs w:val="20"/>
        </w:rPr>
      </w:pPr>
    </w:p>
    <w:p w:rsidR="00263F1A" w:rsidRPr="00480EDA" w:rsidRDefault="00263F1A" w:rsidP="00EB08DA">
      <w:pPr>
        <w:pStyle w:val="TTPParagraphothers"/>
        <w:ind w:firstLine="708"/>
        <w:jc w:val="center"/>
        <w:rPr>
          <w:rFonts w:eastAsia="Calibri"/>
          <w:sz w:val="20"/>
          <w:szCs w:val="20"/>
        </w:rPr>
      </w:pPr>
      <w:r w:rsidRPr="00480EDA">
        <w:rPr>
          <w:noProof/>
          <w:sz w:val="20"/>
          <w:szCs w:val="20"/>
        </w:rPr>
        <w:drawing>
          <wp:inline distT="0" distB="0" distL="0" distR="0" wp14:anchorId="59FF9AB4" wp14:editId="3DDEC9F3">
            <wp:extent cx="3109696" cy="421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11395" cy="4212350"/>
                    </a:xfrm>
                    <a:prstGeom prst="rect">
                      <a:avLst/>
                    </a:prstGeom>
                  </pic:spPr>
                </pic:pic>
              </a:graphicData>
            </a:graphic>
          </wp:inline>
        </w:drawing>
      </w:r>
    </w:p>
    <w:p w:rsidR="00EB08DA" w:rsidRDefault="00EB08DA" w:rsidP="00EB08DA">
      <w:pPr>
        <w:pStyle w:val="TTPParagraphothers"/>
        <w:ind w:left="900" w:hanging="900"/>
        <w:rPr>
          <w:rFonts w:eastAsia="Calibri"/>
          <w:noProof/>
          <w:sz w:val="20"/>
          <w:szCs w:val="20"/>
        </w:rPr>
      </w:pPr>
    </w:p>
    <w:p w:rsidR="00263F1A" w:rsidRPr="00480EDA" w:rsidRDefault="00263F1A" w:rsidP="00EB08DA">
      <w:pPr>
        <w:pStyle w:val="TTPParagraphothers"/>
        <w:ind w:left="900" w:hanging="900"/>
        <w:rPr>
          <w:rFonts w:eastAsia="Calibri"/>
          <w:noProof/>
          <w:sz w:val="20"/>
          <w:szCs w:val="20"/>
        </w:rPr>
      </w:pPr>
      <w:r w:rsidRPr="00480EDA">
        <w:rPr>
          <w:rFonts w:eastAsia="Calibri"/>
          <w:noProof/>
          <w:sz w:val="20"/>
          <w:szCs w:val="20"/>
        </w:rPr>
        <w:t>Figure 2</w:t>
      </w:r>
      <w:r>
        <w:rPr>
          <w:rFonts w:eastAsia="Calibri"/>
          <w:noProof/>
          <w:sz w:val="20"/>
          <w:szCs w:val="20"/>
        </w:rPr>
        <w:t xml:space="preserve">. </w:t>
      </w:r>
      <w:r w:rsidR="00EB08DA">
        <w:rPr>
          <w:rFonts w:eastAsia="Calibri"/>
          <w:noProof/>
          <w:sz w:val="20"/>
          <w:szCs w:val="20"/>
        </w:rPr>
        <w:t xml:space="preserve">  </w:t>
      </w:r>
      <w:r w:rsidRPr="00480EDA">
        <w:rPr>
          <w:rFonts w:eastAsia="Calibri"/>
          <w:noProof/>
          <w:sz w:val="20"/>
          <w:szCs w:val="20"/>
        </w:rPr>
        <w:t>A plot of  (a) TGA and (b) DTG for dp</w:t>
      </w:r>
      <w:r w:rsidRPr="00480EDA">
        <w:rPr>
          <w:rFonts w:eastAsia="Calibri"/>
          <w:noProof/>
          <w:sz w:val="20"/>
          <w:szCs w:val="20"/>
          <w:vertAlign w:val="subscript"/>
        </w:rPr>
        <w:t xml:space="preserve">2 </w:t>
      </w:r>
      <w:r w:rsidRPr="00480EDA">
        <w:rPr>
          <w:rFonts w:eastAsia="Calibri"/>
          <w:noProof/>
          <w:sz w:val="20"/>
          <w:szCs w:val="20"/>
        </w:rPr>
        <w:t>at both heating rates, where HR1 = 50</w:t>
      </w:r>
      <w:r w:rsidRPr="00480EDA">
        <w:rPr>
          <w:rFonts w:eastAsia="Calibri"/>
          <w:sz w:val="20"/>
          <w:szCs w:val="20"/>
        </w:rPr>
        <w:t>°C/min and HR2 = 80 °C/min</w:t>
      </w:r>
    </w:p>
    <w:p w:rsidR="00263F1A" w:rsidRDefault="00263F1A" w:rsidP="00EB08DA">
      <w:pPr>
        <w:pStyle w:val="TTPParagraphothers"/>
        <w:ind w:firstLine="0"/>
        <w:rPr>
          <w:rFonts w:eastAsia="Calibri"/>
          <w:sz w:val="20"/>
          <w:szCs w:val="20"/>
        </w:rPr>
      </w:pPr>
    </w:p>
    <w:p w:rsidR="00EB08DA" w:rsidRDefault="00EB08DA" w:rsidP="00EB08DA">
      <w:pPr>
        <w:pStyle w:val="TTPParagraphothers"/>
        <w:ind w:firstLine="0"/>
        <w:rPr>
          <w:rFonts w:eastAsia="Calibri"/>
          <w:sz w:val="20"/>
          <w:szCs w:val="20"/>
        </w:rPr>
      </w:pPr>
    </w:p>
    <w:p w:rsidR="00EB08DA" w:rsidRDefault="00EB08DA" w:rsidP="00EB08DA">
      <w:pPr>
        <w:pStyle w:val="TTPParagraphothers"/>
        <w:ind w:firstLine="0"/>
        <w:rPr>
          <w:b/>
          <w:sz w:val="20"/>
          <w:szCs w:val="20"/>
        </w:rPr>
      </w:pPr>
      <w:r>
        <w:rPr>
          <w:b/>
          <w:sz w:val="20"/>
          <w:szCs w:val="20"/>
        </w:rPr>
        <w:t>Thermogravimetric Analysis</w:t>
      </w:r>
    </w:p>
    <w:p w:rsidR="00263F1A" w:rsidRPr="00EB08DA" w:rsidRDefault="00EB08DA" w:rsidP="00EB08DA">
      <w:pPr>
        <w:pStyle w:val="TTPParagraphothers"/>
        <w:ind w:firstLine="0"/>
        <w:rPr>
          <w:sz w:val="20"/>
          <w:szCs w:val="20"/>
        </w:rPr>
      </w:pPr>
      <w:r w:rsidRPr="00480EDA">
        <w:rPr>
          <w:sz w:val="20"/>
          <w:szCs w:val="20"/>
        </w:rPr>
        <w:t>Thermogravimetric results for all eight samples are plotted as a function</w:t>
      </w:r>
      <w:r>
        <w:rPr>
          <w:sz w:val="20"/>
          <w:szCs w:val="20"/>
        </w:rPr>
        <w:t xml:space="preserve"> of temperature as shown in Figure 1 and 2. </w:t>
      </w:r>
      <w:r w:rsidR="00263F1A" w:rsidRPr="00480EDA">
        <w:rPr>
          <w:rFonts w:eastAsia="Calibri"/>
          <w:sz w:val="20"/>
          <w:szCs w:val="20"/>
        </w:rPr>
        <w:t>Fig. 1 (b) and Fig. 2 (b) illustrate the effects of heating rates and particle sizes on degradation peak rates. It was observed that higher heating rates speed up the degradation process by 0.01 mg/s (at 370°C) for rice husk samples in dp</w:t>
      </w:r>
      <w:r w:rsidR="00263F1A" w:rsidRPr="00480EDA">
        <w:rPr>
          <w:rFonts w:eastAsia="Calibri"/>
          <w:sz w:val="20"/>
          <w:szCs w:val="20"/>
          <w:vertAlign w:val="subscript"/>
        </w:rPr>
        <w:t>1</w:t>
      </w:r>
      <w:r w:rsidR="00263F1A" w:rsidRPr="00480EDA">
        <w:rPr>
          <w:rFonts w:eastAsia="Calibri"/>
          <w:sz w:val="20"/>
          <w:szCs w:val="20"/>
        </w:rPr>
        <w:t>, while dp</w:t>
      </w:r>
      <w:r w:rsidR="00263F1A" w:rsidRPr="00480EDA">
        <w:rPr>
          <w:rFonts w:eastAsia="Calibri"/>
          <w:sz w:val="20"/>
          <w:szCs w:val="20"/>
          <w:vertAlign w:val="subscript"/>
        </w:rPr>
        <w:t>2</w:t>
      </w:r>
      <w:r w:rsidR="00263F1A" w:rsidRPr="00480EDA">
        <w:rPr>
          <w:rFonts w:eastAsia="Calibri"/>
          <w:sz w:val="20"/>
          <w:szCs w:val="20"/>
        </w:rPr>
        <w:t xml:space="preserve"> recorded almost a 0.02 mg/s difference (at 355°C). The peak in phase I corresponds to the moisture released from the biomass feedstock. There are two peaks in phase II: the first peak shows the degradation of lower molecular weights components (hemicellulose) from 180</w:t>
      </w:r>
      <w:r w:rsidR="00263F1A" w:rsidRPr="00480EDA">
        <w:rPr>
          <w:rFonts w:eastAsia="Calibri"/>
          <w:sz w:val="20"/>
          <w:szCs w:val="20"/>
          <w:vertAlign w:val="superscript"/>
        </w:rPr>
        <w:t>o</w:t>
      </w:r>
      <w:r w:rsidR="00263F1A" w:rsidRPr="00480EDA">
        <w:rPr>
          <w:rFonts w:eastAsia="Calibri"/>
          <w:sz w:val="20"/>
          <w:szCs w:val="20"/>
        </w:rPr>
        <w:t xml:space="preserve">C to </w:t>
      </w:r>
      <w:smartTag w:uri="urn:schemas-microsoft-com:office:smarttags" w:element="metricconverter">
        <w:smartTagPr>
          <w:attr w:name="ProductID" w:val="310°C"/>
        </w:smartTagPr>
        <w:r w:rsidR="00263F1A" w:rsidRPr="00480EDA">
          <w:rPr>
            <w:rFonts w:eastAsia="Calibri"/>
            <w:sz w:val="20"/>
            <w:szCs w:val="20"/>
          </w:rPr>
          <w:t>310°C</w:t>
        </w:r>
      </w:smartTag>
      <w:r w:rsidR="00263F1A" w:rsidRPr="00480EDA">
        <w:rPr>
          <w:rFonts w:eastAsia="Calibri"/>
          <w:sz w:val="20"/>
          <w:szCs w:val="20"/>
        </w:rPr>
        <w:t xml:space="preserve"> and second peaks indicates cellulose degradation which occurs between 320</w:t>
      </w:r>
      <w:r w:rsidR="00263F1A" w:rsidRPr="00480EDA">
        <w:rPr>
          <w:rFonts w:eastAsia="Calibri"/>
          <w:sz w:val="20"/>
          <w:szCs w:val="20"/>
          <w:vertAlign w:val="superscript"/>
        </w:rPr>
        <w:t>o</w:t>
      </w:r>
      <w:r w:rsidR="00263F1A" w:rsidRPr="00480EDA">
        <w:rPr>
          <w:rFonts w:eastAsia="Calibri"/>
          <w:sz w:val="20"/>
          <w:szCs w:val="20"/>
        </w:rPr>
        <w:t xml:space="preserve">C and </w:t>
      </w:r>
      <w:smartTag w:uri="urn:schemas-microsoft-com:office:smarttags" w:element="metricconverter">
        <w:smartTagPr>
          <w:attr w:name="ProductID" w:val="410°C"/>
        </w:smartTagPr>
        <w:r w:rsidR="00263F1A" w:rsidRPr="00480EDA">
          <w:rPr>
            <w:rFonts w:eastAsia="Calibri"/>
            <w:sz w:val="20"/>
            <w:szCs w:val="20"/>
          </w:rPr>
          <w:t>410°C</w:t>
        </w:r>
      </w:smartTag>
      <w:r w:rsidR="00263F1A" w:rsidRPr="00480EDA">
        <w:rPr>
          <w:rFonts w:eastAsia="Calibri"/>
          <w:sz w:val="20"/>
          <w:szCs w:val="20"/>
        </w:rPr>
        <w:t>. Lignin gradually degrades over a range of temperature from 380</w:t>
      </w:r>
      <w:r w:rsidR="00263F1A" w:rsidRPr="00480EDA">
        <w:rPr>
          <w:rFonts w:eastAsia="Calibri"/>
          <w:sz w:val="20"/>
          <w:szCs w:val="20"/>
          <w:vertAlign w:val="superscript"/>
        </w:rPr>
        <w:t>o</w:t>
      </w:r>
      <w:r w:rsidR="00263F1A" w:rsidRPr="00480EDA">
        <w:rPr>
          <w:rFonts w:eastAsia="Calibri"/>
          <w:sz w:val="20"/>
          <w:szCs w:val="20"/>
        </w:rPr>
        <w:t xml:space="preserve">C to </w:t>
      </w:r>
      <w:smartTag w:uri="urn:schemas-microsoft-com:office:smarttags" w:element="metricconverter">
        <w:smartTagPr>
          <w:attr w:name="ProductID" w:val="700°C"/>
        </w:smartTagPr>
        <w:r w:rsidR="00263F1A" w:rsidRPr="00480EDA">
          <w:rPr>
            <w:rFonts w:eastAsia="Calibri"/>
            <w:sz w:val="20"/>
            <w:szCs w:val="20"/>
          </w:rPr>
          <w:t>700°C</w:t>
        </w:r>
      </w:smartTag>
      <w:r w:rsidR="00263F1A" w:rsidRPr="00480EDA">
        <w:rPr>
          <w:rFonts w:eastAsia="Calibri"/>
          <w:sz w:val="20"/>
          <w:szCs w:val="20"/>
        </w:rPr>
        <w:t xml:space="preserve">. It is noted that when the temperature reaches </w:t>
      </w:r>
      <w:smartTag w:uri="urn:schemas-microsoft-com:office:smarttags" w:element="metricconverter">
        <w:smartTagPr>
          <w:attr w:name="ProductID" w:val="650°C"/>
        </w:smartTagPr>
        <w:r w:rsidR="00263F1A" w:rsidRPr="00480EDA">
          <w:rPr>
            <w:rFonts w:eastAsia="Calibri"/>
            <w:sz w:val="20"/>
            <w:szCs w:val="20"/>
          </w:rPr>
          <w:t>650°C</w:t>
        </w:r>
      </w:smartTag>
      <w:r w:rsidR="00263F1A" w:rsidRPr="00480EDA">
        <w:rPr>
          <w:rFonts w:eastAsia="Calibri"/>
          <w:sz w:val="20"/>
          <w:szCs w:val="20"/>
        </w:rPr>
        <w:t>, the degradation rates are no longer significant as most volatiles had already been pyrolysed and the rest were converted into char and gases. Lower heating rates causes the biomass to decompose under a wider temperature range from 225</w:t>
      </w:r>
      <w:r w:rsidR="00263F1A" w:rsidRPr="00480EDA">
        <w:rPr>
          <w:rFonts w:eastAsia="Calibri"/>
          <w:sz w:val="20"/>
          <w:szCs w:val="20"/>
          <w:vertAlign w:val="superscript"/>
        </w:rPr>
        <w:t>o</w:t>
      </w:r>
      <w:r w:rsidR="00263F1A" w:rsidRPr="00480EDA">
        <w:rPr>
          <w:rFonts w:eastAsia="Calibri"/>
          <w:sz w:val="20"/>
          <w:szCs w:val="20"/>
        </w:rPr>
        <w:t>C to 450°C compared to 250</w:t>
      </w:r>
      <w:r w:rsidR="00263F1A" w:rsidRPr="00480EDA">
        <w:rPr>
          <w:rFonts w:eastAsia="Calibri"/>
          <w:sz w:val="20"/>
          <w:szCs w:val="20"/>
          <w:vertAlign w:val="superscript"/>
        </w:rPr>
        <w:t>o</w:t>
      </w:r>
      <w:r w:rsidR="00263F1A" w:rsidRPr="00480EDA">
        <w:rPr>
          <w:rFonts w:eastAsia="Calibri"/>
          <w:sz w:val="20"/>
          <w:szCs w:val="20"/>
        </w:rPr>
        <w:t xml:space="preserve">C to 450°C. </w:t>
      </w:r>
    </w:p>
    <w:p w:rsidR="00263F1A" w:rsidRDefault="00263F1A" w:rsidP="00EB08DA">
      <w:pPr>
        <w:pStyle w:val="TTPParagraphothers"/>
        <w:ind w:firstLine="0"/>
        <w:rPr>
          <w:rFonts w:eastAsia="Calibri"/>
          <w:sz w:val="20"/>
          <w:szCs w:val="20"/>
        </w:rPr>
      </w:pPr>
    </w:p>
    <w:p w:rsidR="00263F1A" w:rsidRPr="00480EDA" w:rsidRDefault="00263F1A" w:rsidP="00EB08DA">
      <w:pPr>
        <w:pStyle w:val="TTPParagraphothers"/>
        <w:ind w:firstLine="0"/>
        <w:rPr>
          <w:sz w:val="20"/>
          <w:szCs w:val="20"/>
        </w:rPr>
      </w:pPr>
      <w:r w:rsidRPr="00480EDA">
        <w:rPr>
          <w:rFonts w:eastAsia="Calibri"/>
          <w:sz w:val="20"/>
          <w:szCs w:val="20"/>
        </w:rPr>
        <w:t>The peaks pattern in phase II for coconut pulp is not similar at different particle size. In Fig. 1 (b), both peak rates does not changes that much (0.002 mg/s difference from 325-</w:t>
      </w:r>
      <w:smartTag w:uri="urn:schemas-microsoft-com:office:smarttags" w:element="metricconverter">
        <w:smartTagPr>
          <w:attr w:name="ProductID" w:val="410°C"/>
        </w:smartTagPr>
        <w:r w:rsidRPr="00480EDA">
          <w:rPr>
            <w:rFonts w:eastAsia="Calibri"/>
            <w:sz w:val="20"/>
            <w:szCs w:val="20"/>
          </w:rPr>
          <w:t>410°C</w:t>
        </w:r>
      </w:smartTag>
      <w:r w:rsidRPr="00480EDA">
        <w:rPr>
          <w:rFonts w:eastAsia="Calibri"/>
          <w:sz w:val="20"/>
          <w:szCs w:val="20"/>
        </w:rPr>
        <w:t>) but in Fig. 2 (b) the difference is 0.02 mg/s (at 330-</w:t>
      </w:r>
      <w:smartTag w:uri="urn:schemas-microsoft-com:office:smarttags" w:element="metricconverter">
        <w:smartTagPr>
          <w:attr w:name="ProductID" w:val="425°C"/>
        </w:smartTagPr>
        <w:r w:rsidRPr="00480EDA">
          <w:rPr>
            <w:rFonts w:eastAsia="Calibri"/>
            <w:sz w:val="20"/>
            <w:szCs w:val="20"/>
          </w:rPr>
          <w:t>425°C</w:t>
        </w:r>
      </w:smartTag>
      <w:r w:rsidRPr="00480EDA">
        <w:rPr>
          <w:rFonts w:eastAsia="Calibri"/>
          <w:sz w:val="20"/>
          <w:szCs w:val="20"/>
        </w:rPr>
        <w:t xml:space="preserve">). In this study, the pyrolysis behavior for coconut pulp is very unpredictable and is not well understood since not much research had been conducted before. However, it produced a very high amount of volatile and proves to be a very favorable feedstock for biofuel production via flash pyrolysis. Due to high composition of lignin </w:t>
      </w:r>
      <w:r w:rsidRPr="00480EDA">
        <w:rPr>
          <w:rFonts w:eastAsia="Calibri"/>
          <w:sz w:val="20"/>
          <w:szCs w:val="20"/>
        </w:rPr>
        <w:lastRenderedPageBreak/>
        <w:t>(24.4%) [8], the amount of volatiles for rice husk is lower compared to coconut pulp (10.0 % lignin) [9]. Biomass with more cellulose and hemicellulose contents (i.e. herbaceous biomass) will produces more volatiles compared to woody biomasses [10]. Table 2 summarized the p</w:t>
      </w:r>
      <w:r w:rsidRPr="00480EDA">
        <w:rPr>
          <w:sz w:val="20"/>
          <w:szCs w:val="20"/>
        </w:rPr>
        <w:t xml:space="preserve">roduct yields for both type of feedstock at different particle size and heating rates:  </w:t>
      </w:r>
    </w:p>
    <w:p w:rsidR="00263F1A" w:rsidRDefault="00263F1A" w:rsidP="00EB08DA">
      <w:pPr>
        <w:spacing w:after="0"/>
        <w:jc w:val="both"/>
        <w:rPr>
          <w:rFonts w:ascii="Times New Roman" w:hAnsi="Times New Roman"/>
          <w:sz w:val="20"/>
          <w:szCs w:val="20"/>
        </w:rPr>
      </w:pPr>
    </w:p>
    <w:p w:rsidR="00EB08DA" w:rsidRPr="00EB08DA" w:rsidRDefault="00EB08DA" w:rsidP="00EB08DA">
      <w:pPr>
        <w:spacing w:after="0"/>
        <w:jc w:val="both"/>
        <w:rPr>
          <w:rFonts w:ascii="Times New Roman" w:hAnsi="Times New Roman"/>
          <w:sz w:val="20"/>
          <w:szCs w:val="20"/>
        </w:rPr>
      </w:pPr>
    </w:p>
    <w:p w:rsidR="00263F1A" w:rsidRPr="00352EA8" w:rsidRDefault="00263F1A" w:rsidP="00EB08DA">
      <w:pPr>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Pr="00352EA8">
        <w:rPr>
          <w:rFonts w:ascii="Times New Roman" w:hAnsi="Times New Roman"/>
          <w:sz w:val="20"/>
          <w:szCs w:val="20"/>
        </w:rPr>
        <w:t>Pyrolysis product yeilds for rice husk and coconut pulp at heati</w:t>
      </w:r>
      <w:r>
        <w:rPr>
          <w:rFonts w:ascii="Times New Roman" w:hAnsi="Times New Roman"/>
          <w:sz w:val="20"/>
          <w:szCs w:val="20"/>
        </w:rPr>
        <w:t>ng rate 50° C/min and 80° C/min</w:t>
      </w:r>
    </w:p>
    <w:tbl>
      <w:tblPr>
        <w:tblStyle w:val="LightShading-Accent11"/>
        <w:tblW w:w="4893" w:type="pct"/>
        <w:tblInd w:w="198" w:type="dxa"/>
        <w:tblLayout w:type="fixed"/>
        <w:tblLook w:val="0660" w:firstRow="1" w:lastRow="1" w:firstColumn="0" w:lastColumn="0" w:noHBand="1" w:noVBand="1"/>
      </w:tblPr>
      <w:tblGrid>
        <w:gridCol w:w="1851"/>
        <w:gridCol w:w="1850"/>
        <w:gridCol w:w="1297"/>
        <w:gridCol w:w="1480"/>
        <w:gridCol w:w="1480"/>
        <w:gridCol w:w="1385"/>
      </w:tblGrid>
      <w:tr w:rsidR="00263F1A" w:rsidRPr="00352EA8" w:rsidTr="00617E9E">
        <w:trPr>
          <w:cnfStyle w:val="100000000000" w:firstRow="1" w:lastRow="0" w:firstColumn="0" w:lastColumn="0" w:oddVBand="0" w:evenVBand="0" w:oddHBand="0" w:evenHBand="0" w:firstRowFirstColumn="0" w:firstRowLastColumn="0" w:lastRowFirstColumn="0" w:lastRowLastColumn="0"/>
          <w:trHeight w:val="472"/>
        </w:trPr>
        <w:tc>
          <w:tcPr>
            <w:tcW w:w="990" w:type="pct"/>
            <w:vMerge w:val="restart"/>
            <w:tcBorders>
              <w:top w:val="single" w:sz="4" w:space="0" w:color="auto"/>
            </w:tcBorders>
            <w:noWrap/>
          </w:tcPr>
          <w:p w:rsidR="00263F1A" w:rsidRPr="00352EA8" w:rsidRDefault="00263F1A" w:rsidP="00EB08DA">
            <w:pPr>
              <w:spacing w:before="120" w:after="0" w:line="240" w:lineRule="auto"/>
              <w:rPr>
                <w:rFonts w:ascii="Times New Roman" w:hAnsi="Times New Roman" w:cs="Times New Roman"/>
                <w:color w:val="auto"/>
                <w:sz w:val="20"/>
                <w:szCs w:val="20"/>
              </w:rPr>
            </w:pPr>
            <w:r w:rsidRPr="00352EA8">
              <w:rPr>
                <w:rFonts w:ascii="Times New Roman" w:hAnsi="Times New Roman" w:cs="Times New Roman"/>
                <w:color w:val="auto"/>
                <w:sz w:val="20"/>
                <w:szCs w:val="20"/>
              </w:rPr>
              <w:t>Types of biomass</w:t>
            </w:r>
          </w:p>
        </w:tc>
        <w:tc>
          <w:tcPr>
            <w:tcW w:w="990" w:type="pct"/>
            <w:tcBorders>
              <w:top w:val="single" w:sz="4" w:space="0" w:color="auto"/>
              <w:bottom w:val="nil"/>
            </w:tcBorders>
          </w:tcPr>
          <w:p w:rsidR="00263F1A" w:rsidRPr="00352EA8" w:rsidRDefault="00263F1A" w:rsidP="00EB08DA">
            <w:pPr>
              <w:spacing w:before="120" w:after="0" w:line="240"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Product yields</w:t>
            </w:r>
          </w:p>
          <w:p w:rsidR="00263F1A" w:rsidRPr="00352EA8" w:rsidRDefault="00263F1A" w:rsidP="00EB08DA">
            <w:pPr>
              <w:spacing w:before="120" w:after="0" w:line="240" w:lineRule="auto"/>
              <w:rPr>
                <w:rFonts w:ascii="Times New Roman" w:hAnsi="Times New Roman" w:cs="Times New Roman"/>
                <w:bCs w:val="0"/>
                <w:color w:val="auto"/>
                <w:sz w:val="20"/>
                <w:szCs w:val="20"/>
              </w:rPr>
            </w:pPr>
            <w:r w:rsidRPr="00352EA8">
              <w:rPr>
                <w:rFonts w:ascii="Times New Roman" w:hAnsi="Times New Roman" w:cs="Times New Roman"/>
                <w:bCs w:val="0"/>
                <w:color w:val="auto"/>
                <w:sz w:val="20"/>
                <w:szCs w:val="20"/>
              </w:rPr>
              <w:t>(%)</w:t>
            </w:r>
          </w:p>
        </w:tc>
        <w:tc>
          <w:tcPr>
            <w:tcW w:w="1486" w:type="pct"/>
            <w:gridSpan w:val="2"/>
            <w:tcBorders>
              <w:top w:val="single" w:sz="4" w:space="0" w:color="auto"/>
              <w:bottom w:val="single" w:sz="4" w:space="0" w:color="auto"/>
            </w:tcBorders>
          </w:tcPr>
          <w:p w:rsidR="00263F1A" w:rsidRPr="00352EA8" w:rsidRDefault="00263F1A" w:rsidP="00EB08DA">
            <w:pPr>
              <w:spacing w:before="120"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263F1A" w:rsidRPr="00352EA8" w:rsidRDefault="00263F1A" w:rsidP="00EB08DA">
            <w:pPr>
              <w:spacing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(50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c>
          <w:tcPr>
            <w:tcW w:w="1533" w:type="pct"/>
            <w:gridSpan w:val="2"/>
            <w:tcBorders>
              <w:top w:val="single" w:sz="4" w:space="0" w:color="auto"/>
              <w:bottom w:val="single" w:sz="4" w:space="0" w:color="auto"/>
            </w:tcBorders>
          </w:tcPr>
          <w:p w:rsidR="00263F1A" w:rsidRPr="00352EA8" w:rsidRDefault="00263F1A" w:rsidP="00EB08DA">
            <w:pPr>
              <w:spacing w:before="120"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 xml:space="preserve">Heating rate </w:t>
            </w:r>
          </w:p>
          <w:p w:rsidR="00263F1A" w:rsidRPr="00352EA8" w:rsidRDefault="00263F1A" w:rsidP="00EB08DA">
            <w:pPr>
              <w:spacing w:after="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(80</w:t>
            </w:r>
            <w:r w:rsidRPr="00352EA8">
              <w:rPr>
                <w:rFonts w:asciiTheme="minorEastAsia" w:hAnsiTheme="minorEastAsia" w:cstheme="minorEastAsia" w:hint="eastAsia"/>
                <w:color w:val="auto"/>
                <w:sz w:val="20"/>
                <w:szCs w:val="20"/>
              </w:rPr>
              <w:t>°</w:t>
            </w:r>
            <w:r w:rsidRPr="00352EA8">
              <w:rPr>
                <w:rFonts w:ascii="Times New Roman" w:hAnsi="Times New Roman" w:cs="Times New Roman"/>
                <w:color w:val="auto"/>
                <w:sz w:val="20"/>
                <w:szCs w:val="20"/>
              </w:rPr>
              <w:t>C/min)</w:t>
            </w:r>
          </w:p>
        </w:tc>
      </w:tr>
      <w:tr w:rsidR="00263F1A" w:rsidRPr="00352EA8" w:rsidTr="00617E9E">
        <w:trPr>
          <w:trHeight w:val="326"/>
        </w:trPr>
        <w:tc>
          <w:tcPr>
            <w:tcW w:w="990" w:type="pct"/>
            <w:vMerge/>
            <w:tcBorders>
              <w:bottom w:val="single" w:sz="4" w:space="0" w:color="auto"/>
            </w:tcBorders>
            <w:noWrap/>
          </w:tcPr>
          <w:p w:rsidR="00263F1A" w:rsidRPr="00352EA8" w:rsidRDefault="00263F1A" w:rsidP="00EB08DA">
            <w:pPr>
              <w:spacing w:after="0" w:line="240" w:lineRule="auto"/>
              <w:rPr>
                <w:rFonts w:ascii="Times New Roman" w:hAnsi="Times New Roman" w:cs="Times New Roman"/>
                <w:color w:val="auto"/>
                <w:sz w:val="20"/>
                <w:szCs w:val="20"/>
              </w:rPr>
            </w:pPr>
          </w:p>
        </w:tc>
        <w:tc>
          <w:tcPr>
            <w:tcW w:w="990" w:type="pct"/>
            <w:tcBorders>
              <w:top w:val="nil"/>
              <w:bottom w:val="single" w:sz="4" w:space="0" w:color="auto"/>
            </w:tcBorders>
          </w:tcPr>
          <w:p w:rsidR="00263F1A" w:rsidRPr="00352EA8" w:rsidRDefault="00263F1A" w:rsidP="00EB08DA">
            <w:pPr>
              <w:spacing w:after="0" w:line="240" w:lineRule="auto"/>
              <w:rPr>
                <w:rFonts w:ascii="Times New Roman" w:eastAsia="Calibri" w:hAnsi="Times New Roman" w:cs="Times New Roman"/>
                <w:color w:val="auto"/>
                <w:sz w:val="20"/>
                <w:szCs w:val="20"/>
              </w:rPr>
            </w:pPr>
          </w:p>
        </w:tc>
        <w:tc>
          <w:tcPr>
            <w:tcW w:w="694"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92"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c>
          <w:tcPr>
            <w:tcW w:w="792"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eastAsia="Calibri" w:hAnsi="Times New Roman" w:cs="Times New Roman"/>
                <w:color w:val="auto"/>
                <w:sz w:val="20"/>
                <w:szCs w:val="20"/>
              </w:rPr>
              <w:t>dp</w:t>
            </w:r>
            <w:r w:rsidRPr="00352EA8">
              <w:rPr>
                <w:rFonts w:ascii="Times New Roman" w:eastAsia="Calibri" w:hAnsi="Times New Roman" w:cs="Times New Roman"/>
                <w:color w:val="auto"/>
                <w:sz w:val="20"/>
                <w:szCs w:val="20"/>
                <w:vertAlign w:val="subscript"/>
              </w:rPr>
              <w:t>1</w:t>
            </w:r>
          </w:p>
        </w:tc>
        <w:tc>
          <w:tcPr>
            <w:tcW w:w="741" w:type="pct"/>
            <w:tcBorders>
              <w:top w:val="single" w:sz="4" w:space="0" w:color="auto"/>
              <w:bottom w:val="single" w:sz="4" w:space="0" w:color="auto"/>
            </w:tcBorders>
          </w:tcPr>
          <w:p w:rsidR="00263F1A" w:rsidRPr="00352EA8" w:rsidRDefault="00263F1A" w:rsidP="00EB08DA">
            <w:pPr>
              <w:spacing w:after="0" w:line="240" w:lineRule="auto"/>
              <w:jc w:val="center"/>
              <w:rPr>
                <w:sz w:val="20"/>
                <w:szCs w:val="20"/>
              </w:rPr>
            </w:pPr>
            <w:r w:rsidRPr="00352EA8">
              <w:rPr>
                <w:rFonts w:ascii="Times New Roman" w:hAnsi="Times New Roman" w:cs="Times New Roman"/>
                <w:color w:val="auto"/>
                <w:sz w:val="20"/>
                <w:szCs w:val="20"/>
              </w:rPr>
              <w:t>dp</w:t>
            </w:r>
            <w:r w:rsidRPr="00352EA8">
              <w:rPr>
                <w:rFonts w:ascii="Times New Roman" w:hAnsi="Times New Roman" w:cs="Times New Roman"/>
                <w:color w:val="auto"/>
                <w:sz w:val="20"/>
                <w:szCs w:val="20"/>
                <w:vertAlign w:val="subscript"/>
              </w:rPr>
              <w:t>2</w:t>
            </w:r>
          </w:p>
        </w:tc>
      </w:tr>
      <w:tr w:rsidR="00263F1A" w:rsidRPr="00352EA8" w:rsidTr="00617E9E">
        <w:trPr>
          <w:trHeight w:val="130"/>
        </w:trPr>
        <w:tc>
          <w:tcPr>
            <w:tcW w:w="990" w:type="pct"/>
            <w:tcBorders>
              <w:top w:val="single" w:sz="4" w:space="0" w:color="auto"/>
              <w:bottom w:val="single" w:sz="4" w:space="0" w:color="auto"/>
            </w:tcBorders>
            <w:noWrap/>
            <w:vAlign w:val="center"/>
          </w:tcPr>
          <w:p w:rsidR="00263F1A" w:rsidRPr="00352EA8" w:rsidRDefault="00263F1A" w:rsidP="00EB08DA">
            <w:pPr>
              <w:pStyle w:val="Els-table-text"/>
              <w:rPr>
                <w:color w:val="auto"/>
                <w:sz w:val="20"/>
                <w:szCs w:val="20"/>
              </w:rPr>
            </w:pPr>
            <w:r w:rsidRPr="00352EA8">
              <w:rPr>
                <w:color w:val="auto"/>
                <w:sz w:val="20"/>
                <w:szCs w:val="20"/>
              </w:rPr>
              <w:t>Rice husk</w:t>
            </w:r>
          </w:p>
        </w:tc>
        <w:tc>
          <w:tcPr>
            <w:tcW w:w="990" w:type="pct"/>
            <w:tcBorders>
              <w:top w:val="single" w:sz="4" w:space="0" w:color="auto"/>
              <w:bottom w:val="single" w:sz="4" w:space="0" w:color="auto"/>
            </w:tcBorders>
            <w:vAlign w:val="center"/>
          </w:tcPr>
          <w:p w:rsidR="00263F1A" w:rsidRPr="00352EA8" w:rsidRDefault="00263F1A" w:rsidP="00EB08DA">
            <w:pPr>
              <w:pStyle w:val="Els-table-text"/>
              <w:spacing w:before="120" w:after="120"/>
              <w:rPr>
                <w:color w:val="auto"/>
                <w:sz w:val="20"/>
                <w:szCs w:val="20"/>
              </w:rPr>
            </w:pPr>
            <w:r w:rsidRPr="00352EA8">
              <w:rPr>
                <w:color w:val="auto"/>
                <w:sz w:val="20"/>
                <w:szCs w:val="20"/>
              </w:rPr>
              <w:t>Char</w:t>
            </w:r>
          </w:p>
          <w:p w:rsidR="00263F1A" w:rsidRPr="00352EA8" w:rsidRDefault="00263F1A" w:rsidP="00EB08DA">
            <w:pPr>
              <w:pStyle w:val="Els-table-text"/>
              <w:spacing w:before="120" w:after="120"/>
              <w:rPr>
                <w:color w:val="auto"/>
                <w:sz w:val="20"/>
                <w:szCs w:val="20"/>
              </w:rPr>
            </w:pPr>
            <w:r w:rsidRPr="00352EA8">
              <w:rPr>
                <w:color w:val="auto"/>
                <w:sz w:val="20"/>
                <w:szCs w:val="20"/>
              </w:rPr>
              <w:t>Volatile matter</w:t>
            </w:r>
          </w:p>
        </w:tc>
        <w:tc>
          <w:tcPr>
            <w:tcW w:w="694" w:type="pct"/>
            <w:tcBorders>
              <w:top w:val="single" w:sz="4" w:space="0" w:color="auto"/>
              <w:bottom w:val="single" w:sz="4" w:space="0" w:color="auto"/>
            </w:tcBorders>
          </w:tcPr>
          <w:p w:rsidR="00263F1A" w:rsidRPr="00352EA8" w:rsidRDefault="00263F1A" w:rsidP="00EB08DA">
            <w:pPr>
              <w:pStyle w:val="Els-table-text"/>
              <w:spacing w:before="120" w:after="120"/>
              <w:jc w:val="center"/>
              <w:rPr>
                <w:color w:val="auto"/>
                <w:sz w:val="20"/>
                <w:szCs w:val="20"/>
              </w:rPr>
            </w:pPr>
            <w:r w:rsidRPr="00352EA8">
              <w:rPr>
                <w:color w:val="auto"/>
                <w:sz w:val="20"/>
                <w:szCs w:val="20"/>
              </w:rPr>
              <w:t>39.09</w:t>
            </w:r>
          </w:p>
          <w:p w:rsidR="00263F1A" w:rsidRPr="00352EA8" w:rsidRDefault="00263F1A" w:rsidP="00EB08DA">
            <w:pPr>
              <w:pStyle w:val="Els-table-text"/>
              <w:spacing w:before="120" w:after="120"/>
              <w:jc w:val="center"/>
              <w:rPr>
                <w:color w:val="auto"/>
                <w:sz w:val="20"/>
                <w:szCs w:val="20"/>
              </w:rPr>
            </w:pPr>
            <w:r w:rsidRPr="00352EA8">
              <w:rPr>
                <w:color w:val="auto"/>
                <w:sz w:val="20"/>
                <w:szCs w:val="20"/>
              </w:rPr>
              <w:t>60.91</w:t>
            </w:r>
          </w:p>
        </w:tc>
        <w:tc>
          <w:tcPr>
            <w:tcW w:w="792"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35.50</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64.50</w:t>
            </w:r>
          </w:p>
        </w:tc>
        <w:tc>
          <w:tcPr>
            <w:tcW w:w="792" w:type="pct"/>
            <w:tcBorders>
              <w:top w:val="single" w:sz="4" w:space="0" w:color="auto"/>
              <w:bottom w:val="single" w:sz="4" w:space="0" w:color="auto"/>
            </w:tcBorders>
          </w:tcPr>
          <w:p w:rsidR="00263F1A" w:rsidRPr="00352EA8" w:rsidRDefault="00263F1A" w:rsidP="00EB08DA">
            <w:pPr>
              <w:pStyle w:val="Els-table-text"/>
              <w:spacing w:before="120" w:after="120"/>
              <w:jc w:val="center"/>
              <w:rPr>
                <w:color w:val="auto"/>
                <w:sz w:val="20"/>
                <w:szCs w:val="20"/>
              </w:rPr>
            </w:pPr>
            <w:r w:rsidRPr="00352EA8">
              <w:rPr>
                <w:color w:val="auto"/>
                <w:sz w:val="20"/>
                <w:szCs w:val="20"/>
              </w:rPr>
              <w:t>37.47</w:t>
            </w:r>
          </w:p>
          <w:p w:rsidR="00263F1A" w:rsidRPr="00352EA8" w:rsidRDefault="00263F1A" w:rsidP="00EB08DA">
            <w:pPr>
              <w:pStyle w:val="DecimalAligned"/>
              <w:spacing w:before="120" w:after="12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352EA8">
              <w:rPr>
                <w:rFonts w:ascii="Times New Roman" w:hAnsi="Times New Roman" w:cs="Times New Roman"/>
                <w:color w:val="auto"/>
                <w:sz w:val="20"/>
                <w:szCs w:val="20"/>
              </w:rPr>
              <w:t>62.53</w:t>
            </w:r>
          </w:p>
        </w:tc>
        <w:tc>
          <w:tcPr>
            <w:tcW w:w="741"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37.49</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color w:val="auto"/>
                <w:sz w:val="20"/>
                <w:szCs w:val="20"/>
              </w:rPr>
              <w:t>62.51</w:t>
            </w:r>
          </w:p>
        </w:tc>
      </w:tr>
      <w:tr w:rsidR="00263F1A" w:rsidRPr="00352EA8" w:rsidTr="00617E9E">
        <w:trPr>
          <w:cnfStyle w:val="010000000000" w:firstRow="0" w:lastRow="1" w:firstColumn="0" w:lastColumn="0" w:oddVBand="0" w:evenVBand="0" w:oddHBand="0" w:evenHBand="0" w:firstRowFirstColumn="0" w:firstRowLastColumn="0" w:lastRowFirstColumn="0" w:lastRowLastColumn="0"/>
          <w:trHeight w:val="77"/>
        </w:trPr>
        <w:tc>
          <w:tcPr>
            <w:tcW w:w="990" w:type="pct"/>
            <w:tcBorders>
              <w:top w:val="single" w:sz="4" w:space="0" w:color="auto"/>
              <w:bottom w:val="single" w:sz="4" w:space="0" w:color="auto"/>
            </w:tcBorders>
            <w:noWrap/>
            <w:vAlign w:val="center"/>
          </w:tcPr>
          <w:p w:rsidR="00263F1A" w:rsidRPr="00352EA8" w:rsidRDefault="00263F1A" w:rsidP="00EB08DA">
            <w:pPr>
              <w:pStyle w:val="Els-table-text"/>
              <w:rPr>
                <w:b w:val="0"/>
                <w:color w:val="auto"/>
                <w:sz w:val="20"/>
                <w:szCs w:val="20"/>
              </w:rPr>
            </w:pPr>
            <w:r w:rsidRPr="00352EA8">
              <w:rPr>
                <w:b w:val="0"/>
                <w:color w:val="auto"/>
                <w:sz w:val="20"/>
                <w:szCs w:val="20"/>
              </w:rPr>
              <w:t>Coconut pulp</w:t>
            </w:r>
          </w:p>
        </w:tc>
        <w:tc>
          <w:tcPr>
            <w:tcW w:w="990" w:type="pct"/>
            <w:tcBorders>
              <w:top w:val="single" w:sz="4" w:space="0" w:color="auto"/>
              <w:bottom w:val="single" w:sz="4" w:space="0" w:color="auto"/>
            </w:tcBorders>
            <w:vAlign w:val="center"/>
          </w:tcPr>
          <w:p w:rsidR="00263F1A" w:rsidRPr="00352EA8" w:rsidRDefault="00263F1A" w:rsidP="00EB08DA">
            <w:pPr>
              <w:pStyle w:val="Els-table-text"/>
              <w:spacing w:before="120" w:after="120"/>
              <w:rPr>
                <w:b w:val="0"/>
                <w:color w:val="auto"/>
                <w:sz w:val="20"/>
                <w:szCs w:val="20"/>
              </w:rPr>
            </w:pPr>
            <w:r w:rsidRPr="00352EA8">
              <w:rPr>
                <w:b w:val="0"/>
                <w:color w:val="auto"/>
                <w:sz w:val="20"/>
                <w:szCs w:val="20"/>
              </w:rPr>
              <w:t>Char</w:t>
            </w:r>
          </w:p>
          <w:p w:rsidR="00263F1A" w:rsidRPr="00352EA8" w:rsidRDefault="00263F1A" w:rsidP="00EB08DA">
            <w:pPr>
              <w:pStyle w:val="Els-table-text"/>
              <w:spacing w:before="120" w:after="120"/>
              <w:rPr>
                <w:b w:val="0"/>
                <w:color w:val="auto"/>
                <w:sz w:val="20"/>
                <w:szCs w:val="20"/>
              </w:rPr>
            </w:pPr>
            <w:r w:rsidRPr="00352EA8">
              <w:rPr>
                <w:b w:val="0"/>
                <w:color w:val="auto"/>
                <w:sz w:val="20"/>
                <w:szCs w:val="20"/>
              </w:rPr>
              <w:t xml:space="preserve">Volatile matter </w:t>
            </w:r>
          </w:p>
        </w:tc>
        <w:tc>
          <w:tcPr>
            <w:tcW w:w="694" w:type="pct"/>
            <w:tcBorders>
              <w:top w:val="single" w:sz="4" w:space="0" w:color="auto"/>
              <w:bottom w:val="single" w:sz="4" w:space="0" w:color="auto"/>
            </w:tcBorders>
          </w:tcPr>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19.57</w:t>
            </w:r>
          </w:p>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80.43</w:t>
            </w:r>
          </w:p>
        </w:tc>
        <w:tc>
          <w:tcPr>
            <w:tcW w:w="792"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17.46</w:t>
            </w:r>
          </w:p>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82.54</w:t>
            </w:r>
          </w:p>
        </w:tc>
        <w:tc>
          <w:tcPr>
            <w:tcW w:w="792" w:type="pct"/>
            <w:tcBorders>
              <w:top w:val="single" w:sz="4" w:space="0" w:color="auto"/>
              <w:bottom w:val="single" w:sz="4" w:space="0" w:color="auto"/>
            </w:tcBorders>
          </w:tcPr>
          <w:p w:rsidR="00263F1A" w:rsidRPr="00352EA8" w:rsidRDefault="00263F1A" w:rsidP="00EB08DA">
            <w:pPr>
              <w:pStyle w:val="Els-table-text"/>
              <w:spacing w:before="120" w:after="120"/>
              <w:jc w:val="center"/>
              <w:rPr>
                <w:b w:val="0"/>
                <w:color w:val="auto"/>
                <w:sz w:val="20"/>
                <w:szCs w:val="20"/>
              </w:rPr>
            </w:pPr>
            <w:r w:rsidRPr="00352EA8">
              <w:rPr>
                <w:b w:val="0"/>
                <w:color w:val="auto"/>
                <w:sz w:val="20"/>
                <w:szCs w:val="20"/>
              </w:rPr>
              <w:t>16.56</w:t>
            </w:r>
          </w:p>
          <w:p w:rsidR="00263F1A" w:rsidRPr="00352EA8" w:rsidRDefault="00263F1A" w:rsidP="00EB08DA">
            <w:pPr>
              <w:pStyle w:val="DecimalAligned"/>
              <w:spacing w:before="120" w:after="120" w:line="240" w:lineRule="auto"/>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w:t>
            </w:r>
            <w:r w:rsidRPr="00352EA8">
              <w:rPr>
                <w:rFonts w:ascii="Times New Roman" w:hAnsi="Times New Roman" w:cs="Times New Roman"/>
                <w:b w:val="0"/>
                <w:color w:val="auto"/>
                <w:sz w:val="20"/>
                <w:szCs w:val="20"/>
              </w:rPr>
              <w:t>83.44</w:t>
            </w:r>
          </w:p>
        </w:tc>
        <w:tc>
          <w:tcPr>
            <w:tcW w:w="741" w:type="pct"/>
            <w:tcBorders>
              <w:top w:val="single" w:sz="4" w:space="0" w:color="auto"/>
              <w:bottom w:val="single" w:sz="4" w:space="0" w:color="auto"/>
            </w:tcBorders>
          </w:tcPr>
          <w:p w:rsidR="00263F1A" w:rsidRPr="00352EA8" w:rsidRDefault="00263F1A" w:rsidP="00EB08DA">
            <w:pPr>
              <w:pStyle w:val="DecimalAligned"/>
              <w:spacing w:before="120" w:after="120" w:line="240" w:lineRule="auto"/>
              <w:jc w:val="center"/>
              <w:rPr>
                <w:rFonts w:ascii="Times New Roman" w:hAnsi="Times New Roman" w:cs="Times New Roman"/>
                <w:b w:val="0"/>
                <w:color w:val="auto"/>
                <w:sz w:val="20"/>
                <w:szCs w:val="20"/>
              </w:rPr>
            </w:pPr>
            <w:r w:rsidRPr="00352EA8">
              <w:rPr>
                <w:rFonts w:ascii="Times New Roman" w:hAnsi="Times New Roman" w:cs="Times New Roman"/>
                <w:b w:val="0"/>
                <w:color w:val="auto"/>
                <w:sz w:val="20"/>
                <w:szCs w:val="20"/>
              </w:rPr>
              <w:t>18.64</w:t>
            </w:r>
          </w:p>
          <w:p w:rsidR="00263F1A" w:rsidRPr="00352EA8" w:rsidRDefault="00263F1A" w:rsidP="00EB08DA">
            <w:pPr>
              <w:pStyle w:val="DecimalAligned"/>
              <w:spacing w:before="120" w:after="120" w:line="240" w:lineRule="auto"/>
              <w:jc w:val="center"/>
              <w:rPr>
                <w:rFonts w:ascii="Times New Roman" w:hAnsi="Times New Roman" w:cs="Times New Roman"/>
                <w:color w:val="auto"/>
                <w:sz w:val="20"/>
                <w:szCs w:val="20"/>
              </w:rPr>
            </w:pPr>
            <w:r w:rsidRPr="00352EA8">
              <w:rPr>
                <w:rFonts w:ascii="Times New Roman" w:hAnsi="Times New Roman" w:cs="Times New Roman"/>
                <w:b w:val="0"/>
                <w:color w:val="auto"/>
                <w:sz w:val="20"/>
                <w:szCs w:val="20"/>
              </w:rPr>
              <w:t>81.36</w:t>
            </w:r>
          </w:p>
        </w:tc>
      </w:tr>
    </w:tbl>
    <w:p w:rsidR="006768E9" w:rsidRDefault="006768E9" w:rsidP="00263F1A">
      <w:pPr>
        <w:spacing w:after="0" w:line="240" w:lineRule="auto"/>
        <w:jc w:val="center"/>
        <w:rPr>
          <w:rFonts w:ascii="Times New Roman" w:hAnsi="Times New Roman"/>
          <w:noProof/>
          <w:sz w:val="20"/>
          <w:szCs w:val="20"/>
          <w:lang w:bidi="ar-SA"/>
        </w:rPr>
      </w:pPr>
    </w:p>
    <w:p w:rsidR="00EB08DA" w:rsidRPr="00263F1A" w:rsidRDefault="00EB08DA" w:rsidP="00263F1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B08DA" w:rsidRDefault="00EB08DA" w:rsidP="00EB08DA">
      <w:pPr>
        <w:pStyle w:val="TTPSectionHeading"/>
        <w:spacing w:before="0" w:after="0"/>
        <w:rPr>
          <w:b w:val="0"/>
          <w:bCs w:val="0"/>
          <w:sz w:val="20"/>
          <w:szCs w:val="20"/>
        </w:rPr>
      </w:pPr>
      <w:r w:rsidRPr="009014CC">
        <w:rPr>
          <w:b w:val="0"/>
          <w:bCs w:val="0"/>
          <w:sz w:val="20"/>
          <w:szCs w:val="20"/>
        </w:rPr>
        <w:t>There are many factors influencing the pyrolysis process. The main factors discussed in this research are the effect of particle size, heating rate and the properties of biomass itself.</w:t>
      </w:r>
      <w:r w:rsidRPr="009014CC">
        <w:rPr>
          <w:bCs w:val="0"/>
          <w:sz w:val="20"/>
          <w:szCs w:val="20"/>
        </w:rPr>
        <w:t xml:space="preserve"> </w:t>
      </w:r>
      <w:r w:rsidRPr="009014CC">
        <w:rPr>
          <w:b w:val="0"/>
          <w:bCs w:val="0"/>
          <w:sz w:val="20"/>
          <w:szCs w:val="20"/>
        </w:rPr>
        <w:t>Smaller particle size produces 2.11-3.59% less volatile product when pyrolized at 50</w:t>
      </w:r>
      <w:r w:rsidRPr="009014CC">
        <w:rPr>
          <w:rFonts w:eastAsia="Calibri"/>
          <w:b w:val="0"/>
          <w:sz w:val="20"/>
          <w:szCs w:val="20"/>
        </w:rPr>
        <w:t>°C/min</w:t>
      </w:r>
      <w:r w:rsidRPr="009014CC">
        <w:rPr>
          <w:b w:val="0"/>
          <w:bCs w:val="0"/>
          <w:sz w:val="20"/>
          <w:szCs w:val="20"/>
        </w:rPr>
        <w:t>. At higher heating rate however, the amount of volatiles is 2.08% higher for dp</w:t>
      </w:r>
      <w:r w:rsidRPr="009014CC">
        <w:rPr>
          <w:b w:val="0"/>
          <w:bCs w:val="0"/>
          <w:sz w:val="20"/>
          <w:szCs w:val="20"/>
          <w:vertAlign w:val="subscript"/>
        </w:rPr>
        <w:t>1</w:t>
      </w:r>
      <w:r w:rsidRPr="009014CC">
        <w:rPr>
          <w:b w:val="0"/>
          <w:bCs w:val="0"/>
          <w:sz w:val="20"/>
          <w:szCs w:val="20"/>
        </w:rPr>
        <w:t>. As such, it can be concluded that particle size has insignificant effect on pyrolysis of rice husk and coconut pulp. Higher heating rate however causes biomass to be degraded under a narrow temperature range by 25</w:t>
      </w:r>
      <w:r w:rsidRPr="009014CC">
        <w:rPr>
          <w:rFonts w:eastAsia="Calibri"/>
          <w:b w:val="0"/>
          <w:sz w:val="20"/>
          <w:szCs w:val="20"/>
        </w:rPr>
        <w:t xml:space="preserve">°C. It also </w:t>
      </w:r>
      <w:r w:rsidRPr="009014CC">
        <w:rPr>
          <w:b w:val="0"/>
          <w:bCs w:val="0"/>
          <w:sz w:val="20"/>
          <w:szCs w:val="20"/>
        </w:rPr>
        <w:t>increases the maximum peak rate by 0.01 mg/s for rice husk at dp</w:t>
      </w:r>
      <w:r w:rsidRPr="009014CC">
        <w:rPr>
          <w:b w:val="0"/>
          <w:bCs w:val="0"/>
          <w:sz w:val="20"/>
          <w:szCs w:val="20"/>
          <w:vertAlign w:val="subscript"/>
        </w:rPr>
        <w:t>1</w:t>
      </w:r>
      <w:r w:rsidRPr="009014CC">
        <w:rPr>
          <w:rFonts w:eastAsia="Calibri"/>
          <w:b w:val="0"/>
          <w:sz w:val="20"/>
          <w:szCs w:val="20"/>
        </w:rPr>
        <w:t xml:space="preserve"> and 0.02 mg/s at </w:t>
      </w:r>
      <w:r w:rsidRPr="009014CC">
        <w:rPr>
          <w:b w:val="0"/>
          <w:bCs w:val="0"/>
          <w:sz w:val="20"/>
          <w:szCs w:val="20"/>
        </w:rPr>
        <w:t>dp</w:t>
      </w:r>
      <w:r w:rsidRPr="009014CC">
        <w:rPr>
          <w:b w:val="0"/>
          <w:bCs w:val="0"/>
          <w:sz w:val="20"/>
          <w:szCs w:val="20"/>
          <w:vertAlign w:val="subscript"/>
        </w:rPr>
        <w:t>2</w:t>
      </w:r>
      <w:r w:rsidRPr="009014CC">
        <w:rPr>
          <w:b w:val="0"/>
          <w:bCs w:val="0"/>
          <w:sz w:val="20"/>
          <w:szCs w:val="20"/>
        </w:rPr>
        <w:t>. In case of coconut pulp, the change is not significant for dp</w:t>
      </w:r>
      <w:r w:rsidRPr="009014CC">
        <w:rPr>
          <w:b w:val="0"/>
          <w:bCs w:val="0"/>
          <w:sz w:val="20"/>
          <w:szCs w:val="20"/>
          <w:vertAlign w:val="subscript"/>
        </w:rPr>
        <w:t xml:space="preserve">1 </w:t>
      </w:r>
      <w:r w:rsidRPr="009014CC">
        <w:rPr>
          <w:b w:val="0"/>
          <w:sz w:val="20"/>
          <w:szCs w:val="20"/>
        </w:rPr>
        <w:t xml:space="preserve">but for </w:t>
      </w:r>
      <w:r w:rsidRPr="009014CC">
        <w:rPr>
          <w:b w:val="0"/>
          <w:bCs w:val="0"/>
          <w:sz w:val="20"/>
          <w:szCs w:val="20"/>
        </w:rPr>
        <w:t>dp</w:t>
      </w:r>
      <w:r w:rsidRPr="009014CC">
        <w:rPr>
          <w:b w:val="0"/>
          <w:bCs w:val="0"/>
          <w:sz w:val="20"/>
          <w:szCs w:val="20"/>
          <w:vertAlign w:val="subscript"/>
        </w:rPr>
        <w:t xml:space="preserve">2 </w:t>
      </w:r>
      <w:r w:rsidRPr="009014CC">
        <w:rPr>
          <w:b w:val="0"/>
          <w:bCs w:val="0"/>
          <w:sz w:val="20"/>
          <w:szCs w:val="20"/>
        </w:rPr>
        <w:t xml:space="preserve">a 0.02 mg/s changes were recorded. High lignin content in rice husk lowers the amount of volatiles produces which is in accordance to literature findings. Further studies need to be conducted to understand more on the behavior of coconut pulp pyrolysis since it provides a promising potential feedstock for biofuel production. </w:t>
      </w:r>
    </w:p>
    <w:p w:rsidR="006768E9" w:rsidRPr="00802DCC" w:rsidRDefault="006768E9" w:rsidP="00EB08DA">
      <w:pPr>
        <w:spacing w:after="0" w:line="240" w:lineRule="auto"/>
        <w:jc w:val="both"/>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B08DA" w:rsidRDefault="00EB08DA" w:rsidP="00EB08DA">
      <w:pPr>
        <w:pStyle w:val="Els-body-text"/>
        <w:spacing w:line="240" w:lineRule="auto"/>
        <w:ind w:firstLine="0"/>
      </w:pPr>
      <w:r w:rsidRPr="009014CC">
        <w:t>The authors gratefully acknowledge the financial support from Universiti Teknologi Malaysia and Ministry of Higher Education (MOHE) of Malaysia (Q.J130000.2542.07H10</w:t>
      </w:r>
      <w:r w:rsidRPr="009014CC">
        <w:rPr>
          <w:color w:val="000000"/>
        </w:rPr>
        <w:t xml:space="preserve"> and </w:t>
      </w:r>
      <w:r w:rsidRPr="009014CC">
        <w:t>R.J130000.7842.4L128)</w:t>
      </w:r>
      <w:r>
        <w:t>.</w:t>
      </w:r>
    </w:p>
    <w:p w:rsidR="006768E9" w:rsidRPr="00802DCC" w:rsidRDefault="006768E9" w:rsidP="00EB08D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Patel, </w:t>
      </w:r>
      <w:r w:rsidRPr="00B5664E">
        <w:rPr>
          <w:rFonts w:ascii="Times New Roman" w:hAnsi="Times New Roman"/>
          <w:sz w:val="20"/>
          <w:szCs w:val="20"/>
          <w:lang w:val="nl-NL"/>
        </w:rPr>
        <w:t xml:space="preserve">B. and </w:t>
      </w:r>
      <w:r w:rsidRPr="00B5664E">
        <w:rPr>
          <w:rFonts w:ascii="Times New Roman" w:hAnsi="Times New Roman"/>
          <w:sz w:val="20"/>
          <w:szCs w:val="20"/>
        </w:rPr>
        <w:t>Gami, B. (</w:t>
      </w:r>
      <w:r w:rsidRPr="00B5664E">
        <w:rPr>
          <w:rFonts w:ascii="Times New Roman" w:hAnsi="Times New Roman"/>
          <w:iCs/>
          <w:sz w:val="20"/>
          <w:szCs w:val="20"/>
        </w:rPr>
        <w:t>2012).</w:t>
      </w:r>
      <w:r w:rsidRPr="00B5664E">
        <w:rPr>
          <w:rFonts w:ascii="Times New Roman" w:hAnsi="Times New Roman"/>
          <w:sz w:val="20"/>
          <w:szCs w:val="20"/>
        </w:rPr>
        <w:t xml:space="preserve"> Biomass Characterization and its Use as Solid for Combustion. </w:t>
      </w:r>
      <w:r w:rsidRPr="00B5664E">
        <w:rPr>
          <w:rFonts w:ascii="Times New Roman" w:hAnsi="Times New Roman"/>
          <w:i/>
          <w:iCs/>
          <w:sz w:val="20"/>
          <w:szCs w:val="20"/>
        </w:rPr>
        <w:t>Iranica Journal of Energy and Environment</w:t>
      </w:r>
      <w:r w:rsidRPr="00B5664E">
        <w:rPr>
          <w:rFonts w:ascii="Times New Roman" w:hAnsi="Times New Roman"/>
          <w:iCs/>
          <w:sz w:val="20"/>
          <w:szCs w:val="20"/>
        </w:rPr>
        <w:t xml:space="preserve">, </w:t>
      </w:r>
      <w:r w:rsidRPr="00B5664E">
        <w:rPr>
          <w:rFonts w:ascii="Times New Roman" w:hAnsi="Times New Roman"/>
          <w:sz w:val="20"/>
          <w:szCs w:val="20"/>
        </w:rPr>
        <w:t>123-128.</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Zafar, S., (2014). Bioenergy Developments in Malaysia. </w:t>
      </w:r>
      <w:r w:rsidRPr="00B5664E">
        <w:rPr>
          <w:rFonts w:ascii="Times New Roman" w:hAnsi="Times New Roman"/>
          <w:i/>
          <w:sz w:val="20"/>
          <w:szCs w:val="20"/>
        </w:rPr>
        <w:t>Retrieved from http://www.bioenergyconsult.com/tag/biomass-resources-in-malaysia/</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Jahirul, M. I., Rasul, M. G., Chowdhury, A. A. &amp; Ashwath, N. (2012). Biofuels Production through Biomass Pyrolysis - A Technological Review. </w:t>
      </w:r>
      <w:r w:rsidRPr="00B5664E">
        <w:rPr>
          <w:rFonts w:ascii="Times New Roman" w:hAnsi="Times New Roman"/>
          <w:i/>
          <w:sz w:val="20"/>
          <w:szCs w:val="20"/>
        </w:rPr>
        <w:t>Energies 5: 4952-5001</w:t>
      </w:r>
      <w:r w:rsidRPr="00B5664E">
        <w:rPr>
          <w:rFonts w:ascii="Times New Roman" w:hAnsi="Times New Roman"/>
          <w:sz w:val="20"/>
          <w:szCs w:val="20"/>
        </w:rPr>
        <w:t>.</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Mansaray, K. G. and Ghaly, A. E. (1997). Physical and Thermochemical Properties of Rice Husk. </w:t>
      </w:r>
      <w:r w:rsidRPr="00B5664E">
        <w:rPr>
          <w:rFonts w:ascii="Times New Roman" w:hAnsi="Times New Roman"/>
          <w:i/>
          <w:sz w:val="20"/>
          <w:szCs w:val="20"/>
        </w:rPr>
        <w:t>Energy Sources,</w:t>
      </w:r>
      <w:r w:rsidRPr="00B5664E">
        <w:rPr>
          <w:rFonts w:ascii="Times New Roman" w:hAnsi="Times New Roman"/>
          <w:sz w:val="20"/>
          <w:szCs w:val="20"/>
        </w:rPr>
        <w:t xml:space="preserve"> 27: 989-1004.</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Chuayjuljit, S., Eiumnoh, S. and Potiyaraj, P. (2001). Using Silica from Rice Husk as a Reinforcing Filler In Natural Rubber. </w:t>
      </w:r>
      <w:r w:rsidRPr="00B5664E">
        <w:rPr>
          <w:rFonts w:ascii="Times New Roman" w:hAnsi="Times New Roman"/>
          <w:i/>
          <w:sz w:val="20"/>
          <w:szCs w:val="20"/>
        </w:rPr>
        <w:t>Journal of Scientific Research Chulalongkorn University</w:t>
      </w:r>
      <w:r w:rsidRPr="00B5664E">
        <w:rPr>
          <w:rFonts w:ascii="Times New Roman" w:hAnsi="Times New Roman"/>
          <w:sz w:val="20"/>
          <w:szCs w:val="20"/>
        </w:rPr>
        <w:t xml:space="preserve">, 26: 127-137. </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Stenseng, M., Jensen, A. and Dam-Johansen, K. (2001). Investigation of Biomass Pyrolysis by Thermogravimetric Analysis and Differential Scanning Calorimetry. </w:t>
      </w:r>
      <w:r w:rsidRPr="00B5664E">
        <w:rPr>
          <w:rFonts w:ascii="Times New Roman" w:hAnsi="Times New Roman"/>
          <w:i/>
          <w:iCs/>
          <w:sz w:val="20"/>
          <w:szCs w:val="20"/>
        </w:rPr>
        <w:t xml:space="preserve">Journal of Analytical and Applied Pyrolysis </w:t>
      </w:r>
      <w:r w:rsidRPr="00B5664E">
        <w:rPr>
          <w:rFonts w:ascii="Times New Roman" w:hAnsi="Times New Roman"/>
          <w:sz w:val="20"/>
          <w:szCs w:val="20"/>
        </w:rPr>
        <w:t>58-59: 765-780.</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lastRenderedPageBreak/>
        <w:t xml:space="preserve">Stresov, V., Moghtaderi, B. and Lucas, J. (2003). Thermal Study of Decomposition of Selected Biomass Samples. </w:t>
      </w:r>
      <w:r w:rsidRPr="00B5664E">
        <w:rPr>
          <w:rFonts w:ascii="Times New Roman" w:hAnsi="Times New Roman"/>
          <w:i/>
          <w:sz w:val="20"/>
          <w:szCs w:val="20"/>
        </w:rPr>
        <w:t>Journal of Thermal Analysis and Calorimetry</w:t>
      </w:r>
      <w:r w:rsidRPr="00B5664E">
        <w:rPr>
          <w:rFonts w:ascii="Times New Roman" w:hAnsi="Times New Roman"/>
          <w:sz w:val="20"/>
          <w:szCs w:val="20"/>
        </w:rPr>
        <w:t>, 72: 1041-1048.</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Wannapeera, J., Worasuwannarak, N. and Pipatmanomai, S. (2008). Product Yields and Characteristics of Rice Husk, Rice Straw and Corncob During Fast Pyrolysis in a Drop-Tube/Fixed-Bed Reactor. </w:t>
      </w:r>
      <w:r w:rsidRPr="00B5664E">
        <w:rPr>
          <w:rFonts w:ascii="Times New Roman" w:hAnsi="Times New Roman"/>
          <w:i/>
          <w:sz w:val="20"/>
          <w:szCs w:val="20"/>
        </w:rPr>
        <w:t>Songklanakarin J. Sci. Technol</w:t>
      </w:r>
      <w:r w:rsidRPr="00B5664E">
        <w:rPr>
          <w:rFonts w:ascii="Times New Roman" w:hAnsi="Times New Roman"/>
          <w:sz w:val="20"/>
          <w:szCs w:val="20"/>
        </w:rPr>
        <w:t>. 30 (3): 393-404.</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 xml:space="preserve">Ho, Y.S., and Ofomaja, A.E. (2006). Biosorption Thermodynamics of Cadmium on Coconut Copra Meal as Biosorbent. </w:t>
      </w:r>
      <w:r w:rsidRPr="00B5664E">
        <w:rPr>
          <w:rFonts w:ascii="Times New Roman" w:hAnsi="Times New Roman"/>
          <w:i/>
          <w:sz w:val="20"/>
          <w:szCs w:val="20"/>
        </w:rPr>
        <w:t>Biochemical Engineering Journal,</w:t>
      </w:r>
      <w:r w:rsidRPr="00B5664E">
        <w:rPr>
          <w:rFonts w:ascii="Times New Roman" w:hAnsi="Times New Roman"/>
          <w:sz w:val="20"/>
          <w:szCs w:val="20"/>
        </w:rPr>
        <w:t xml:space="preserve"> 30: 117–123.</w:t>
      </w:r>
    </w:p>
    <w:p w:rsidR="00B5664E" w:rsidRPr="00B5664E" w:rsidRDefault="00B5664E" w:rsidP="00B5664E">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B5664E">
        <w:rPr>
          <w:rFonts w:ascii="Times New Roman" w:hAnsi="Times New Roman"/>
          <w:sz w:val="20"/>
          <w:szCs w:val="20"/>
        </w:rPr>
        <w:t>Burhennea, L., Messmer, J., Aicher, T. and Laborie, M. (2013).  The Effect of The Biomass Components Lignin, Cellulose and Hemicellulose on TGA and Fixed Bed Pyrolysis</w:t>
      </w:r>
      <w:r w:rsidRPr="00B5664E">
        <w:rPr>
          <w:rFonts w:ascii="Times New Roman" w:hAnsi="Times New Roman"/>
          <w:i/>
          <w:sz w:val="20"/>
          <w:szCs w:val="20"/>
        </w:rPr>
        <w:t>. Journal of Analytical and Applied Pyrolysis,</w:t>
      </w:r>
      <w:r w:rsidRPr="00B5664E">
        <w:rPr>
          <w:rFonts w:ascii="Times New Roman" w:hAnsi="Times New Roman"/>
          <w:sz w:val="20"/>
          <w:szCs w:val="20"/>
        </w:rPr>
        <w:t xml:space="preserve"> 101: 177–184.</w:t>
      </w:r>
    </w:p>
    <w:p w:rsidR="00E66197" w:rsidRPr="00136AC1" w:rsidRDefault="00E66197" w:rsidP="00136AC1">
      <w:pPr>
        <w:spacing w:after="0" w:line="240" w:lineRule="auto"/>
        <w:rPr>
          <w:rFonts w:ascii="Times New Roman" w:hAnsi="Times New Roman"/>
          <w:noProof/>
          <w:lang w:bidi="ar-SA"/>
        </w:rPr>
      </w:pPr>
    </w:p>
    <w:sectPr w:rsidR="00E66197" w:rsidRPr="00136AC1" w:rsidSect="00555DEA">
      <w:headerReference w:type="even" r:id="rId12"/>
      <w:headerReference w:type="default" r:id="rId13"/>
      <w:footerReference w:type="even" r:id="rId14"/>
      <w:footerReference w:type="default" r:id="rId15"/>
      <w:pgSz w:w="12240" w:h="15840" w:code="1"/>
      <w:pgMar w:top="1800" w:right="1469" w:bottom="1699" w:left="1440" w:header="706" w:footer="706" w:gutter="0"/>
      <w:pgNumType w:start="7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8C" w:rsidRDefault="001F508C" w:rsidP="00FB4C59">
      <w:pPr>
        <w:spacing w:after="0" w:line="240" w:lineRule="auto"/>
      </w:pPr>
      <w:r>
        <w:separator/>
      </w:r>
    </w:p>
  </w:endnote>
  <w:endnote w:type="continuationSeparator" w:id="0">
    <w:p w:rsidR="001F508C" w:rsidRDefault="001F508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E36BC">
      <w:rPr>
        <w:rFonts w:ascii="Times New Roman" w:hAnsi="Times New Roman"/>
        <w:noProof/>
      </w:rPr>
      <w:t>710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E36BC">
      <w:rPr>
        <w:rFonts w:ascii="Times New Roman" w:hAnsi="Times New Roman"/>
        <w:noProof/>
      </w:rPr>
      <w:t>705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8C" w:rsidRDefault="001F508C" w:rsidP="00FB4C59">
      <w:pPr>
        <w:spacing w:after="0" w:line="240" w:lineRule="auto"/>
      </w:pPr>
      <w:r>
        <w:separator/>
      </w:r>
    </w:p>
  </w:footnote>
  <w:footnote w:type="continuationSeparator" w:id="0">
    <w:p w:rsidR="001F508C" w:rsidRDefault="001F508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64E" w:rsidRPr="00B5664E" w:rsidRDefault="00B5664E" w:rsidP="00B5664E">
    <w:pPr>
      <w:pStyle w:val="TTPTitle"/>
      <w:spacing w:after="0"/>
      <w:ind w:left="1350" w:hanging="1350"/>
      <w:jc w:val="left"/>
      <w:rPr>
        <w:rFonts w:ascii="Times New Roman" w:hAnsi="Times New Roman" w:cs="Times New Roman"/>
        <w:b w:val="0"/>
        <w:sz w:val="20"/>
        <w:szCs w:val="20"/>
      </w:rPr>
    </w:pPr>
    <w:r w:rsidRPr="00B5664E">
      <w:rPr>
        <w:rFonts w:ascii="Times New Roman" w:hAnsi="Times New Roman"/>
        <w:b w:val="0"/>
        <w:sz w:val="20"/>
        <w:szCs w:val="20"/>
      </w:rPr>
      <w:t>Noorhaza et al</w:t>
    </w:r>
    <w:r w:rsidR="00A14DB9" w:rsidRPr="00B5664E">
      <w:rPr>
        <w:rFonts w:ascii="Times New Roman" w:hAnsi="Times New Roman"/>
        <w:b w:val="0"/>
        <w:sz w:val="20"/>
        <w:szCs w:val="20"/>
      </w:rPr>
      <w:t xml:space="preserve">:  </w:t>
    </w:r>
    <w:r w:rsidRPr="00B5664E">
      <w:rPr>
        <w:rFonts w:ascii="Times New Roman" w:hAnsi="Times New Roman" w:cs="Times New Roman"/>
        <w:b w:val="0"/>
        <w:sz w:val="20"/>
        <w:szCs w:val="20"/>
      </w:rPr>
      <w:t>THERMOGRAVIMETRIC ANALYSIS OF RICE HUSK AND COCONUT PULP FOR POTENTIAL BIOFUEL PRODUCTION BY FLASH PYROLYSIS</w:t>
    </w:r>
  </w:p>
  <w:p w:rsidR="00A14DB9" w:rsidRPr="00B5664E" w:rsidRDefault="00A14DB9" w:rsidP="00B56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5664E"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B5664E">
      <w:rPr>
        <w:rFonts w:ascii="Times New Roman" w:hAnsi="Times New Roman"/>
        <w:i/>
        <w:lang w:val="en-US"/>
      </w:rPr>
      <w:t>705 - 710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FB23DF"/>
    <w:multiLevelType w:val="hybridMultilevel"/>
    <w:tmpl w:val="C214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1F508C"/>
    <w:rsid w:val="00263F1A"/>
    <w:rsid w:val="00295A67"/>
    <w:rsid w:val="002B188F"/>
    <w:rsid w:val="002F2505"/>
    <w:rsid w:val="00317C2D"/>
    <w:rsid w:val="00330EFD"/>
    <w:rsid w:val="00361BAF"/>
    <w:rsid w:val="003D585B"/>
    <w:rsid w:val="003E36BC"/>
    <w:rsid w:val="003E7DA6"/>
    <w:rsid w:val="00461C5C"/>
    <w:rsid w:val="00522681"/>
    <w:rsid w:val="005367DB"/>
    <w:rsid w:val="00544B69"/>
    <w:rsid w:val="00555DEA"/>
    <w:rsid w:val="005B2888"/>
    <w:rsid w:val="005E552B"/>
    <w:rsid w:val="006768E9"/>
    <w:rsid w:val="006B1068"/>
    <w:rsid w:val="006C64F5"/>
    <w:rsid w:val="006C780C"/>
    <w:rsid w:val="006D0052"/>
    <w:rsid w:val="006D695E"/>
    <w:rsid w:val="006F22EB"/>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5664E"/>
    <w:rsid w:val="00BB58AF"/>
    <w:rsid w:val="00BC3ED2"/>
    <w:rsid w:val="00BF0954"/>
    <w:rsid w:val="00C31E76"/>
    <w:rsid w:val="00C43D22"/>
    <w:rsid w:val="00C5417D"/>
    <w:rsid w:val="00CA513F"/>
    <w:rsid w:val="00D4023F"/>
    <w:rsid w:val="00D75B35"/>
    <w:rsid w:val="00D878E4"/>
    <w:rsid w:val="00D9792A"/>
    <w:rsid w:val="00E66197"/>
    <w:rsid w:val="00EB08DA"/>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263F1A"/>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263F1A"/>
    <w:pPr>
      <w:autoSpaceDE w:val="0"/>
      <w:autoSpaceDN w:val="0"/>
      <w:spacing w:before="120" w:after="0" w:line="240" w:lineRule="auto"/>
      <w:jc w:val="center"/>
    </w:pPr>
    <w:rPr>
      <w:rFonts w:ascii="Arial" w:hAnsi="Arial" w:cs="Arial"/>
      <w:sz w:val="28"/>
      <w:szCs w:val="28"/>
      <w:lang w:bidi="ar-SA"/>
    </w:rPr>
  </w:style>
  <w:style w:type="paragraph" w:customStyle="1" w:styleId="CETAddress">
    <w:name w:val="CET Address"/>
    <w:basedOn w:val="Normal"/>
    <w:rsid w:val="00263F1A"/>
    <w:pPr>
      <w:keepNext/>
      <w:suppressAutoHyphens/>
      <w:spacing w:line="264" w:lineRule="auto"/>
      <w:contextualSpacing/>
    </w:pPr>
    <w:rPr>
      <w:rFonts w:ascii="Arial" w:hAnsi="Arial"/>
      <w:noProof/>
      <w:sz w:val="16"/>
      <w:szCs w:val="20"/>
      <w:lang w:val="en-GB" w:bidi="ar-SA"/>
    </w:rPr>
  </w:style>
  <w:style w:type="paragraph" w:customStyle="1" w:styleId="TTPSectionHeading">
    <w:name w:val="TTP Section Heading"/>
    <w:basedOn w:val="Normal"/>
    <w:next w:val="Normal"/>
    <w:uiPriority w:val="99"/>
    <w:rsid w:val="00263F1A"/>
    <w:pPr>
      <w:autoSpaceDE w:val="0"/>
      <w:autoSpaceDN w:val="0"/>
      <w:spacing w:before="360" w:after="120" w:line="240" w:lineRule="auto"/>
      <w:jc w:val="both"/>
    </w:pPr>
    <w:rPr>
      <w:rFonts w:ascii="Times New Roman" w:hAnsi="Times New Roman"/>
      <w:b/>
      <w:bCs/>
      <w:sz w:val="24"/>
      <w:szCs w:val="24"/>
      <w:lang w:bidi="ar-SA"/>
    </w:rPr>
  </w:style>
  <w:style w:type="paragraph" w:customStyle="1" w:styleId="Els-body-text">
    <w:name w:val="Els-body-text"/>
    <w:rsid w:val="00263F1A"/>
    <w:pPr>
      <w:keepNext/>
      <w:spacing w:line="240" w:lineRule="exact"/>
      <w:ind w:firstLine="238"/>
      <w:jc w:val="both"/>
    </w:pPr>
    <w:rPr>
      <w:rFonts w:ascii="Times New Roman" w:eastAsia="SimSun" w:hAnsi="Times New Roman"/>
    </w:rPr>
  </w:style>
  <w:style w:type="paragraph" w:customStyle="1" w:styleId="DecimalAligned">
    <w:name w:val="Decimal Aligned"/>
    <w:basedOn w:val="Normal"/>
    <w:uiPriority w:val="40"/>
    <w:qFormat/>
    <w:rsid w:val="00263F1A"/>
    <w:pPr>
      <w:tabs>
        <w:tab w:val="decimal" w:pos="360"/>
      </w:tabs>
    </w:pPr>
    <w:rPr>
      <w:rFonts w:asciiTheme="minorHAnsi" w:eastAsiaTheme="minorEastAsia" w:hAnsiTheme="minorHAnsi" w:cstheme="minorBidi"/>
      <w:lang w:bidi="ar-SA"/>
    </w:rPr>
  </w:style>
  <w:style w:type="table" w:customStyle="1" w:styleId="LightShading-Accent11">
    <w:name w:val="Light Shading - Accent 11"/>
    <w:basedOn w:val="TableNormal"/>
    <w:uiPriority w:val="60"/>
    <w:rsid w:val="00263F1A"/>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263F1A"/>
    <w:pPr>
      <w:keepLines/>
    </w:pPr>
    <w:rPr>
      <w:rFonts w:ascii="Times New Roman" w:eastAsia="SimSun" w:hAnsi="Times New Roman"/>
      <w:bCs/>
      <w:color w:val="000000" w:themeColor="text1"/>
      <w:sz w:val="24"/>
      <w:szCs w:val="24"/>
      <w:lang w:bidi="en-US"/>
    </w:rPr>
  </w:style>
  <w:style w:type="paragraph" w:customStyle="1" w:styleId="TTPParagraphothers">
    <w:name w:val="TTP Paragraph (others)"/>
    <w:basedOn w:val="Normal"/>
    <w:uiPriority w:val="99"/>
    <w:rsid w:val="00263F1A"/>
    <w:pPr>
      <w:autoSpaceDE w:val="0"/>
      <w:autoSpaceDN w:val="0"/>
      <w:spacing w:after="0" w:line="240" w:lineRule="auto"/>
      <w:ind w:firstLine="283"/>
      <w:jc w:val="both"/>
    </w:pPr>
    <w:rPr>
      <w:rFonts w:ascii="Times New Roman" w:hAnsi="Times New Roman"/>
      <w:sz w:val="24"/>
      <w:szCs w:val="24"/>
      <w:lang w:bidi="ar-SA"/>
    </w:rPr>
  </w:style>
  <w:style w:type="character" w:styleId="Hyperlink">
    <w:name w:val="Hyperlink"/>
    <w:basedOn w:val="DefaultParagraphFont"/>
    <w:uiPriority w:val="99"/>
    <w:unhideWhenUsed/>
    <w:rsid w:val="00B566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263F1A"/>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263F1A"/>
    <w:pPr>
      <w:autoSpaceDE w:val="0"/>
      <w:autoSpaceDN w:val="0"/>
      <w:spacing w:before="120" w:after="0" w:line="240" w:lineRule="auto"/>
      <w:jc w:val="center"/>
    </w:pPr>
    <w:rPr>
      <w:rFonts w:ascii="Arial" w:hAnsi="Arial" w:cs="Arial"/>
      <w:sz w:val="28"/>
      <w:szCs w:val="28"/>
      <w:lang w:bidi="ar-SA"/>
    </w:rPr>
  </w:style>
  <w:style w:type="paragraph" w:customStyle="1" w:styleId="CETAddress">
    <w:name w:val="CET Address"/>
    <w:basedOn w:val="Normal"/>
    <w:rsid w:val="00263F1A"/>
    <w:pPr>
      <w:keepNext/>
      <w:suppressAutoHyphens/>
      <w:spacing w:line="264" w:lineRule="auto"/>
      <w:contextualSpacing/>
    </w:pPr>
    <w:rPr>
      <w:rFonts w:ascii="Arial" w:hAnsi="Arial"/>
      <w:noProof/>
      <w:sz w:val="16"/>
      <w:szCs w:val="20"/>
      <w:lang w:val="en-GB" w:bidi="ar-SA"/>
    </w:rPr>
  </w:style>
  <w:style w:type="paragraph" w:customStyle="1" w:styleId="TTPSectionHeading">
    <w:name w:val="TTP Section Heading"/>
    <w:basedOn w:val="Normal"/>
    <w:next w:val="Normal"/>
    <w:uiPriority w:val="99"/>
    <w:rsid w:val="00263F1A"/>
    <w:pPr>
      <w:autoSpaceDE w:val="0"/>
      <w:autoSpaceDN w:val="0"/>
      <w:spacing w:before="360" w:after="120" w:line="240" w:lineRule="auto"/>
      <w:jc w:val="both"/>
    </w:pPr>
    <w:rPr>
      <w:rFonts w:ascii="Times New Roman" w:hAnsi="Times New Roman"/>
      <w:b/>
      <w:bCs/>
      <w:sz w:val="24"/>
      <w:szCs w:val="24"/>
      <w:lang w:bidi="ar-SA"/>
    </w:rPr>
  </w:style>
  <w:style w:type="paragraph" w:customStyle="1" w:styleId="Els-body-text">
    <w:name w:val="Els-body-text"/>
    <w:rsid w:val="00263F1A"/>
    <w:pPr>
      <w:keepNext/>
      <w:spacing w:line="240" w:lineRule="exact"/>
      <w:ind w:firstLine="238"/>
      <w:jc w:val="both"/>
    </w:pPr>
    <w:rPr>
      <w:rFonts w:ascii="Times New Roman" w:eastAsia="SimSun" w:hAnsi="Times New Roman"/>
    </w:rPr>
  </w:style>
  <w:style w:type="paragraph" w:customStyle="1" w:styleId="DecimalAligned">
    <w:name w:val="Decimal Aligned"/>
    <w:basedOn w:val="Normal"/>
    <w:uiPriority w:val="40"/>
    <w:qFormat/>
    <w:rsid w:val="00263F1A"/>
    <w:pPr>
      <w:tabs>
        <w:tab w:val="decimal" w:pos="360"/>
      </w:tabs>
    </w:pPr>
    <w:rPr>
      <w:rFonts w:asciiTheme="minorHAnsi" w:eastAsiaTheme="minorEastAsia" w:hAnsiTheme="minorHAnsi" w:cstheme="minorBidi"/>
      <w:lang w:bidi="ar-SA"/>
    </w:rPr>
  </w:style>
  <w:style w:type="table" w:customStyle="1" w:styleId="LightShading-Accent11">
    <w:name w:val="Light Shading - Accent 11"/>
    <w:basedOn w:val="TableNormal"/>
    <w:uiPriority w:val="60"/>
    <w:rsid w:val="00263F1A"/>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table-text">
    <w:name w:val="Els-table-text"/>
    <w:autoRedefine/>
    <w:rsid w:val="00263F1A"/>
    <w:pPr>
      <w:keepLines/>
    </w:pPr>
    <w:rPr>
      <w:rFonts w:ascii="Times New Roman" w:eastAsia="SimSun" w:hAnsi="Times New Roman"/>
      <w:bCs/>
      <w:color w:val="000000" w:themeColor="text1"/>
      <w:sz w:val="24"/>
      <w:szCs w:val="24"/>
      <w:lang w:bidi="en-US"/>
    </w:rPr>
  </w:style>
  <w:style w:type="paragraph" w:customStyle="1" w:styleId="TTPParagraphothers">
    <w:name w:val="TTP Paragraph (others)"/>
    <w:basedOn w:val="Normal"/>
    <w:uiPriority w:val="99"/>
    <w:rsid w:val="00263F1A"/>
    <w:pPr>
      <w:autoSpaceDE w:val="0"/>
      <w:autoSpaceDN w:val="0"/>
      <w:spacing w:after="0" w:line="240" w:lineRule="auto"/>
      <w:ind w:firstLine="283"/>
      <w:jc w:val="both"/>
    </w:pPr>
    <w:rPr>
      <w:rFonts w:ascii="Times New Roman" w:hAnsi="Times New Roman"/>
      <w:sz w:val="24"/>
      <w:szCs w:val="24"/>
      <w:lang w:bidi="ar-SA"/>
    </w:rPr>
  </w:style>
  <w:style w:type="character" w:styleId="Hyperlink">
    <w:name w:val="Hyperlink"/>
    <w:basedOn w:val="DefaultParagraphFont"/>
    <w:uiPriority w:val="99"/>
    <w:unhideWhenUsed/>
    <w:rsid w:val="00B56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78BB-F427-4116-BEEA-E02B49C3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2014-11-24T16:08:00Z</cp:lastPrinted>
  <dcterms:created xsi:type="dcterms:W3CDTF">2014-11-24T15:28:00Z</dcterms:created>
  <dcterms:modified xsi:type="dcterms:W3CDTF">2014-11-27T15:29:00Z</dcterms:modified>
</cp:coreProperties>
</file>