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3B" w:rsidRDefault="0026623B" w:rsidP="0026623B">
      <w:pPr>
        <w:jc w:val="center"/>
        <w:rPr>
          <w:rFonts w:ascii="Times New Roman" w:hAnsi="Times New Roman"/>
          <w:b/>
          <w:iCs/>
          <w:sz w:val="28"/>
          <w:szCs w:val="28"/>
        </w:rPr>
      </w:pPr>
      <w:r w:rsidRPr="008B5D42">
        <w:rPr>
          <w:rFonts w:ascii="Times New Roman" w:hAnsi="Times New Roman"/>
          <w:b/>
          <w:sz w:val="28"/>
          <w:szCs w:val="28"/>
        </w:rPr>
        <w:t>PHYTOCHEMICAL SCREENING, TOTAL PHENOL ESTIMATION</w:t>
      </w:r>
      <w:r w:rsidR="00400743">
        <w:rPr>
          <w:rFonts w:ascii="Times New Roman" w:hAnsi="Times New Roman"/>
          <w:b/>
          <w:sz w:val="28"/>
          <w:szCs w:val="28"/>
        </w:rPr>
        <w:t xml:space="preserve">, </w:t>
      </w:r>
      <w:r w:rsidRPr="008B5D42">
        <w:rPr>
          <w:rFonts w:ascii="Times New Roman" w:hAnsi="Times New Roman"/>
          <w:b/>
          <w:sz w:val="28"/>
          <w:szCs w:val="28"/>
        </w:rPr>
        <w:t xml:space="preserve">ANTIOXIDANT ACTIVITY </w:t>
      </w:r>
      <w:r w:rsidRPr="008B5D42">
        <w:rPr>
          <w:rFonts w:ascii="Times New Roman" w:hAnsi="Times New Roman"/>
          <w:b/>
          <w:iCs/>
          <w:sz w:val="28"/>
          <w:szCs w:val="28"/>
        </w:rPr>
        <w:t>OF</w:t>
      </w:r>
      <w:r>
        <w:rPr>
          <w:rFonts w:ascii="Times New Roman" w:hAnsi="Times New Roman"/>
          <w:b/>
          <w:iCs/>
          <w:sz w:val="28"/>
          <w:szCs w:val="28"/>
        </w:rPr>
        <w:t xml:space="preserve"> </w:t>
      </w:r>
      <w:r w:rsidRPr="008B5D42">
        <w:rPr>
          <w:rFonts w:ascii="Times New Roman" w:hAnsi="Times New Roman"/>
          <w:b/>
          <w:i/>
          <w:sz w:val="28"/>
          <w:szCs w:val="28"/>
        </w:rPr>
        <w:t>BLAINVILLEA ACMELLA</w:t>
      </w:r>
      <w:r>
        <w:rPr>
          <w:rFonts w:ascii="Times New Roman" w:hAnsi="Times New Roman"/>
          <w:b/>
          <w:i/>
          <w:sz w:val="28"/>
          <w:szCs w:val="28"/>
        </w:rPr>
        <w:t xml:space="preserve"> </w:t>
      </w:r>
      <w:r w:rsidRPr="008B5D42">
        <w:rPr>
          <w:rFonts w:ascii="Times New Roman" w:hAnsi="Times New Roman"/>
          <w:b/>
          <w:iCs/>
          <w:sz w:val="28"/>
          <w:szCs w:val="28"/>
        </w:rPr>
        <w:t>LEAF AND STEM SUCCESSIVE EXTRACTS</w:t>
      </w:r>
    </w:p>
    <w:p w:rsidR="0026623B" w:rsidRPr="00400743" w:rsidRDefault="0026623B" w:rsidP="00400743">
      <w:pPr>
        <w:jc w:val="center"/>
        <w:rPr>
          <w:rFonts w:ascii="Times New Roman" w:hAnsi="Times New Roman"/>
          <w:iCs/>
          <w:sz w:val="28"/>
          <w:szCs w:val="28"/>
        </w:rPr>
      </w:pPr>
      <w:r w:rsidRPr="0026623B">
        <w:rPr>
          <w:rFonts w:ascii="Times New Roman" w:hAnsi="Times New Roman"/>
          <w:iCs/>
          <w:sz w:val="28"/>
          <w:szCs w:val="28"/>
        </w:rPr>
        <w:t>(</w:t>
      </w:r>
      <w:proofErr w:type="spellStart"/>
      <w:r>
        <w:rPr>
          <w:rFonts w:ascii="Times New Roman" w:hAnsi="Times New Roman"/>
          <w:iCs/>
          <w:sz w:val="28"/>
          <w:szCs w:val="28"/>
        </w:rPr>
        <w:t>Ujian</w:t>
      </w:r>
      <w:proofErr w:type="spellEnd"/>
      <w:r>
        <w:rPr>
          <w:rFonts w:ascii="Times New Roman" w:hAnsi="Times New Roman"/>
          <w:iCs/>
          <w:sz w:val="28"/>
          <w:szCs w:val="28"/>
        </w:rPr>
        <w:t xml:space="preserve"> </w:t>
      </w:r>
      <w:proofErr w:type="spellStart"/>
      <w:r>
        <w:rPr>
          <w:rFonts w:ascii="Times New Roman" w:hAnsi="Times New Roman"/>
          <w:iCs/>
          <w:sz w:val="28"/>
          <w:szCs w:val="28"/>
        </w:rPr>
        <w:t>Penyaringan</w:t>
      </w:r>
      <w:proofErr w:type="spellEnd"/>
      <w:r>
        <w:rPr>
          <w:rFonts w:ascii="Times New Roman" w:hAnsi="Times New Roman"/>
          <w:iCs/>
          <w:sz w:val="28"/>
          <w:szCs w:val="28"/>
        </w:rPr>
        <w:t xml:space="preserve"> </w:t>
      </w:r>
      <w:proofErr w:type="spellStart"/>
      <w:r>
        <w:rPr>
          <w:rFonts w:ascii="Times New Roman" w:hAnsi="Times New Roman"/>
          <w:iCs/>
          <w:sz w:val="28"/>
          <w:szCs w:val="28"/>
        </w:rPr>
        <w:t>Fitokimia</w:t>
      </w:r>
      <w:proofErr w:type="spellEnd"/>
      <w:r>
        <w:rPr>
          <w:rFonts w:ascii="Times New Roman" w:hAnsi="Times New Roman"/>
          <w:iCs/>
          <w:sz w:val="28"/>
          <w:szCs w:val="28"/>
        </w:rPr>
        <w:t xml:space="preserve">, </w:t>
      </w:r>
      <w:proofErr w:type="spellStart"/>
      <w:r>
        <w:rPr>
          <w:rFonts w:ascii="Times New Roman" w:hAnsi="Times New Roman"/>
          <w:iCs/>
          <w:sz w:val="28"/>
          <w:szCs w:val="28"/>
        </w:rPr>
        <w:t>Penganggaran</w:t>
      </w:r>
      <w:proofErr w:type="spellEnd"/>
      <w:r>
        <w:rPr>
          <w:rFonts w:ascii="Times New Roman" w:hAnsi="Times New Roman"/>
          <w:iCs/>
          <w:sz w:val="28"/>
          <w:szCs w:val="28"/>
        </w:rPr>
        <w:t xml:space="preserve"> </w:t>
      </w:r>
      <w:proofErr w:type="spellStart"/>
      <w:r>
        <w:rPr>
          <w:rFonts w:ascii="Times New Roman" w:hAnsi="Times New Roman"/>
          <w:iCs/>
          <w:sz w:val="28"/>
          <w:szCs w:val="28"/>
        </w:rPr>
        <w:t>Fenol</w:t>
      </w:r>
      <w:proofErr w:type="spellEnd"/>
      <w:r>
        <w:rPr>
          <w:rFonts w:ascii="Times New Roman" w:hAnsi="Times New Roman"/>
          <w:iCs/>
          <w:sz w:val="28"/>
          <w:szCs w:val="28"/>
        </w:rPr>
        <w:t xml:space="preserve"> </w:t>
      </w:r>
      <w:proofErr w:type="spellStart"/>
      <w:r>
        <w:rPr>
          <w:rFonts w:ascii="Times New Roman" w:hAnsi="Times New Roman"/>
          <w:iCs/>
          <w:sz w:val="28"/>
          <w:szCs w:val="28"/>
        </w:rPr>
        <w:t>dan</w:t>
      </w:r>
      <w:proofErr w:type="spellEnd"/>
      <w:r>
        <w:rPr>
          <w:rFonts w:ascii="Times New Roman" w:hAnsi="Times New Roman"/>
          <w:iCs/>
          <w:sz w:val="28"/>
          <w:szCs w:val="28"/>
        </w:rPr>
        <w:t xml:space="preserve"> </w:t>
      </w:r>
      <w:proofErr w:type="spellStart"/>
      <w:r>
        <w:rPr>
          <w:rFonts w:ascii="Times New Roman" w:hAnsi="Times New Roman"/>
          <w:iCs/>
          <w:sz w:val="28"/>
          <w:szCs w:val="28"/>
        </w:rPr>
        <w:t>Aktiviti</w:t>
      </w:r>
      <w:proofErr w:type="spellEnd"/>
      <w:r>
        <w:rPr>
          <w:rFonts w:ascii="Times New Roman" w:hAnsi="Times New Roman"/>
          <w:iCs/>
          <w:sz w:val="28"/>
          <w:szCs w:val="28"/>
        </w:rPr>
        <w:t xml:space="preserve"> </w:t>
      </w:r>
      <w:proofErr w:type="spellStart"/>
      <w:r>
        <w:rPr>
          <w:rFonts w:ascii="Times New Roman" w:hAnsi="Times New Roman"/>
          <w:iCs/>
          <w:sz w:val="28"/>
          <w:szCs w:val="28"/>
        </w:rPr>
        <w:t>Antioksida</w:t>
      </w:r>
      <w:r w:rsidR="00311640">
        <w:rPr>
          <w:rFonts w:ascii="Times New Roman" w:hAnsi="Times New Roman"/>
          <w:iCs/>
          <w:sz w:val="28"/>
          <w:szCs w:val="28"/>
        </w:rPr>
        <w:t>n</w:t>
      </w:r>
      <w:proofErr w:type="spellEnd"/>
      <w:r w:rsidR="00311640">
        <w:rPr>
          <w:rFonts w:ascii="Times New Roman" w:hAnsi="Times New Roman"/>
          <w:iCs/>
          <w:sz w:val="28"/>
          <w:szCs w:val="28"/>
        </w:rPr>
        <w:t xml:space="preserve"> </w:t>
      </w:r>
      <w:proofErr w:type="spellStart"/>
      <w:r w:rsidR="00400743" w:rsidRPr="00400743">
        <w:rPr>
          <w:rFonts w:ascii="Times New Roman" w:hAnsi="Times New Roman"/>
          <w:i/>
          <w:iCs/>
          <w:sz w:val="28"/>
          <w:szCs w:val="28"/>
        </w:rPr>
        <w:t>Blainvillea</w:t>
      </w:r>
      <w:proofErr w:type="spellEnd"/>
      <w:r w:rsidR="00400743" w:rsidRPr="00400743">
        <w:rPr>
          <w:rFonts w:ascii="Times New Roman" w:hAnsi="Times New Roman"/>
          <w:i/>
          <w:iCs/>
          <w:sz w:val="28"/>
          <w:szCs w:val="28"/>
        </w:rPr>
        <w:t xml:space="preserve"> </w:t>
      </w:r>
      <w:proofErr w:type="spellStart"/>
      <w:r w:rsidR="00400743" w:rsidRPr="00400743">
        <w:rPr>
          <w:rFonts w:ascii="Times New Roman" w:hAnsi="Times New Roman"/>
          <w:i/>
          <w:iCs/>
          <w:sz w:val="28"/>
          <w:szCs w:val="28"/>
        </w:rPr>
        <w:t>Acmella</w:t>
      </w:r>
      <w:proofErr w:type="spellEnd"/>
      <w:r w:rsidR="00400743">
        <w:rPr>
          <w:rFonts w:ascii="Times New Roman" w:hAnsi="Times New Roman"/>
          <w:iCs/>
          <w:sz w:val="28"/>
          <w:szCs w:val="28"/>
        </w:rPr>
        <w:t xml:space="preserve"> </w:t>
      </w:r>
      <w:proofErr w:type="spellStart"/>
      <w:r w:rsidR="00400743">
        <w:rPr>
          <w:rFonts w:ascii="Times New Roman" w:hAnsi="Times New Roman"/>
          <w:iCs/>
          <w:sz w:val="28"/>
          <w:szCs w:val="28"/>
        </w:rPr>
        <w:t>dan</w:t>
      </w:r>
      <w:proofErr w:type="spellEnd"/>
      <w:r w:rsidR="00400743">
        <w:rPr>
          <w:rFonts w:ascii="Times New Roman" w:hAnsi="Times New Roman"/>
          <w:iCs/>
          <w:sz w:val="28"/>
          <w:szCs w:val="28"/>
        </w:rPr>
        <w:t xml:space="preserve"> </w:t>
      </w:r>
      <w:proofErr w:type="spellStart"/>
      <w:r w:rsidR="00400743">
        <w:rPr>
          <w:rFonts w:ascii="Times New Roman" w:hAnsi="Times New Roman"/>
          <w:iCs/>
          <w:sz w:val="28"/>
          <w:szCs w:val="28"/>
        </w:rPr>
        <w:t>Ekstrak</w:t>
      </w:r>
      <w:proofErr w:type="spellEnd"/>
      <w:r w:rsidR="00400743">
        <w:rPr>
          <w:rFonts w:ascii="Times New Roman" w:hAnsi="Times New Roman"/>
          <w:iCs/>
          <w:sz w:val="28"/>
          <w:szCs w:val="28"/>
        </w:rPr>
        <w:t xml:space="preserve"> </w:t>
      </w:r>
      <w:proofErr w:type="spellStart"/>
      <w:r w:rsidR="00400743">
        <w:rPr>
          <w:rFonts w:ascii="Times New Roman" w:hAnsi="Times New Roman"/>
          <w:iCs/>
          <w:sz w:val="28"/>
          <w:szCs w:val="28"/>
        </w:rPr>
        <w:t>Ber</w:t>
      </w:r>
      <w:r w:rsidR="00400743" w:rsidRPr="00400743">
        <w:rPr>
          <w:rFonts w:ascii="Times New Roman" w:hAnsi="Times New Roman"/>
          <w:iCs/>
          <w:sz w:val="28"/>
          <w:szCs w:val="28"/>
        </w:rPr>
        <w:t>turutan</w:t>
      </w:r>
      <w:proofErr w:type="spellEnd"/>
      <w:r w:rsidR="00400743">
        <w:rPr>
          <w:rFonts w:ascii="Times New Roman" w:hAnsi="Times New Roman"/>
          <w:iCs/>
          <w:sz w:val="28"/>
          <w:szCs w:val="28"/>
        </w:rPr>
        <w:t xml:space="preserve"> </w:t>
      </w:r>
      <w:proofErr w:type="spellStart"/>
      <w:r w:rsidR="00311640">
        <w:rPr>
          <w:rFonts w:ascii="Times New Roman" w:hAnsi="Times New Roman"/>
          <w:iCs/>
          <w:sz w:val="28"/>
          <w:szCs w:val="28"/>
        </w:rPr>
        <w:t>Daun</w:t>
      </w:r>
      <w:proofErr w:type="spellEnd"/>
      <w:r w:rsidR="00311640">
        <w:rPr>
          <w:rFonts w:ascii="Times New Roman" w:hAnsi="Times New Roman"/>
          <w:iCs/>
          <w:sz w:val="28"/>
          <w:szCs w:val="28"/>
        </w:rPr>
        <w:t xml:space="preserve"> </w:t>
      </w:r>
      <w:proofErr w:type="spellStart"/>
      <w:r w:rsidR="00311640">
        <w:rPr>
          <w:rFonts w:ascii="Times New Roman" w:hAnsi="Times New Roman"/>
          <w:iCs/>
          <w:sz w:val="28"/>
          <w:szCs w:val="28"/>
        </w:rPr>
        <w:t>dan</w:t>
      </w:r>
      <w:proofErr w:type="spellEnd"/>
      <w:r w:rsidR="00311640">
        <w:rPr>
          <w:rFonts w:ascii="Times New Roman" w:hAnsi="Times New Roman"/>
          <w:iCs/>
          <w:sz w:val="28"/>
          <w:szCs w:val="28"/>
        </w:rPr>
        <w:t xml:space="preserve"> </w:t>
      </w:r>
      <w:bookmarkStart w:id="0" w:name="_GoBack"/>
      <w:bookmarkEnd w:id="0"/>
      <w:r w:rsidR="00400743">
        <w:rPr>
          <w:rFonts w:ascii="Times New Roman" w:hAnsi="Times New Roman"/>
          <w:iCs/>
          <w:sz w:val="28"/>
          <w:szCs w:val="28"/>
        </w:rPr>
        <w:t>Stem</w:t>
      </w:r>
      <w:r w:rsidRPr="0026623B">
        <w:rPr>
          <w:rFonts w:ascii="Times New Roman" w:hAnsi="Times New Roman"/>
          <w:iCs/>
          <w:sz w:val="28"/>
          <w:szCs w:val="28"/>
        </w:rPr>
        <w:t>)</w:t>
      </w:r>
    </w:p>
    <w:p w:rsidR="0026623B" w:rsidRPr="0026623B" w:rsidRDefault="0026623B" w:rsidP="0026623B">
      <w:pPr>
        <w:spacing w:after="0" w:line="240" w:lineRule="auto"/>
        <w:jc w:val="center"/>
        <w:rPr>
          <w:rFonts w:ascii="Times New Roman" w:hAnsi="Times New Roman"/>
          <w:sz w:val="20"/>
          <w:szCs w:val="20"/>
          <w:vertAlign w:val="superscript"/>
        </w:rPr>
      </w:pPr>
      <w:proofErr w:type="spellStart"/>
      <w:r>
        <w:rPr>
          <w:rFonts w:ascii="Times New Roman" w:hAnsi="Times New Roman"/>
          <w:bCs/>
          <w:sz w:val="20"/>
          <w:szCs w:val="20"/>
        </w:rPr>
        <w:t>Piush</w:t>
      </w:r>
      <w:proofErr w:type="spellEnd"/>
      <w:r>
        <w:rPr>
          <w:rFonts w:ascii="Times New Roman" w:hAnsi="Times New Roman"/>
          <w:bCs/>
          <w:sz w:val="20"/>
          <w:szCs w:val="20"/>
        </w:rPr>
        <w:t xml:space="preserve"> Sharma</w:t>
      </w:r>
      <w:r w:rsidRPr="0026623B">
        <w:rPr>
          <w:rFonts w:ascii="Times New Roman" w:hAnsi="Times New Roman"/>
          <w:bCs/>
          <w:sz w:val="20"/>
          <w:szCs w:val="20"/>
          <w:vertAlign w:val="superscript"/>
        </w:rPr>
        <w:t>1</w:t>
      </w:r>
      <w:r>
        <w:rPr>
          <w:rFonts w:ascii="Times New Roman" w:hAnsi="Times New Roman"/>
          <w:bCs/>
          <w:sz w:val="20"/>
          <w:szCs w:val="20"/>
          <w:vertAlign w:val="superscript"/>
        </w:rPr>
        <w:t>*</w:t>
      </w:r>
      <w:r w:rsidRPr="0026623B">
        <w:rPr>
          <w:rFonts w:ascii="Times New Roman" w:hAnsi="Times New Roman"/>
          <w:bCs/>
          <w:sz w:val="20"/>
          <w:szCs w:val="20"/>
        </w:rPr>
        <w:t>,</w:t>
      </w:r>
      <w:r w:rsidRPr="0026623B">
        <w:rPr>
          <w:rFonts w:ascii="Times New Roman" w:hAnsi="Times New Roman"/>
          <w:sz w:val="20"/>
          <w:szCs w:val="20"/>
        </w:rPr>
        <w:t xml:space="preserve"> Ganesh N. Sharma</w:t>
      </w:r>
      <w:r w:rsidRPr="0026623B">
        <w:rPr>
          <w:rFonts w:ascii="Times New Roman" w:hAnsi="Times New Roman"/>
          <w:sz w:val="20"/>
          <w:szCs w:val="20"/>
          <w:vertAlign w:val="superscript"/>
        </w:rPr>
        <w:t>2</w:t>
      </w:r>
      <w:r w:rsidRPr="0026623B">
        <w:rPr>
          <w:rFonts w:ascii="Times New Roman" w:hAnsi="Times New Roman"/>
          <w:sz w:val="20"/>
          <w:szCs w:val="20"/>
        </w:rPr>
        <w:t>, B. Shrivastava</w:t>
      </w:r>
      <w:r w:rsidRPr="0026623B">
        <w:rPr>
          <w:rFonts w:ascii="Times New Roman" w:hAnsi="Times New Roman"/>
          <w:sz w:val="20"/>
          <w:szCs w:val="20"/>
          <w:vertAlign w:val="superscript"/>
        </w:rPr>
        <w:t>2</w:t>
      </w:r>
      <w:r w:rsidRPr="0026623B">
        <w:rPr>
          <w:rFonts w:ascii="Times New Roman" w:hAnsi="Times New Roman"/>
          <w:sz w:val="20"/>
          <w:szCs w:val="20"/>
        </w:rPr>
        <w:t xml:space="preserve">, </w:t>
      </w:r>
      <w:proofErr w:type="spellStart"/>
      <w:r w:rsidRPr="0026623B">
        <w:rPr>
          <w:rFonts w:ascii="Times New Roman" w:hAnsi="Times New Roman"/>
          <w:sz w:val="20"/>
          <w:szCs w:val="20"/>
        </w:rPr>
        <w:t>Hemant</w:t>
      </w:r>
      <w:proofErr w:type="spellEnd"/>
      <w:r w:rsidRPr="0026623B">
        <w:rPr>
          <w:rFonts w:ascii="Times New Roman" w:hAnsi="Times New Roman"/>
          <w:sz w:val="20"/>
          <w:szCs w:val="20"/>
        </w:rPr>
        <w:t xml:space="preserve"> R. Jadhav</w:t>
      </w:r>
      <w:r w:rsidRPr="0026623B">
        <w:rPr>
          <w:rFonts w:ascii="Times New Roman" w:hAnsi="Times New Roman"/>
          <w:sz w:val="20"/>
          <w:szCs w:val="20"/>
          <w:vertAlign w:val="superscript"/>
        </w:rPr>
        <w:t>3</w:t>
      </w:r>
    </w:p>
    <w:p w:rsidR="0026623B" w:rsidRPr="00C577B4" w:rsidRDefault="0026623B" w:rsidP="0026623B">
      <w:pPr>
        <w:spacing w:after="0" w:line="240" w:lineRule="auto"/>
        <w:jc w:val="center"/>
        <w:rPr>
          <w:rFonts w:ascii="Times New Roman" w:hAnsi="Times New Roman"/>
          <w:sz w:val="20"/>
          <w:szCs w:val="20"/>
          <w:vertAlign w:val="superscript"/>
        </w:rPr>
      </w:pPr>
    </w:p>
    <w:p w:rsidR="0026623B" w:rsidRPr="00C577B4" w:rsidRDefault="0026623B" w:rsidP="0026623B">
      <w:pPr>
        <w:spacing w:after="0" w:line="240" w:lineRule="auto"/>
        <w:jc w:val="center"/>
        <w:rPr>
          <w:rFonts w:ascii="Times New Roman" w:hAnsi="Times New Roman"/>
          <w:i/>
          <w:sz w:val="18"/>
          <w:szCs w:val="18"/>
        </w:rPr>
      </w:pPr>
      <w:proofErr w:type="gramStart"/>
      <w:r w:rsidRPr="00C577B4">
        <w:rPr>
          <w:rFonts w:ascii="Times New Roman" w:hAnsi="Times New Roman"/>
          <w:i/>
          <w:sz w:val="18"/>
          <w:szCs w:val="18"/>
          <w:vertAlign w:val="superscript"/>
        </w:rPr>
        <w:t>1</w:t>
      </w:r>
      <w:r w:rsidRPr="00C577B4">
        <w:rPr>
          <w:rFonts w:ascii="Times New Roman" w:hAnsi="Times New Roman"/>
          <w:i/>
          <w:sz w:val="18"/>
          <w:szCs w:val="18"/>
        </w:rPr>
        <w:t xml:space="preserve">Maharishi </w:t>
      </w:r>
      <w:proofErr w:type="spellStart"/>
      <w:r w:rsidRPr="00C577B4">
        <w:rPr>
          <w:rFonts w:ascii="Times New Roman" w:hAnsi="Times New Roman"/>
          <w:i/>
          <w:sz w:val="18"/>
          <w:szCs w:val="18"/>
        </w:rPr>
        <w:t>Arvind</w:t>
      </w:r>
      <w:proofErr w:type="spellEnd"/>
      <w:r w:rsidRPr="00C577B4">
        <w:rPr>
          <w:rFonts w:ascii="Times New Roman" w:hAnsi="Times New Roman"/>
          <w:i/>
          <w:sz w:val="18"/>
          <w:szCs w:val="18"/>
        </w:rPr>
        <w:t xml:space="preserve"> College of Pharmacy,</w:t>
      </w:r>
      <w:r>
        <w:rPr>
          <w:rFonts w:ascii="Times New Roman" w:hAnsi="Times New Roman"/>
          <w:i/>
          <w:sz w:val="18"/>
          <w:szCs w:val="18"/>
        </w:rPr>
        <w:t xml:space="preserve"> </w:t>
      </w:r>
      <w:proofErr w:type="spellStart"/>
      <w:r w:rsidRPr="00C577B4">
        <w:rPr>
          <w:rFonts w:ascii="Times New Roman" w:hAnsi="Times New Roman"/>
          <w:i/>
          <w:sz w:val="18"/>
          <w:szCs w:val="18"/>
        </w:rPr>
        <w:t>Ambabari</w:t>
      </w:r>
      <w:proofErr w:type="spellEnd"/>
      <w:r w:rsidRPr="00C577B4">
        <w:rPr>
          <w:rFonts w:ascii="Times New Roman" w:hAnsi="Times New Roman"/>
          <w:i/>
          <w:sz w:val="18"/>
          <w:szCs w:val="18"/>
        </w:rPr>
        <w:t>, Jaipur (Raj).</w:t>
      </w:r>
      <w:proofErr w:type="gramEnd"/>
      <w:r w:rsidRPr="00C577B4">
        <w:rPr>
          <w:rFonts w:ascii="Times New Roman" w:hAnsi="Times New Roman"/>
          <w:i/>
          <w:sz w:val="18"/>
          <w:szCs w:val="18"/>
        </w:rPr>
        <w:t xml:space="preserve"> India-302023</w:t>
      </w:r>
    </w:p>
    <w:p w:rsidR="0026623B" w:rsidRDefault="0026623B" w:rsidP="0026623B">
      <w:pPr>
        <w:spacing w:after="0" w:line="240" w:lineRule="auto"/>
        <w:jc w:val="center"/>
        <w:rPr>
          <w:rFonts w:ascii="Times New Roman" w:hAnsi="Times New Roman"/>
          <w:i/>
          <w:sz w:val="18"/>
          <w:szCs w:val="18"/>
        </w:rPr>
      </w:pPr>
      <w:r w:rsidRPr="00C577B4">
        <w:rPr>
          <w:rFonts w:ascii="Times New Roman" w:hAnsi="Times New Roman"/>
          <w:i/>
          <w:sz w:val="18"/>
          <w:szCs w:val="18"/>
          <w:vertAlign w:val="superscript"/>
        </w:rPr>
        <w:t>2</w:t>
      </w:r>
      <w:r w:rsidRPr="00C577B4">
        <w:rPr>
          <w:rFonts w:ascii="Times New Roman" w:hAnsi="Times New Roman"/>
          <w:i/>
          <w:sz w:val="18"/>
          <w:szCs w:val="18"/>
        </w:rPr>
        <w:t>School of Pharmaceutical Sciences,</w:t>
      </w:r>
      <w:r>
        <w:rPr>
          <w:rFonts w:ascii="Times New Roman" w:hAnsi="Times New Roman"/>
          <w:i/>
          <w:sz w:val="18"/>
          <w:szCs w:val="18"/>
        </w:rPr>
        <w:t xml:space="preserve"> </w:t>
      </w:r>
      <w:r w:rsidRPr="00C577B4">
        <w:rPr>
          <w:rFonts w:ascii="Times New Roman" w:hAnsi="Times New Roman"/>
          <w:i/>
          <w:sz w:val="18"/>
          <w:szCs w:val="18"/>
        </w:rPr>
        <w:t>Jaipur National University, Jaipur (Raj) India-302025</w:t>
      </w:r>
    </w:p>
    <w:p w:rsidR="0026623B" w:rsidRDefault="0026623B" w:rsidP="0026623B">
      <w:pPr>
        <w:spacing w:after="0" w:line="240" w:lineRule="auto"/>
        <w:jc w:val="center"/>
        <w:rPr>
          <w:rFonts w:ascii="Times New Roman" w:hAnsi="Times New Roman"/>
          <w:i/>
          <w:sz w:val="18"/>
          <w:szCs w:val="18"/>
        </w:rPr>
      </w:pPr>
      <w:r w:rsidRPr="00C577B4">
        <w:rPr>
          <w:rFonts w:ascii="Times New Roman" w:hAnsi="Times New Roman"/>
          <w:i/>
          <w:sz w:val="18"/>
          <w:szCs w:val="18"/>
          <w:vertAlign w:val="superscript"/>
        </w:rPr>
        <w:t>3</w:t>
      </w:r>
      <w:r w:rsidRPr="00C577B4">
        <w:rPr>
          <w:rFonts w:ascii="Times New Roman" w:hAnsi="Times New Roman"/>
          <w:i/>
          <w:sz w:val="18"/>
          <w:szCs w:val="18"/>
        </w:rPr>
        <w:t>Department of Pharmacy,</w:t>
      </w:r>
      <w:r>
        <w:rPr>
          <w:rFonts w:ascii="Times New Roman" w:hAnsi="Times New Roman"/>
          <w:i/>
          <w:sz w:val="18"/>
          <w:szCs w:val="18"/>
        </w:rPr>
        <w:t xml:space="preserve"> </w:t>
      </w:r>
      <w:r w:rsidRPr="00C577B4">
        <w:rPr>
          <w:rFonts w:ascii="Times New Roman" w:hAnsi="Times New Roman"/>
          <w:i/>
          <w:sz w:val="18"/>
          <w:szCs w:val="18"/>
        </w:rPr>
        <w:t xml:space="preserve">Birla Institute of Technology &amp; Science, </w:t>
      </w:r>
      <w:proofErr w:type="spellStart"/>
      <w:r w:rsidRPr="00C577B4">
        <w:rPr>
          <w:rFonts w:ascii="Times New Roman" w:hAnsi="Times New Roman"/>
          <w:i/>
          <w:sz w:val="18"/>
          <w:szCs w:val="18"/>
        </w:rPr>
        <w:t>Pilani</w:t>
      </w:r>
      <w:proofErr w:type="spellEnd"/>
      <w:r w:rsidRPr="00C577B4">
        <w:rPr>
          <w:rFonts w:ascii="Times New Roman" w:hAnsi="Times New Roman"/>
          <w:i/>
          <w:sz w:val="18"/>
          <w:szCs w:val="18"/>
        </w:rPr>
        <w:t>, Rajasthan, India</w:t>
      </w:r>
      <w:r>
        <w:rPr>
          <w:rFonts w:ascii="Times New Roman" w:hAnsi="Times New Roman"/>
          <w:i/>
          <w:sz w:val="18"/>
          <w:szCs w:val="18"/>
        </w:rPr>
        <w:t>-333031</w:t>
      </w:r>
    </w:p>
    <w:p w:rsidR="0026623B" w:rsidRDefault="0026623B" w:rsidP="0026623B">
      <w:pPr>
        <w:spacing w:after="0" w:line="240" w:lineRule="auto"/>
        <w:jc w:val="center"/>
        <w:rPr>
          <w:rFonts w:ascii="Times New Roman" w:hAnsi="Times New Roman"/>
          <w:i/>
          <w:sz w:val="18"/>
          <w:szCs w:val="18"/>
        </w:rPr>
      </w:pPr>
    </w:p>
    <w:p w:rsidR="0026623B" w:rsidRPr="0026623B" w:rsidRDefault="0026623B" w:rsidP="0026623B">
      <w:pPr>
        <w:spacing w:before="70" w:after="0" w:line="720" w:lineRule="auto"/>
        <w:ind w:hanging="142"/>
        <w:jc w:val="center"/>
        <w:rPr>
          <w:rFonts w:ascii="Times New Roman" w:hAnsi="Times New Roman"/>
          <w:i/>
          <w:sz w:val="18"/>
          <w:szCs w:val="18"/>
          <w:shd w:val="clear" w:color="auto" w:fill="FFFFFF"/>
        </w:rPr>
      </w:pPr>
      <w:r w:rsidRPr="0026623B">
        <w:rPr>
          <w:rFonts w:ascii="Times New Roman" w:hAnsi="Times New Roman"/>
          <w:i/>
          <w:iCs/>
          <w:sz w:val="18"/>
          <w:szCs w:val="18"/>
        </w:rPr>
        <w:t xml:space="preserve">*Corresponding author: </w:t>
      </w:r>
      <w:hyperlink r:id="rId7" w:history="1">
        <w:r w:rsidRPr="0026623B">
          <w:rPr>
            <w:rStyle w:val="Hyperlink"/>
            <w:rFonts w:ascii="Times New Roman" w:hAnsi="Times New Roman"/>
            <w:i/>
            <w:color w:val="auto"/>
            <w:sz w:val="18"/>
            <w:szCs w:val="18"/>
            <w:u w:val="none"/>
            <w:shd w:val="clear" w:color="auto" w:fill="FFFFFF"/>
          </w:rPr>
          <w:t>joshipiush@gmail.com</w:t>
        </w:r>
      </w:hyperlink>
    </w:p>
    <w:p w:rsidR="0026623B" w:rsidRDefault="0026623B" w:rsidP="0026623B">
      <w:pPr>
        <w:spacing w:after="0" w:line="240" w:lineRule="auto"/>
        <w:jc w:val="center"/>
        <w:rPr>
          <w:rFonts w:ascii="Times New Roman" w:hAnsi="Times New Roman"/>
          <w:b/>
          <w:sz w:val="18"/>
          <w:szCs w:val="18"/>
        </w:rPr>
      </w:pPr>
      <w:r>
        <w:rPr>
          <w:rFonts w:ascii="Times New Roman" w:hAnsi="Times New Roman"/>
          <w:b/>
          <w:sz w:val="18"/>
          <w:szCs w:val="18"/>
        </w:rPr>
        <w:t>Abstract</w:t>
      </w:r>
    </w:p>
    <w:p w:rsidR="0026623B" w:rsidRPr="0026623B" w:rsidRDefault="0026623B" w:rsidP="0026623B">
      <w:pPr>
        <w:spacing w:after="0" w:line="240" w:lineRule="auto"/>
        <w:jc w:val="both"/>
        <w:rPr>
          <w:rFonts w:ascii="Times New Roman" w:hAnsi="Times New Roman"/>
          <w:b/>
          <w:sz w:val="18"/>
          <w:szCs w:val="18"/>
        </w:rPr>
      </w:pPr>
      <w:r>
        <w:rPr>
          <w:rFonts w:ascii="Times New Roman" w:eastAsiaTheme="minorHAnsi" w:hAnsi="Times New Roman"/>
          <w:color w:val="000000"/>
          <w:sz w:val="18"/>
          <w:szCs w:val="18"/>
          <w:lang w:val="en-IN"/>
        </w:rPr>
        <w:t>T</w:t>
      </w:r>
      <w:r w:rsidRPr="00FD0E39">
        <w:rPr>
          <w:rFonts w:ascii="Times New Roman" w:eastAsiaTheme="minorHAnsi" w:hAnsi="Times New Roman"/>
          <w:color w:val="000000"/>
          <w:sz w:val="18"/>
          <w:szCs w:val="18"/>
          <w:lang w:val="en-IN"/>
        </w:rPr>
        <w:t>he aim of pre</w:t>
      </w:r>
      <w:r>
        <w:rPr>
          <w:rFonts w:ascii="Times New Roman" w:eastAsiaTheme="minorHAnsi" w:hAnsi="Times New Roman"/>
          <w:color w:val="000000"/>
          <w:sz w:val="18"/>
          <w:szCs w:val="18"/>
          <w:lang w:val="en-IN"/>
        </w:rPr>
        <w:t>sent work was to investigate</w:t>
      </w:r>
      <w:r w:rsidRPr="00FD0E39">
        <w:rPr>
          <w:rFonts w:ascii="Times New Roman" w:eastAsiaTheme="minorHAnsi" w:hAnsi="Times New Roman"/>
          <w:color w:val="000000"/>
          <w:sz w:val="18"/>
          <w:szCs w:val="18"/>
          <w:lang w:val="en-IN"/>
        </w:rPr>
        <w:t xml:space="preserve"> antioxidant potential of different extracts of </w:t>
      </w:r>
      <w:proofErr w:type="spellStart"/>
      <w:r w:rsidRPr="00FD0E39">
        <w:rPr>
          <w:rFonts w:ascii="Times New Roman" w:hAnsi="Times New Roman"/>
          <w:i/>
          <w:sz w:val="18"/>
          <w:szCs w:val="18"/>
        </w:rPr>
        <w:t>Blainvillea</w:t>
      </w:r>
      <w:proofErr w:type="spellEnd"/>
      <w:r w:rsidRPr="00FD0E39">
        <w:rPr>
          <w:rFonts w:ascii="Times New Roman" w:hAnsi="Times New Roman"/>
          <w:i/>
          <w:sz w:val="18"/>
          <w:szCs w:val="18"/>
        </w:rPr>
        <w:t xml:space="preserve"> </w:t>
      </w:r>
      <w:proofErr w:type="spellStart"/>
      <w:r w:rsidRPr="00FD0E39">
        <w:rPr>
          <w:rFonts w:ascii="Times New Roman" w:hAnsi="Times New Roman"/>
          <w:i/>
          <w:sz w:val="18"/>
          <w:szCs w:val="18"/>
        </w:rPr>
        <w:t>acmella</w:t>
      </w:r>
      <w:proofErr w:type="spellEnd"/>
      <w:r w:rsidRPr="00FD0E39">
        <w:rPr>
          <w:rFonts w:ascii="Times New Roman" w:hAnsi="Times New Roman"/>
          <w:i/>
          <w:iCs/>
          <w:sz w:val="18"/>
          <w:szCs w:val="18"/>
        </w:rPr>
        <w:t xml:space="preserve"> </w:t>
      </w:r>
      <w:r w:rsidRPr="00FD0E39">
        <w:rPr>
          <w:rFonts w:ascii="Times New Roman" w:hAnsi="Times New Roman"/>
          <w:iCs/>
          <w:sz w:val="18"/>
          <w:szCs w:val="18"/>
        </w:rPr>
        <w:t xml:space="preserve">leaf and stem. The successive extraction of individual plant part was carried out using solvents of different polarity viz. </w:t>
      </w:r>
      <w:r w:rsidRPr="00FD0E39">
        <w:rPr>
          <w:rFonts w:ascii="Times New Roman" w:hAnsi="Times New Roman"/>
          <w:bCs/>
          <w:sz w:val="18"/>
          <w:szCs w:val="18"/>
        </w:rPr>
        <w:t xml:space="preserve">n-hexane, ethyl acetate, methanol and water. </w:t>
      </w:r>
      <w:r>
        <w:rPr>
          <w:rFonts w:ascii="Times New Roman" w:hAnsi="Times New Roman"/>
          <w:bCs/>
          <w:sz w:val="18"/>
          <w:szCs w:val="18"/>
        </w:rPr>
        <w:t>Preliminary p</w:t>
      </w:r>
      <w:r w:rsidRPr="00FD0E39">
        <w:rPr>
          <w:rFonts w:ascii="Times New Roman" w:hAnsi="Times New Roman"/>
          <w:bCs/>
          <w:sz w:val="18"/>
          <w:szCs w:val="18"/>
        </w:rPr>
        <w:t xml:space="preserve">hytochemical screening of all the extracts was done. The present total phenolic contents were estimated by </w:t>
      </w:r>
      <w:proofErr w:type="spellStart"/>
      <w:r>
        <w:rPr>
          <w:rFonts w:ascii="Times New Roman" w:hAnsi="Times New Roman"/>
          <w:sz w:val="18"/>
          <w:szCs w:val="18"/>
        </w:rPr>
        <w:t>Folin-</w:t>
      </w:r>
      <w:r w:rsidRPr="00FD0E39">
        <w:rPr>
          <w:rFonts w:ascii="Times New Roman" w:hAnsi="Times New Roman"/>
          <w:sz w:val="18"/>
          <w:szCs w:val="18"/>
        </w:rPr>
        <w:t>Ciocalteu</w:t>
      </w:r>
      <w:proofErr w:type="spellEnd"/>
      <w:r w:rsidRPr="00FD0E39">
        <w:rPr>
          <w:rFonts w:ascii="Times New Roman" w:hAnsi="Times New Roman"/>
          <w:sz w:val="18"/>
          <w:szCs w:val="18"/>
        </w:rPr>
        <w:t xml:space="preserve"> reagent method and expressed as µg/mg of </w:t>
      </w:r>
      <w:proofErr w:type="spellStart"/>
      <w:r w:rsidRPr="00FD0E39">
        <w:rPr>
          <w:rFonts w:ascii="Times New Roman" w:hAnsi="Times New Roman"/>
          <w:sz w:val="18"/>
          <w:szCs w:val="18"/>
        </w:rPr>
        <w:t>gallic</w:t>
      </w:r>
      <w:proofErr w:type="spellEnd"/>
      <w:r w:rsidRPr="00FD0E39">
        <w:rPr>
          <w:rFonts w:ascii="Times New Roman" w:hAnsi="Times New Roman"/>
          <w:sz w:val="18"/>
          <w:szCs w:val="18"/>
        </w:rPr>
        <w:t xml:space="preserve"> acid equivalent. The antioxidant potential and reducing power of all the prepared extracts were measured against DPPH</w:t>
      </w:r>
      <w:r>
        <w:rPr>
          <w:rFonts w:ascii="Times New Roman" w:hAnsi="Times New Roman"/>
          <w:sz w:val="18"/>
          <w:szCs w:val="18"/>
        </w:rPr>
        <w:t>,</w:t>
      </w:r>
      <w:r w:rsidRPr="00FD0E39">
        <w:rPr>
          <w:rFonts w:ascii="Times New Roman" w:hAnsi="Times New Roman"/>
          <w:sz w:val="18"/>
          <w:szCs w:val="18"/>
        </w:rPr>
        <w:t xml:space="preserve"> as compared to standard ascorbic acid, and BHA respectively. The result data indicate that the phenolic contents were higher in </w:t>
      </w:r>
      <w:proofErr w:type="spellStart"/>
      <w:r w:rsidRPr="00FD0E39">
        <w:rPr>
          <w:rFonts w:ascii="Times New Roman" w:hAnsi="Times New Roman"/>
          <w:sz w:val="18"/>
          <w:szCs w:val="18"/>
        </w:rPr>
        <w:t>methanolic</w:t>
      </w:r>
      <w:proofErr w:type="spellEnd"/>
      <w:r w:rsidRPr="00FD0E39">
        <w:rPr>
          <w:rFonts w:ascii="Times New Roman" w:hAnsi="Times New Roman"/>
          <w:sz w:val="18"/>
          <w:szCs w:val="18"/>
        </w:rPr>
        <w:t xml:space="preserve"> extracts of leaf (73.67±0.38</w:t>
      </w:r>
      <w:r w:rsidRPr="00FD0E39">
        <w:rPr>
          <w:rFonts w:ascii="Times New Roman" w:hAnsi="Times New Roman"/>
          <w:bCs/>
          <w:sz w:val="18"/>
          <w:szCs w:val="18"/>
        </w:rPr>
        <w:t>mg/g)</w:t>
      </w:r>
      <w:r w:rsidRPr="00FD0E39">
        <w:rPr>
          <w:rFonts w:ascii="Times New Roman" w:hAnsi="Times New Roman"/>
          <w:sz w:val="18"/>
          <w:szCs w:val="18"/>
        </w:rPr>
        <w:t xml:space="preserve"> followed by </w:t>
      </w:r>
      <w:r w:rsidR="00D732D8">
        <w:rPr>
          <w:rFonts w:ascii="Times New Roman" w:hAnsi="Times New Roman"/>
          <w:bCs/>
          <w:sz w:val="18"/>
          <w:szCs w:val="18"/>
        </w:rPr>
        <w:t xml:space="preserve">ethyl acetate </w:t>
      </w:r>
      <w:r w:rsidRPr="00FD0E39">
        <w:rPr>
          <w:rFonts w:ascii="Times New Roman" w:hAnsi="Times New Roman"/>
          <w:bCs/>
          <w:sz w:val="18"/>
          <w:szCs w:val="18"/>
        </w:rPr>
        <w:t>(</w:t>
      </w:r>
      <w:r w:rsidRPr="00FD0E39">
        <w:rPr>
          <w:rFonts w:ascii="Times New Roman" w:hAnsi="Times New Roman"/>
          <w:sz w:val="18"/>
          <w:szCs w:val="18"/>
        </w:rPr>
        <w:t>29.08±0.38</w:t>
      </w:r>
      <w:r w:rsidRPr="00FD0E39">
        <w:rPr>
          <w:rFonts w:ascii="Times New Roman" w:hAnsi="Times New Roman"/>
          <w:bCs/>
          <w:sz w:val="18"/>
          <w:szCs w:val="18"/>
        </w:rPr>
        <w:t>mg/g)</w:t>
      </w:r>
      <w:r>
        <w:rPr>
          <w:rFonts w:ascii="Times New Roman" w:hAnsi="Times New Roman"/>
          <w:bCs/>
          <w:sz w:val="18"/>
          <w:szCs w:val="18"/>
        </w:rPr>
        <w:t>,</w:t>
      </w:r>
      <w:r w:rsidRPr="00FD0E39">
        <w:rPr>
          <w:rFonts w:ascii="Times New Roman" w:hAnsi="Times New Roman"/>
          <w:sz w:val="18"/>
          <w:szCs w:val="18"/>
        </w:rPr>
        <w:t xml:space="preserve"> </w:t>
      </w:r>
      <w:r w:rsidRPr="00FD0E39">
        <w:rPr>
          <w:rFonts w:ascii="Times New Roman" w:hAnsi="Times New Roman"/>
          <w:bCs/>
          <w:sz w:val="18"/>
          <w:szCs w:val="18"/>
        </w:rPr>
        <w:t>aqueous (</w:t>
      </w:r>
      <w:r w:rsidRPr="00FD0E39">
        <w:rPr>
          <w:rFonts w:ascii="Times New Roman" w:hAnsi="Times New Roman"/>
          <w:sz w:val="18"/>
          <w:szCs w:val="18"/>
        </w:rPr>
        <w:t xml:space="preserve">21.50±0.28 </w:t>
      </w:r>
      <w:r w:rsidRPr="00FD0E39">
        <w:rPr>
          <w:rFonts w:ascii="Times New Roman" w:hAnsi="Times New Roman"/>
          <w:bCs/>
          <w:sz w:val="18"/>
          <w:szCs w:val="18"/>
        </w:rPr>
        <w:t xml:space="preserve">mg/g), </w:t>
      </w:r>
      <w:r w:rsidRPr="00FD0E39">
        <w:rPr>
          <w:rFonts w:ascii="Times New Roman" w:hAnsi="Times New Roman"/>
          <w:sz w:val="18"/>
          <w:szCs w:val="18"/>
        </w:rPr>
        <w:t>and n-Hexane (9.29±0.38</w:t>
      </w:r>
      <w:r w:rsidRPr="00FD0E39">
        <w:rPr>
          <w:rFonts w:ascii="Times New Roman" w:hAnsi="Times New Roman"/>
          <w:bCs/>
          <w:sz w:val="18"/>
          <w:szCs w:val="18"/>
        </w:rPr>
        <w:t xml:space="preserve"> mg/g)</w:t>
      </w:r>
      <w:r>
        <w:rPr>
          <w:rFonts w:ascii="Times New Roman" w:hAnsi="Times New Roman"/>
          <w:bCs/>
          <w:sz w:val="18"/>
          <w:szCs w:val="18"/>
        </w:rPr>
        <w:t>;</w:t>
      </w:r>
      <w:r w:rsidRPr="00FD0E39">
        <w:rPr>
          <w:rFonts w:ascii="Times New Roman" w:hAnsi="Times New Roman"/>
          <w:bCs/>
          <w:sz w:val="18"/>
          <w:szCs w:val="18"/>
        </w:rPr>
        <w:t xml:space="preserve"> </w:t>
      </w:r>
      <w:proofErr w:type="spellStart"/>
      <w:r w:rsidRPr="00FD0E39">
        <w:rPr>
          <w:rFonts w:ascii="Times New Roman" w:hAnsi="Times New Roman"/>
          <w:bCs/>
          <w:sz w:val="18"/>
          <w:szCs w:val="18"/>
        </w:rPr>
        <w:t>gallic</w:t>
      </w:r>
      <w:proofErr w:type="spellEnd"/>
      <w:r w:rsidRPr="00FD0E39">
        <w:rPr>
          <w:rFonts w:ascii="Times New Roman" w:hAnsi="Times New Roman"/>
          <w:bCs/>
          <w:sz w:val="18"/>
          <w:szCs w:val="18"/>
        </w:rPr>
        <w:t xml:space="preserve"> acid equivalent</w:t>
      </w:r>
      <w:r w:rsidRPr="00FD0E39">
        <w:rPr>
          <w:rFonts w:ascii="Times New Roman" w:hAnsi="Times New Roman"/>
          <w:sz w:val="18"/>
          <w:szCs w:val="18"/>
        </w:rPr>
        <w:t xml:space="preserve">. The similar pattern in stem part was also observed i.e. </w:t>
      </w:r>
      <w:proofErr w:type="spellStart"/>
      <w:r w:rsidRPr="00FD0E39">
        <w:rPr>
          <w:rFonts w:ascii="Times New Roman" w:hAnsi="Times New Roman"/>
          <w:sz w:val="18"/>
          <w:szCs w:val="18"/>
        </w:rPr>
        <w:t>methanolic</w:t>
      </w:r>
      <w:proofErr w:type="spellEnd"/>
      <w:r w:rsidRPr="00FD0E39">
        <w:rPr>
          <w:rFonts w:ascii="Times New Roman" w:hAnsi="Times New Roman"/>
          <w:sz w:val="18"/>
          <w:szCs w:val="18"/>
        </w:rPr>
        <w:t xml:space="preserve"> extracts (41.90±0.45</w:t>
      </w:r>
      <w:r w:rsidRPr="00FD0E39">
        <w:rPr>
          <w:rFonts w:ascii="Times New Roman" w:hAnsi="Times New Roman"/>
          <w:bCs/>
          <w:sz w:val="18"/>
          <w:szCs w:val="18"/>
        </w:rPr>
        <w:t>mg/g), ethyl acetate (</w:t>
      </w:r>
      <w:r w:rsidRPr="00FD0E39">
        <w:rPr>
          <w:rFonts w:ascii="Times New Roman" w:hAnsi="Times New Roman"/>
          <w:sz w:val="18"/>
          <w:szCs w:val="18"/>
        </w:rPr>
        <w:t>21.92±0.28</w:t>
      </w:r>
      <w:r w:rsidRPr="00FD0E39">
        <w:rPr>
          <w:rFonts w:ascii="Times New Roman" w:hAnsi="Times New Roman"/>
          <w:bCs/>
          <w:sz w:val="18"/>
          <w:szCs w:val="18"/>
        </w:rPr>
        <w:t xml:space="preserve"> mg/g)</w:t>
      </w:r>
      <w:r>
        <w:rPr>
          <w:rFonts w:ascii="Times New Roman" w:hAnsi="Times New Roman"/>
          <w:bCs/>
          <w:sz w:val="18"/>
          <w:szCs w:val="18"/>
        </w:rPr>
        <w:t>,</w:t>
      </w:r>
      <w:r w:rsidRPr="00FD0E39">
        <w:rPr>
          <w:rFonts w:ascii="Times New Roman" w:hAnsi="Times New Roman"/>
          <w:bCs/>
          <w:sz w:val="18"/>
          <w:szCs w:val="18"/>
        </w:rPr>
        <w:t xml:space="preserve"> aqueous (</w:t>
      </w:r>
      <w:r w:rsidRPr="00FD0E39">
        <w:rPr>
          <w:rFonts w:ascii="Times New Roman" w:hAnsi="Times New Roman"/>
          <w:sz w:val="18"/>
          <w:szCs w:val="18"/>
        </w:rPr>
        <w:t>15.13±0.18</w:t>
      </w:r>
      <w:r w:rsidRPr="00FD0E39">
        <w:rPr>
          <w:rFonts w:ascii="Times New Roman" w:hAnsi="Times New Roman"/>
          <w:bCs/>
          <w:sz w:val="18"/>
          <w:szCs w:val="18"/>
        </w:rPr>
        <w:t xml:space="preserve">mg/g), and </w:t>
      </w:r>
      <w:r w:rsidRPr="00FD0E39">
        <w:rPr>
          <w:rFonts w:ascii="Times New Roman" w:hAnsi="Times New Roman"/>
          <w:sz w:val="18"/>
          <w:szCs w:val="18"/>
        </w:rPr>
        <w:t xml:space="preserve">n-Hexane (3.69±0.28 </w:t>
      </w:r>
      <w:r w:rsidRPr="00FD0E39">
        <w:rPr>
          <w:rFonts w:ascii="Times New Roman" w:hAnsi="Times New Roman"/>
          <w:bCs/>
          <w:sz w:val="18"/>
          <w:szCs w:val="18"/>
        </w:rPr>
        <w:t xml:space="preserve">mg/g). The antioxidant capacity of </w:t>
      </w:r>
      <w:proofErr w:type="spellStart"/>
      <w:r w:rsidRPr="00FD0E39">
        <w:rPr>
          <w:rFonts w:ascii="Times New Roman" w:hAnsi="Times New Roman"/>
          <w:bCs/>
          <w:sz w:val="18"/>
          <w:szCs w:val="18"/>
        </w:rPr>
        <w:t>methanolic</w:t>
      </w:r>
      <w:proofErr w:type="spellEnd"/>
      <w:r w:rsidRPr="00FD0E39">
        <w:rPr>
          <w:rFonts w:ascii="Times New Roman" w:hAnsi="Times New Roman"/>
          <w:bCs/>
          <w:sz w:val="18"/>
          <w:szCs w:val="18"/>
        </w:rPr>
        <w:t xml:space="preserve"> extract of both the part </w:t>
      </w:r>
      <w:proofErr w:type="spellStart"/>
      <w:r w:rsidRPr="00FD0E39">
        <w:rPr>
          <w:rFonts w:ascii="Times New Roman" w:hAnsi="Times New Roman"/>
          <w:bCs/>
          <w:sz w:val="18"/>
          <w:szCs w:val="18"/>
        </w:rPr>
        <w:t>i.e</w:t>
      </w:r>
      <w:proofErr w:type="spellEnd"/>
      <w:r w:rsidRPr="00FD0E39">
        <w:rPr>
          <w:rFonts w:ascii="Times New Roman" w:hAnsi="Times New Roman"/>
          <w:bCs/>
          <w:sz w:val="18"/>
          <w:szCs w:val="18"/>
        </w:rPr>
        <w:t xml:space="preserve"> leaf and stem was found</w:t>
      </w:r>
      <w:r>
        <w:rPr>
          <w:rFonts w:ascii="Times New Roman" w:hAnsi="Times New Roman"/>
          <w:bCs/>
          <w:sz w:val="18"/>
          <w:szCs w:val="18"/>
        </w:rPr>
        <w:t xml:space="preserve"> to be </w:t>
      </w:r>
      <w:proofErr w:type="gramStart"/>
      <w:r>
        <w:rPr>
          <w:rFonts w:ascii="Times New Roman" w:hAnsi="Times New Roman"/>
          <w:bCs/>
          <w:sz w:val="18"/>
          <w:szCs w:val="18"/>
        </w:rPr>
        <w:t>maximum</w:t>
      </w:r>
      <w:proofErr w:type="gramEnd"/>
      <w:r>
        <w:rPr>
          <w:rFonts w:ascii="Times New Roman" w:hAnsi="Times New Roman"/>
          <w:bCs/>
          <w:sz w:val="18"/>
          <w:szCs w:val="18"/>
        </w:rPr>
        <w:t>,</w:t>
      </w:r>
      <w:r w:rsidRPr="00FD0E39">
        <w:rPr>
          <w:rFonts w:ascii="Times New Roman" w:hAnsi="Times New Roman"/>
          <w:bCs/>
          <w:sz w:val="18"/>
          <w:szCs w:val="18"/>
        </w:rPr>
        <w:t xml:space="preserve"> as IC50 values were </w:t>
      </w:r>
      <w:r w:rsidRPr="00FD0E39">
        <w:rPr>
          <w:rFonts w:ascii="Times New Roman" w:hAnsi="Times New Roman"/>
          <w:color w:val="000000"/>
          <w:sz w:val="18"/>
          <w:szCs w:val="18"/>
        </w:rPr>
        <w:t>226.49</w:t>
      </w:r>
      <w:r w:rsidRPr="00FD0E39">
        <w:rPr>
          <w:rFonts w:ascii="Times New Roman" w:eastAsia="E-BZ" w:hAnsi="Times New Roman"/>
          <w:sz w:val="18"/>
          <w:szCs w:val="18"/>
        </w:rPr>
        <w:t>±0.16</w:t>
      </w:r>
      <w:r w:rsidRPr="00FD0E39">
        <w:rPr>
          <w:rFonts w:ascii="Times New Roman" w:hAnsi="Times New Roman"/>
          <w:color w:val="000000"/>
          <w:sz w:val="18"/>
          <w:szCs w:val="18"/>
        </w:rPr>
        <w:t xml:space="preserve">, </w:t>
      </w:r>
      <w:r w:rsidRPr="00FD0E39">
        <w:rPr>
          <w:rFonts w:ascii="Times New Roman" w:eastAsia="E-BZ" w:hAnsi="Times New Roman"/>
          <w:sz w:val="18"/>
          <w:szCs w:val="18"/>
        </w:rPr>
        <w:t>402.05±1.10 respectively. The reducing power was also highest in methanol extract of both parts. The result data conclude that the higher antioxidant as well as reducing power may be due to present phenolic contents.</w:t>
      </w:r>
    </w:p>
    <w:p w:rsidR="0026623B" w:rsidRDefault="0026623B" w:rsidP="0026623B">
      <w:pPr>
        <w:tabs>
          <w:tab w:val="left" w:pos="-567"/>
        </w:tabs>
        <w:spacing w:after="0" w:line="240" w:lineRule="auto"/>
        <w:rPr>
          <w:rFonts w:ascii="Times New Roman" w:eastAsia="E-BZ" w:hAnsi="Times New Roman"/>
          <w:sz w:val="18"/>
          <w:szCs w:val="18"/>
        </w:rPr>
      </w:pPr>
    </w:p>
    <w:p w:rsidR="0026623B" w:rsidRDefault="0026623B" w:rsidP="0026623B">
      <w:pPr>
        <w:tabs>
          <w:tab w:val="left" w:pos="-567"/>
        </w:tabs>
        <w:spacing w:after="0" w:line="240" w:lineRule="auto"/>
        <w:rPr>
          <w:rFonts w:ascii="Times New Roman" w:hAnsi="Times New Roman"/>
          <w:b/>
          <w:i/>
          <w:sz w:val="24"/>
          <w:szCs w:val="24"/>
          <w:u w:val="single"/>
        </w:rPr>
      </w:pPr>
      <w:r w:rsidRPr="00FD0E39">
        <w:rPr>
          <w:rFonts w:ascii="Times New Roman" w:hAnsi="Times New Roman"/>
          <w:b/>
          <w:sz w:val="18"/>
          <w:szCs w:val="18"/>
        </w:rPr>
        <w:t>Keywords</w:t>
      </w:r>
      <w:r w:rsidRPr="00FD0E39">
        <w:rPr>
          <w:rFonts w:ascii="Times New Roman" w:hAnsi="Times New Roman"/>
          <w:b/>
          <w:i/>
          <w:sz w:val="18"/>
          <w:szCs w:val="18"/>
        </w:rPr>
        <w:t xml:space="preserve">: </w:t>
      </w:r>
      <w:proofErr w:type="spellStart"/>
      <w:r w:rsidRPr="00FD0E39">
        <w:rPr>
          <w:rFonts w:ascii="Times New Roman" w:hAnsi="Times New Roman"/>
          <w:i/>
          <w:sz w:val="18"/>
          <w:szCs w:val="18"/>
        </w:rPr>
        <w:t>Blainvillea</w:t>
      </w:r>
      <w:proofErr w:type="spellEnd"/>
      <w:r w:rsidRPr="00FD0E39">
        <w:rPr>
          <w:rFonts w:ascii="Times New Roman" w:hAnsi="Times New Roman"/>
          <w:i/>
          <w:sz w:val="18"/>
          <w:szCs w:val="18"/>
        </w:rPr>
        <w:t xml:space="preserve"> </w:t>
      </w:r>
      <w:proofErr w:type="spellStart"/>
      <w:r w:rsidRPr="00FD0E39">
        <w:rPr>
          <w:rFonts w:ascii="Times New Roman" w:hAnsi="Times New Roman"/>
          <w:i/>
          <w:sz w:val="18"/>
          <w:szCs w:val="18"/>
        </w:rPr>
        <w:t>acmella</w:t>
      </w:r>
      <w:proofErr w:type="spellEnd"/>
      <w:r w:rsidRPr="00FD0E39">
        <w:rPr>
          <w:rFonts w:ascii="Times New Roman" w:hAnsi="Times New Roman"/>
          <w:iCs/>
          <w:sz w:val="18"/>
          <w:szCs w:val="18"/>
        </w:rPr>
        <w:t>, Antioxidant, Reducing Power, DPPH, IC50</w:t>
      </w:r>
    </w:p>
    <w:p w:rsidR="0026623B" w:rsidRDefault="0026623B" w:rsidP="0026623B">
      <w:pPr>
        <w:spacing w:before="70"/>
        <w:rPr>
          <w:rFonts w:ascii="Times New Roman" w:eastAsia="E-BZ" w:hAnsi="Times New Roman"/>
          <w:sz w:val="18"/>
          <w:szCs w:val="18"/>
        </w:rPr>
      </w:pPr>
    </w:p>
    <w:p w:rsidR="00400743" w:rsidRPr="00997015" w:rsidRDefault="00400743" w:rsidP="00400743">
      <w:pPr>
        <w:spacing w:after="0"/>
        <w:jc w:val="center"/>
        <w:rPr>
          <w:rFonts w:ascii="Times New Roman" w:eastAsia="E-BZ" w:hAnsi="Times New Roman"/>
          <w:b/>
          <w:sz w:val="18"/>
          <w:szCs w:val="18"/>
        </w:rPr>
      </w:pPr>
      <w:proofErr w:type="spellStart"/>
      <w:r w:rsidRPr="00997015">
        <w:rPr>
          <w:rFonts w:ascii="Times New Roman" w:eastAsia="E-BZ" w:hAnsi="Times New Roman"/>
          <w:b/>
          <w:sz w:val="18"/>
          <w:szCs w:val="18"/>
        </w:rPr>
        <w:t>Abstrak</w:t>
      </w:r>
      <w:proofErr w:type="spellEnd"/>
    </w:p>
    <w:p w:rsidR="00400743" w:rsidRDefault="00400743" w:rsidP="00400743">
      <w:pPr>
        <w:spacing w:before="70"/>
        <w:jc w:val="both"/>
        <w:rPr>
          <w:rFonts w:ascii="Times New Roman" w:eastAsia="E-BZ" w:hAnsi="Times New Roman"/>
          <w:sz w:val="18"/>
          <w:szCs w:val="18"/>
        </w:rPr>
      </w:pPr>
      <w:proofErr w:type="spellStart"/>
      <w:proofErr w:type="gramStart"/>
      <w:r>
        <w:rPr>
          <w:rFonts w:ascii="Times New Roman" w:eastAsia="E-BZ" w:hAnsi="Times New Roman"/>
          <w:sz w:val="18"/>
          <w:szCs w:val="18"/>
        </w:rPr>
        <w:t>Kajian</w:t>
      </w:r>
      <w:proofErr w:type="spellEnd"/>
      <w:r>
        <w:rPr>
          <w:rFonts w:ascii="Times New Roman" w:eastAsia="E-BZ" w:hAnsi="Times New Roman"/>
          <w:sz w:val="18"/>
          <w:szCs w:val="18"/>
        </w:rPr>
        <w:t xml:space="preserve"> </w:t>
      </w:r>
      <w:proofErr w:type="spellStart"/>
      <w:r w:rsidRPr="00400743">
        <w:rPr>
          <w:rFonts w:ascii="Times New Roman" w:eastAsia="E-BZ" w:hAnsi="Times New Roman"/>
          <w:sz w:val="18"/>
          <w:szCs w:val="18"/>
        </w:rPr>
        <w:t>ini</w:t>
      </w:r>
      <w:proofErr w:type="spellEnd"/>
      <w:r w:rsidRPr="00400743">
        <w:rPr>
          <w:rFonts w:ascii="Times New Roman" w:eastAsia="E-BZ" w:hAnsi="Times New Roman"/>
          <w:sz w:val="18"/>
          <w:szCs w:val="18"/>
        </w:rPr>
        <w:t xml:space="preserve"> </w:t>
      </w:r>
      <w:proofErr w:type="spellStart"/>
      <w:r>
        <w:rPr>
          <w:rFonts w:ascii="Times New Roman" w:eastAsia="E-BZ" w:hAnsi="Times New Roman"/>
          <w:sz w:val="18"/>
          <w:szCs w:val="18"/>
        </w:rPr>
        <w:t>bertujuan</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meneliti</w:t>
      </w:r>
      <w:proofErr w:type="spellEnd"/>
      <w:r>
        <w:rPr>
          <w:rFonts w:ascii="Times New Roman" w:eastAsia="E-BZ" w:hAnsi="Times New Roman"/>
          <w:sz w:val="18"/>
          <w:szCs w:val="18"/>
        </w:rPr>
        <w:t xml:space="preserve"> </w:t>
      </w:r>
      <w:proofErr w:type="spellStart"/>
      <w:r w:rsidRPr="00400743">
        <w:rPr>
          <w:rFonts w:ascii="Times New Roman" w:eastAsia="E-BZ" w:hAnsi="Times New Roman"/>
          <w:sz w:val="18"/>
          <w:szCs w:val="18"/>
        </w:rPr>
        <w:t>potensi</w:t>
      </w:r>
      <w:proofErr w:type="spellEnd"/>
      <w:r w:rsidRPr="00400743">
        <w:rPr>
          <w:rFonts w:ascii="Times New Roman" w:eastAsia="E-BZ" w:hAnsi="Times New Roman"/>
          <w:sz w:val="18"/>
          <w:szCs w:val="18"/>
        </w:rPr>
        <w:t xml:space="preserve"> </w:t>
      </w:r>
      <w:proofErr w:type="spellStart"/>
      <w:r>
        <w:rPr>
          <w:rFonts w:ascii="Times New Roman" w:eastAsia="E-BZ" w:hAnsi="Times New Roman"/>
          <w:sz w:val="18"/>
          <w:szCs w:val="18"/>
        </w:rPr>
        <w:t>bahan</w:t>
      </w:r>
      <w:proofErr w:type="spellEnd"/>
      <w:r>
        <w:rPr>
          <w:rFonts w:ascii="Times New Roman" w:eastAsia="E-BZ" w:hAnsi="Times New Roman"/>
          <w:sz w:val="18"/>
          <w:szCs w:val="18"/>
        </w:rPr>
        <w:t xml:space="preserve"> </w:t>
      </w:r>
      <w:proofErr w:type="spellStart"/>
      <w:r w:rsidRPr="00400743">
        <w:rPr>
          <w:rFonts w:ascii="Times New Roman" w:eastAsia="E-BZ" w:hAnsi="Times New Roman"/>
          <w:sz w:val="18"/>
          <w:szCs w:val="18"/>
        </w:rPr>
        <w:t>antioksidan</w:t>
      </w:r>
      <w:proofErr w:type="spellEnd"/>
      <w:r w:rsidRPr="00400743">
        <w:rPr>
          <w:rFonts w:ascii="Times New Roman" w:eastAsia="E-BZ" w:hAnsi="Times New Roman"/>
          <w:sz w:val="18"/>
          <w:szCs w:val="18"/>
        </w:rPr>
        <w:t xml:space="preserve"> </w:t>
      </w:r>
      <w:proofErr w:type="spellStart"/>
      <w:r>
        <w:rPr>
          <w:rFonts w:ascii="Times New Roman" w:eastAsia="E-BZ" w:hAnsi="Times New Roman"/>
          <w:sz w:val="18"/>
          <w:szCs w:val="18"/>
        </w:rPr>
        <w:t>dari</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ekstrak</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daun</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dan</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batang</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Blainvillea</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acmella</w:t>
      </w:r>
      <w:proofErr w:type="spellEnd"/>
      <w:r>
        <w:rPr>
          <w:rFonts w:ascii="Times New Roman" w:eastAsia="E-BZ" w:hAnsi="Times New Roman"/>
          <w:sz w:val="18"/>
          <w:szCs w:val="18"/>
        </w:rPr>
        <w:t xml:space="preserve"> yang </w:t>
      </w:r>
      <w:proofErr w:type="spellStart"/>
      <w:r>
        <w:rPr>
          <w:rFonts w:ascii="Times New Roman" w:eastAsia="E-BZ" w:hAnsi="Times New Roman"/>
          <w:sz w:val="18"/>
          <w:szCs w:val="18"/>
        </w:rPr>
        <w:t>berbeza</w:t>
      </w:r>
      <w:proofErr w:type="spellEnd"/>
      <w:r>
        <w:rPr>
          <w:rFonts w:ascii="Times New Roman" w:eastAsia="E-BZ" w:hAnsi="Times New Roman"/>
          <w:sz w:val="18"/>
          <w:szCs w:val="18"/>
        </w:rPr>
        <w:t>.</w:t>
      </w:r>
      <w:proofErr w:type="gramEnd"/>
      <w:r>
        <w:rPr>
          <w:rFonts w:ascii="Times New Roman" w:eastAsia="E-BZ" w:hAnsi="Times New Roman"/>
          <w:sz w:val="18"/>
          <w:szCs w:val="18"/>
        </w:rPr>
        <w:t xml:space="preserve"> </w:t>
      </w:r>
      <w:proofErr w:type="spellStart"/>
      <w:proofErr w:type="gramStart"/>
      <w:r>
        <w:rPr>
          <w:rFonts w:ascii="Times New Roman" w:eastAsia="E-BZ" w:hAnsi="Times New Roman"/>
          <w:sz w:val="18"/>
          <w:szCs w:val="18"/>
        </w:rPr>
        <w:t>Pengekstrakan</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berturutan</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pada</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bahagian</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tertentu</w:t>
      </w:r>
      <w:proofErr w:type="spellEnd"/>
      <w:r>
        <w:rPr>
          <w:rFonts w:ascii="Times New Roman" w:eastAsia="E-BZ" w:hAnsi="Times New Roman"/>
          <w:sz w:val="18"/>
          <w:szCs w:val="18"/>
        </w:rPr>
        <w:t xml:space="preserve"> </w:t>
      </w:r>
      <w:proofErr w:type="spellStart"/>
      <w:r>
        <w:rPr>
          <w:rFonts w:ascii="Times New Roman" w:eastAsia="E-BZ" w:hAnsi="Times New Roman"/>
          <w:sz w:val="18"/>
          <w:szCs w:val="18"/>
        </w:rPr>
        <w:t>tumbuhan</w:t>
      </w:r>
      <w:proofErr w:type="spellEnd"/>
      <w:r>
        <w:rPr>
          <w:rFonts w:ascii="Times New Roman" w:eastAsia="E-BZ" w:hAnsi="Times New Roman"/>
          <w:sz w:val="18"/>
          <w:szCs w:val="18"/>
        </w:rPr>
        <w:t xml:space="preserve"> </w:t>
      </w:r>
      <w:proofErr w:type="spellStart"/>
      <w:r w:rsidRPr="00400743">
        <w:rPr>
          <w:rFonts w:ascii="Times New Roman" w:eastAsia="E-BZ" w:hAnsi="Times New Roman"/>
          <w:sz w:val="18"/>
          <w:szCs w:val="18"/>
        </w:rPr>
        <w:t>telah</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dijalankan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dengan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menggunakan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pelarut</w:t>
      </w:r>
      <w:proofErr w:type="spellEnd"/>
      <w:r w:rsidRPr="00400743">
        <w:rPr>
          <w:rFonts w:ascii="Times New Roman" w:eastAsia="E-BZ" w:hAnsi="Times New Roman"/>
          <w:sz w:val="18"/>
          <w:szCs w:val="18"/>
        </w:rPr>
        <w:t xml:space="preserve"> </w:t>
      </w:r>
      <w:proofErr w:type="spellStart"/>
      <w:r w:rsidR="00997015">
        <w:rPr>
          <w:rFonts w:ascii="Times New Roman" w:eastAsia="E-BZ" w:hAnsi="Times New Roman"/>
          <w:sz w:val="18"/>
          <w:szCs w:val="18"/>
        </w:rPr>
        <w:t>berkutub</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berbeza</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seperti</w:t>
      </w:r>
      <w:proofErr w:type="spellEnd"/>
      <w:r w:rsidRPr="00400743">
        <w:rPr>
          <w:rFonts w:ascii="Times New Roman" w:eastAsia="E-BZ" w:hAnsi="Times New Roman"/>
          <w:sz w:val="18"/>
          <w:szCs w:val="18"/>
        </w:rPr>
        <w:t xml:space="preserve"> n-</w:t>
      </w:r>
      <w:proofErr w:type="spellStart"/>
      <w:r w:rsidRPr="00400743">
        <w:rPr>
          <w:rFonts w:ascii="Times New Roman" w:eastAsia="E-BZ" w:hAnsi="Times New Roman"/>
          <w:sz w:val="18"/>
          <w:szCs w:val="18"/>
        </w:rPr>
        <w:t>heksana</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etil</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aseta</w:t>
      </w:r>
      <w:r w:rsidR="00997015">
        <w:rPr>
          <w:rFonts w:ascii="Times New Roman" w:eastAsia="E-BZ" w:hAnsi="Times New Roman"/>
          <w:sz w:val="18"/>
          <w:szCs w:val="18"/>
        </w:rPr>
        <w:t>t</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metanol</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dan</w:t>
      </w:r>
      <w:proofErr w:type="spellEnd"/>
      <w:r w:rsidR="00997015">
        <w:rPr>
          <w:rFonts w:ascii="Times New Roman" w:eastAsia="E-BZ" w:hAnsi="Times New Roman"/>
          <w:sz w:val="18"/>
          <w:szCs w:val="18"/>
        </w:rPr>
        <w:t xml:space="preserve"> air.</w:t>
      </w:r>
      <w:proofErr w:type="gramEnd"/>
      <w:r w:rsidR="00997015">
        <w:rPr>
          <w:rFonts w:ascii="Times New Roman" w:eastAsia="E-BZ" w:hAnsi="Times New Roman"/>
          <w:sz w:val="18"/>
          <w:szCs w:val="18"/>
        </w:rPr>
        <w:t xml:space="preserve"> </w:t>
      </w:r>
      <w:proofErr w:type="spellStart"/>
      <w:proofErr w:type="gramStart"/>
      <w:r w:rsidR="00997015">
        <w:rPr>
          <w:rFonts w:ascii="Times New Roman" w:eastAsia="E-BZ" w:hAnsi="Times New Roman"/>
          <w:sz w:val="18"/>
          <w:szCs w:val="18"/>
        </w:rPr>
        <w:t>Saringan</w:t>
      </w:r>
      <w:proofErr w:type="spellEnd"/>
      <w:r w:rsidRPr="00400743">
        <w:rPr>
          <w:rFonts w:ascii="Times New Roman" w:eastAsia="E-BZ" w:hAnsi="Times New Roman"/>
          <w:sz w:val="18"/>
          <w:szCs w:val="18"/>
        </w:rPr>
        <w:t xml:space="preserve"> </w:t>
      </w:r>
      <w:proofErr w:type="spellStart"/>
      <w:r w:rsidR="00997015">
        <w:rPr>
          <w:rFonts w:ascii="Times New Roman" w:eastAsia="E-BZ" w:hAnsi="Times New Roman"/>
          <w:sz w:val="18"/>
          <w:szCs w:val="18"/>
        </w:rPr>
        <w:t>awal</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fitokimia</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terhadap</w:t>
      </w:r>
      <w:proofErr w:type="spellEnd"/>
      <w:r w:rsidR="00997015">
        <w:rPr>
          <w:rFonts w:ascii="Times New Roman" w:eastAsia="E-BZ" w:hAnsi="Times New Roman"/>
          <w:sz w:val="18"/>
          <w:szCs w:val="18"/>
        </w:rPr>
        <w:t xml:space="preserve"> </w:t>
      </w:r>
      <w:proofErr w:type="spellStart"/>
      <w:r w:rsidRPr="00400743">
        <w:rPr>
          <w:rFonts w:ascii="Times New Roman" w:eastAsia="E-BZ" w:hAnsi="Times New Roman"/>
          <w:sz w:val="18"/>
          <w:szCs w:val="18"/>
        </w:rPr>
        <w:t>semua</w:t>
      </w:r>
      <w:proofErr w:type="spellEnd"/>
      <w:r w:rsidRPr="00400743">
        <w:rPr>
          <w:rFonts w:ascii="Times New Roman" w:eastAsia="E-BZ" w:hAnsi="Times New Roman"/>
          <w:sz w:val="18"/>
          <w:szCs w:val="18"/>
        </w:rPr>
        <w:t xml:space="preserve"> </w:t>
      </w:r>
      <w:proofErr w:type="spellStart"/>
      <w:r w:rsidR="00997015">
        <w:rPr>
          <w:rFonts w:ascii="Times New Roman" w:eastAsia="E-BZ" w:hAnsi="Times New Roman"/>
          <w:sz w:val="18"/>
          <w:szCs w:val="18"/>
        </w:rPr>
        <w:t>sampel</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ekstrak</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telah</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dilakukan</w:t>
      </w:r>
      <w:proofErr w:type="spellEnd"/>
      <w:r w:rsidR="00997015">
        <w:rPr>
          <w:rFonts w:ascii="Times New Roman" w:eastAsia="E-BZ" w:hAnsi="Times New Roman"/>
          <w:sz w:val="18"/>
          <w:szCs w:val="18"/>
        </w:rPr>
        <w:t>.</w:t>
      </w:r>
      <w:proofErr w:type="gram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J</w:t>
      </w:r>
      <w:r w:rsidRPr="00400743">
        <w:rPr>
          <w:rFonts w:ascii="Times New Roman" w:eastAsia="E-BZ" w:hAnsi="Times New Roman"/>
          <w:sz w:val="18"/>
          <w:szCs w:val="18"/>
        </w:rPr>
        <w:t>umlah</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kan</w:t>
      </w:r>
      <w:r w:rsidR="00997015">
        <w:rPr>
          <w:rFonts w:ascii="Times New Roman" w:eastAsia="E-BZ" w:hAnsi="Times New Roman"/>
          <w:sz w:val="18"/>
          <w:szCs w:val="18"/>
        </w:rPr>
        <w:t>dungan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fenolik</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telah</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dianggar</w:t>
      </w:r>
      <w:proofErr w:type="spellEnd"/>
      <w:r w:rsidRPr="00400743">
        <w:rPr>
          <w:rFonts w:ascii="Times New Roman" w:eastAsia="E-BZ" w:hAnsi="Times New Roman"/>
          <w:sz w:val="18"/>
          <w:szCs w:val="18"/>
        </w:rPr>
        <w:t xml:space="preserve"> </w:t>
      </w:r>
      <w:proofErr w:type="spellStart"/>
      <w:proofErr w:type="gramStart"/>
      <w:r w:rsidRPr="00400743">
        <w:rPr>
          <w:rFonts w:ascii="Times New Roman" w:eastAsia="E-BZ" w:hAnsi="Times New Roman"/>
          <w:sz w:val="18"/>
          <w:szCs w:val="18"/>
        </w:rPr>
        <w:t>dengan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mengunapakai</w:t>
      </w:r>
      <w:proofErr w:type="spellEnd"/>
      <w:proofErr w:type="gram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kaedah</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reagen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Folin-Cioc</w:t>
      </w:r>
      <w:r w:rsidR="00997015">
        <w:rPr>
          <w:rFonts w:ascii="Times New Roman" w:eastAsia="E-BZ" w:hAnsi="Times New Roman"/>
          <w:sz w:val="18"/>
          <w:szCs w:val="18"/>
        </w:rPr>
        <w:t>alteu</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dan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dinyatakan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sebagai</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kesetaraan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μg</w:t>
      </w:r>
      <w:proofErr w:type="spellEnd"/>
      <w:r w:rsidR="00997015">
        <w:rPr>
          <w:rFonts w:ascii="Times New Roman" w:eastAsia="E-BZ" w:hAnsi="Times New Roman"/>
          <w:sz w:val="18"/>
          <w:szCs w:val="18"/>
        </w:rPr>
        <w:t xml:space="preserve">/ mg </w:t>
      </w:r>
      <w:proofErr w:type="spellStart"/>
      <w:r w:rsidR="00997015">
        <w:rPr>
          <w:rFonts w:ascii="Times New Roman" w:eastAsia="E-BZ" w:hAnsi="Times New Roman"/>
          <w:sz w:val="18"/>
          <w:szCs w:val="18"/>
        </w:rPr>
        <w:t>asid</w:t>
      </w:r>
      <w:proofErr w:type="spellEnd"/>
      <w:r w:rsidR="00997015">
        <w:rPr>
          <w:rFonts w:ascii="Times New Roman" w:eastAsia="E-BZ" w:hAnsi="Times New Roman"/>
          <w:sz w:val="18"/>
          <w:szCs w:val="18"/>
        </w:rPr>
        <w:t xml:space="preserve"> Gallic</w:t>
      </w:r>
      <w:r w:rsidRPr="00400743">
        <w:rPr>
          <w:rFonts w:ascii="Times New Roman" w:eastAsia="E-BZ" w:hAnsi="Times New Roman"/>
          <w:sz w:val="18"/>
          <w:szCs w:val="18"/>
        </w:rPr>
        <w:t xml:space="preserve">. </w:t>
      </w:r>
      <w:proofErr w:type="spellStart"/>
      <w:r w:rsidR="00997015">
        <w:rPr>
          <w:rFonts w:ascii="Times New Roman" w:eastAsia="E-BZ" w:hAnsi="Times New Roman"/>
          <w:sz w:val="18"/>
          <w:szCs w:val="18"/>
        </w:rPr>
        <w:t>Potensi</w:t>
      </w:r>
      <w:proofErr w:type="spellEnd"/>
      <w:r w:rsidR="00997015">
        <w:rPr>
          <w:rFonts w:ascii="Times New Roman" w:eastAsia="E-BZ" w:hAnsi="Times New Roman"/>
          <w:sz w:val="18"/>
          <w:szCs w:val="18"/>
        </w:rPr>
        <w:t xml:space="preserve"> </w:t>
      </w:r>
      <w:proofErr w:type="spellStart"/>
      <w:proofErr w:type="gramStart"/>
      <w:r w:rsidR="00997015">
        <w:rPr>
          <w:rFonts w:ascii="Times New Roman" w:eastAsia="E-BZ" w:hAnsi="Times New Roman"/>
          <w:sz w:val="18"/>
          <w:szCs w:val="18"/>
        </w:rPr>
        <w:t>antioksidan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dan</w:t>
      </w:r>
      <w:proofErr w:type="spellEnd"/>
      <w:proofErr w:type="gram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kuasa</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penurun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bahan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sampel</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terekstrak</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diukur</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melawan</w:t>
      </w:r>
      <w:proofErr w:type="spellEnd"/>
      <w:r w:rsidR="00997015">
        <w:rPr>
          <w:rFonts w:ascii="Times New Roman" w:eastAsia="E-BZ" w:hAnsi="Times New Roman"/>
          <w:sz w:val="18"/>
          <w:szCs w:val="18"/>
        </w:rPr>
        <w:t xml:space="preserve"> </w:t>
      </w:r>
      <w:r w:rsidRPr="00400743">
        <w:rPr>
          <w:rFonts w:ascii="Times New Roman" w:eastAsia="E-BZ" w:hAnsi="Times New Roman"/>
          <w:sz w:val="18"/>
          <w:szCs w:val="18"/>
        </w:rPr>
        <w:t>DPPH,</w:t>
      </w:r>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sebagai</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perbandingan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masing</w:t>
      </w:r>
      <w:proofErr w:type="spellEnd"/>
      <w:r w:rsidR="00997015">
        <w:rPr>
          <w:rFonts w:ascii="Times New Roman" w:eastAsia="E-BZ" w:hAnsi="Times New Roman"/>
          <w:sz w:val="18"/>
          <w:szCs w:val="18"/>
        </w:rPr>
        <w:t xml:space="preserve"> – </w:t>
      </w:r>
      <w:proofErr w:type="spellStart"/>
      <w:r w:rsidR="00997015">
        <w:rPr>
          <w:rFonts w:ascii="Times New Roman" w:eastAsia="E-BZ" w:hAnsi="Times New Roman"/>
          <w:sz w:val="18"/>
          <w:szCs w:val="18"/>
        </w:rPr>
        <w:t>masing</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terhadap</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asid</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askorbik</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piawai</w:t>
      </w:r>
      <w:proofErr w:type="spellEnd"/>
      <w:r w:rsidR="00997015">
        <w:rPr>
          <w:rFonts w:ascii="Times New Roman" w:eastAsia="E-BZ" w:hAnsi="Times New Roman"/>
          <w:sz w:val="18"/>
          <w:szCs w:val="18"/>
        </w:rPr>
        <w:t xml:space="preserve"> </w:t>
      </w:r>
      <w:proofErr w:type="spellStart"/>
      <w:r w:rsidRPr="00400743">
        <w:rPr>
          <w:rFonts w:ascii="Times New Roman" w:eastAsia="E-BZ" w:hAnsi="Times New Roman"/>
          <w:sz w:val="18"/>
          <w:szCs w:val="18"/>
        </w:rPr>
        <w:t>dan</w:t>
      </w:r>
      <w:proofErr w:type="spellEnd"/>
      <w:r w:rsidRPr="00400743">
        <w:rPr>
          <w:rFonts w:ascii="Times New Roman" w:eastAsia="E-BZ" w:hAnsi="Times New Roman"/>
          <w:sz w:val="18"/>
          <w:szCs w:val="18"/>
        </w:rPr>
        <w:t xml:space="preserve"> BHA. </w:t>
      </w:r>
      <w:r w:rsidR="00997015">
        <w:rPr>
          <w:rFonts w:ascii="Times New Roman" w:eastAsia="E-BZ" w:hAnsi="Times New Roman"/>
          <w:sz w:val="18"/>
          <w:szCs w:val="18"/>
        </w:rPr>
        <w:t xml:space="preserve">Data </w:t>
      </w:r>
      <w:proofErr w:type="spellStart"/>
      <w:r w:rsidR="00997015">
        <w:rPr>
          <w:rFonts w:ascii="Times New Roman" w:eastAsia="E-BZ" w:hAnsi="Times New Roman"/>
          <w:sz w:val="18"/>
          <w:szCs w:val="18"/>
        </w:rPr>
        <w:t>kajian</w:t>
      </w:r>
      <w:proofErr w:type="spellEnd"/>
      <w:r w:rsidR="00997015">
        <w:rPr>
          <w:rFonts w:ascii="Times New Roman" w:eastAsia="E-BZ" w:hAnsi="Times New Roman"/>
          <w:sz w:val="18"/>
          <w:szCs w:val="18"/>
        </w:rPr>
        <w:t xml:space="preserve"> </w:t>
      </w:r>
      <w:proofErr w:type="spellStart"/>
      <w:r w:rsidRPr="00400743">
        <w:rPr>
          <w:rFonts w:ascii="Times New Roman" w:eastAsia="E-BZ" w:hAnsi="Times New Roman"/>
          <w:sz w:val="18"/>
          <w:szCs w:val="18"/>
        </w:rPr>
        <w:t>menunjukkan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bahawa</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kandungan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fenolik</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adalah</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lebih</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tinggi</w:t>
      </w:r>
      <w:proofErr w:type="spellEnd"/>
      <w:r w:rsidRPr="00400743">
        <w:rPr>
          <w:rFonts w:ascii="Times New Roman" w:eastAsia="E-BZ" w:hAnsi="Times New Roman"/>
          <w:sz w:val="18"/>
          <w:szCs w:val="18"/>
        </w:rPr>
        <w:t xml:space="preserve"> </w:t>
      </w:r>
      <w:r w:rsidR="00997015">
        <w:rPr>
          <w:rFonts w:ascii="Times New Roman" w:eastAsia="E-BZ" w:hAnsi="Times New Roman"/>
          <w:sz w:val="18"/>
          <w:szCs w:val="18"/>
        </w:rPr>
        <w:t xml:space="preserve">di </w:t>
      </w:r>
      <w:proofErr w:type="spellStart"/>
      <w:r w:rsidR="00997015">
        <w:rPr>
          <w:rFonts w:ascii="Times New Roman" w:eastAsia="E-BZ" w:hAnsi="Times New Roman"/>
          <w:sz w:val="18"/>
          <w:szCs w:val="18"/>
        </w:rPr>
        <w:t>dalam</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daun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mengunakan</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pengekstrak</w:t>
      </w:r>
      <w:proofErr w:type="spellEnd"/>
      <w:r w:rsidR="00997015">
        <w:rPr>
          <w:rFonts w:ascii="Times New Roman" w:eastAsia="E-BZ" w:hAnsi="Times New Roman"/>
          <w:sz w:val="18"/>
          <w:szCs w:val="18"/>
        </w:rPr>
        <w:t xml:space="preserve"> </w:t>
      </w:r>
      <w:proofErr w:type="spellStart"/>
      <w:r w:rsidR="00997015">
        <w:rPr>
          <w:rFonts w:ascii="Times New Roman" w:eastAsia="E-BZ" w:hAnsi="Times New Roman"/>
          <w:sz w:val="18"/>
          <w:szCs w:val="18"/>
        </w:rPr>
        <w:t>metanol</w:t>
      </w:r>
      <w:proofErr w:type="spellEnd"/>
      <w:r w:rsidR="00997015">
        <w:rPr>
          <w:rFonts w:ascii="Times New Roman" w:eastAsia="E-BZ" w:hAnsi="Times New Roman"/>
          <w:sz w:val="18"/>
          <w:szCs w:val="18"/>
        </w:rPr>
        <w:t xml:space="preserve"> (73.67 ± 0.38mg /</w:t>
      </w:r>
      <w:r w:rsidR="00D732D8">
        <w:rPr>
          <w:rFonts w:ascii="Times New Roman" w:eastAsia="E-BZ" w:hAnsi="Times New Roman"/>
          <w:sz w:val="18"/>
          <w:szCs w:val="18"/>
        </w:rPr>
        <w:t xml:space="preserve">g) </w:t>
      </w:r>
      <w:proofErr w:type="spellStart"/>
      <w:r w:rsidR="00D732D8">
        <w:rPr>
          <w:rFonts w:ascii="Times New Roman" w:eastAsia="E-BZ" w:hAnsi="Times New Roman"/>
          <w:sz w:val="18"/>
          <w:szCs w:val="18"/>
        </w:rPr>
        <w:t>diikuti</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etil</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asetat</w:t>
      </w:r>
      <w:proofErr w:type="spellEnd"/>
      <w:r w:rsidR="00D732D8">
        <w:rPr>
          <w:rFonts w:ascii="Times New Roman" w:eastAsia="E-BZ" w:hAnsi="Times New Roman"/>
          <w:sz w:val="18"/>
          <w:szCs w:val="18"/>
        </w:rPr>
        <w:t xml:space="preserve"> (29.08 ± 0.38mg /g), </w:t>
      </w:r>
      <w:r w:rsidRPr="00400743">
        <w:rPr>
          <w:rFonts w:ascii="Times New Roman" w:eastAsia="E-BZ" w:hAnsi="Times New Roman"/>
          <w:sz w:val="18"/>
          <w:szCs w:val="18"/>
        </w:rPr>
        <w:t xml:space="preserve">air (21.50 </w:t>
      </w:r>
      <w:r w:rsidR="00D732D8">
        <w:rPr>
          <w:rFonts w:ascii="Times New Roman" w:eastAsia="E-BZ" w:hAnsi="Times New Roman"/>
          <w:sz w:val="18"/>
          <w:szCs w:val="18"/>
        </w:rPr>
        <w:t>± 0.28 mg /g)</w:t>
      </w:r>
      <w:r w:rsidRPr="00400743">
        <w:rPr>
          <w:rFonts w:ascii="Times New Roman" w:eastAsia="E-BZ" w:hAnsi="Times New Roman"/>
          <w:sz w:val="18"/>
          <w:szCs w:val="18"/>
        </w:rPr>
        <w:t xml:space="preserve"> </w:t>
      </w:r>
      <w:proofErr w:type="spellStart"/>
      <w:r w:rsidR="00D732D8">
        <w:rPr>
          <w:rFonts w:ascii="Times New Roman" w:eastAsia="E-BZ" w:hAnsi="Times New Roman"/>
          <w:sz w:val="18"/>
          <w:szCs w:val="18"/>
        </w:rPr>
        <w:t>dan</w:t>
      </w:r>
      <w:proofErr w:type="spellEnd"/>
      <w:r w:rsidR="00D732D8">
        <w:rPr>
          <w:rFonts w:ascii="Times New Roman" w:eastAsia="E-BZ" w:hAnsi="Times New Roman"/>
          <w:sz w:val="18"/>
          <w:szCs w:val="18"/>
        </w:rPr>
        <w:t xml:space="preserve"> n-</w:t>
      </w:r>
      <w:proofErr w:type="spellStart"/>
      <w:r w:rsidR="00D732D8">
        <w:rPr>
          <w:rFonts w:ascii="Times New Roman" w:eastAsia="E-BZ" w:hAnsi="Times New Roman"/>
          <w:sz w:val="18"/>
          <w:szCs w:val="18"/>
        </w:rPr>
        <w:t>heksana</w:t>
      </w:r>
      <w:proofErr w:type="spellEnd"/>
      <w:r w:rsidR="00D732D8">
        <w:rPr>
          <w:rFonts w:ascii="Times New Roman" w:eastAsia="E-BZ" w:hAnsi="Times New Roman"/>
          <w:sz w:val="18"/>
          <w:szCs w:val="18"/>
        </w:rPr>
        <w:t xml:space="preserve"> (9.29 ± 0.38 mg/g) </w:t>
      </w:r>
      <w:proofErr w:type="spellStart"/>
      <w:r w:rsidR="00D732D8">
        <w:rPr>
          <w:rFonts w:ascii="Times New Roman" w:eastAsia="E-BZ" w:hAnsi="Times New Roman"/>
          <w:sz w:val="18"/>
          <w:szCs w:val="18"/>
        </w:rPr>
        <w:t>kesetaraan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asid</w:t>
      </w:r>
      <w:proofErr w:type="spellEnd"/>
      <w:r w:rsidR="00D732D8">
        <w:rPr>
          <w:rFonts w:ascii="Times New Roman" w:eastAsia="E-BZ" w:hAnsi="Times New Roman"/>
          <w:sz w:val="18"/>
          <w:szCs w:val="18"/>
        </w:rPr>
        <w:t xml:space="preserve"> Gallic. </w:t>
      </w:r>
      <w:proofErr w:type="spellStart"/>
      <w:r w:rsidR="00D732D8">
        <w:rPr>
          <w:rFonts w:ascii="Times New Roman" w:eastAsia="E-BZ" w:hAnsi="Times New Roman"/>
          <w:sz w:val="18"/>
          <w:szCs w:val="18"/>
        </w:rPr>
        <w:t>Corak</w:t>
      </w:r>
      <w:proofErr w:type="spellEnd"/>
      <w:r w:rsidR="00D732D8">
        <w:rPr>
          <w:rFonts w:ascii="Times New Roman" w:eastAsia="E-BZ" w:hAnsi="Times New Roman"/>
          <w:sz w:val="18"/>
          <w:szCs w:val="18"/>
        </w:rPr>
        <w:t xml:space="preserve"> yang </w:t>
      </w:r>
      <w:proofErr w:type="spellStart"/>
      <w:r w:rsidR="00D732D8">
        <w:rPr>
          <w:rFonts w:ascii="Times New Roman" w:eastAsia="E-BZ" w:hAnsi="Times New Roman"/>
          <w:sz w:val="18"/>
          <w:szCs w:val="18"/>
        </w:rPr>
        <w:t>sama</w:t>
      </w:r>
      <w:proofErr w:type="spellEnd"/>
      <w:r w:rsidR="00D732D8">
        <w:rPr>
          <w:rFonts w:ascii="Times New Roman" w:eastAsia="E-BZ" w:hAnsi="Times New Roman"/>
          <w:sz w:val="18"/>
          <w:szCs w:val="18"/>
        </w:rPr>
        <w:t xml:space="preserve"> di </w:t>
      </w:r>
      <w:proofErr w:type="spellStart"/>
      <w:r w:rsidR="00D732D8">
        <w:rPr>
          <w:rFonts w:ascii="Times New Roman" w:eastAsia="E-BZ" w:hAnsi="Times New Roman"/>
          <w:sz w:val="18"/>
          <w:szCs w:val="18"/>
        </w:rPr>
        <w:t>bahagian</w:t>
      </w:r>
      <w:proofErr w:type="spellEnd"/>
      <w:r w:rsidR="00D732D8">
        <w:rPr>
          <w:rFonts w:ascii="Times New Roman" w:eastAsia="E-BZ" w:hAnsi="Times New Roman"/>
          <w:sz w:val="18"/>
          <w:szCs w:val="18"/>
        </w:rPr>
        <w:t xml:space="preserve"> </w:t>
      </w:r>
      <w:proofErr w:type="spellStart"/>
      <w:proofErr w:type="gramStart"/>
      <w:r w:rsidR="00D732D8">
        <w:rPr>
          <w:rFonts w:ascii="Times New Roman" w:eastAsia="E-BZ" w:hAnsi="Times New Roman"/>
          <w:sz w:val="18"/>
          <w:szCs w:val="18"/>
        </w:rPr>
        <w:t>batang</w:t>
      </w:r>
      <w:proofErr w:type="spellEnd"/>
      <w:r w:rsidRPr="00400743">
        <w:rPr>
          <w:rFonts w:ascii="Times New Roman" w:eastAsia="E-BZ" w:hAnsi="Times New Roman"/>
          <w:sz w:val="18"/>
          <w:szCs w:val="18"/>
        </w:rPr>
        <w:t xml:space="preserve"> </w:t>
      </w:r>
      <w:r w:rsidR="00D732D8">
        <w:rPr>
          <w:rFonts w:ascii="Times New Roman" w:eastAsia="E-BZ" w:hAnsi="Times New Roman"/>
          <w:sz w:val="18"/>
          <w:szCs w:val="18"/>
        </w:rPr>
        <w:t xml:space="preserve"> </w:t>
      </w:r>
      <w:proofErr w:type="spellStart"/>
      <w:r w:rsidRPr="00400743">
        <w:rPr>
          <w:rFonts w:ascii="Times New Roman" w:eastAsia="E-BZ" w:hAnsi="Times New Roman"/>
          <w:sz w:val="18"/>
          <w:szCs w:val="18"/>
        </w:rPr>
        <w:t>juga</w:t>
      </w:r>
      <w:proofErr w:type="spellEnd"/>
      <w:proofErr w:type="gram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diperhatikan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iaitu</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ek</w:t>
      </w:r>
      <w:r w:rsidR="00D732D8">
        <w:rPr>
          <w:rFonts w:ascii="Times New Roman" w:eastAsia="E-BZ" w:hAnsi="Times New Roman"/>
          <w:sz w:val="18"/>
          <w:szCs w:val="18"/>
        </w:rPr>
        <w:t>strak</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metanol</w:t>
      </w:r>
      <w:proofErr w:type="spellEnd"/>
      <w:r w:rsidR="00D732D8">
        <w:rPr>
          <w:rFonts w:ascii="Times New Roman" w:eastAsia="E-BZ" w:hAnsi="Times New Roman"/>
          <w:sz w:val="18"/>
          <w:szCs w:val="18"/>
        </w:rPr>
        <w:t xml:space="preserve"> (41.90 ± 0.45mg /</w:t>
      </w:r>
      <w:r w:rsidRPr="00400743">
        <w:rPr>
          <w:rFonts w:ascii="Times New Roman" w:eastAsia="E-BZ" w:hAnsi="Times New Roman"/>
          <w:sz w:val="18"/>
          <w:szCs w:val="18"/>
        </w:rPr>
        <w:t>g</w:t>
      </w:r>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etil</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asetat</w:t>
      </w:r>
      <w:proofErr w:type="spellEnd"/>
      <w:r w:rsidR="00D732D8">
        <w:rPr>
          <w:rFonts w:ascii="Times New Roman" w:eastAsia="E-BZ" w:hAnsi="Times New Roman"/>
          <w:sz w:val="18"/>
          <w:szCs w:val="18"/>
        </w:rPr>
        <w:t xml:space="preserve"> (21.92 ± 0.28 mg/g), air (15.13 ± 0.18mg/</w:t>
      </w:r>
      <w:r w:rsidRPr="00400743">
        <w:rPr>
          <w:rFonts w:ascii="Times New Roman" w:eastAsia="E-BZ" w:hAnsi="Times New Roman"/>
          <w:sz w:val="18"/>
          <w:szCs w:val="18"/>
        </w:rPr>
        <w:t xml:space="preserve"> g), </w:t>
      </w:r>
      <w:proofErr w:type="spellStart"/>
      <w:r w:rsidRPr="00400743">
        <w:rPr>
          <w:rFonts w:ascii="Times New Roman" w:eastAsia="E-BZ" w:hAnsi="Times New Roman"/>
          <w:sz w:val="18"/>
          <w:szCs w:val="18"/>
        </w:rPr>
        <w:t>dan</w:t>
      </w:r>
      <w:proofErr w:type="spellEnd"/>
      <w:r w:rsidRPr="00400743">
        <w:rPr>
          <w:rFonts w:ascii="Times New Roman" w:eastAsia="E-BZ" w:hAnsi="Times New Roman"/>
          <w:sz w:val="18"/>
          <w:szCs w:val="18"/>
        </w:rPr>
        <w:t xml:space="preserve"> n-</w:t>
      </w:r>
      <w:proofErr w:type="spellStart"/>
      <w:r w:rsidRPr="00400743">
        <w:rPr>
          <w:rFonts w:ascii="Times New Roman" w:eastAsia="E-BZ" w:hAnsi="Times New Roman"/>
          <w:sz w:val="18"/>
          <w:szCs w:val="18"/>
        </w:rPr>
        <w:t>Heksana</w:t>
      </w:r>
      <w:proofErr w:type="spellEnd"/>
      <w:r w:rsidRPr="00400743">
        <w:rPr>
          <w:rFonts w:ascii="Times New Roman" w:eastAsia="E-BZ" w:hAnsi="Times New Roman"/>
          <w:sz w:val="18"/>
          <w:szCs w:val="18"/>
        </w:rPr>
        <w:t xml:space="preserve"> (3.69 </w:t>
      </w:r>
      <w:r w:rsidR="00D732D8">
        <w:rPr>
          <w:rFonts w:ascii="Times New Roman" w:eastAsia="E-BZ" w:hAnsi="Times New Roman"/>
          <w:sz w:val="18"/>
          <w:szCs w:val="18"/>
        </w:rPr>
        <w:t>± 0.28 mg/</w:t>
      </w:r>
      <w:r w:rsidRPr="00400743">
        <w:rPr>
          <w:rFonts w:ascii="Times New Roman" w:eastAsia="E-BZ" w:hAnsi="Times New Roman"/>
          <w:sz w:val="18"/>
          <w:szCs w:val="18"/>
        </w:rPr>
        <w:t>g).</w:t>
      </w:r>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Kapasiti</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antioksidan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mengunakan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pengekstrak</w:t>
      </w:r>
      <w:proofErr w:type="spellEnd"/>
      <w:r w:rsidR="00D732D8">
        <w:rPr>
          <w:rFonts w:ascii="Times New Roman" w:eastAsia="E-BZ" w:hAnsi="Times New Roman"/>
          <w:sz w:val="18"/>
          <w:szCs w:val="18"/>
        </w:rPr>
        <w:t xml:space="preserve"> </w:t>
      </w:r>
      <w:proofErr w:type="spellStart"/>
      <w:r w:rsidRPr="00400743">
        <w:rPr>
          <w:rFonts w:ascii="Times New Roman" w:eastAsia="E-BZ" w:hAnsi="Times New Roman"/>
          <w:sz w:val="18"/>
          <w:szCs w:val="18"/>
        </w:rPr>
        <w:t>m</w:t>
      </w:r>
      <w:r w:rsidR="00D732D8">
        <w:rPr>
          <w:rFonts w:ascii="Times New Roman" w:eastAsia="E-BZ" w:hAnsi="Times New Roman"/>
          <w:sz w:val="18"/>
          <w:szCs w:val="18"/>
        </w:rPr>
        <w:t>etanol</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daripada</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kedua-dua</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bahagian</w:t>
      </w:r>
      <w:proofErr w:type="spellEnd"/>
      <w:r w:rsidR="00D732D8">
        <w:rPr>
          <w:rFonts w:ascii="Times New Roman" w:eastAsia="E-BZ" w:hAnsi="Times New Roman"/>
          <w:sz w:val="18"/>
          <w:szCs w:val="18"/>
        </w:rPr>
        <w:t xml:space="preserve"> </w:t>
      </w:r>
      <w:proofErr w:type="spellStart"/>
      <w:r w:rsidRPr="00400743">
        <w:rPr>
          <w:rFonts w:ascii="Times New Roman" w:eastAsia="E-BZ" w:hAnsi="Times New Roman"/>
          <w:sz w:val="18"/>
          <w:szCs w:val="18"/>
        </w:rPr>
        <w:t>iaitu</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daun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dan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b</w:t>
      </w:r>
      <w:r w:rsidR="00D732D8">
        <w:rPr>
          <w:rFonts w:ascii="Times New Roman" w:eastAsia="E-BZ" w:hAnsi="Times New Roman"/>
          <w:sz w:val="18"/>
          <w:szCs w:val="18"/>
        </w:rPr>
        <w:t>atang</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didapati</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maksimum</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dengan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nilai</w:t>
      </w:r>
      <w:proofErr w:type="spellEnd"/>
      <w:r w:rsidR="00D732D8">
        <w:rPr>
          <w:rFonts w:ascii="Times New Roman" w:eastAsia="E-BZ" w:hAnsi="Times New Roman"/>
          <w:sz w:val="18"/>
          <w:szCs w:val="18"/>
        </w:rPr>
        <w:t xml:space="preserve"> IC50 </w:t>
      </w:r>
      <w:proofErr w:type="spellStart"/>
      <w:r w:rsidR="00D732D8">
        <w:rPr>
          <w:rFonts w:ascii="Times New Roman" w:eastAsia="E-BZ" w:hAnsi="Times New Roman"/>
          <w:sz w:val="18"/>
          <w:szCs w:val="18"/>
        </w:rPr>
        <w:t>masing</w:t>
      </w:r>
      <w:proofErr w:type="spellEnd"/>
      <w:r w:rsidR="00D732D8">
        <w:rPr>
          <w:rFonts w:ascii="Times New Roman" w:eastAsia="E-BZ" w:hAnsi="Times New Roman"/>
          <w:sz w:val="18"/>
          <w:szCs w:val="18"/>
        </w:rPr>
        <w:t xml:space="preserve"> – </w:t>
      </w:r>
      <w:proofErr w:type="spellStart"/>
      <w:r w:rsidR="00D732D8">
        <w:rPr>
          <w:rFonts w:ascii="Times New Roman" w:eastAsia="E-BZ" w:hAnsi="Times New Roman"/>
          <w:sz w:val="18"/>
          <w:szCs w:val="18"/>
        </w:rPr>
        <w:t>masing</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adalah</w:t>
      </w:r>
      <w:proofErr w:type="spellEnd"/>
      <w:r w:rsidR="00D732D8">
        <w:rPr>
          <w:rFonts w:ascii="Times New Roman" w:eastAsia="E-BZ" w:hAnsi="Times New Roman"/>
          <w:sz w:val="18"/>
          <w:szCs w:val="18"/>
        </w:rPr>
        <w:t xml:space="preserve">  226.49 ± 0.16 </w:t>
      </w:r>
      <w:proofErr w:type="spellStart"/>
      <w:r w:rsidR="00D732D8">
        <w:rPr>
          <w:rFonts w:ascii="Times New Roman" w:eastAsia="E-BZ" w:hAnsi="Times New Roman"/>
          <w:sz w:val="18"/>
          <w:szCs w:val="18"/>
        </w:rPr>
        <w:t>dan</w:t>
      </w:r>
      <w:proofErr w:type="spellEnd"/>
      <w:r w:rsidR="00D732D8">
        <w:rPr>
          <w:rFonts w:ascii="Times New Roman" w:eastAsia="E-BZ" w:hAnsi="Times New Roman"/>
          <w:sz w:val="18"/>
          <w:szCs w:val="18"/>
        </w:rPr>
        <w:t xml:space="preserve"> 402.05 ± 1.10. </w:t>
      </w:r>
      <w:proofErr w:type="spellStart"/>
      <w:proofErr w:type="gramStart"/>
      <w:r w:rsidR="00D732D8">
        <w:rPr>
          <w:rFonts w:ascii="Times New Roman" w:eastAsia="E-BZ" w:hAnsi="Times New Roman"/>
          <w:sz w:val="18"/>
          <w:szCs w:val="18"/>
        </w:rPr>
        <w:t>K</w:t>
      </w:r>
      <w:r w:rsidRPr="00400743">
        <w:rPr>
          <w:rFonts w:ascii="Times New Roman" w:eastAsia="E-BZ" w:hAnsi="Times New Roman"/>
          <w:sz w:val="18"/>
          <w:szCs w:val="18"/>
        </w:rPr>
        <w:t>uasa</w:t>
      </w:r>
      <w:proofErr w:type="spellEnd"/>
      <w:r w:rsidRPr="00400743">
        <w:rPr>
          <w:rFonts w:ascii="Times New Roman" w:eastAsia="E-BZ" w:hAnsi="Times New Roman"/>
          <w:sz w:val="18"/>
          <w:szCs w:val="18"/>
        </w:rPr>
        <w:t xml:space="preserve"> </w:t>
      </w:r>
      <w:proofErr w:type="spellStart"/>
      <w:r w:rsidR="00D732D8">
        <w:rPr>
          <w:rFonts w:ascii="Times New Roman" w:eastAsia="E-BZ" w:hAnsi="Times New Roman"/>
          <w:sz w:val="18"/>
          <w:szCs w:val="18"/>
        </w:rPr>
        <w:t>pengurnagn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juga</w:t>
      </w:r>
      <w:proofErr w:type="spellEnd"/>
      <w:r w:rsidR="00D732D8">
        <w:rPr>
          <w:rFonts w:ascii="Times New Roman" w:eastAsia="E-BZ" w:hAnsi="Times New Roman"/>
          <w:sz w:val="18"/>
          <w:szCs w:val="18"/>
        </w:rPr>
        <w:t xml:space="preserve"> paling </w:t>
      </w:r>
      <w:proofErr w:type="spellStart"/>
      <w:r w:rsidR="00D732D8">
        <w:rPr>
          <w:rFonts w:ascii="Times New Roman" w:eastAsia="E-BZ" w:hAnsi="Times New Roman"/>
          <w:sz w:val="18"/>
          <w:szCs w:val="18"/>
        </w:rPr>
        <w:t>tinggi</w:t>
      </w:r>
      <w:proofErr w:type="spellEnd"/>
      <w:r w:rsidRPr="00400743">
        <w:rPr>
          <w:rFonts w:ascii="Times New Roman" w:eastAsia="E-BZ" w:hAnsi="Times New Roman"/>
          <w:sz w:val="18"/>
          <w:szCs w:val="18"/>
        </w:rPr>
        <w:t xml:space="preserve"> </w:t>
      </w:r>
      <w:r w:rsidR="00D732D8">
        <w:rPr>
          <w:rFonts w:ascii="Times New Roman" w:eastAsia="E-BZ" w:hAnsi="Times New Roman"/>
          <w:sz w:val="18"/>
          <w:szCs w:val="18"/>
        </w:rPr>
        <w:t xml:space="preserve">di </w:t>
      </w:r>
      <w:proofErr w:type="spellStart"/>
      <w:r w:rsidRPr="00400743">
        <w:rPr>
          <w:rFonts w:ascii="Times New Roman" w:eastAsia="E-BZ" w:hAnsi="Times New Roman"/>
          <w:sz w:val="18"/>
          <w:szCs w:val="18"/>
        </w:rPr>
        <w:t>dalam</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ekstrak</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metanol</w:t>
      </w:r>
      <w:proofErr w:type="spellEnd"/>
      <w:r w:rsidRPr="00400743">
        <w:rPr>
          <w:rFonts w:ascii="Times New Roman" w:eastAsia="E-BZ" w:hAnsi="Times New Roman"/>
          <w:sz w:val="18"/>
          <w:szCs w:val="18"/>
        </w:rPr>
        <w:t xml:space="preserve"> </w:t>
      </w:r>
      <w:proofErr w:type="spellStart"/>
      <w:r w:rsidR="00D732D8">
        <w:rPr>
          <w:rFonts w:ascii="Times New Roman" w:eastAsia="E-BZ" w:hAnsi="Times New Roman"/>
          <w:sz w:val="18"/>
          <w:szCs w:val="18"/>
        </w:rPr>
        <w:t>bagi</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kedua-dua</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bahagian</w:t>
      </w:r>
      <w:proofErr w:type="spellEnd"/>
      <w:r w:rsidR="00D732D8">
        <w:rPr>
          <w:rFonts w:ascii="Times New Roman" w:eastAsia="E-BZ" w:hAnsi="Times New Roman"/>
          <w:sz w:val="18"/>
          <w:szCs w:val="18"/>
        </w:rPr>
        <w:t>.</w:t>
      </w:r>
      <w:proofErr w:type="gramEnd"/>
      <w:r w:rsidR="00D732D8">
        <w:rPr>
          <w:rFonts w:ascii="Times New Roman" w:eastAsia="E-BZ" w:hAnsi="Times New Roman"/>
          <w:sz w:val="18"/>
          <w:szCs w:val="18"/>
        </w:rPr>
        <w:t xml:space="preserve"> </w:t>
      </w:r>
      <w:proofErr w:type="spellStart"/>
      <w:proofErr w:type="gramStart"/>
      <w:r w:rsidR="00D732D8">
        <w:rPr>
          <w:rFonts w:ascii="Times New Roman" w:eastAsia="E-BZ" w:hAnsi="Times New Roman"/>
          <w:sz w:val="18"/>
          <w:szCs w:val="18"/>
        </w:rPr>
        <w:t>K</w:t>
      </w:r>
      <w:r w:rsidRPr="00400743">
        <w:rPr>
          <w:rFonts w:ascii="Times New Roman" w:eastAsia="E-BZ" w:hAnsi="Times New Roman"/>
          <w:sz w:val="18"/>
          <w:szCs w:val="18"/>
        </w:rPr>
        <w:t>esimpulan</w:t>
      </w:r>
      <w:proofErr w:type="spellEnd"/>
      <w:r w:rsidRPr="00400743">
        <w:rPr>
          <w:rFonts w:ascii="Times New Roman" w:eastAsia="E-BZ" w:hAnsi="Times New Roman"/>
          <w:sz w:val="18"/>
          <w:szCs w:val="18"/>
        </w:rPr>
        <w:t xml:space="preserve"> </w:t>
      </w:r>
      <w:proofErr w:type="spellStart"/>
      <w:r w:rsidRPr="00400743">
        <w:rPr>
          <w:rFonts w:ascii="Times New Roman" w:eastAsia="E-BZ" w:hAnsi="Times New Roman"/>
          <w:sz w:val="18"/>
          <w:szCs w:val="18"/>
        </w:rPr>
        <w:t>bahawa</w:t>
      </w:r>
      <w:proofErr w:type="spellEnd"/>
      <w:r w:rsidRPr="00400743">
        <w:rPr>
          <w:rFonts w:ascii="Times New Roman" w:eastAsia="E-BZ" w:hAnsi="Times New Roman"/>
          <w:sz w:val="18"/>
          <w:szCs w:val="18"/>
        </w:rPr>
        <w:t xml:space="preserve"> </w:t>
      </w:r>
      <w:proofErr w:type="spellStart"/>
      <w:r w:rsidR="00D732D8">
        <w:rPr>
          <w:rFonts w:ascii="Times New Roman" w:eastAsia="E-BZ" w:hAnsi="Times New Roman"/>
          <w:sz w:val="18"/>
          <w:szCs w:val="18"/>
        </w:rPr>
        <w:t>kehadiran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kandungan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fenolik</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menyebabkan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nilai</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antioksidan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dan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kuasa</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pengurangan</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menjadi</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lebih</w:t>
      </w:r>
      <w:proofErr w:type="spellEnd"/>
      <w:r w:rsidR="00D732D8">
        <w:rPr>
          <w:rFonts w:ascii="Times New Roman" w:eastAsia="E-BZ" w:hAnsi="Times New Roman"/>
          <w:sz w:val="18"/>
          <w:szCs w:val="18"/>
        </w:rPr>
        <w:t xml:space="preserve"> </w:t>
      </w:r>
      <w:proofErr w:type="spellStart"/>
      <w:r w:rsidR="00D732D8">
        <w:rPr>
          <w:rFonts w:ascii="Times New Roman" w:eastAsia="E-BZ" w:hAnsi="Times New Roman"/>
          <w:sz w:val="18"/>
          <w:szCs w:val="18"/>
        </w:rPr>
        <w:t>tinggi</w:t>
      </w:r>
      <w:proofErr w:type="spellEnd"/>
      <w:r w:rsidR="00D732D8">
        <w:rPr>
          <w:rFonts w:ascii="Times New Roman" w:eastAsia="E-BZ" w:hAnsi="Times New Roman"/>
          <w:sz w:val="18"/>
          <w:szCs w:val="18"/>
        </w:rPr>
        <w:t>.</w:t>
      </w:r>
      <w:proofErr w:type="gramEnd"/>
    </w:p>
    <w:p w:rsidR="0026623B" w:rsidRDefault="00D732D8" w:rsidP="00D732D8">
      <w:pPr>
        <w:tabs>
          <w:tab w:val="left" w:pos="-567"/>
        </w:tabs>
        <w:spacing w:after="0" w:line="240" w:lineRule="auto"/>
        <w:rPr>
          <w:rFonts w:ascii="Times New Roman" w:hAnsi="Times New Roman"/>
          <w:iCs/>
          <w:sz w:val="18"/>
          <w:szCs w:val="18"/>
        </w:rPr>
      </w:pPr>
      <w:r>
        <w:rPr>
          <w:rFonts w:ascii="Times New Roman" w:hAnsi="Times New Roman"/>
          <w:b/>
          <w:sz w:val="18"/>
          <w:szCs w:val="18"/>
        </w:rPr>
        <w:t xml:space="preserve">Kata </w:t>
      </w:r>
      <w:proofErr w:type="spellStart"/>
      <w:r>
        <w:rPr>
          <w:rFonts w:ascii="Times New Roman" w:hAnsi="Times New Roman"/>
          <w:b/>
          <w:sz w:val="18"/>
          <w:szCs w:val="18"/>
        </w:rPr>
        <w:t>kunci</w:t>
      </w:r>
      <w:proofErr w:type="spellEnd"/>
      <w:r w:rsidRPr="00FD0E39">
        <w:rPr>
          <w:rFonts w:ascii="Times New Roman" w:hAnsi="Times New Roman"/>
          <w:b/>
          <w:i/>
          <w:sz w:val="18"/>
          <w:szCs w:val="18"/>
        </w:rPr>
        <w:t xml:space="preserve">: </w:t>
      </w:r>
      <w:proofErr w:type="spellStart"/>
      <w:r w:rsidRPr="00FD0E39">
        <w:rPr>
          <w:rFonts w:ascii="Times New Roman" w:hAnsi="Times New Roman"/>
          <w:i/>
          <w:sz w:val="18"/>
          <w:szCs w:val="18"/>
        </w:rPr>
        <w:t>Blainvillea</w:t>
      </w:r>
      <w:proofErr w:type="spellEnd"/>
      <w:r w:rsidRPr="00FD0E39">
        <w:rPr>
          <w:rFonts w:ascii="Times New Roman" w:hAnsi="Times New Roman"/>
          <w:i/>
          <w:sz w:val="18"/>
          <w:szCs w:val="18"/>
        </w:rPr>
        <w:t xml:space="preserve"> </w:t>
      </w:r>
      <w:proofErr w:type="spellStart"/>
      <w:r w:rsidRPr="00FD0E39">
        <w:rPr>
          <w:rFonts w:ascii="Times New Roman" w:hAnsi="Times New Roman"/>
          <w:i/>
          <w:sz w:val="18"/>
          <w:szCs w:val="18"/>
        </w:rPr>
        <w:t>acmella</w:t>
      </w:r>
      <w:proofErr w:type="spellEnd"/>
      <w:r>
        <w:rPr>
          <w:rFonts w:ascii="Times New Roman" w:hAnsi="Times New Roman"/>
          <w:iCs/>
          <w:sz w:val="18"/>
          <w:szCs w:val="18"/>
        </w:rPr>
        <w:t xml:space="preserve">, </w:t>
      </w:r>
      <w:proofErr w:type="spellStart"/>
      <w:r>
        <w:rPr>
          <w:rFonts w:ascii="Times New Roman" w:hAnsi="Times New Roman"/>
          <w:iCs/>
          <w:sz w:val="18"/>
          <w:szCs w:val="18"/>
        </w:rPr>
        <w:t>Antioksidan</w:t>
      </w:r>
      <w:proofErr w:type="spellEnd"/>
      <w:r>
        <w:rPr>
          <w:rFonts w:ascii="Times New Roman" w:hAnsi="Times New Roman"/>
          <w:iCs/>
          <w:sz w:val="18"/>
          <w:szCs w:val="18"/>
        </w:rPr>
        <w:t xml:space="preserve">, </w:t>
      </w:r>
      <w:proofErr w:type="spellStart"/>
      <w:r>
        <w:rPr>
          <w:rFonts w:ascii="Times New Roman" w:hAnsi="Times New Roman"/>
          <w:iCs/>
          <w:sz w:val="18"/>
          <w:szCs w:val="18"/>
        </w:rPr>
        <w:t>Kuasa</w:t>
      </w:r>
      <w:proofErr w:type="spellEnd"/>
      <w:r>
        <w:rPr>
          <w:rFonts w:ascii="Times New Roman" w:hAnsi="Times New Roman"/>
          <w:iCs/>
          <w:sz w:val="18"/>
          <w:szCs w:val="18"/>
        </w:rPr>
        <w:t xml:space="preserve"> </w:t>
      </w:r>
      <w:proofErr w:type="spellStart"/>
      <w:r>
        <w:rPr>
          <w:rFonts w:ascii="Times New Roman" w:hAnsi="Times New Roman"/>
          <w:iCs/>
          <w:sz w:val="18"/>
          <w:szCs w:val="18"/>
        </w:rPr>
        <w:t>penurun</w:t>
      </w:r>
      <w:proofErr w:type="spellEnd"/>
      <w:r w:rsidRPr="00FD0E39">
        <w:rPr>
          <w:rFonts w:ascii="Times New Roman" w:hAnsi="Times New Roman"/>
          <w:iCs/>
          <w:sz w:val="18"/>
          <w:szCs w:val="18"/>
        </w:rPr>
        <w:t>, DPPH, IC50</w:t>
      </w:r>
    </w:p>
    <w:p w:rsidR="00D732D8" w:rsidRPr="00D732D8" w:rsidRDefault="00D732D8" w:rsidP="00D732D8">
      <w:pPr>
        <w:tabs>
          <w:tab w:val="left" w:pos="-567"/>
        </w:tabs>
        <w:spacing w:after="0" w:line="240" w:lineRule="auto"/>
        <w:rPr>
          <w:rFonts w:ascii="Times New Roman" w:hAnsi="Times New Roman"/>
          <w:b/>
          <w:i/>
          <w:sz w:val="24"/>
          <w:szCs w:val="24"/>
          <w:u w:val="single"/>
        </w:rPr>
      </w:pPr>
    </w:p>
    <w:p w:rsidR="00C20F10" w:rsidRPr="0034691B" w:rsidRDefault="0073751E" w:rsidP="00D732D8">
      <w:pPr>
        <w:spacing w:after="0" w:line="240" w:lineRule="auto"/>
        <w:jc w:val="center"/>
        <w:rPr>
          <w:rFonts w:ascii="Times New Roman" w:hAnsi="Times New Roman"/>
          <w:b/>
          <w:sz w:val="20"/>
          <w:szCs w:val="20"/>
        </w:rPr>
      </w:pPr>
      <w:r w:rsidRPr="0034691B">
        <w:rPr>
          <w:rFonts w:ascii="Times New Roman" w:hAnsi="Times New Roman"/>
          <w:b/>
          <w:sz w:val="20"/>
          <w:szCs w:val="20"/>
        </w:rPr>
        <w:t>Introduction</w:t>
      </w:r>
    </w:p>
    <w:p w:rsidR="008B5F46" w:rsidRPr="00D74BC3" w:rsidRDefault="008B5F46" w:rsidP="00D732D8">
      <w:pPr>
        <w:spacing w:after="0" w:line="240" w:lineRule="auto"/>
        <w:jc w:val="both"/>
        <w:rPr>
          <w:rFonts w:ascii="Times New Roman" w:eastAsia="TimesNewRomanPSMT" w:hAnsi="Times New Roman"/>
          <w:sz w:val="20"/>
          <w:szCs w:val="20"/>
        </w:rPr>
      </w:pPr>
      <w:r w:rsidRPr="00D74BC3">
        <w:rPr>
          <w:rFonts w:ascii="Times New Roman" w:eastAsia="TimesNewRomanPSMT" w:hAnsi="Times New Roman"/>
          <w:sz w:val="20"/>
          <w:szCs w:val="20"/>
        </w:rPr>
        <w:t xml:space="preserve">The free radicals are involved in a number of biochemical </w:t>
      </w:r>
      <w:r w:rsidR="00FB5A9F" w:rsidRPr="00D74BC3">
        <w:rPr>
          <w:rFonts w:ascii="Times New Roman" w:eastAsia="TimesNewRomanPSMT" w:hAnsi="Times New Roman"/>
          <w:sz w:val="20"/>
          <w:szCs w:val="20"/>
        </w:rPr>
        <w:t>processes</w:t>
      </w:r>
      <w:r w:rsidRPr="00D74BC3">
        <w:rPr>
          <w:rFonts w:ascii="Times New Roman" w:eastAsia="TimesNewRomanPSMT" w:hAnsi="Times New Roman"/>
          <w:sz w:val="20"/>
          <w:szCs w:val="20"/>
        </w:rPr>
        <w:t xml:space="preserve"> and also represent an essential part of aerobic life and metabolism. These radicals are continuously produced in body’s normal utilization of oxygen such as respiration and some cell-mediated immune functions, and may also be generated through environmental pollutants, automobile exhaust fumes, pesticides, cigarette smoke, radiation, air pollutants etc</w:t>
      </w:r>
      <w:proofErr w:type="gramStart"/>
      <w:r w:rsidRPr="00D74BC3">
        <w:rPr>
          <w:rFonts w:ascii="Times New Roman" w:eastAsia="TimesNewRomanPSMT" w:hAnsi="Times New Roman"/>
          <w:sz w:val="20"/>
          <w:szCs w:val="20"/>
        </w:rPr>
        <w:t>.[</w:t>
      </w:r>
      <w:proofErr w:type="gramEnd"/>
      <w:r w:rsidRPr="00D74BC3">
        <w:rPr>
          <w:rFonts w:ascii="Times New Roman" w:eastAsia="TimesNewRomanPSMT" w:hAnsi="Times New Roman"/>
          <w:sz w:val="20"/>
          <w:szCs w:val="20"/>
        </w:rPr>
        <w:t>1]</w:t>
      </w:r>
      <w:r w:rsidRPr="00D74BC3">
        <w:rPr>
          <w:rFonts w:ascii="Times New Roman" w:eastAsia="TimesNewRomanPSMT" w:hAnsi="Times New Roman"/>
          <w:b/>
          <w:i/>
          <w:sz w:val="20"/>
          <w:szCs w:val="20"/>
        </w:rPr>
        <w:t>,</w:t>
      </w:r>
      <w:r w:rsidRPr="00D74BC3">
        <w:rPr>
          <w:rFonts w:ascii="Times New Roman" w:eastAsia="TimesNewRomanPSMT" w:hAnsi="Times New Roman"/>
          <w:sz w:val="20"/>
          <w:szCs w:val="20"/>
        </w:rPr>
        <w:t xml:space="preserve"> which become part and parcel of our daily inhaling/ingesting life, and appears no escape from them [2].</w:t>
      </w:r>
    </w:p>
    <w:p w:rsidR="008B5F46" w:rsidRPr="00D74BC3" w:rsidRDefault="008B5F46" w:rsidP="00AB04A5">
      <w:pPr>
        <w:spacing w:before="240" w:line="240" w:lineRule="auto"/>
        <w:jc w:val="both"/>
        <w:rPr>
          <w:rFonts w:ascii="Times New Roman" w:hAnsi="Times New Roman"/>
          <w:b/>
          <w:sz w:val="20"/>
          <w:szCs w:val="20"/>
        </w:rPr>
      </w:pPr>
      <w:r w:rsidRPr="00D74BC3">
        <w:rPr>
          <w:rFonts w:ascii="Times New Roman" w:hAnsi="Times New Roman"/>
          <w:sz w:val="20"/>
          <w:szCs w:val="20"/>
        </w:rPr>
        <w:t xml:space="preserve">The antioxidants are fighter against these free radicals and terminate the chain reaction before vital molecules are damaged. Antioxidants </w:t>
      </w:r>
      <w:r w:rsidR="00DF12E5" w:rsidRPr="00D74BC3">
        <w:rPr>
          <w:rFonts w:ascii="Times New Roman" w:hAnsi="Times New Roman"/>
          <w:sz w:val="20"/>
          <w:szCs w:val="20"/>
        </w:rPr>
        <w:t>prevent</w:t>
      </w:r>
      <w:r w:rsidRPr="00D74BC3">
        <w:rPr>
          <w:rFonts w:ascii="Times New Roman" w:hAnsi="Times New Roman"/>
          <w:sz w:val="20"/>
          <w:szCs w:val="20"/>
        </w:rPr>
        <w:t xml:space="preserve"> cellular damages, and the pathway of a variety of diseases </w:t>
      </w:r>
      <w:r w:rsidRPr="00D74BC3">
        <w:rPr>
          <w:rFonts w:ascii="Times New Roman" w:eastAsia="TimesNewRomanPSMT" w:hAnsi="Times New Roman"/>
          <w:sz w:val="20"/>
          <w:szCs w:val="20"/>
        </w:rPr>
        <w:t>[3]</w:t>
      </w:r>
      <w:r w:rsidRPr="00D74BC3">
        <w:rPr>
          <w:rFonts w:ascii="Times New Roman" w:hAnsi="Times New Roman"/>
          <w:b/>
          <w:i/>
          <w:sz w:val="20"/>
          <w:szCs w:val="20"/>
        </w:rPr>
        <w:t>.</w:t>
      </w:r>
      <w:r w:rsidRPr="00D74BC3">
        <w:rPr>
          <w:rFonts w:ascii="Times New Roman" w:hAnsi="Times New Roman"/>
          <w:sz w:val="20"/>
          <w:szCs w:val="20"/>
        </w:rPr>
        <w:t xml:space="preserve"> A wide range of antioxidants, both natural and synthetic are </w:t>
      </w:r>
      <w:r w:rsidR="00862C15">
        <w:rPr>
          <w:rFonts w:ascii="Times New Roman" w:hAnsi="Times New Roman"/>
          <w:sz w:val="20"/>
          <w:szCs w:val="20"/>
        </w:rPr>
        <w:t xml:space="preserve">being </w:t>
      </w:r>
      <w:r w:rsidRPr="00D74BC3">
        <w:rPr>
          <w:rFonts w:ascii="Times New Roman" w:hAnsi="Times New Roman"/>
          <w:sz w:val="20"/>
          <w:szCs w:val="20"/>
        </w:rPr>
        <w:t xml:space="preserve">utilized in treatment of </w:t>
      </w:r>
      <w:r w:rsidR="00862C15">
        <w:rPr>
          <w:rFonts w:ascii="Times New Roman" w:hAnsi="Times New Roman"/>
          <w:sz w:val="20"/>
          <w:szCs w:val="20"/>
        </w:rPr>
        <w:t xml:space="preserve">various </w:t>
      </w:r>
      <w:r w:rsidRPr="00D74BC3">
        <w:rPr>
          <w:rFonts w:ascii="Times New Roman" w:hAnsi="Times New Roman"/>
          <w:sz w:val="20"/>
          <w:szCs w:val="20"/>
        </w:rPr>
        <w:t xml:space="preserve">diseases, </w:t>
      </w:r>
      <w:r w:rsidR="00F8767D">
        <w:rPr>
          <w:rFonts w:ascii="Times New Roman" w:hAnsi="Times New Roman"/>
          <w:sz w:val="20"/>
          <w:szCs w:val="20"/>
        </w:rPr>
        <w:t xml:space="preserve">mediated by free </w:t>
      </w:r>
      <w:r w:rsidR="00F8767D">
        <w:rPr>
          <w:rFonts w:ascii="Times New Roman" w:hAnsi="Times New Roman"/>
          <w:sz w:val="20"/>
          <w:szCs w:val="20"/>
        </w:rPr>
        <w:lastRenderedPageBreak/>
        <w:t xml:space="preserve">radicals </w:t>
      </w:r>
      <w:r w:rsidRPr="00D74BC3">
        <w:rPr>
          <w:rFonts w:ascii="Times New Roman" w:hAnsi="Times New Roman"/>
          <w:sz w:val="20"/>
          <w:szCs w:val="20"/>
        </w:rPr>
        <w:t xml:space="preserve">[4, </w:t>
      </w:r>
      <w:r w:rsidRPr="00D74BC3">
        <w:rPr>
          <w:rFonts w:ascii="Times New Roman" w:hAnsi="Times New Roman"/>
          <w:bCs/>
          <w:sz w:val="20"/>
          <w:szCs w:val="20"/>
        </w:rPr>
        <w:t>5</w:t>
      </w:r>
      <w:r w:rsidRPr="00D74BC3">
        <w:rPr>
          <w:rFonts w:ascii="Times New Roman" w:hAnsi="Times New Roman"/>
          <w:sz w:val="20"/>
          <w:szCs w:val="20"/>
        </w:rPr>
        <w:t>]</w:t>
      </w:r>
      <w:r w:rsidRPr="00D74BC3">
        <w:rPr>
          <w:rFonts w:ascii="Times New Roman" w:hAnsi="Times New Roman"/>
          <w:i/>
          <w:sz w:val="20"/>
          <w:szCs w:val="20"/>
        </w:rPr>
        <w:t>.</w:t>
      </w:r>
      <w:r w:rsidR="00DF12E5" w:rsidRPr="00D74BC3">
        <w:rPr>
          <w:rFonts w:ascii="Times New Roman" w:hAnsi="Times New Roman"/>
          <w:i/>
          <w:sz w:val="20"/>
          <w:szCs w:val="20"/>
        </w:rPr>
        <w:t xml:space="preserve"> </w:t>
      </w:r>
      <w:r w:rsidR="00DF12E5" w:rsidRPr="00D74BC3">
        <w:rPr>
          <w:rFonts w:ascii="Times New Roman" w:hAnsi="Times New Roman"/>
          <w:sz w:val="20"/>
          <w:szCs w:val="20"/>
        </w:rPr>
        <w:t>The synthetic compounds have their own adverse effects, so an attempt is being made regularly with use of natural resources.</w:t>
      </w:r>
    </w:p>
    <w:p w:rsidR="00A4049D" w:rsidRPr="00D74BC3" w:rsidRDefault="008F6D55" w:rsidP="00D0440F">
      <w:pPr>
        <w:spacing w:before="240" w:line="240" w:lineRule="auto"/>
        <w:jc w:val="both"/>
        <w:rPr>
          <w:rFonts w:ascii="Times New Roman" w:hAnsi="Times New Roman"/>
          <w:iCs/>
          <w:sz w:val="20"/>
          <w:szCs w:val="20"/>
        </w:rPr>
      </w:pPr>
      <w:r w:rsidRPr="00D74BC3">
        <w:rPr>
          <w:rFonts w:ascii="Times New Roman" w:hAnsi="Times New Roman"/>
          <w:sz w:val="20"/>
          <w:szCs w:val="20"/>
        </w:rPr>
        <w:t>The</w:t>
      </w:r>
      <w:r w:rsidRPr="00D74BC3">
        <w:rPr>
          <w:rFonts w:ascii="Times New Roman" w:hAnsi="Times New Roman"/>
          <w:b/>
          <w:sz w:val="20"/>
          <w:szCs w:val="20"/>
        </w:rPr>
        <w:t xml:space="preserve"> </w:t>
      </w:r>
      <w:proofErr w:type="spellStart"/>
      <w:r w:rsidR="00A76706" w:rsidRPr="00D74BC3">
        <w:rPr>
          <w:rFonts w:ascii="Times New Roman" w:hAnsi="Times New Roman"/>
          <w:i/>
          <w:sz w:val="20"/>
          <w:szCs w:val="20"/>
        </w:rPr>
        <w:t>Blainvillea</w:t>
      </w:r>
      <w:proofErr w:type="spellEnd"/>
      <w:r w:rsidR="00A76706" w:rsidRPr="00D74BC3">
        <w:rPr>
          <w:rFonts w:ascii="Times New Roman" w:hAnsi="Times New Roman"/>
          <w:i/>
          <w:sz w:val="20"/>
          <w:szCs w:val="20"/>
        </w:rPr>
        <w:t xml:space="preserve"> </w:t>
      </w:r>
      <w:proofErr w:type="spellStart"/>
      <w:r w:rsidR="00A76706" w:rsidRPr="00D74BC3">
        <w:rPr>
          <w:rFonts w:ascii="Times New Roman" w:hAnsi="Times New Roman"/>
          <w:i/>
          <w:sz w:val="20"/>
          <w:szCs w:val="20"/>
        </w:rPr>
        <w:t>acmella</w:t>
      </w:r>
      <w:proofErr w:type="spellEnd"/>
      <w:r w:rsidR="00A76706" w:rsidRPr="00D74BC3">
        <w:rPr>
          <w:rFonts w:ascii="Times New Roman" w:hAnsi="Times New Roman"/>
          <w:i/>
          <w:sz w:val="20"/>
          <w:szCs w:val="20"/>
        </w:rPr>
        <w:t xml:space="preserve"> (Family: </w:t>
      </w:r>
      <w:proofErr w:type="spellStart"/>
      <w:r w:rsidR="00D56CCE" w:rsidRPr="00D74BC3">
        <w:rPr>
          <w:rFonts w:ascii="Times New Roman" w:hAnsi="Times New Roman"/>
          <w:i/>
          <w:sz w:val="20"/>
          <w:szCs w:val="20"/>
        </w:rPr>
        <w:t>Asteraceae</w:t>
      </w:r>
      <w:proofErr w:type="spellEnd"/>
      <w:r w:rsidR="00D56CCE" w:rsidRPr="00D74BC3">
        <w:rPr>
          <w:rFonts w:ascii="Times New Roman" w:hAnsi="Times New Roman"/>
          <w:i/>
          <w:sz w:val="20"/>
          <w:szCs w:val="20"/>
        </w:rPr>
        <w:t xml:space="preserve">) </w:t>
      </w:r>
      <w:r w:rsidR="001C2C5A" w:rsidRPr="00D74BC3">
        <w:rPr>
          <w:rFonts w:ascii="Times New Roman" w:hAnsi="Times New Roman"/>
          <w:sz w:val="20"/>
          <w:szCs w:val="20"/>
        </w:rPr>
        <w:t xml:space="preserve">is one of the important </w:t>
      </w:r>
      <w:r w:rsidRPr="00D74BC3">
        <w:rPr>
          <w:rFonts w:ascii="Times New Roman" w:hAnsi="Times New Roman"/>
          <w:sz w:val="20"/>
          <w:szCs w:val="20"/>
        </w:rPr>
        <w:t>annual herb</w:t>
      </w:r>
      <w:r w:rsidRPr="00D74BC3">
        <w:rPr>
          <w:rFonts w:ascii="Times New Roman" w:hAnsi="Times New Roman"/>
          <w:b/>
          <w:sz w:val="20"/>
          <w:szCs w:val="20"/>
        </w:rPr>
        <w:t xml:space="preserve">, </w:t>
      </w:r>
      <w:r w:rsidRPr="00D74BC3">
        <w:rPr>
          <w:rFonts w:ascii="Times New Roman" w:hAnsi="Times New Roman"/>
          <w:sz w:val="20"/>
          <w:szCs w:val="20"/>
        </w:rPr>
        <w:t>which is</w:t>
      </w:r>
      <w:r w:rsidR="0091679E" w:rsidRPr="00D74BC3">
        <w:rPr>
          <w:rFonts w:ascii="Times New Roman" w:hAnsi="Times New Roman"/>
          <w:sz w:val="20"/>
          <w:szCs w:val="20"/>
        </w:rPr>
        <w:t xml:space="preserve"> native of America and found throughout India. Also found in Indonesia, Malaysia, Myanmar, Nepal, Philippines, Thailand, Vietnam; Africa and Australia </w:t>
      </w:r>
      <w:r w:rsidR="00377038" w:rsidRPr="00D74BC3">
        <w:rPr>
          <w:rFonts w:ascii="Times New Roman" w:hAnsi="Times New Roman"/>
          <w:sz w:val="20"/>
          <w:szCs w:val="20"/>
        </w:rPr>
        <w:t>[6]</w:t>
      </w:r>
      <w:r w:rsidR="0091679E" w:rsidRPr="00D74BC3">
        <w:rPr>
          <w:rFonts w:ascii="Times New Roman" w:hAnsi="Times New Roman"/>
          <w:sz w:val="20"/>
          <w:szCs w:val="20"/>
        </w:rPr>
        <w:t>.</w:t>
      </w:r>
      <w:r w:rsidR="00CF0AB7" w:rsidRPr="00D74BC3">
        <w:rPr>
          <w:rFonts w:ascii="Times New Roman" w:hAnsi="Times New Roman"/>
          <w:b/>
          <w:sz w:val="20"/>
          <w:szCs w:val="20"/>
        </w:rPr>
        <w:t xml:space="preserve"> </w:t>
      </w:r>
      <w:r w:rsidR="00D22612" w:rsidRPr="00D74BC3">
        <w:rPr>
          <w:rFonts w:ascii="Times New Roman" w:hAnsi="Times New Roman"/>
          <w:color w:val="000000"/>
          <w:sz w:val="20"/>
          <w:szCs w:val="20"/>
        </w:rPr>
        <w:t xml:space="preserve">The various parts of the plant have been </w:t>
      </w:r>
      <w:r w:rsidR="00CF0AB7" w:rsidRPr="00D74BC3">
        <w:rPr>
          <w:rFonts w:ascii="Times New Roman" w:hAnsi="Times New Roman"/>
          <w:color w:val="000000"/>
          <w:sz w:val="20"/>
          <w:szCs w:val="20"/>
        </w:rPr>
        <w:t xml:space="preserve">reported </w:t>
      </w:r>
      <w:r w:rsidR="00D22612" w:rsidRPr="00D74BC3">
        <w:rPr>
          <w:rFonts w:ascii="Times New Roman" w:hAnsi="Times New Roman"/>
          <w:color w:val="000000"/>
          <w:sz w:val="20"/>
          <w:szCs w:val="20"/>
        </w:rPr>
        <w:t>for</w:t>
      </w:r>
      <w:r w:rsidR="00CF0AB7" w:rsidRPr="00D74BC3">
        <w:rPr>
          <w:rFonts w:ascii="Times New Roman" w:hAnsi="Times New Roman"/>
          <w:color w:val="000000"/>
          <w:sz w:val="20"/>
          <w:szCs w:val="20"/>
        </w:rPr>
        <w:t xml:space="preserve"> the presence of number of phytoconstituents</w:t>
      </w:r>
      <w:r w:rsidR="00D22612" w:rsidRPr="00D74BC3">
        <w:rPr>
          <w:rFonts w:ascii="Times New Roman" w:hAnsi="Times New Roman"/>
          <w:color w:val="000000"/>
          <w:sz w:val="20"/>
          <w:szCs w:val="20"/>
        </w:rPr>
        <w:t xml:space="preserve"> </w:t>
      </w:r>
      <w:r w:rsidR="008748E3" w:rsidRPr="00D74BC3">
        <w:rPr>
          <w:rFonts w:ascii="Times New Roman" w:hAnsi="Times New Roman"/>
          <w:sz w:val="20"/>
          <w:szCs w:val="20"/>
        </w:rPr>
        <w:t>[7]</w:t>
      </w:r>
      <w:r w:rsidR="00E64DEC">
        <w:rPr>
          <w:rFonts w:ascii="Times New Roman" w:hAnsi="Times New Roman"/>
          <w:sz w:val="20"/>
          <w:szCs w:val="20"/>
        </w:rPr>
        <w:t>, although we tried to confirm the presence of these phytoconstituents in extracts</w:t>
      </w:r>
      <w:r w:rsidR="004350DD" w:rsidRPr="004350DD">
        <w:rPr>
          <w:rFonts w:ascii="Times New Roman" w:hAnsi="Times New Roman"/>
          <w:sz w:val="20"/>
          <w:szCs w:val="20"/>
        </w:rPr>
        <w:t xml:space="preserve"> </w:t>
      </w:r>
      <w:r w:rsidR="004350DD">
        <w:rPr>
          <w:rFonts w:ascii="Times New Roman" w:hAnsi="Times New Roman"/>
          <w:sz w:val="20"/>
          <w:szCs w:val="20"/>
        </w:rPr>
        <w:t>of solvents with different polarity</w:t>
      </w:r>
      <w:r w:rsidR="0091679E" w:rsidRPr="00D74BC3">
        <w:rPr>
          <w:rFonts w:ascii="Times New Roman" w:hAnsi="Times New Roman"/>
          <w:sz w:val="20"/>
          <w:szCs w:val="20"/>
        </w:rPr>
        <w:t>.</w:t>
      </w:r>
      <w:r w:rsidR="003F5C52" w:rsidRPr="00D74BC3">
        <w:rPr>
          <w:rFonts w:ascii="Times New Roman" w:hAnsi="Times New Roman"/>
          <w:sz w:val="20"/>
          <w:szCs w:val="20"/>
        </w:rPr>
        <w:t xml:space="preserve"> The </w:t>
      </w:r>
      <w:proofErr w:type="spellStart"/>
      <w:r w:rsidR="003F5C52" w:rsidRPr="00D74BC3">
        <w:rPr>
          <w:rFonts w:ascii="Times New Roman" w:hAnsi="Times New Roman"/>
          <w:i/>
          <w:sz w:val="20"/>
          <w:szCs w:val="20"/>
        </w:rPr>
        <w:t>Blainvillea</w:t>
      </w:r>
      <w:proofErr w:type="spellEnd"/>
      <w:r w:rsidR="003F5C52" w:rsidRPr="00D74BC3">
        <w:rPr>
          <w:rFonts w:ascii="Times New Roman" w:hAnsi="Times New Roman"/>
          <w:i/>
          <w:sz w:val="20"/>
          <w:szCs w:val="20"/>
        </w:rPr>
        <w:t xml:space="preserve"> </w:t>
      </w:r>
      <w:proofErr w:type="spellStart"/>
      <w:r w:rsidR="003F5C52" w:rsidRPr="00D74BC3">
        <w:rPr>
          <w:rFonts w:ascii="Times New Roman" w:hAnsi="Times New Roman"/>
          <w:i/>
          <w:sz w:val="20"/>
          <w:szCs w:val="20"/>
        </w:rPr>
        <w:t>acmella</w:t>
      </w:r>
      <w:proofErr w:type="spellEnd"/>
      <w:r w:rsidR="003F5C52" w:rsidRPr="00D74BC3">
        <w:rPr>
          <w:rFonts w:ascii="Times New Roman" w:hAnsi="Times New Roman"/>
          <w:i/>
          <w:sz w:val="20"/>
          <w:szCs w:val="20"/>
        </w:rPr>
        <w:t xml:space="preserve"> </w:t>
      </w:r>
      <w:r w:rsidR="003F5C52" w:rsidRPr="00D74BC3">
        <w:rPr>
          <w:rFonts w:ascii="Times New Roman" w:hAnsi="Times New Roman"/>
          <w:sz w:val="20"/>
          <w:szCs w:val="20"/>
        </w:rPr>
        <w:t>has also been used traditionally for various purposes</w:t>
      </w:r>
      <w:r w:rsidR="00103FD7" w:rsidRPr="00D74BC3">
        <w:rPr>
          <w:rFonts w:ascii="Times New Roman" w:hAnsi="Times New Roman"/>
          <w:sz w:val="20"/>
          <w:szCs w:val="20"/>
        </w:rPr>
        <w:t xml:space="preserve"> [8]</w:t>
      </w:r>
      <w:r w:rsidR="0091679E" w:rsidRPr="00D74BC3">
        <w:rPr>
          <w:rFonts w:ascii="Times New Roman" w:hAnsi="Times New Roman"/>
          <w:sz w:val="20"/>
          <w:szCs w:val="20"/>
        </w:rPr>
        <w:t xml:space="preserve">. </w:t>
      </w:r>
      <w:r w:rsidR="002D0DB9" w:rsidRPr="00D74BC3">
        <w:rPr>
          <w:rFonts w:ascii="Times New Roman" w:hAnsi="Times New Roman"/>
          <w:sz w:val="20"/>
          <w:szCs w:val="20"/>
        </w:rPr>
        <w:t xml:space="preserve"> The plant have been found effective </w:t>
      </w:r>
      <w:r w:rsidR="003F20F5" w:rsidRPr="00D74BC3">
        <w:rPr>
          <w:rFonts w:ascii="Times New Roman" w:hAnsi="Times New Roman"/>
          <w:sz w:val="20"/>
          <w:szCs w:val="20"/>
        </w:rPr>
        <w:t xml:space="preserve">as </w:t>
      </w:r>
      <w:proofErr w:type="spellStart"/>
      <w:r w:rsidR="003F20F5" w:rsidRPr="00D74BC3">
        <w:rPr>
          <w:rFonts w:ascii="Times New Roman" w:hAnsi="Times New Roman"/>
          <w:sz w:val="20"/>
          <w:szCs w:val="20"/>
        </w:rPr>
        <w:t>ovicidal</w:t>
      </w:r>
      <w:proofErr w:type="spellEnd"/>
      <w:r w:rsidR="003F20F5" w:rsidRPr="00D74BC3">
        <w:rPr>
          <w:rFonts w:ascii="Times New Roman" w:hAnsi="Times New Roman"/>
          <w:sz w:val="20"/>
          <w:szCs w:val="20"/>
        </w:rPr>
        <w:t xml:space="preserve">, </w:t>
      </w:r>
      <w:proofErr w:type="spellStart"/>
      <w:r w:rsidR="003F20F5" w:rsidRPr="00D74BC3">
        <w:rPr>
          <w:rFonts w:ascii="Times New Roman" w:hAnsi="Times New Roman"/>
          <w:sz w:val="20"/>
          <w:szCs w:val="20"/>
        </w:rPr>
        <w:t>larvicidal</w:t>
      </w:r>
      <w:proofErr w:type="spellEnd"/>
      <w:r w:rsidR="003F20F5" w:rsidRPr="00D74BC3">
        <w:rPr>
          <w:rFonts w:ascii="Times New Roman" w:hAnsi="Times New Roman"/>
          <w:sz w:val="20"/>
          <w:szCs w:val="20"/>
        </w:rPr>
        <w:t xml:space="preserve"> and </w:t>
      </w:r>
      <w:proofErr w:type="spellStart"/>
      <w:r w:rsidR="003F20F5" w:rsidRPr="00D74BC3">
        <w:rPr>
          <w:rFonts w:ascii="Times New Roman" w:hAnsi="Times New Roman"/>
          <w:sz w:val="20"/>
          <w:szCs w:val="20"/>
        </w:rPr>
        <w:t>pupicidal</w:t>
      </w:r>
      <w:proofErr w:type="spellEnd"/>
      <w:r w:rsidR="003F20F5" w:rsidRPr="00D74BC3">
        <w:rPr>
          <w:rFonts w:ascii="Times New Roman" w:hAnsi="Times New Roman"/>
          <w:sz w:val="20"/>
          <w:szCs w:val="20"/>
        </w:rPr>
        <w:t xml:space="preserve"> [</w:t>
      </w:r>
      <w:r w:rsidR="007A138F" w:rsidRPr="00D74BC3">
        <w:rPr>
          <w:rFonts w:ascii="Times New Roman" w:hAnsi="Times New Roman"/>
          <w:sz w:val="20"/>
          <w:szCs w:val="20"/>
        </w:rPr>
        <w:t>9</w:t>
      </w:r>
      <w:r w:rsidR="003F20F5" w:rsidRPr="00D74BC3">
        <w:rPr>
          <w:rFonts w:ascii="Times New Roman" w:hAnsi="Times New Roman"/>
          <w:sz w:val="20"/>
          <w:szCs w:val="20"/>
        </w:rPr>
        <w:t>]</w:t>
      </w:r>
      <w:r w:rsidR="006931A8" w:rsidRPr="00D74BC3">
        <w:rPr>
          <w:rFonts w:ascii="Times New Roman" w:hAnsi="Times New Roman"/>
          <w:sz w:val="20"/>
          <w:szCs w:val="20"/>
        </w:rPr>
        <w:t>, diuretic [</w:t>
      </w:r>
      <w:r w:rsidR="007A138F" w:rsidRPr="00D74BC3">
        <w:rPr>
          <w:rFonts w:ascii="Times New Roman" w:hAnsi="Times New Roman"/>
          <w:sz w:val="20"/>
          <w:szCs w:val="20"/>
        </w:rPr>
        <w:t>10</w:t>
      </w:r>
      <w:r w:rsidR="006931A8" w:rsidRPr="00D74BC3">
        <w:rPr>
          <w:rFonts w:ascii="Times New Roman" w:hAnsi="Times New Roman"/>
          <w:sz w:val="20"/>
          <w:szCs w:val="20"/>
        </w:rPr>
        <w:t>]</w:t>
      </w:r>
      <w:r w:rsidR="007E256D" w:rsidRPr="00D74BC3">
        <w:rPr>
          <w:rFonts w:ascii="Times New Roman" w:hAnsi="Times New Roman"/>
          <w:sz w:val="20"/>
          <w:szCs w:val="20"/>
        </w:rPr>
        <w:t>, anti fungal [</w:t>
      </w:r>
      <w:r w:rsidR="007A138F" w:rsidRPr="00D74BC3">
        <w:rPr>
          <w:rFonts w:ascii="Times New Roman" w:hAnsi="Times New Roman"/>
          <w:sz w:val="20"/>
          <w:szCs w:val="20"/>
        </w:rPr>
        <w:t>11</w:t>
      </w:r>
      <w:r w:rsidR="007E256D" w:rsidRPr="00D74BC3">
        <w:rPr>
          <w:rFonts w:ascii="Times New Roman" w:hAnsi="Times New Roman"/>
          <w:sz w:val="20"/>
          <w:szCs w:val="20"/>
        </w:rPr>
        <w:t>]</w:t>
      </w:r>
      <w:r w:rsidR="003D6E8A">
        <w:rPr>
          <w:rFonts w:ascii="Times New Roman" w:hAnsi="Times New Roman"/>
          <w:sz w:val="20"/>
          <w:szCs w:val="20"/>
        </w:rPr>
        <w:t xml:space="preserve">, </w:t>
      </w:r>
      <w:r w:rsidR="00FC07CC" w:rsidRPr="00D74BC3">
        <w:rPr>
          <w:rFonts w:ascii="Times New Roman" w:hAnsi="Times New Roman"/>
          <w:sz w:val="20"/>
          <w:szCs w:val="20"/>
        </w:rPr>
        <w:t>antipyretic [</w:t>
      </w:r>
      <w:r w:rsidR="00AB41FF" w:rsidRPr="00D74BC3">
        <w:rPr>
          <w:rFonts w:ascii="Times New Roman" w:hAnsi="Times New Roman"/>
          <w:sz w:val="20"/>
          <w:szCs w:val="20"/>
        </w:rPr>
        <w:t>12</w:t>
      </w:r>
      <w:r w:rsidR="00E412D1" w:rsidRPr="00D74BC3">
        <w:rPr>
          <w:rFonts w:ascii="Times New Roman" w:hAnsi="Times New Roman"/>
          <w:sz w:val="20"/>
          <w:szCs w:val="20"/>
        </w:rPr>
        <w:t>.</w:t>
      </w:r>
      <w:r w:rsidR="00FC07CC" w:rsidRPr="00D74BC3">
        <w:rPr>
          <w:rFonts w:ascii="Times New Roman" w:hAnsi="Times New Roman"/>
          <w:sz w:val="20"/>
          <w:szCs w:val="20"/>
        </w:rPr>
        <w:t>]</w:t>
      </w:r>
      <w:r w:rsidR="00DD515D" w:rsidRPr="00D74BC3">
        <w:rPr>
          <w:rFonts w:ascii="Times New Roman" w:hAnsi="Times New Roman"/>
          <w:sz w:val="20"/>
          <w:szCs w:val="20"/>
        </w:rPr>
        <w:t xml:space="preserve">, </w:t>
      </w:r>
      <w:r w:rsidR="00DD515D" w:rsidRPr="00D74BC3">
        <w:rPr>
          <w:rStyle w:val="apple-converted-space"/>
          <w:rFonts w:ascii="Times New Roman" w:hAnsi="Times New Roman"/>
          <w:color w:val="000000"/>
          <w:sz w:val="20"/>
          <w:szCs w:val="20"/>
          <w:shd w:val="clear" w:color="auto" w:fill="FFFFFF"/>
        </w:rPr>
        <w:t>anti-inflammatory [</w:t>
      </w:r>
      <w:r w:rsidR="00F9306C" w:rsidRPr="00D74BC3">
        <w:rPr>
          <w:rStyle w:val="apple-converted-space"/>
          <w:rFonts w:ascii="Times New Roman" w:hAnsi="Times New Roman"/>
          <w:color w:val="000000"/>
          <w:sz w:val="20"/>
          <w:szCs w:val="20"/>
          <w:shd w:val="clear" w:color="auto" w:fill="FFFFFF"/>
        </w:rPr>
        <w:t>13</w:t>
      </w:r>
      <w:r w:rsidR="00DD515D" w:rsidRPr="00D74BC3">
        <w:rPr>
          <w:rStyle w:val="apple-converted-space"/>
          <w:rFonts w:ascii="Times New Roman" w:hAnsi="Times New Roman"/>
          <w:color w:val="000000"/>
          <w:sz w:val="20"/>
          <w:szCs w:val="20"/>
          <w:shd w:val="clear" w:color="auto" w:fill="FFFFFF"/>
        </w:rPr>
        <w:t>]</w:t>
      </w:r>
      <w:r w:rsidR="00D72F46" w:rsidRPr="00D74BC3">
        <w:rPr>
          <w:rStyle w:val="apple-converted-space"/>
          <w:rFonts w:ascii="Times New Roman" w:hAnsi="Times New Roman"/>
          <w:color w:val="000000"/>
          <w:sz w:val="20"/>
          <w:szCs w:val="20"/>
          <w:shd w:val="clear" w:color="auto" w:fill="FFFFFF"/>
        </w:rPr>
        <w:t xml:space="preserve">, and </w:t>
      </w:r>
      <w:r w:rsidR="00FB5DD5" w:rsidRPr="00D74BC3">
        <w:rPr>
          <w:rStyle w:val="apple-converted-space"/>
          <w:rFonts w:ascii="Times New Roman" w:hAnsi="Times New Roman"/>
          <w:color w:val="000000"/>
          <w:sz w:val="20"/>
          <w:szCs w:val="20"/>
          <w:shd w:val="clear" w:color="auto" w:fill="FFFFFF"/>
        </w:rPr>
        <w:t xml:space="preserve">few </w:t>
      </w:r>
      <w:r w:rsidR="00D72F46" w:rsidRPr="00D74BC3">
        <w:rPr>
          <w:rStyle w:val="apple-converted-space"/>
          <w:rFonts w:ascii="Times New Roman" w:hAnsi="Times New Roman"/>
          <w:color w:val="000000"/>
          <w:sz w:val="20"/>
          <w:szCs w:val="20"/>
          <w:shd w:val="clear" w:color="auto" w:fill="FFFFFF"/>
        </w:rPr>
        <w:t>others.</w:t>
      </w:r>
      <w:r w:rsidR="00C311F3" w:rsidRPr="00D74BC3">
        <w:rPr>
          <w:rStyle w:val="apple-converted-space"/>
          <w:rFonts w:ascii="Times New Roman" w:hAnsi="Times New Roman"/>
          <w:color w:val="000000"/>
          <w:sz w:val="20"/>
          <w:szCs w:val="20"/>
          <w:shd w:val="clear" w:color="auto" w:fill="FFFFFF"/>
        </w:rPr>
        <w:t xml:space="preserve"> </w:t>
      </w:r>
      <w:r w:rsidR="00A4049D" w:rsidRPr="00D74BC3">
        <w:rPr>
          <w:rFonts w:ascii="Times New Roman" w:hAnsi="Times New Roman"/>
          <w:iCs/>
          <w:sz w:val="20"/>
          <w:szCs w:val="20"/>
        </w:rPr>
        <w:t xml:space="preserve"> </w:t>
      </w:r>
      <w:r w:rsidR="00BB7D02" w:rsidRPr="00D74BC3">
        <w:rPr>
          <w:rFonts w:ascii="Times New Roman" w:hAnsi="Times New Roman"/>
          <w:iCs/>
          <w:sz w:val="20"/>
          <w:szCs w:val="20"/>
        </w:rPr>
        <w:t>Main</w:t>
      </w:r>
      <w:r w:rsidR="00A4049D" w:rsidRPr="00D74BC3">
        <w:rPr>
          <w:rFonts w:ascii="Times New Roman" w:hAnsi="Times New Roman"/>
          <w:iCs/>
          <w:sz w:val="20"/>
          <w:szCs w:val="20"/>
        </w:rPr>
        <w:t xml:space="preserve"> objective of this study was to estimate phenolic content, free radical scavenging activity and reducing power of the </w:t>
      </w:r>
      <w:r w:rsidR="00C51798" w:rsidRPr="00D74BC3">
        <w:rPr>
          <w:rFonts w:ascii="Times New Roman" w:hAnsi="Times New Roman"/>
          <w:iCs/>
          <w:sz w:val="20"/>
          <w:szCs w:val="20"/>
        </w:rPr>
        <w:t>leaf</w:t>
      </w:r>
      <w:r w:rsidR="00A4049D" w:rsidRPr="00D74BC3">
        <w:rPr>
          <w:rFonts w:ascii="Times New Roman" w:hAnsi="Times New Roman"/>
          <w:iCs/>
          <w:sz w:val="20"/>
          <w:szCs w:val="20"/>
        </w:rPr>
        <w:t xml:space="preserve"> and stem of </w:t>
      </w:r>
      <w:proofErr w:type="spellStart"/>
      <w:r w:rsidR="00A4049D" w:rsidRPr="00D74BC3">
        <w:rPr>
          <w:rFonts w:ascii="Times New Roman" w:hAnsi="Times New Roman"/>
          <w:i/>
          <w:sz w:val="20"/>
          <w:szCs w:val="20"/>
        </w:rPr>
        <w:t>Blainvillea</w:t>
      </w:r>
      <w:proofErr w:type="spellEnd"/>
      <w:r w:rsidR="00A4049D" w:rsidRPr="00D74BC3">
        <w:rPr>
          <w:rFonts w:ascii="Times New Roman" w:hAnsi="Times New Roman"/>
          <w:i/>
          <w:sz w:val="20"/>
          <w:szCs w:val="20"/>
        </w:rPr>
        <w:t xml:space="preserve"> </w:t>
      </w:r>
      <w:proofErr w:type="spellStart"/>
      <w:r w:rsidR="00A4049D" w:rsidRPr="00D74BC3">
        <w:rPr>
          <w:rFonts w:ascii="Times New Roman" w:hAnsi="Times New Roman"/>
          <w:i/>
          <w:sz w:val="20"/>
          <w:szCs w:val="20"/>
        </w:rPr>
        <w:t>acmella</w:t>
      </w:r>
      <w:proofErr w:type="spellEnd"/>
      <w:r w:rsidR="00A4049D" w:rsidRPr="00D74BC3">
        <w:rPr>
          <w:rFonts w:ascii="Times New Roman" w:hAnsi="Times New Roman"/>
          <w:sz w:val="20"/>
          <w:szCs w:val="20"/>
        </w:rPr>
        <w:t xml:space="preserve"> </w:t>
      </w:r>
      <w:r w:rsidR="00A4049D" w:rsidRPr="00D74BC3">
        <w:rPr>
          <w:rFonts w:ascii="Times New Roman" w:hAnsi="Times New Roman"/>
          <w:iCs/>
          <w:sz w:val="20"/>
          <w:szCs w:val="20"/>
        </w:rPr>
        <w:t xml:space="preserve">extracted successively </w:t>
      </w:r>
      <w:r w:rsidR="00C51798" w:rsidRPr="00D74BC3">
        <w:rPr>
          <w:rFonts w:ascii="Times New Roman" w:hAnsi="Times New Roman"/>
          <w:iCs/>
          <w:sz w:val="20"/>
          <w:szCs w:val="20"/>
        </w:rPr>
        <w:t>with</w:t>
      </w:r>
      <w:r w:rsidR="00A4049D" w:rsidRPr="00D74BC3">
        <w:rPr>
          <w:rFonts w:ascii="Times New Roman" w:hAnsi="Times New Roman"/>
          <w:iCs/>
          <w:sz w:val="20"/>
          <w:szCs w:val="20"/>
        </w:rPr>
        <w:t xml:space="preserve"> </w:t>
      </w:r>
      <w:r w:rsidR="00A4049D" w:rsidRPr="00D74BC3">
        <w:rPr>
          <w:rFonts w:ascii="Times New Roman" w:hAnsi="Times New Roman"/>
          <w:sz w:val="20"/>
          <w:szCs w:val="20"/>
        </w:rPr>
        <w:t>n-Hexane</w:t>
      </w:r>
      <w:r w:rsidR="00A4049D" w:rsidRPr="00D74BC3">
        <w:rPr>
          <w:rFonts w:ascii="Times New Roman" w:hAnsi="Times New Roman"/>
          <w:iCs/>
          <w:sz w:val="20"/>
          <w:szCs w:val="20"/>
        </w:rPr>
        <w:t xml:space="preserve">, </w:t>
      </w:r>
      <w:r w:rsidR="00A4049D" w:rsidRPr="00D74BC3">
        <w:rPr>
          <w:rFonts w:ascii="Times New Roman" w:hAnsi="Times New Roman"/>
          <w:sz w:val="20"/>
          <w:szCs w:val="20"/>
        </w:rPr>
        <w:t>Ethyl Acetate</w:t>
      </w:r>
      <w:r w:rsidR="00A4049D" w:rsidRPr="00D74BC3">
        <w:rPr>
          <w:rFonts w:ascii="Times New Roman" w:hAnsi="Times New Roman"/>
          <w:iCs/>
          <w:sz w:val="20"/>
          <w:szCs w:val="20"/>
        </w:rPr>
        <w:t xml:space="preserve">, Methanol and Water. </w:t>
      </w:r>
    </w:p>
    <w:p w:rsidR="00DE19C7" w:rsidRPr="00DD2372" w:rsidRDefault="00E15414" w:rsidP="00AB04A5">
      <w:pPr>
        <w:spacing w:before="240" w:line="240" w:lineRule="auto"/>
        <w:jc w:val="center"/>
        <w:rPr>
          <w:rFonts w:ascii="Times New Roman" w:hAnsi="Times New Roman"/>
          <w:b/>
          <w:sz w:val="20"/>
          <w:szCs w:val="20"/>
        </w:rPr>
      </w:pPr>
      <w:r>
        <w:rPr>
          <w:rFonts w:ascii="Times New Roman" w:hAnsi="Times New Roman"/>
          <w:b/>
          <w:sz w:val="20"/>
          <w:szCs w:val="20"/>
        </w:rPr>
        <w:t>Materials and Methods</w:t>
      </w:r>
    </w:p>
    <w:p w:rsidR="00D732D8" w:rsidRDefault="00D732D8" w:rsidP="004F2E11">
      <w:pPr>
        <w:spacing w:after="0" w:line="240" w:lineRule="auto"/>
        <w:jc w:val="both"/>
        <w:rPr>
          <w:rFonts w:ascii="Times New Roman" w:hAnsi="Times New Roman"/>
          <w:b/>
          <w:sz w:val="20"/>
          <w:szCs w:val="20"/>
        </w:rPr>
      </w:pPr>
      <w:r>
        <w:rPr>
          <w:rFonts w:ascii="Times New Roman" w:hAnsi="Times New Roman"/>
          <w:b/>
          <w:sz w:val="20"/>
          <w:szCs w:val="20"/>
        </w:rPr>
        <w:t>Reagents and chemicals</w:t>
      </w:r>
    </w:p>
    <w:p w:rsidR="00D732D8" w:rsidRDefault="0024554A" w:rsidP="00D732D8">
      <w:pPr>
        <w:spacing w:after="0" w:line="240" w:lineRule="auto"/>
        <w:jc w:val="both"/>
        <w:rPr>
          <w:rFonts w:ascii="Times New Roman" w:hAnsi="Times New Roman"/>
          <w:sz w:val="20"/>
          <w:szCs w:val="20"/>
        </w:rPr>
      </w:pPr>
      <w:r w:rsidRPr="0049420F">
        <w:rPr>
          <w:rFonts w:ascii="Times New Roman" w:hAnsi="Times New Roman"/>
          <w:sz w:val="20"/>
          <w:szCs w:val="20"/>
        </w:rPr>
        <w:t>All the chemicals used in the study were of analytical grade. The reagents used in the preliminary phytochemical study were freshly prepared.</w:t>
      </w:r>
      <w:r w:rsidRPr="0049420F">
        <w:rPr>
          <w:rFonts w:ascii="Times New Roman" w:hAnsi="Times New Roman"/>
          <w:b/>
          <w:sz w:val="20"/>
          <w:szCs w:val="20"/>
        </w:rPr>
        <w:t xml:space="preserve"> </w:t>
      </w:r>
      <w:proofErr w:type="spellStart"/>
      <w:r w:rsidRPr="0049420F">
        <w:rPr>
          <w:rFonts w:ascii="Times New Roman" w:hAnsi="Times New Roman"/>
          <w:sz w:val="20"/>
          <w:szCs w:val="20"/>
        </w:rPr>
        <w:t>Folin</w:t>
      </w:r>
      <w:proofErr w:type="spellEnd"/>
      <w:r w:rsidRPr="0049420F">
        <w:rPr>
          <w:rFonts w:ascii="Times New Roman" w:hAnsi="Times New Roman"/>
          <w:sz w:val="20"/>
          <w:szCs w:val="20"/>
        </w:rPr>
        <w:t xml:space="preserve"> </w:t>
      </w:r>
      <w:proofErr w:type="spellStart"/>
      <w:r w:rsidRPr="0049420F">
        <w:rPr>
          <w:rFonts w:ascii="Times New Roman" w:hAnsi="Times New Roman"/>
          <w:sz w:val="20"/>
          <w:szCs w:val="20"/>
        </w:rPr>
        <w:t>Ciocalteu</w:t>
      </w:r>
      <w:proofErr w:type="spellEnd"/>
      <w:r w:rsidRPr="0049420F">
        <w:rPr>
          <w:rFonts w:ascii="Times New Roman" w:hAnsi="Times New Roman"/>
          <w:sz w:val="20"/>
          <w:szCs w:val="20"/>
        </w:rPr>
        <w:t xml:space="preserve"> reagent  (</w:t>
      </w:r>
      <w:proofErr w:type="spellStart"/>
      <w:r w:rsidRPr="0049420F">
        <w:rPr>
          <w:rFonts w:ascii="Times New Roman" w:hAnsi="Times New Roman"/>
          <w:sz w:val="20"/>
          <w:szCs w:val="20"/>
        </w:rPr>
        <w:t>Qualigens</w:t>
      </w:r>
      <w:proofErr w:type="spellEnd"/>
      <w:r w:rsidRPr="0049420F">
        <w:rPr>
          <w:rFonts w:ascii="Times New Roman" w:hAnsi="Times New Roman"/>
          <w:sz w:val="20"/>
          <w:szCs w:val="20"/>
        </w:rPr>
        <w:t>), Gallic acid (</w:t>
      </w:r>
      <w:proofErr w:type="spellStart"/>
      <w:r w:rsidRPr="0049420F">
        <w:rPr>
          <w:rFonts w:ascii="Times New Roman" w:hAnsi="Times New Roman"/>
          <w:sz w:val="20"/>
          <w:szCs w:val="20"/>
        </w:rPr>
        <w:t>Fluka</w:t>
      </w:r>
      <w:proofErr w:type="spellEnd"/>
      <w:r w:rsidRPr="0049420F">
        <w:rPr>
          <w:rFonts w:ascii="Times New Roman" w:hAnsi="Times New Roman"/>
          <w:sz w:val="20"/>
          <w:szCs w:val="20"/>
        </w:rPr>
        <w:t xml:space="preserve">), DPPH (Sigma), Ascorbic acid, Iron chloride, </w:t>
      </w:r>
      <w:proofErr w:type="spellStart"/>
      <w:r w:rsidRPr="0049420F">
        <w:rPr>
          <w:rFonts w:ascii="Times New Roman" w:hAnsi="Times New Roman"/>
          <w:sz w:val="20"/>
          <w:szCs w:val="20"/>
        </w:rPr>
        <w:t>Bu</w:t>
      </w:r>
      <w:r w:rsidR="002830B5">
        <w:rPr>
          <w:rFonts w:ascii="Times New Roman" w:hAnsi="Times New Roman"/>
          <w:sz w:val="20"/>
          <w:szCs w:val="20"/>
        </w:rPr>
        <w:t>tylated</w:t>
      </w:r>
      <w:proofErr w:type="spellEnd"/>
      <w:r w:rsidR="002830B5">
        <w:rPr>
          <w:rFonts w:ascii="Times New Roman" w:hAnsi="Times New Roman"/>
          <w:sz w:val="20"/>
          <w:szCs w:val="20"/>
        </w:rPr>
        <w:t xml:space="preserve"> </w:t>
      </w:r>
      <w:proofErr w:type="spellStart"/>
      <w:r w:rsidR="002830B5">
        <w:rPr>
          <w:rFonts w:ascii="Times New Roman" w:hAnsi="Times New Roman"/>
          <w:sz w:val="20"/>
          <w:szCs w:val="20"/>
        </w:rPr>
        <w:t>hydroxy</w:t>
      </w:r>
      <w:proofErr w:type="spellEnd"/>
      <w:r w:rsidR="002830B5">
        <w:rPr>
          <w:rFonts w:ascii="Times New Roman" w:hAnsi="Times New Roman"/>
          <w:sz w:val="20"/>
          <w:szCs w:val="20"/>
        </w:rPr>
        <w:t xml:space="preserve"> anisole (BHA), </w:t>
      </w:r>
      <w:proofErr w:type="spellStart"/>
      <w:r w:rsidRPr="0049420F">
        <w:rPr>
          <w:rFonts w:ascii="Times New Roman" w:hAnsi="Times New Roman"/>
          <w:sz w:val="20"/>
          <w:szCs w:val="20"/>
        </w:rPr>
        <w:t>Trichloroacetic</w:t>
      </w:r>
      <w:proofErr w:type="spellEnd"/>
      <w:r w:rsidRPr="0049420F">
        <w:rPr>
          <w:rFonts w:ascii="Times New Roman" w:hAnsi="Times New Roman"/>
          <w:sz w:val="20"/>
          <w:szCs w:val="20"/>
        </w:rPr>
        <w:t xml:space="preserve"> acid (Merck), Potassium </w:t>
      </w:r>
      <w:proofErr w:type="spellStart"/>
      <w:r w:rsidRPr="0049420F">
        <w:rPr>
          <w:rFonts w:ascii="Times New Roman" w:hAnsi="Times New Roman"/>
          <w:sz w:val="20"/>
          <w:szCs w:val="20"/>
        </w:rPr>
        <w:t>ferricyanide</w:t>
      </w:r>
      <w:proofErr w:type="spellEnd"/>
      <w:r w:rsidRPr="0049420F">
        <w:rPr>
          <w:rFonts w:ascii="Times New Roman" w:hAnsi="Times New Roman"/>
          <w:sz w:val="20"/>
          <w:szCs w:val="20"/>
        </w:rPr>
        <w:t xml:space="preserve"> (Thomas Baker) were incorporated in </w:t>
      </w:r>
      <w:r w:rsidR="00D732D8">
        <w:rPr>
          <w:rFonts w:ascii="Times New Roman" w:hAnsi="Times New Roman"/>
          <w:sz w:val="20"/>
          <w:szCs w:val="20"/>
        </w:rPr>
        <w:t>study.</w:t>
      </w:r>
    </w:p>
    <w:p w:rsidR="00E15414" w:rsidRDefault="00E15414" w:rsidP="00D732D8">
      <w:pPr>
        <w:spacing w:after="0" w:line="240" w:lineRule="auto"/>
        <w:jc w:val="both"/>
        <w:rPr>
          <w:rFonts w:ascii="Times New Roman" w:hAnsi="Times New Roman"/>
          <w:sz w:val="20"/>
          <w:szCs w:val="20"/>
        </w:rPr>
      </w:pPr>
    </w:p>
    <w:p w:rsidR="00E15414" w:rsidRDefault="0024554A" w:rsidP="00E15414">
      <w:pPr>
        <w:spacing w:after="0" w:line="240" w:lineRule="auto"/>
        <w:jc w:val="both"/>
        <w:rPr>
          <w:rFonts w:ascii="Times New Roman" w:hAnsi="Times New Roman"/>
          <w:b/>
          <w:sz w:val="20"/>
          <w:szCs w:val="20"/>
        </w:rPr>
      </w:pPr>
      <w:r w:rsidRPr="00E15414">
        <w:rPr>
          <w:rFonts w:ascii="Times New Roman" w:hAnsi="Times New Roman"/>
          <w:b/>
          <w:sz w:val="20"/>
          <w:szCs w:val="20"/>
        </w:rPr>
        <w:t xml:space="preserve">Collection and </w:t>
      </w:r>
      <w:proofErr w:type="spellStart"/>
      <w:r w:rsidRPr="00E15414">
        <w:rPr>
          <w:rFonts w:ascii="Times New Roman" w:hAnsi="Times New Roman"/>
          <w:b/>
          <w:sz w:val="20"/>
          <w:szCs w:val="20"/>
        </w:rPr>
        <w:t>a</w:t>
      </w:r>
      <w:r w:rsidR="00D732D8" w:rsidRPr="00E15414">
        <w:rPr>
          <w:rFonts w:ascii="Times New Roman" w:hAnsi="Times New Roman"/>
          <w:b/>
          <w:sz w:val="20"/>
          <w:szCs w:val="20"/>
        </w:rPr>
        <w:t>uthentification</w:t>
      </w:r>
      <w:proofErr w:type="spellEnd"/>
      <w:r w:rsidR="00D732D8" w:rsidRPr="00E15414">
        <w:rPr>
          <w:rFonts w:ascii="Times New Roman" w:hAnsi="Times New Roman"/>
          <w:b/>
          <w:sz w:val="20"/>
          <w:szCs w:val="20"/>
        </w:rPr>
        <w:t xml:space="preserve"> of plant parts</w:t>
      </w:r>
    </w:p>
    <w:p w:rsidR="0024554A" w:rsidRPr="00E15414" w:rsidRDefault="0024554A" w:rsidP="00E15414">
      <w:pPr>
        <w:spacing w:after="0" w:line="240" w:lineRule="auto"/>
        <w:jc w:val="both"/>
        <w:rPr>
          <w:rFonts w:ascii="Times New Roman" w:hAnsi="Times New Roman"/>
          <w:sz w:val="20"/>
          <w:szCs w:val="20"/>
        </w:rPr>
      </w:pPr>
      <w:r w:rsidRPr="00E15414">
        <w:rPr>
          <w:rFonts w:ascii="Times New Roman" w:hAnsi="Times New Roman"/>
          <w:bCs/>
          <w:spacing w:val="-4"/>
          <w:sz w:val="20"/>
          <w:szCs w:val="20"/>
        </w:rPr>
        <w:t>The leaves and stem of</w:t>
      </w:r>
      <w:r w:rsidRPr="00E15414">
        <w:rPr>
          <w:rFonts w:ascii="Times New Roman" w:hAnsi="Times New Roman"/>
          <w:i/>
          <w:iCs/>
          <w:sz w:val="20"/>
          <w:szCs w:val="20"/>
        </w:rPr>
        <w:t xml:space="preserve"> </w:t>
      </w:r>
      <w:proofErr w:type="spellStart"/>
      <w:r w:rsidRPr="00E15414">
        <w:rPr>
          <w:rFonts w:ascii="Times New Roman" w:hAnsi="Times New Roman"/>
          <w:i/>
          <w:sz w:val="20"/>
          <w:szCs w:val="20"/>
        </w:rPr>
        <w:t>Blainvillea</w:t>
      </w:r>
      <w:proofErr w:type="spellEnd"/>
      <w:r w:rsidRPr="00E15414">
        <w:rPr>
          <w:rFonts w:ascii="Times New Roman" w:hAnsi="Times New Roman"/>
          <w:i/>
          <w:sz w:val="20"/>
          <w:szCs w:val="20"/>
        </w:rPr>
        <w:t xml:space="preserve"> </w:t>
      </w:r>
      <w:proofErr w:type="spellStart"/>
      <w:r w:rsidRPr="00E15414">
        <w:rPr>
          <w:rFonts w:ascii="Times New Roman" w:hAnsi="Times New Roman"/>
          <w:i/>
          <w:sz w:val="20"/>
          <w:szCs w:val="20"/>
        </w:rPr>
        <w:t>acmella</w:t>
      </w:r>
      <w:proofErr w:type="spellEnd"/>
      <w:r w:rsidRPr="00E15414">
        <w:rPr>
          <w:rFonts w:ascii="Times New Roman" w:hAnsi="Times New Roman"/>
          <w:sz w:val="20"/>
          <w:szCs w:val="20"/>
        </w:rPr>
        <w:t xml:space="preserve"> </w:t>
      </w:r>
      <w:r w:rsidRPr="00E15414">
        <w:rPr>
          <w:rFonts w:ascii="Times New Roman" w:hAnsi="Times New Roman"/>
          <w:bCs/>
          <w:spacing w:val="-4"/>
          <w:sz w:val="20"/>
          <w:szCs w:val="20"/>
        </w:rPr>
        <w:t xml:space="preserve">was collected from </w:t>
      </w:r>
      <w:r w:rsidRPr="00E15414">
        <w:rPr>
          <w:rFonts w:ascii="Times New Roman" w:hAnsi="Times New Roman"/>
          <w:bCs/>
          <w:i/>
          <w:spacing w:val="-4"/>
          <w:sz w:val="20"/>
          <w:szCs w:val="20"/>
        </w:rPr>
        <w:t>tehsil</w:t>
      </w:r>
      <w:r w:rsidRPr="00E15414">
        <w:rPr>
          <w:rFonts w:ascii="Times New Roman" w:hAnsi="Times New Roman"/>
          <w:bCs/>
          <w:spacing w:val="-4"/>
          <w:sz w:val="20"/>
          <w:szCs w:val="20"/>
        </w:rPr>
        <w:t xml:space="preserve"> </w:t>
      </w:r>
      <w:proofErr w:type="spellStart"/>
      <w:r w:rsidRPr="00E15414">
        <w:rPr>
          <w:rFonts w:ascii="Times New Roman" w:hAnsi="Times New Roman"/>
          <w:bCs/>
          <w:spacing w:val="-4"/>
          <w:sz w:val="20"/>
          <w:szCs w:val="20"/>
        </w:rPr>
        <w:t>Aamer</w:t>
      </w:r>
      <w:proofErr w:type="spellEnd"/>
      <w:r w:rsidRPr="00E15414">
        <w:rPr>
          <w:rFonts w:ascii="Times New Roman" w:hAnsi="Times New Roman"/>
          <w:bCs/>
          <w:spacing w:val="-4"/>
          <w:sz w:val="20"/>
          <w:szCs w:val="20"/>
        </w:rPr>
        <w:t>, Jaipur (Raj.) India, in the month of September to November</w:t>
      </w:r>
      <w:r w:rsidR="00D63716" w:rsidRPr="00E15414">
        <w:rPr>
          <w:rFonts w:ascii="Times New Roman" w:hAnsi="Times New Roman"/>
          <w:bCs/>
          <w:spacing w:val="-4"/>
          <w:sz w:val="20"/>
          <w:szCs w:val="20"/>
        </w:rPr>
        <w:t xml:space="preserve"> (most suited period as the phytoconstituents and secondary metabolite are abundant in plant part)</w:t>
      </w:r>
      <w:r w:rsidRPr="00E15414">
        <w:rPr>
          <w:rFonts w:ascii="Times New Roman" w:hAnsi="Times New Roman"/>
          <w:bCs/>
          <w:spacing w:val="-4"/>
          <w:sz w:val="20"/>
          <w:szCs w:val="20"/>
        </w:rPr>
        <w:t xml:space="preserve"> and was authenticated by Joint Director, Botanical survey of India, Jodhpur. Specimen samples are stored at herbarium of Maharishi </w:t>
      </w:r>
      <w:proofErr w:type="spellStart"/>
      <w:r w:rsidRPr="00E15414">
        <w:rPr>
          <w:rFonts w:ascii="Times New Roman" w:hAnsi="Times New Roman"/>
          <w:bCs/>
          <w:spacing w:val="-4"/>
          <w:sz w:val="20"/>
          <w:szCs w:val="20"/>
        </w:rPr>
        <w:t>Arvind</w:t>
      </w:r>
      <w:proofErr w:type="spellEnd"/>
      <w:r w:rsidRPr="00E15414">
        <w:rPr>
          <w:rFonts w:ascii="Times New Roman" w:hAnsi="Times New Roman"/>
          <w:bCs/>
          <w:spacing w:val="-4"/>
          <w:sz w:val="20"/>
          <w:szCs w:val="20"/>
        </w:rPr>
        <w:t xml:space="preserve"> college of Pharmacy, </w:t>
      </w:r>
      <w:proofErr w:type="spellStart"/>
      <w:r w:rsidRPr="00E15414">
        <w:rPr>
          <w:rFonts w:ascii="Times New Roman" w:hAnsi="Times New Roman"/>
          <w:bCs/>
          <w:spacing w:val="-4"/>
          <w:sz w:val="20"/>
          <w:szCs w:val="20"/>
        </w:rPr>
        <w:t>Ambabari</w:t>
      </w:r>
      <w:proofErr w:type="spellEnd"/>
      <w:r w:rsidRPr="00E15414">
        <w:rPr>
          <w:rFonts w:ascii="Times New Roman" w:hAnsi="Times New Roman"/>
          <w:bCs/>
          <w:spacing w:val="-4"/>
          <w:sz w:val="20"/>
          <w:szCs w:val="20"/>
        </w:rPr>
        <w:t xml:space="preserve">, Jaipur. </w:t>
      </w:r>
    </w:p>
    <w:p w:rsidR="00E15414" w:rsidRDefault="00E15414" w:rsidP="00E15414">
      <w:pPr>
        <w:pStyle w:val="BodyText"/>
        <w:spacing w:line="240" w:lineRule="auto"/>
        <w:rPr>
          <w:b/>
          <w:sz w:val="20"/>
          <w:szCs w:val="20"/>
        </w:rPr>
      </w:pPr>
    </w:p>
    <w:p w:rsidR="00E15414" w:rsidRDefault="0024554A" w:rsidP="00E15414">
      <w:pPr>
        <w:pStyle w:val="BodyText"/>
        <w:spacing w:line="240" w:lineRule="auto"/>
        <w:rPr>
          <w:b/>
          <w:sz w:val="20"/>
          <w:szCs w:val="20"/>
        </w:rPr>
      </w:pPr>
      <w:r w:rsidRPr="0049420F">
        <w:rPr>
          <w:b/>
          <w:sz w:val="20"/>
          <w:szCs w:val="20"/>
        </w:rPr>
        <w:t>Prep</w:t>
      </w:r>
      <w:r w:rsidR="00E15414">
        <w:rPr>
          <w:b/>
          <w:sz w:val="20"/>
          <w:szCs w:val="20"/>
        </w:rPr>
        <w:t>aration of plant part extracts</w:t>
      </w:r>
    </w:p>
    <w:p w:rsidR="0024554A" w:rsidRPr="0049420F" w:rsidRDefault="0024554A" w:rsidP="00E15414">
      <w:pPr>
        <w:pStyle w:val="BodyText"/>
        <w:spacing w:line="240" w:lineRule="auto"/>
        <w:rPr>
          <w:bCs/>
          <w:sz w:val="20"/>
          <w:szCs w:val="20"/>
        </w:rPr>
      </w:pPr>
      <w:r w:rsidRPr="0049420F">
        <w:rPr>
          <w:bCs/>
          <w:spacing w:val="-4"/>
          <w:sz w:val="20"/>
          <w:szCs w:val="20"/>
        </w:rPr>
        <w:t xml:space="preserve">The leaf and stem part was cleaned and shade dried. The samples were broken into small pieces with cutter mill, powdered and passed through sieve no. 44.  The leaf and stem </w:t>
      </w:r>
      <w:r w:rsidRPr="0049420F">
        <w:rPr>
          <w:bCs/>
          <w:sz w:val="20"/>
          <w:szCs w:val="20"/>
        </w:rPr>
        <w:t xml:space="preserve">samples separately; were extracted successively using </w:t>
      </w:r>
      <w:proofErr w:type="spellStart"/>
      <w:r w:rsidRPr="0049420F">
        <w:rPr>
          <w:bCs/>
          <w:sz w:val="20"/>
          <w:szCs w:val="20"/>
        </w:rPr>
        <w:t>soxhlet</w:t>
      </w:r>
      <w:proofErr w:type="spellEnd"/>
      <w:r w:rsidRPr="0049420F">
        <w:rPr>
          <w:bCs/>
          <w:sz w:val="20"/>
          <w:szCs w:val="20"/>
        </w:rPr>
        <w:t xml:space="preserve"> apparatus with n-hexane, ethyl acetate and methanol. Finally remaining marc was extracted with water. The collected extracts were </w:t>
      </w:r>
      <w:r w:rsidR="00F02484" w:rsidRPr="0049420F">
        <w:rPr>
          <w:bCs/>
          <w:sz w:val="20"/>
          <w:szCs w:val="20"/>
        </w:rPr>
        <w:t>vac</w:t>
      </w:r>
      <w:r w:rsidR="00201ECC">
        <w:rPr>
          <w:bCs/>
          <w:sz w:val="20"/>
          <w:szCs w:val="20"/>
        </w:rPr>
        <w:t>u</w:t>
      </w:r>
      <w:r w:rsidR="00F02484" w:rsidRPr="0049420F">
        <w:rPr>
          <w:bCs/>
          <w:sz w:val="20"/>
          <w:szCs w:val="20"/>
        </w:rPr>
        <w:t>um</w:t>
      </w:r>
      <w:r w:rsidRPr="0049420F">
        <w:rPr>
          <w:bCs/>
          <w:sz w:val="20"/>
          <w:szCs w:val="20"/>
        </w:rPr>
        <w:t xml:space="preserve"> dried an</w:t>
      </w:r>
      <w:r w:rsidR="00E15414">
        <w:rPr>
          <w:bCs/>
          <w:sz w:val="20"/>
          <w:szCs w:val="20"/>
        </w:rPr>
        <w:t>d were labeled as indicated in T</w:t>
      </w:r>
      <w:r w:rsidRPr="0049420F">
        <w:rPr>
          <w:bCs/>
          <w:sz w:val="20"/>
          <w:szCs w:val="20"/>
        </w:rPr>
        <w:t>able 1.</w:t>
      </w:r>
    </w:p>
    <w:p w:rsidR="0024554A" w:rsidRPr="00090A26" w:rsidRDefault="00E15414" w:rsidP="00AB04A5">
      <w:pPr>
        <w:spacing w:before="240" w:line="240" w:lineRule="auto"/>
        <w:jc w:val="center"/>
        <w:rPr>
          <w:rFonts w:ascii="Times New Roman" w:hAnsi="Times New Roman"/>
          <w:b/>
          <w:bCs/>
          <w:sz w:val="18"/>
          <w:szCs w:val="18"/>
        </w:rPr>
      </w:pPr>
      <w:proofErr w:type="gramStart"/>
      <w:r>
        <w:rPr>
          <w:rFonts w:ascii="Times New Roman" w:hAnsi="Times New Roman"/>
          <w:bCs/>
          <w:sz w:val="18"/>
          <w:szCs w:val="18"/>
        </w:rPr>
        <w:t>Table 1.</w:t>
      </w:r>
      <w:proofErr w:type="gramEnd"/>
      <w:r>
        <w:rPr>
          <w:rFonts w:ascii="Times New Roman" w:hAnsi="Times New Roman"/>
          <w:bCs/>
          <w:sz w:val="18"/>
          <w:szCs w:val="18"/>
        </w:rPr>
        <w:t xml:space="preserve"> </w:t>
      </w:r>
      <w:r w:rsidR="0024554A" w:rsidRPr="00090A26">
        <w:rPr>
          <w:rFonts w:ascii="Times New Roman" w:hAnsi="Times New Roman"/>
          <w:bCs/>
          <w:sz w:val="18"/>
          <w:szCs w:val="18"/>
        </w:rPr>
        <w:t xml:space="preserve">Labels of successive extracts of leaf and stem of </w:t>
      </w:r>
      <w:proofErr w:type="spellStart"/>
      <w:r w:rsidR="008D53A7" w:rsidRPr="00090A26">
        <w:rPr>
          <w:rFonts w:ascii="Times New Roman" w:hAnsi="Times New Roman"/>
          <w:i/>
          <w:sz w:val="18"/>
          <w:szCs w:val="18"/>
        </w:rPr>
        <w:t>Blainvillea</w:t>
      </w:r>
      <w:proofErr w:type="spellEnd"/>
      <w:r w:rsidR="008D53A7" w:rsidRPr="00090A26">
        <w:rPr>
          <w:rFonts w:ascii="Times New Roman" w:hAnsi="Times New Roman"/>
          <w:i/>
          <w:sz w:val="18"/>
          <w:szCs w:val="18"/>
        </w:rPr>
        <w:t xml:space="preserve"> </w:t>
      </w:r>
      <w:proofErr w:type="spellStart"/>
      <w:r w:rsidR="008D53A7" w:rsidRPr="00090A26">
        <w:rPr>
          <w:rFonts w:ascii="Times New Roman" w:hAnsi="Times New Roman"/>
          <w:i/>
          <w:sz w:val="18"/>
          <w:szCs w:val="18"/>
        </w:rPr>
        <w:t>acmella</w:t>
      </w:r>
      <w:proofErr w:type="spellEnd"/>
    </w:p>
    <w:tbl>
      <w:tblPr>
        <w:tblStyle w:val="LightShading"/>
        <w:tblW w:w="3340" w:type="pct"/>
        <w:jc w:val="center"/>
        <w:tblLook w:val="04A0" w:firstRow="1" w:lastRow="0" w:firstColumn="1" w:lastColumn="0" w:noHBand="0" w:noVBand="1"/>
      </w:tblPr>
      <w:tblGrid>
        <w:gridCol w:w="1282"/>
        <w:gridCol w:w="1209"/>
        <w:gridCol w:w="1617"/>
        <w:gridCol w:w="1209"/>
        <w:gridCol w:w="887"/>
      </w:tblGrid>
      <w:tr w:rsidR="0024554A" w:rsidRPr="00E15414" w:rsidTr="00E154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3" w:type="pct"/>
            <w:shd w:val="clear" w:color="auto" w:fill="auto"/>
            <w:noWrap/>
            <w:hideMark/>
          </w:tcPr>
          <w:p w:rsidR="0024554A" w:rsidRPr="00E15414" w:rsidRDefault="0024554A" w:rsidP="004F2E11">
            <w:pPr>
              <w:spacing w:after="60"/>
              <w:jc w:val="center"/>
              <w:rPr>
                <w:rFonts w:ascii="Times New Roman" w:hAnsi="Times New Roman"/>
                <w:sz w:val="18"/>
                <w:szCs w:val="18"/>
              </w:rPr>
            </w:pPr>
            <w:r w:rsidRPr="00E15414">
              <w:rPr>
                <w:rFonts w:ascii="Times New Roman" w:hAnsi="Times New Roman"/>
                <w:sz w:val="18"/>
                <w:szCs w:val="18"/>
              </w:rPr>
              <w:t>Plant Part</w:t>
            </w:r>
          </w:p>
        </w:tc>
        <w:tc>
          <w:tcPr>
            <w:tcW w:w="974" w:type="pct"/>
            <w:shd w:val="clear" w:color="auto" w:fill="auto"/>
            <w:noWrap/>
            <w:hideMark/>
          </w:tcPr>
          <w:p w:rsidR="0024554A" w:rsidRPr="00E15414" w:rsidRDefault="0024554A" w:rsidP="004F2E11">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E15414">
              <w:rPr>
                <w:rFonts w:ascii="Times New Roman" w:hAnsi="Times New Roman"/>
                <w:sz w:val="18"/>
                <w:szCs w:val="18"/>
              </w:rPr>
              <w:t>n-Hexane</w:t>
            </w:r>
          </w:p>
        </w:tc>
        <w:tc>
          <w:tcPr>
            <w:tcW w:w="1303" w:type="pct"/>
            <w:shd w:val="clear" w:color="auto" w:fill="auto"/>
            <w:noWrap/>
            <w:hideMark/>
          </w:tcPr>
          <w:p w:rsidR="0024554A" w:rsidRPr="00E15414" w:rsidRDefault="0024554A" w:rsidP="004F2E11">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E15414">
              <w:rPr>
                <w:rFonts w:ascii="Times New Roman" w:hAnsi="Times New Roman"/>
                <w:sz w:val="18"/>
                <w:szCs w:val="18"/>
              </w:rPr>
              <w:t>Ethyl Acetate</w:t>
            </w:r>
          </w:p>
        </w:tc>
        <w:tc>
          <w:tcPr>
            <w:tcW w:w="974" w:type="pct"/>
            <w:shd w:val="clear" w:color="auto" w:fill="auto"/>
            <w:noWrap/>
            <w:hideMark/>
          </w:tcPr>
          <w:p w:rsidR="0024554A" w:rsidRPr="00E15414" w:rsidRDefault="0024554A" w:rsidP="004F2E11">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E15414">
              <w:rPr>
                <w:rFonts w:ascii="Times New Roman" w:hAnsi="Times New Roman"/>
                <w:sz w:val="18"/>
                <w:szCs w:val="18"/>
              </w:rPr>
              <w:t>Methanol</w:t>
            </w:r>
          </w:p>
        </w:tc>
        <w:tc>
          <w:tcPr>
            <w:tcW w:w="715" w:type="pct"/>
            <w:shd w:val="clear" w:color="auto" w:fill="auto"/>
            <w:noWrap/>
            <w:hideMark/>
          </w:tcPr>
          <w:p w:rsidR="0024554A" w:rsidRPr="00E15414" w:rsidRDefault="0024554A" w:rsidP="004F2E11">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E15414">
              <w:rPr>
                <w:rFonts w:ascii="Times New Roman" w:hAnsi="Times New Roman"/>
                <w:sz w:val="18"/>
                <w:szCs w:val="18"/>
              </w:rPr>
              <w:t>Water</w:t>
            </w:r>
          </w:p>
        </w:tc>
      </w:tr>
      <w:tr w:rsidR="0024554A" w:rsidRPr="00F02484" w:rsidTr="00E15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3" w:type="pct"/>
            <w:shd w:val="clear" w:color="auto" w:fill="auto"/>
            <w:noWrap/>
            <w:hideMark/>
          </w:tcPr>
          <w:p w:rsidR="0024554A" w:rsidRPr="00F02484" w:rsidRDefault="0024554A" w:rsidP="004F2E11">
            <w:pPr>
              <w:spacing w:after="60"/>
              <w:jc w:val="center"/>
              <w:rPr>
                <w:rFonts w:ascii="Times New Roman" w:hAnsi="Times New Roman"/>
                <w:b w:val="0"/>
                <w:sz w:val="20"/>
                <w:szCs w:val="20"/>
              </w:rPr>
            </w:pPr>
          </w:p>
        </w:tc>
        <w:tc>
          <w:tcPr>
            <w:tcW w:w="974" w:type="pct"/>
            <w:shd w:val="clear" w:color="auto" w:fill="auto"/>
            <w:noWrap/>
            <w:hideMark/>
          </w:tcPr>
          <w:p w:rsidR="0024554A" w:rsidRPr="00F02484" w:rsidRDefault="0024554A"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1303" w:type="pct"/>
            <w:shd w:val="clear" w:color="auto" w:fill="auto"/>
            <w:noWrap/>
            <w:hideMark/>
          </w:tcPr>
          <w:p w:rsidR="0024554A" w:rsidRPr="00F02484" w:rsidRDefault="0024554A"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974" w:type="pct"/>
            <w:shd w:val="clear" w:color="auto" w:fill="auto"/>
            <w:noWrap/>
            <w:hideMark/>
          </w:tcPr>
          <w:p w:rsidR="0024554A" w:rsidRPr="00F02484" w:rsidRDefault="0024554A"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715" w:type="pct"/>
            <w:shd w:val="clear" w:color="auto" w:fill="auto"/>
            <w:noWrap/>
            <w:hideMark/>
          </w:tcPr>
          <w:p w:rsidR="0024554A" w:rsidRPr="00F02484" w:rsidRDefault="0024554A"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r>
      <w:tr w:rsidR="008D53A7" w:rsidRPr="00F02484" w:rsidTr="00E15414">
        <w:trPr>
          <w:jc w:val="center"/>
        </w:trPr>
        <w:tc>
          <w:tcPr>
            <w:cnfStyle w:val="001000000000" w:firstRow="0" w:lastRow="0" w:firstColumn="1" w:lastColumn="0" w:oddVBand="0" w:evenVBand="0" w:oddHBand="0" w:evenHBand="0" w:firstRowFirstColumn="0" w:firstRowLastColumn="0" w:lastRowFirstColumn="0" w:lastRowLastColumn="0"/>
            <w:tcW w:w="1033" w:type="pct"/>
            <w:shd w:val="clear" w:color="auto" w:fill="auto"/>
            <w:noWrap/>
            <w:hideMark/>
          </w:tcPr>
          <w:p w:rsidR="008D53A7" w:rsidRPr="00E15414" w:rsidRDefault="008D53A7" w:rsidP="004F2E11">
            <w:pPr>
              <w:spacing w:after="60"/>
              <w:jc w:val="center"/>
              <w:rPr>
                <w:rFonts w:ascii="Times New Roman" w:hAnsi="Times New Roman"/>
                <w:b w:val="0"/>
                <w:sz w:val="18"/>
                <w:szCs w:val="18"/>
              </w:rPr>
            </w:pPr>
            <w:r w:rsidRPr="00E15414">
              <w:rPr>
                <w:rFonts w:ascii="Times New Roman" w:hAnsi="Times New Roman"/>
                <w:b w:val="0"/>
                <w:sz w:val="18"/>
                <w:szCs w:val="18"/>
              </w:rPr>
              <w:t>Leaf</w:t>
            </w:r>
          </w:p>
        </w:tc>
        <w:tc>
          <w:tcPr>
            <w:tcW w:w="974" w:type="pct"/>
            <w:shd w:val="clear" w:color="auto" w:fill="auto"/>
            <w:noWrap/>
            <w:hideMark/>
          </w:tcPr>
          <w:p w:rsidR="008D53A7" w:rsidRPr="00090A26" w:rsidRDefault="008D53A7" w:rsidP="004F2E1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90A26">
              <w:rPr>
                <w:rFonts w:ascii="Times New Roman" w:hAnsi="Times New Roman"/>
                <w:sz w:val="18"/>
                <w:szCs w:val="18"/>
              </w:rPr>
              <w:t>BALH</w:t>
            </w:r>
          </w:p>
        </w:tc>
        <w:tc>
          <w:tcPr>
            <w:tcW w:w="1303" w:type="pct"/>
            <w:shd w:val="clear" w:color="auto" w:fill="auto"/>
            <w:noWrap/>
            <w:hideMark/>
          </w:tcPr>
          <w:p w:rsidR="008D53A7" w:rsidRPr="00090A26" w:rsidRDefault="008D53A7" w:rsidP="004F2E1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90A26">
              <w:rPr>
                <w:rFonts w:ascii="Times New Roman" w:hAnsi="Times New Roman"/>
                <w:sz w:val="18"/>
                <w:szCs w:val="18"/>
              </w:rPr>
              <w:t>BALEA</w:t>
            </w:r>
          </w:p>
        </w:tc>
        <w:tc>
          <w:tcPr>
            <w:tcW w:w="974" w:type="pct"/>
            <w:shd w:val="clear" w:color="auto" w:fill="auto"/>
            <w:noWrap/>
            <w:hideMark/>
          </w:tcPr>
          <w:p w:rsidR="008D53A7" w:rsidRPr="00090A26" w:rsidRDefault="008D53A7" w:rsidP="004F2E1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90A26">
              <w:rPr>
                <w:rFonts w:ascii="Times New Roman" w:hAnsi="Times New Roman"/>
                <w:sz w:val="18"/>
                <w:szCs w:val="18"/>
              </w:rPr>
              <w:t>BALM</w:t>
            </w:r>
          </w:p>
        </w:tc>
        <w:tc>
          <w:tcPr>
            <w:tcW w:w="715" w:type="pct"/>
            <w:shd w:val="clear" w:color="auto" w:fill="auto"/>
            <w:noWrap/>
            <w:hideMark/>
          </w:tcPr>
          <w:p w:rsidR="008D53A7" w:rsidRPr="00090A26" w:rsidRDefault="008D53A7" w:rsidP="004F2E1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90A26">
              <w:rPr>
                <w:rFonts w:ascii="Times New Roman" w:hAnsi="Times New Roman"/>
                <w:sz w:val="18"/>
                <w:szCs w:val="18"/>
              </w:rPr>
              <w:t>BALW</w:t>
            </w:r>
          </w:p>
        </w:tc>
      </w:tr>
      <w:tr w:rsidR="008D53A7" w:rsidRPr="00F02484" w:rsidTr="00E154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3" w:type="pct"/>
            <w:shd w:val="clear" w:color="auto" w:fill="auto"/>
            <w:noWrap/>
            <w:hideMark/>
          </w:tcPr>
          <w:p w:rsidR="008D53A7" w:rsidRPr="00E15414" w:rsidRDefault="008D53A7" w:rsidP="004F2E11">
            <w:pPr>
              <w:spacing w:after="60"/>
              <w:jc w:val="center"/>
              <w:rPr>
                <w:rFonts w:ascii="Times New Roman" w:hAnsi="Times New Roman"/>
                <w:b w:val="0"/>
                <w:sz w:val="18"/>
                <w:szCs w:val="18"/>
              </w:rPr>
            </w:pPr>
            <w:r w:rsidRPr="00E15414">
              <w:rPr>
                <w:rFonts w:ascii="Times New Roman" w:hAnsi="Times New Roman"/>
                <w:b w:val="0"/>
                <w:sz w:val="18"/>
                <w:szCs w:val="18"/>
              </w:rPr>
              <w:t>Stem</w:t>
            </w:r>
          </w:p>
        </w:tc>
        <w:tc>
          <w:tcPr>
            <w:tcW w:w="974" w:type="pct"/>
            <w:shd w:val="clear" w:color="auto" w:fill="auto"/>
            <w:noWrap/>
            <w:hideMark/>
          </w:tcPr>
          <w:p w:rsidR="008D53A7" w:rsidRPr="00090A26" w:rsidRDefault="008D53A7"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90A26">
              <w:rPr>
                <w:rFonts w:ascii="Times New Roman" w:hAnsi="Times New Roman"/>
                <w:sz w:val="18"/>
                <w:szCs w:val="18"/>
              </w:rPr>
              <w:t>BASH</w:t>
            </w:r>
          </w:p>
        </w:tc>
        <w:tc>
          <w:tcPr>
            <w:tcW w:w="1303" w:type="pct"/>
            <w:shd w:val="clear" w:color="auto" w:fill="auto"/>
            <w:noWrap/>
            <w:hideMark/>
          </w:tcPr>
          <w:p w:rsidR="008D53A7" w:rsidRPr="00090A26" w:rsidRDefault="008D53A7"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90A26">
              <w:rPr>
                <w:rFonts w:ascii="Times New Roman" w:hAnsi="Times New Roman"/>
                <w:sz w:val="18"/>
                <w:szCs w:val="18"/>
              </w:rPr>
              <w:t>BASEA</w:t>
            </w:r>
          </w:p>
        </w:tc>
        <w:tc>
          <w:tcPr>
            <w:tcW w:w="974" w:type="pct"/>
            <w:shd w:val="clear" w:color="auto" w:fill="auto"/>
            <w:noWrap/>
            <w:hideMark/>
          </w:tcPr>
          <w:p w:rsidR="008D53A7" w:rsidRPr="00090A26" w:rsidRDefault="008D53A7"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90A26">
              <w:rPr>
                <w:rFonts w:ascii="Times New Roman" w:hAnsi="Times New Roman"/>
                <w:sz w:val="18"/>
                <w:szCs w:val="18"/>
              </w:rPr>
              <w:t>BASM</w:t>
            </w:r>
          </w:p>
        </w:tc>
        <w:tc>
          <w:tcPr>
            <w:tcW w:w="715" w:type="pct"/>
            <w:shd w:val="clear" w:color="auto" w:fill="auto"/>
            <w:noWrap/>
            <w:hideMark/>
          </w:tcPr>
          <w:p w:rsidR="008D53A7" w:rsidRPr="00090A26" w:rsidRDefault="008D53A7"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90A26">
              <w:rPr>
                <w:rFonts w:ascii="Times New Roman" w:hAnsi="Times New Roman"/>
                <w:sz w:val="18"/>
                <w:szCs w:val="18"/>
              </w:rPr>
              <w:t>BASW</w:t>
            </w:r>
          </w:p>
        </w:tc>
      </w:tr>
    </w:tbl>
    <w:p w:rsidR="00E15414" w:rsidRDefault="00E15414" w:rsidP="00E15414">
      <w:pPr>
        <w:spacing w:after="0" w:line="240" w:lineRule="auto"/>
        <w:jc w:val="both"/>
        <w:rPr>
          <w:rFonts w:ascii="Times New Roman" w:hAnsi="Times New Roman"/>
          <w:b/>
          <w:sz w:val="20"/>
          <w:szCs w:val="20"/>
        </w:rPr>
      </w:pPr>
    </w:p>
    <w:p w:rsidR="00E15414" w:rsidRDefault="003A1B09" w:rsidP="00E15414">
      <w:pPr>
        <w:spacing w:after="0" w:line="240" w:lineRule="auto"/>
        <w:jc w:val="both"/>
        <w:rPr>
          <w:rFonts w:ascii="Times New Roman" w:hAnsi="Times New Roman"/>
          <w:b/>
          <w:sz w:val="20"/>
          <w:szCs w:val="20"/>
        </w:rPr>
      </w:pPr>
      <w:r w:rsidRPr="0049420F">
        <w:rPr>
          <w:rFonts w:ascii="Times New Roman" w:hAnsi="Times New Roman"/>
          <w:b/>
          <w:sz w:val="20"/>
          <w:szCs w:val="20"/>
        </w:rPr>
        <w:t>Preliminary phyto</w:t>
      </w:r>
      <w:r w:rsidR="00E15414">
        <w:rPr>
          <w:rFonts w:ascii="Times New Roman" w:hAnsi="Times New Roman"/>
          <w:b/>
          <w:sz w:val="20"/>
          <w:szCs w:val="20"/>
        </w:rPr>
        <w:t>chemical screening of extracts</w:t>
      </w:r>
    </w:p>
    <w:p w:rsidR="00E15414" w:rsidRDefault="003A1B09" w:rsidP="00E15414">
      <w:pPr>
        <w:spacing w:after="0" w:line="240" w:lineRule="auto"/>
        <w:jc w:val="both"/>
        <w:rPr>
          <w:rFonts w:ascii="Times New Roman" w:hAnsi="Times New Roman"/>
          <w:sz w:val="20"/>
          <w:szCs w:val="20"/>
        </w:rPr>
      </w:pPr>
      <w:r w:rsidRPr="0049420F">
        <w:rPr>
          <w:rFonts w:ascii="Times New Roman" w:hAnsi="Times New Roman"/>
          <w:sz w:val="20"/>
          <w:szCs w:val="20"/>
        </w:rPr>
        <w:t>The collected extracts</w:t>
      </w:r>
      <w:r w:rsidR="00675520">
        <w:rPr>
          <w:rFonts w:ascii="Times New Roman" w:hAnsi="Times New Roman"/>
          <w:sz w:val="20"/>
          <w:szCs w:val="20"/>
        </w:rPr>
        <w:t xml:space="preserve"> were subjected to preliminary p</w:t>
      </w:r>
      <w:r w:rsidRPr="0049420F">
        <w:rPr>
          <w:rFonts w:ascii="Times New Roman" w:hAnsi="Times New Roman"/>
          <w:sz w:val="20"/>
          <w:szCs w:val="20"/>
        </w:rPr>
        <w:t xml:space="preserve">hytochemical screening for qualitative determination of </w:t>
      </w:r>
      <w:proofErr w:type="spellStart"/>
      <w:r w:rsidRPr="0049420F">
        <w:rPr>
          <w:rFonts w:ascii="Times New Roman" w:hAnsi="Times New Roman"/>
          <w:sz w:val="20"/>
          <w:szCs w:val="20"/>
        </w:rPr>
        <w:t>phytoconstituents</w:t>
      </w:r>
      <w:proofErr w:type="spellEnd"/>
      <w:r w:rsidRPr="0049420F">
        <w:rPr>
          <w:rFonts w:ascii="Times New Roman" w:hAnsi="Times New Roman"/>
          <w:sz w:val="20"/>
          <w:szCs w:val="20"/>
        </w:rPr>
        <w:t xml:space="preserve"> </w:t>
      </w:r>
      <w:r w:rsidR="006E0E82" w:rsidRPr="0049420F">
        <w:rPr>
          <w:rFonts w:ascii="Times New Roman" w:hAnsi="Times New Roman"/>
          <w:sz w:val="20"/>
          <w:szCs w:val="20"/>
        </w:rPr>
        <w:t>[14, 1</w:t>
      </w:r>
      <w:r w:rsidRPr="0049420F">
        <w:rPr>
          <w:rFonts w:ascii="Times New Roman" w:hAnsi="Times New Roman"/>
          <w:sz w:val="20"/>
          <w:szCs w:val="20"/>
        </w:rPr>
        <w:t>5].</w:t>
      </w:r>
    </w:p>
    <w:p w:rsidR="00E15414" w:rsidRDefault="00E15414" w:rsidP="00E15414">
      <w:pPr>
        <w:spacing w:after="0" w:line="240" w:lineRule="auto"/>
        <w:jc w:val="both"/>
        <w:rPr>
          <w:rFonts w:ascii="Times New Roman" w:hAnsi="Times New Roman"/>
          <w:sz w:val="20"/>
          <w:szCs w:val="20"/>
        </w:rPr>
      </w:pPr>
    </w:p>
    <w:p w:rsidR="00E15414" w:rsidRDefault="003A1B09" w:rsidP="00E15414">
      <w:pPr>
        <w:spacing w:after="0" w:line="240" w:lineRule="auto"/>
        <w:jc w:val="both"/>
        <w:rPr>
          <w:rFonts w:ascii="Times New Roman" w:hAnsi="Times New Roman"/>
          <w:b/>
          <w:sz w:val="20"/>
          <w:szCs w:val="20"/>
        </w:rPr>
      </w:pPr>
      <w:r w:rsidRPr="0049420F">
        <w:rPr>
          <w:rFonts w:ascii="Times New Roman" w:hAnsi="Times New Roman"/>
          <w:b/>
          <w:sz w:val="20"/>
          <w:szCs w:val="20"/>
        </w:rPr>
        <w:t>Estima</w:t>
      </w:r>
      <w:r w:rsidR="00E15414">
        <w:rPr>
          <w:rFonts w:ascii="Times New Roman" w:hAnsi="Times New Roman"/>
          <w:b/>
          <w:sz w:val="20"/>
          <w:szCs w:val="20"/>
        </w:rPr>
        <w:t>tion of total phenolic content</w:t>
      </w:r>
    </w:p>
    <w:p w:rsidR="003A1B09" w:rsidRDefault="003A1B09" w:rsidP="00E15414">
      <w:pPr>
        <w:spacing w:after="0" w:line="240" w:lineRule="auto"/>
        <w:jc w:val="both"/>
        <w:rPr>
          <w:rFonts w:ascii="Times New Roman" w:hAnsi="Times New Roman"/>
          <w:sz w:val="20"/>
          <w:szCs w:val="20"/>
        </w:rPr>
      </w:pPr>
      <w:r w:rsidRPr="0049420F">
        <w:rPr>
          <w:rFonts w:ascii="Times New Roman" w:hAnsi="Times New Roman"/>
          <w:sz w:val="20"/>
          <w:szCs w:val="20"/>
        </w:rPr>
        <w:t xml:space="preserve">The total </w:t>
      </w:r>
      <w:proofErr w:type="spellStart"/>
      <w:r w:rsidRPr="0049420F">
        <w:rPr>
          <w:rFonts w:ascii="Times New Roman" w:hAnsi="Times New Roman"/>
          <w:sz w:val="20"/>
          <w:szCs w:val="20"/>
        </w:rPr>
        <w:t>polyphenolic</w:t>
      </w:r>
      <w:proofErr w:type="spellEnd"/>
      <w:r w:rsidRPr="0049420F">
        <w:rPr>
          <w:rFonts w:ascii="Times New Roman" w:hAnsi="Times New Roman"/>
          <w:sz w:val="20"/>
          <w:szCs w:val="20"/>
        </w:rPr>
        <w:t xml:space="preserve"> content of all extracts w</w:t>
      </w:r>
      <w:r w:rsidR="00F4315F">
        <w:rPr>
          <w:rFonts w:ascii="Times New Roman" w:hAnsi="Times New Roman"/>
          <w:sz w:val="20"/>
          <w:szCs w:val="20"/>
        </w:rPr>
        <w:t xml:space="preserve">ere </w:t>
      </w:r>
      <w:r w:rsidRPr="0049420F">
        <w:rPr>
          <w:rFonts w:ascii="Times New Roman" w:hAnsi="Times New Roman"/>
          <w:sz w:val="20"/>
          <w:szCs w:val="20"/>
        </w:rPr>
        <w:t xml:space="preserve">measured by </w:t>
      </w:r>
      <w:proofErr w:type="spellStart"/>
      <w:r w:rsidRPr="0049420F">
        <w:rPr>
          <w:rFonts w:ascii="Times New Roman" w:hAnsi="Times New Roman"/>
          <w:sz w:val="20"/>
          <w:szCs w:val="20"/>
        </w:rPr>
        <w:t>Folin</w:t>
      </w:r>
      <w:proofErr w:type="spellEnd"/>
      <w:r w:rsidRPr="0049420F">
        <w:rPr>
          <w:rFonts w:ascii="Times New Roman" w:hAnsi="Times New Roman"/>
          <w:sz w:val="20"/>
          <w:szCs w:val="20"/>
        </w:rPr>
        <w:t xml:space="preserve">- </w:t>
      </w:r>
      <w:proofErr w:type="spellStart"/>
      <w:r w:rsidRPr="0049420F">
        <w:rPr>
          <w:rFonts w:ascii="Times New Roman" w:hAnsi="Times New Roman"/>
          <w:sz w:val="20"/>
          <w:szCs w:val="20"/>
        </w:rPr>
        <w:t>Ciocalteu</w:t>
      </w:r>
      <w:proofErr w:type="spellEnd"/>
      <w:r w:rsidRPr="0049420F">
        <w:rPr>
          <w:rFonts w:ascii="Times New Roman" w:hAnsi="Times New Roman"/>
          <w:sz w:val="20"/>
          <w:szCs w:val="20"/>
        </w:rPr>
        <w:t xml:space="preserve"> reagent method</w:t>
      </w:r>
      <w:r w:rsidR="00D136E0">
        <w:rPr>
          <w:rFonts w:ascii="Times New Roman" w:hAnsi="Times New Roman"/>
          <w:sz w:val="20"/>
          <w:szCs w:val="20"/>
        </w:rPr>
        <w:t xml:space="preserve">, </w:t>
      </w:r>
      <w:r w:rsidR="00D136E0" w:rsidRPr="0049420F">
        <w:rPr>
          <w:rFonts w:ascii="Times New Roman" w:hAnsi="Times New Roman"/>
          <w:sz w:val="20"/>
          <w:szCs w:val="20"/>
        </w:rPr>
        <w:t xml:space="preserve">and </w:t>
      </w:r>
      <w:r w:rsidR="00D136E0">
        <w:rPr>
          <w:rFonts w:ascii="Times New Roman" w:hAnsi="Times New Roman"/>
          <w:sz w:val="20"/>
          <w:szCs w:val="20"/>
        </w:rPr>
        <w:t xml:space="preserve">are </w:t>
      </w:r>
      <w:r w:rsidR="00D136E0" w:rsidRPr="0049420F">
        <w:rPr>
          <w:rFonts w:ascii="Times New Roman" w:hAnsi="Times New Roman"/>
          <w:sz w:val="20"/>
          <w:szCs w:val="20"/>
        </w:rPr>
        <w:t>expressed as µg/mg of gallic acid equivalent</w:t>
      </w:r>
      <w:r w:rsidRPr="0049420F">
        <w:rPr>
          <w:rFonts w:ascii="Times New Roman" w:hAnsi="Times New Roman"/>
          <w:sz w:val="20"/>
          <w:szCs w:val="20"/>
        </w:rPr>
        <w:t>. The absorbance was measured at 760 nm using UV spectrophotometer (</w:t>
      </w:r>
      <w:proofErr w:type="spellStart"/>
      <w:r w:rsidRPr="0049420F">
        <w:rPr>
          <w:rFonts w:ascii="Times New Roman" w:hAnsi="Times New Roman"/>
          <w:sz w:val="20"/>
          <w:szCs w:val="20"/>
        </w:rPr>
        <w:t>Jasco</w:t>
      </w:r>
      <w:proofErr w:type="spellEnd"/>
      <w:r w:rsidRPr="0049420F">
        <w:rPr>
          <w:rFonts w:ascii="Times New Roman" w:hAnsi="Times New Roman"/>
          <w:sz w:val="20"/>
          <w:szCs w:val="20"/>
        </w:rPr>
        <w:t xml:space="preserve"> V530 – UV/VIS/NIR) [</w:t>
      </w:r>
      <w:r w:rsidR="00215568" w:rsidRPr="0049420F">
        <w:rPr>
          <w:rFonts w:ascii="Times New Roman" w:hAnsi="Times New Roman"/>
          <w:sz w:val="20"/>
          <w:szCs w:val="20"/>
        </w:rPr>
        <w:t>1</w:t>
      </w:r>
      <w:r w:rsidRPr="0049420F">
        <w:rPr>
          <w:rFonts w:ascii="Times New Roman" w:hAnsi="Times New Roman"/>
          <w:sz w:val="20"/>
          <w:szCs w:val="20"/>
        </w:rPr>
        <w:t>6]</w:t>
      </w:r>
      <w:r w:rsidRPr="0049420F">
        <w:rPr>
          <w:rFonts w:ascii="Times New Roman" w:hAnsi="Times New Roman"/>
          <w:bCs/>
          <w:sz w:val="20"/>
          <w:szCs w:val="20"/>
        </w:rPr>
        <w:t>.</w:t>
      </w:r>
      <w:r w:rsidR="00F0247D" w:rsidRPr="0049420F">
        <w:rPr>
          <w:rFonts w:ascii="Times New Roman" w:hAnsi="Times New Roman"/>
          <w:sz w:val="20"/>
          <w:szCs w:val="20"/>
        </w:rPr>
        <w:t xml:space="preserve"> </w:t>
      </w:r>
    </w:p>
    <w:p w:rsidR="00E15414" w:rsidRPr="0049420F" w:rsidRDefault="00E15414" w:rsidP="00E15414">
      <w:pPr>
        <w:spacing w:after="0" w:line="240" w:lineRule="auto"/>
        <w:jc w:val="both"/>
        <w:rPr>
          <w:rFonts w:ascii="Times New Roman" w:hAnsi="Times New Roman"/>
          <w:sz w:val="20"/>
          <w:szCs w:val="20"/>
        </w:rPr>
      </w:pPr>
    </w:p>
    <w:p w:rsidR="00E15414" w:rsidRDefault="003A1B09" w:rsidP="00E15414">
      <w:pPr>
        <w:spacing w:after="0" w:line="240" w:lineRule="auto"/>
        <w:jc w:val="both"/>
        <w:rPr>
          <w:rFonts w:ascii="Times New Roman" w:hAnsi="Times New Roman"/>
          <w:b/>
          <w:sz w:val="20"/>
          <w:szCs w:val="20"/>
        </w:rPr>
      </w:pPr>
      <w:r w:rsidRPr="0049420F">
        <w:rPr>
          <w:rFonts w:ascii="Times New Roman" w:hAnsi="Times New Roman"/>
          <w:b/>
          <w:sz w:val="20"/>
          <w:szCs w:val="20"/>
        </w:rPr>
        <w:t>Estimation of free radical scav</w:t>
      </w:r>
      <w:r w:rsidR="00E15414">
        <w:rPr>
          <w:rFonts w:ascii="Times New Roman" w:hAnsi="Times New Roman"/>
          <w:b/>
          <w:sz w:val="20"/>
          <w:szCs w:val="20"/>
        </w:rPr>
        <w:t>enging activity by DPPH method</w:t>
      </w:r>
    </w:p>
    <w:p w:rsidR="003A1B09" w:rsidRPr="0049420F" w:rsidRDefault="003A1B09" w:rsidP="00E15414">
      <w:pPr>
        <w:spacing w:after="0" w:line="240" w:lineRule="auto"/>
        <w:jc w:val="both"/>
        <w:rPr>
          <w:rFonts w:ascii="Times New Roman" w:hAnsi="Times New Roman"/>
          <w:sz w:val="20"/>
          <w:szCs w:val="20"/>
        </w:rPr>
      </w:pPr>
      <w:r w:rsidRPr="0049420F">
        <w:rPr>
          <w:rFonts w:ascii="Times New Roman" w:hAnsi="Times New Roman"/>
          <w:sz w:val="20"/>
          <w:szCs w:val="20"/>
        </w:rPr>
        <w:t xml:space="preserve">Scavenging free radical potential of collected extracts was evaluated against a methanolic solution of 1, 1- </w:t>
      </w:r>
      <w:proofErr w:type="spellStart"/>
      <w:r w:rsidRPr="0049420F">
        <w:rPr>
          <w:rFonts w:ascii="Times New Roman" w:hAnsi="Times New Roman"/>
          <w:sz w:val="20"/>
          <w:szCs w:val="20"/>
        </w:rPr>
        <w:t>diphenyl</w:t>
      </w:r>
      <w:proofErr w:type="spellEnd"/>
      <w:r w:rsidRPr="0049420F">
        <w:rPr>
          <w:rFonts w:ascii="Times New Roman" w:hAnsi="Times New Roman"/>
          <w:sz w:val="20"/>
          <w:szCs w:val="20"/>
        </w:rPr>
        <w:t xml:space="preserve">- 2- </w:t>
      </w:r>
      <w:proofErr w:type="spellStart"/>
      <w:r w:rsidRPr="0049420F">
        <w:rPr>
          <w:rFonts w:ascii="Times New Roman" w:hAnsi="Times New Roman"/>
          <w:sz w:val="20"/>
          <w:szCs w:val="20"/>
        </w:rPr>
        <w:t>picryl</w:t>
      </w:r>
      <w:proofErr w:type="spellEnd"/>
      <w:r w:rsidRPr="0049420F">
        <w:rPr>
          <w:rFonts w:ascii="Times New Roman" w:hAnsi="Times New Roman"/>
          <w:sz w:val="20"/>
          <w:szCs w:val="20"/>
        </w:rPr>
        <w:t xml:space="preserve"> </w:t>
      </w:r>
      <w:proofErr w:type="spellStart"/>
      <w:r w:rsidRPr="0049420F">
        <w:rPr>
          <w:rFonts w:ascii="Times New Roman" w:hAnsi="Times New Roman"/>
          <w:sz w:val="20"/>
          <w:szCs w:val="20"/>
        </w:rPr>
        <w:t>hydrazyl</w:t>
      </w:r>
      <w:proofErr w:type="spellEnd"/>
      <w:r w:rsidRPr="0049420F">
        <w:rPr>
          <w:rFonts w:ascii="Times New Roman" w:hAnsi="Times New Roman"/>
          <w:sz w:val="20"/>
          <w:szCs w:val="20"/>
        </w:rPr>
        <w:t xml:space="preserve"> (DPPH) as method describe by </w:t>
      </w:r>
      <w:proofErr w:type="spellStart"/>
      <w:r w:rsidRPr="0049420F">
        <w:rPr>
          <w:rFonts w:ascii="Times New Roman" w:eastAsia="AdvEPSTIM" w:hAnsi="Times New Roman"/>
          <w:sz w:val="20"/>
          <w:szCs w:val="20"/>
        </w:rPr>
        <w:t>Cengiz</w:t>
      </w:r>
      <w:proofErr w:type="spellEnd"/>
      <w:r w:rsidRPr="0049420F">
        <w:rPr>
          <w:rFonts w:ascii="Times New Roman" w:eastAsia="AdvEPSTIM" w:hAnsi="Times New Roman"/>
          <w:sz w:val="20"/>
          <w:szCs w:val="20"/>
        </w:rPr>
        <w:t xml:space="preserve"> 2008</w:t>
      </w:r>
      <w:r w:rsidR="00694EB7" w:rsidRPr="0049420F">
        <w:rPr>
          <w:rFonts w:ascii="Times New Roman" w:eastAsia="AdvEPSTIM" w:hAnsi="Times New Roman"/>
          <w:sz w:val="20"/>
          <w:szCs w:val="20"/>
        </w:rPr>
        <w:t>[1</w:t>
      </w:r>
      <w:r w:rsidRPr="0049420F">
        <w:rPr>
          <w:rFonts w:ascii="Times New Roman" w:eastAsia="AdvEPSTIM" w:hAnsi="Times New Roman"/>
          <w:sz w:val="20"/>
          <w:szCs w:val="20"/>
        </w:rPr>
        <w:t>7]</w:t>
      </w:r>
      <w:r w:rsidRPr="0049420F">
        <w:rPr>
          <w:rFonts w:ascii="Times New Roman" w:hAnsi="Times New Roman"/>
          <w:sz w:val="20"/>
          <w:szCs w:val="20"/>
        </w:rPr>
        <w:t>. The 200µM methanolic solution of DPPH was prepared. 1ml of different concentration (10µg to 4 mg/ml) of extract solution and standard</w:t>
      </w:r>
      <w:r w:rsidRPr="0049420F">
        <w:rPr>
          <w:rFonts w:ascii="Times New Roman" w:hAnsi="Times New Roman"/>
          <w:b/>
          <w:sz w:val="20"/>
          <w:szCs w:val="20"/>
        </w:rPr>
        <w:t xml:space="preserve"> </w:t>
      </w:r>
      <w:r w:rsidRPr="0049420F">
        <w:rPr>
          <w:rFonts w:ascii="Times New Roman" w:hAnsi="Times New Roman"/>
          <w:sz w:val="20"/>
          <w:szCs w:val="20"/>
        </w:rPr>
        <w:t xml:space="preserve">Ascorbic acid solution (10- 60 </w:t>
      </w:r>
      <w:proofErr w:type="spellStart"/>
      <w:r w:rsidRPr="0049420F">
        <w:rPr>
          <w:rFonts w:ascii="Times New Roman" w:hAnsi="Times New Roman"/>
          <w:sz w:val="20"/>
          <w:szCs w:val="20"/>
        </w:rPr>
        <w:t>μg</w:t>
      </w:r>
      <w:proofErr w:type="spellEnd"/>
      <w:r w:rsidRPr="0049420F">
        <w:rPr>
          <w:rFonts w:ascii="Times New Roman" w:hAnsi="Times New Roman"/>
          <w:sz w:val="20"/>
          <w:szCs w:val="20"/>
        </w:rPr>
        <w:t xml:space="preserve">/ml) were taken in different vials. To this 1 ml of methanolic solution of DPPH was added, shaken well and mixture was allowed to stand at room temperature for 20 min. A blank was also prepared in the similar way and the absorbance was measured at 517nm. Scavenging activity was expressed as the percentage inhibition calculated using the </w:t>
      </w:r>
      <w:r w:rsidR="00E15414">
        <w:rPr>
          <w:rFonts w:ascii="Times New Roman" w:hAnsi="Times New Roman"/>
          <w:sz w:val="20"/>
          <w:szCs w:val="20"/>
        </w:rPr>
        <w:t>E</w:t>
      </w:r>
      <w:r w:rsidR="00354F32">
        <w:rPr>
          <w:rFonts w:ascii="Times New Roman" w:hAnsi="Times New Roman"/>
          <w:sz w:val="20"/>
          <w:szCs w:val="20"/>
        </w:rPr>
        <w:t>quation 1</w:t>
      </w:r>
      <w:r w:rsidRPr="0049420F">
        <w:rPr>
          <w:rFonts w:ascii="Times New Roman" w:hAnsi="Times New Roman"/>
          <w:sz w:val="20"/>
          <w:szCs w:val="20"/>
        </w:rPr>
        <w:t>.</w:t>
      </w:r>
    </w:p>
    <w:p w:rsidR="003A1B09" w:rsidRPr="0049420F" w:rsidRDefault="003A1B09" w:rsidP="004F2E11">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6476"/>
      </w:tblGrid>
      <w:tr w:rsidR="003A1B09" w:rsidRPr="0049420F" w:rsidTr="00997015">
        <w:trPr>
          <w:jc w:val="center"/>
        </w:trPr>
        <w:tc>
          <w:tcPr>
            <w:tcW w:w="0" w:type="auto"/>
            <w:vMerge w:val="restart"/>
            <w:vAlign w:val="center"/>
          </w:tcPr>
          <w:p w:rsidR="003A1B09" w:rsidRPr="0049420F" w:rsidRDefault="003A1B09" w:rsidP="003824E0">
            <w:pPr>
              <w:spacing w:after="80"/>
              <w:rPr>
                <w:rFonts w:ascii="Times New Roman" w:hAnsi="Times New Roman"/>
              </w:rPr>
            </w:pPr>
            <w:r w:rsidRPr="0049420F">
              <w:rPr>
                <w:rFonts w:ascii="Times New Roman" w:hAnsi="Times New Roman"/>
              </w:rPr>
              <w:t xml:space="preserve"> % Anti-radical activity =</w:t>
            </w:r>
          </w:p>
        </w:tc>
        <w:tc>
          <w:tcPr>
            <w:tcW w:w="0" w:type="auto"/>
            <w:vAlign w:val="center"/>
          </w:tcPr>
          <w:p w:rsidR="003A1B09" w:rsidRPr="0049420F" w:rsidRDefault="003A1B09" w:rsidP="004F2E11">
            <w:pPr>
              <w:spacing w:after="80"/>
              <w:rPr>
                <w:rFonts w:ascii="Times New Roman" w:hAnsi="Times New Roman"/>
              </w:rPr>
            </w:pPr>
            <w:r w:rsidRPr="0049420F">
              <w:rPr>
                <w:rFonts w:ascii="Times New Roman" w:hAnsi="Times New Roman"/>
              </w:rPr>
              <w:t>Control Abs - Sample</w:t>
            </w:r>
            <w:r w:rsidRPr="0049420F">
              <w:rPr>
                <w:rFonts w:ascii="Times New Roman" w:hAnsi="Times New Roman"/>
                <w:vertAlign w:val="subscript"/>
              </w:rPr>
              <w:t xml:space="preserve"> </w:t>
            </w:r>
            <w:r w:rsidRPr="0049420F">
              <w:rPr>
                <w:rFonts w:ascii="Times New Roman" w:hAnsi="Times New Roman"/>
              </w:rPr>
              <w:t>Abs</w:t>
            </w:r>
            <w:r w:rsidRPr="0049420F">
              <w:rPr>
                <w:rFonts w:ascii="Times New Roman" w:hAnsi="Times New Roman"/>
                <w:vertAlign w:val="subscript"/>
              </w:rPr>
              <w:t xml:space="preserve"> </w:t>
            </w:r>
          </w:p>
        </w:tc>
      </w:tr>
      <w:tr w:rsidR="003A1B09" w:rsidRPr="0049420F" w:rsidTr="00997015">
        <w:trPr>
          <w:jc w:val="center"/>
        </w:trPr>
        <w:tc>
          <w:tcPr>
            <w:tcW w:w="0" w:type="auto"/>
            <w:vMerge/>
            <w:vAlign w:val="center"/>
          </w:tcPr>
          <w:p w:rsidR="003A1B09" w:rsidRPr="0049420F" w:rsidRDefault="003A1B09" w:rsidP="004F2E11">
            <w:pPr>
              <w:spacing w:after="80"/>
              <w:jc w:val="center"/>
              <w:rPr>
                <w:rFonts w:ascii="Times New Roman" w:hAnsi="Times New Roman"/>
              </w:rPr>
            </w:pPr>
          </w:p>
        </w:tc>
        <w:tc>
          <w:tcPr>
            <w:tcW w:w="0" w:type="auto"/>
            <w:vAlign w:val="center"/>
          </w:tcPr>
          <w:p w:rsidR="003A1B09" w:rsidRPr="0049420F" w:rsidRDefault="003A1B09" w:rsidP="004F2E11">
            <w:pPr>
              <w:spacing w:after="80"/>
              <w:rPr>
                <w:rFonts w:ascii="Times New Roman" w:hAnsi="Times New Roman"/>
              </w:rPr>
            </w:pPr>
            <w:r w:rsidRPr="0049420F">
              <w:rPr>
                <w:rFonts w:ascii="Times New Roman" w:hAnsi="Times New Roman"/>
              </w:rPr>
              <w:softHyphen/>
            </w:r>
            <w:r w:rsidRPr="0049420F">
              <w:rPr>
                <w:rFonts w:ascii="Times New Roman" w:hAnsi="Times New Roman"/>
              </w:rPr>
              <w:softHyphen/>
            </w:r>
            <w:r w:rsidRPr="0049420F">
              <w:rPr>
                <w:rFonts w:ascii="Times New Roman" w:hAnsi="Times New Roman"/>
              </w:rPr>
              <w:softHyphen/>
            </w:r>
            <w:r w:rsidRPr="0049420F">
              <w:rPr>
                <w:rFonts w:ascii="Times New Roman" w:hAnsi="Times New Roman"/>
              </w:rPr>
              <w:softHyphen/>
            </w:r>
            <w:r w:rsidRPr="0049420F">
              <w:rPr>
                <w:rFonts w:ascii="Times New Roman" w:hAnsi="Times New Roman"/>
              </w:rPr>
              <w:softHyphen/>
            </w:r>
            <w:r w:rsidRPr="0049420F">
              <w:rPr>
                <w:rFonts w:ascii="Times New Roman" w:hAnsi="Times New Roman"/>
              </w:rPr>
              <w:softHyphen/>
            </w:r>
            <w:r w:rsidRPr="0049420F">
              <w:rPr>
                <w:rFonts w:ascii="Times New Roman" w:hAnsi="Times New Roman"/>
              </w:rPr>
              <w:softHyphen/>
            </w:r>
            <w:r w:rsidRPr="0049420F">
              <w:rPr>
                <w:rFonts w:ascii="Times New Roman" w:hAnsi="Times New Roman"/>
              </w:rPr>
              <w:softHyphen/>
            </w:r>
            <w:r w:rsidRPr="0049420F">
              <w:rPr>
                <w:rFonts w:ascii="Times New Roman" w:hAnsi="Times New Roman"/>
              </w:rPr>
              <w:softHyphen/>
            </w:r>
            <w:r w:rsidRPr="0049420F">
              <w:rPr>
                <w:rFonts w:ascii="Times New Roman" w:hAnsi="Times New Roman"/>
              </w:rPr>
              <w:softHyphen/>
              <w:t>_______________________</w:t>
            </w:r>
            <w:r w:rsidRPr="0049420F">
              <w:rPr>
                <w:rFonts w:ascii="Times New Roman" w:hAnsi="Times New Roman"/>
                <w:vertAlign w:val="subscript"/>
              </w:rPr>
              <w:t xml:space="preserve">        </w:t>
            </w:r>
            <w:r w:rsidRPr="0049420F">
              <w:rPr>
                <w:rFonts w:ascii="Times New Roman" w:hAnsi="Times New Roman"/>
              </w:rPr>
              <w:t>X</w:t>
            </w:r>
            <w:r w:rsidRPr="0049420F">
              <w:rPr>
                <w:rFonts w:ascii="Times New Roman" w:hAnsi="Times New Roman"/>
                <w:b/>
              </w:rPr>
              <w:t xml:space="preserve"> </w:t>
            </w:r>
            <w:r w:rsidRPr="0049420F">
              <w:rPr>
                <w:rFonts w:ascii="Times New Roman" w:hAnsi="Times New Roman"/>
              </w:rPr>
              <w:t>100</w:t>
            </w:r>
            <w:r w:rsidR="00E15414">
              <w:rPr>
                <w:rFonts w:ascii="Times New Roman" w:hAnsi="Times New Roman"/>
              </w:rPr>
              <w:t xml:space="preserve">                                                      (Eq.</w:t>
            </w:r>
            <w:r w:rsidR="003824E0">
              <w:rPr>
                <w:rFonts w:ascii="Times New Roman" w:hAnsi="Times New Roman"/>
              </w:rPr>
              <w:t>1</w:t>
            </w:r>
            <w:r w:rsidR="00E15414">
              <w:rPr>
                <w:rFonts w:ascii="Times New Roman" w:hAnsi="Times New Roman"/>
              </w:rPr>
              <w:t>)</w:t>
            </w:r>
            <w:r w:rsidRPr="0049420F">
              <w:rPr>
                <w:rFonts w:ascii="Times New Roman" w:hAnsi="Times New Roman"/>
                <w:vertAlign w:val="subscript"/>
              </w:rPr>
              <w:t xml:space="preserve">  </w:t>
            </w:r>
          </w:p>
        </w:tc>
      </w:tr>
      <w:tr w:rsidR="003A1B09" w:rsidRPr="0049420F" w:rsidTr="00997015">
        <w:trPr>
          <w:jc w:val="center"/>
        </w:trPr>
        <w:tc>
          <w:tcPr>
            <w:tcW w:w="0" w:type="auto"/>
            <w:vMerge/>
            <w:vAlign w:val="center"/>
          </w:tcPr>
          <w:p w:rsidR="003A1B09" w:rsidRPr="0049420F" w:rsidRDefault="003A1B09" w:rsidP="004F2E11">
            <w:pPr>
              <w:spacing w:after="80"/>
              <w:jc w:val="center"/>
              <w:rPr>
                <w:rFonts w:ascii="Times New Roman" w:hAnsi="Times New Roman"/>
              </w:rPr>
            </w:pPr>
          </w:p>
        </w:tc>
        <w:tc>
          <w:tcPr>
            <w:tcW w:w="0" w:type="auto"/>
            <w:vAlign w:val="center"/>
          </w:tcPr>
          <w:p w:rsidR="003A1B09" w:rsidRPr="0049420F" w:rsidRDefault="003A1B09" w:rsidP="004F2E11">
            <w:pPr>
              <w:spacing w:after="80"/>
              <w:rPr>
                <w:rFonts w:ascii="Times New Roman" w:hAnsi="Times New Roman"/>
              </w:rPr>
            </w:pPr>
            <w:r w:rsidRPr="0049420F">
              <w:rPr>
                <w:rFonts w:ascii="Times New Roman" w:hAnsi="Times New Roman"/>
              </w:rPr>
              <w:t xml:space="preserve">       Control Abs</w:t>
            </w:r>
          </w:p>
        </w:tc>
      </w:tr>
    </w:tbl>
    <w:p w:rsidR="00E15414" w:rsidRDefault="00E15414" w:rsidP="00E15414">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Reducing power assay</w:t>
      </w:r>
    </w:p>
    <w:p w:rsidR="003A1B09" w:rsidRDefault="003A1B09" w:rsidP="00E15414">
      <w:pPr>
        <w:spacing w:after="0" w:line="240" w:lineRule="auto"/>
        <w:jc w:val="both"/>
        <w:rPr>
          <w:rFonts w:ascii="Times New Roman" w:hAnsi="Times New Roman"/>
          <w:sz w:val="20"/>
          <w:szCs w:val="20"/>
        </w:rPr>
      </w:pPr>
      <w:r w:rsidRPr="0049420F">
        <w:rPr>
          <w:rFonts w:ascii="Times New Roman" w:hAnsi="Times New Roman"/>
          <w:sz w:val="20"/>
          <w:szCs w:val="20"/>
        </w:rPr>
        <w:t>The reducing capability was measured by the transformation of Fe</w:t>
      </w:r>
      <w:r w:rsidRPr="0049420F">
        <w:rPr>
          <w:rFonts w:ascii="Times New Roman" w:hAnsi="Times New Roman"/>
          <w:sz w:val="20"/>
          <w:szCs w:val="20"/>
          <w:vertAlign w:val="subscript"/>
        </w:rPr>
        <w:softHyphen/>
      </w:r>
      <w:r w:rsidRPr="0049420F">
        <w:rPr>
          <w:rFonts w:ascii="Times New Roman" w:hAnsi="Times New Roman"/>
          <w:sz w:val="20"/>
          <w:szCs w:val="20"/>
          <w:vertAlign w:val="subscript"/>
        </w:rPr>
        <w:softHyphen/>
      </w:r>
      <w:r w:rsidRPr="0049420F">
        <w:rPr>
          <w:rFonts w:ascii="Times New Roman" w:hAnsi="Times New Roman"/>
          <w:sz w:val="20"/>
          <w:szCs w:val="20"/>
          <w:vertAlign w:val="superscript"/>
        </w:rPr>
        <w:t>3+</w:t>
      </w:r>
      <w:r w:rsidRPr="0049420F">
        <w:rPr>
          <w:rFonts w:ascii="Times New Roman" w:hAnsi="Times New Roman"/>
          <w:sz w:val="20"/>
          <w:szCs w:val="20"/>
        </w:rPr>
        <w:t>- Fe</w:t>
      </w:r>
      <w:r w:rsidRPr="0049420F">
        <w:rPr>
          <w:rFonts w:ascii="Times New Roman" w:hAnsi="Times New Roman"/>
          <w:sz w:val="20"/>
          <w:szCs w:val="20"/>
          <w:vertAlign w:val="superscript"/>
        </w:rPr>
        <w:t xml:space="preserve">2+ </w:t>
      </w:r>
      <w:r w:rsidRPr="0049420F">
        <w:rPr>
          <w:rFonts w:ascii="Times New Roman" w:hAnsi="Times New Roman"/>
          <w:sz w:val="20"/>
          <w:szCs w:val="20"/>
        </w:rPr>
        <w:t xml:space="preserve">in presence of different extracts. Different concentrations of extracts (250-2500 </w:t>
      </w:r>
      <w:r w:rsidRPr="0049420F">
        <w:rPr>
          <w:rFonts w:ascii="Times New Roman" w:hAnsi="Times New Roman"/>
          <w:sz w:val="20"/>
          <w:szCs w:val="20"/>
        </w:rPr>
        <w:sym w:font="Symbol" w:char="F06D"/>
      </w:r>
      <w:r w:rsidRPr="0049420F">
        <w:rPr>
          <w:rFonts w:ascii="Times New Roman" w:hAnsi="Times New Roman"/>
          <w:sz w:val="20"/>
          <w:szCs w:val="20"/>
        </w:rPr>
        <w:t xml:space="preserve">g) in 1ml of water were mixed with 2.5 ml of phosphate buffer (pH 6.6) and 2.5 ml of 1% potassium </w:t>
      </w:r>
      <w:proofErr w:type="spellStart"/>
      <w:r w:rsidRPr="0049420F">
        <w:rPr>
          <w:rFonts w:ascii="Times New Roman" w:hAnsi="Times New Roman"/>
          <w:sz w:val="20"/>
          <w:szCs w:val="20"/>
        </w:rPr>
        <w:t>ferrocyanide</w:t>
      </w:r>
      <w:proofErr w:type="spellEnd"/>
      <w:r w:rsidRPr="0049420F">
        <w:rPr>
          <w:rFonts w:ascii="Times New Roman" w:hAnsi="Times New Roman"/>
          <w:sz w:val="20"/>
          <w:szCs w:val="20"/>
        </w:rPr>
        <w:t>. The mixture was incubated at 50</w:t>
      </w:r>
      <w:r w:rsidRPr="0049420F">
        <w:rPr>
          <w:rFonts w:ascii="Times New Roman" w:hAnsi="Times New Roman"/>
          <w:sz w:val="20"/>
          <w:szCs w:val="20"/>
          <w:vertAlign w:val="superscript"/>
        </w:rPr>
        <w:t>0</w:t>
      </w:r>
      <w:r w:rsidRPr="0049420F">
        <w:rPr>
          <w:rFonts w:ascii="Times New Roman" w:hAnsi="Times New Roman"/>
          <w:sz w:val="20"/>
          <w:szCs w:val="20"/>
        </w:rPr>
        <w:t xml:space="preserve">C for 20 min. 2.5 ml (10%) of </w:t>
      </w:r>
      <w:proofErr w:type="spellStart"/>
      <w:r w:rsidRPr="0049420F">
        <w:rPr>
          <w:rFonts w:ascii="Times New Roman" w:hAnsi="Times New Roman"/>
          <w:sz w:val="20"/>
          <w:szCs w:val="20"/>
        </w:rPr>
        <w:t>trichloroacetic</w:t>
      </w:r>
      <w:proofErr w:type="spellEnd"/>
      <w:r w:rsidRPr="0049420F">
        <w:rPr>
          <w:rFonts w:ascii="Times New Roman" w:hAnsi="Times New Roman"/>
          <w:sz w:val="20"/>
          <w:szCs w:val="20"/>
        </w:rPr>
        <w:t xml:space="preserve"> acid was added to the mixture, </w:t>
      </w:r>
      <w:r w:rsidR="006A2372">
        <w:rPr>
          <w:rFonts w:ascii="Times New Roman" w:hAnsi="Times New Roman"/>
          <w:sz w:val="20"/>
          <w:szCs w:val="20"/>
        </w:rPr>
        <w:t>and</w:t>
      </w:r>
      <w:r w:rsidRPr="0049420F">
        <w:rPr>
          <w:rFonts w:ascii="Times New Roman" w:hAnsi="Times New Roman"/>
          <w:sz w:val="20"/>
          <w:szCs w:val="20"/>
        </w:rPr>
        <w:t xml:space="preserve"> was centrifuged at 3000 RPM for 10 min. 2.5 ml of upper layer solution was mixed with 2.5 ml distilled water and 0.5 ml of 0.1% Fecl3 solution and the absorbance was measured at 700 nm. Increased absorbance of reaction mixture indicated increased reducing power </w:t>
      </w:r>
      <w:r w:rsidR="0089592D" w:rsidRPr="0049420F">
        <w:rPr>
          <w:rFonts w:ascii="Times New Roman" w:hAnsi="Times New Roman"/>
          <w:sz w:val="20"/>
          <w:szCs w:val="20"/>
        </w:rPr>
        <w:t>[18, 1</w:t>
      </w:r>
      <w:r w:rsidRPr="0049420F">
        <w:rPr>
          <w:rFonts w:ascii="Times New Roman" w:hAnsi="Times New Roman"/>
          <w:sz w:val="20"/>
          <w:szCs w:val="20"/>
        </w:rPr>
        <w:t>9].</w:t>
      </w:r>
      <w:r w:rsidRPr="0049420F">
        <w:rPr>
          <w:rFonts w:ascii="Times New Roman" w:hAnsi="Times New Roman"/>
          <w:b/>
          <w:sz w:val="20"/>
          <w:szCs w:val="20"/>
        </w:rPr>
        <w:t xml:space="preserve"> </w:t>
      </w:r>
      <w:r w:rsidRPr="0049420F">
        <w:rPr>
          <w:rFonts w:ascii="Times New Roman" w:hAnsi="Times New Roman"/>
          <w:sz w:val="20"/>
          <w:szCs w:val="20"/>
        </w:rPr>
        <w:t xml:space="preserve">BHA solution (1000 </w:t>
      </w:r>
      <w:proofErr w:type="spellStart"/>
      <w:r w:rsidRPr="0049420F">
        <w:rPr>
          <w:rFonts w:ascii="Times New Roman" w:hAnsi="Times New Roman"/>
          <w:sz w:val="20"/>
          <w:szCs w:val="20"/>
        </w:rPr>
        <w:t>μg</w:t>
      </w:r>
      <w:proofErr w:type="spellEnd"/>
      <w:r w:rsidRPr="0049420F">
        <w:rPr>
          <w:rFonts w:ascii="Times New Roman" w:hAnsi="Times New Roman"/>
          <w:sz w:val="20"/>
          <w:szCs w:val="20"/>
        </w:rPr>
        <w:t>/ml) prepared in phosphate buffer was used as standard.</w:t>
      </w:r>
      <w:r w:rsidR="00F0247D" w:rsidRPr="0049420F">
        <w:rPr>
          <w:rFonts w:ascii="Times New Roman" w:hAnsi="Times New Roman"/>
          <w:sz w:val="20"/>
          <w:szCs w:val="20"/>
        </w:rPr>
        <w:t xml:space="preserve"> </w:t>
      </w:r>
    </w:p>
    <w:p w:rsidR="00FE5868" w:rsidRPr="0049420F" w:rsidRDefault="00FE5868" w:rsidP="00E15414">
      <w:pPr>
        <w:spacing w:after="0" w:line="240" w:lineRule="auto"/>
        <w:jc w:val="both"/>
        <w:rPr>
          <w:rFonts w:ascii="Times New Roman" w:hAnsi="Times New Roman"/>
          <w:sz w:val="20"/>
          <w:szCs w:val="20"/>
        </w:rPr>
      </w:pPr>
    </w:p>
    <w:p w:rsidR="00764580" w:rsidRPr="00AE446B" w:rsidRDefault="0027409F" w:rsidP="00FE5868">
      <w:pPr>
        <w:spacing w:after="0" w:line="240" w:lineRule="auto"/>
        <w:jc w:val="center"/>
        <w:rPr>
          <w:rFonts w:ascii="Times New Roman" w:hAnsi="Times New Roman"/>
          <w:b/>
          <w:bCs/>
          <w:iCs/>
          <w:sz w:val="20"/>
          <w:szCs w:val="20"/>
        </w:rPr>
      </w:pPr>
      <w:r w:rsidRPr="00AE446B">
        <w:rPr>
          <w:rFonts w:ascii="Times New Roman" w:hAnsi="Times New Roman"/>
          <w:b/>
          <w:bCs/>
          <w:iCs/>
          <w:sz w:val="20"/>
          <w:szCs w:val="20"/>
        </w:rPr>
        <w:t>Results and Discussion</w:t>
      </w:r>
    </w:p>
    <w:p w:rsidR="00E15414" w:rsidRDefault="00E15414" w:rsidP="00FE5868">
      <w:pPr>
        <w:spacing w:after="0" w:line="240" w:lineRule="auto"/>
        <w:jc w:val="both"/>
        <w:rPr>
          <w:rFonts w:ascii="Times New Roman" w:hAnsi="Times New Roman"/>
          <w:b/>
          <w:sz w:val="20"/>
          <w:szCs w:val="20"/>
        </w:rPr>
      </w:pPr>
      <w:r>
        <w:rPr>
          <w:rFonts w:ascii="Times New Roman" w:hAnsi="Times New Roman"/>
          <w:b/>
          <w:sz w:val="20"/>
          <w:szCs w:val="20"/>
        </w:rPr>
        <w:t>Percentage y</w:t>
      </w:r>
      <w:r w:rsidR="00BF2D27" w:rsidRPr="0049420F">
        <w:rPr>
          <w:rFonts w:ascii="Times New Roman" w:hAnsi="Times New Roman"/>
          <w:b/>
          <w:sz w:val="20"/>
          <w:szCs w:val="20"/>
        </w:rPr>
        <w:t>ield of extracts</w:t>
      </w:r>
      <w:r>
        <w:rPr>
          <w:rFonts w:ascii="Times New Roman" w:hAnsi="Times New Roman"/>
          <w:b/>
          <w:sz w:val="20"/>
          <w:szCs w:val="20"/>
        </w:rPr>
        <w:t xml:space="preserve"> (%)</w:t>
      </w:r>
    </w:p>
    <w:p w:rsidR="00BF2D27" w:rsidRPr="0049420F" w:rsidRDefault="00C0327A" w:rsidP="00E15414">
      <w:pPr>
        <w:spacing w:after="0" w:line="240" w:lineRule="auto"/>
        <w:jc w:val="both"/>
        <w:rPr>
          <w:rFonts w:ascii="Times New Roman" w:hAnsi="Times New Roman"/>
          <w:b/>
          <w:sz w:val="20"/>
          <w:szCs w:val="20"/>
        </w:rPr>
      </w:pPr>
      <w:proofErr w:type="spellStart"/>
      <w:r w:rsidRPr="0049420F">
        <w:rPr>
          <w:rFonts w:ascii="Times New Roman" w:hAnsi="Times New Roman"/>
          <w:bCs/>
          <w:i/>
          <w:sz w:val="20"/>
          <w:szCs w:val="20"/>
        </w:rPr>
        <w:t>Blainvillea</w:t>
      </w:r>
      <w:proofErr w:type="spellEnd"/>
      <w:r w:rsidRPr="0049420F">
        <w:rPr>
          <w:rFonts w:ascii="Times New Roman" w:hAnsi="Times New Roman"/>
          <w:bCs/>
          <w:i/>
          <w:sz w:val="20"/>
          <w:szCs w:val="20"/>
        </w:rPr>
        <w:t xml:space="preserve"> </w:t>
      </w:r>
      <w:proofErr w:type="spellStart"/>
      <w:r w:rsidRPr="0049420F">
        <w:rPr>
          <w:rFonts w:ascii="Times New Roman" w:hAnsi="Times New Roman"/>
          <w:bCs/>
          <w:i/>
          <w:sz w:val="20"/>
          <w:szCs w:val="20"/>
        </w:rPr>
        <w:t>acmella</w:t>
      </w:r>
      <w:proofErr w:type="spellEnd"/>
      <w:r w:rsidR="00315818">
        <w:rPr>
          <w:rFonts w:ascii="Times New Roman" w:hAnsi="Times New Roman"/>
          <w:bCs/>
          <w:sz w:val="20"/>
          <w:szCs w:val="20"/>
        </w:rPr>
        <w:t xml:space="preserve"> extract yield was minimum for methanol and h</w:t>
      </w:r>
      <w:r w:rsidRPr="0049420F">
        <w:rPr>
          <w:rFonts w:ascii="Times New Roman" w:hAnsi="Times New Roman"/>
          <w:bCs/>
          <w:sz w:val="20"/>
          <w:szCs w:val="20"/>
        </w:rPr>
        <w:t xml:space="preserve">exane extract, for leaf 1.36% and for stem 0.62% respectively, while extractive </w:t>
      </w:r>
      <w:r w:rsidR="00CB3E2E">
        <w:rPr>
          <w:rFonts w:ascii="Times New Roman" w:hAnsi="Times New Roman"/>
          <w:bCs/>
          <w:sz w:val="20"/>
          <w:szCs w:val="20"/>
        </w:rPr>
        <w:t>value was</w:t>
      </w:r>
      <w:r w:rsidRPr="0049420F">
        <w:rPr>
          <w:rFonts w:ascii="Times New Roman" w:hAnsi="Times New Roman"/>
          <w:bCs/>
          <w:sz w:val="20"/>
          <w:szCs w:val="20"/>
        </w:rPr>
        <w:t xml:space="preserve"> </w:t>
      </w:r>
      <w:r w:rsidR="00CB3E2E" w:rsidRPr="0049420F">
        <w:rPr>
          <w:rFonts w:ascii="Times New Roman" w:hAnsi="Times New Roman"/>
          <w:bCs/>
          <w:sz w:val="20"/>
          <w:szCs w:val="20"/>
        </w:rPr>
        <w:t xml:space="preserve">maximum </w:t>
      </w:r>
      <w:r w:rsidRPr="0049420F">
        <w:rPr>
          <w:rFonts w:ascii="Times New Roman" w:hAnsi="Times New Roman"/>
          <w:bCs/>
          <w:sz w:val="20"/>
          <w:szCs w:val="20"/>
        </w:rPr>
        <w:t xml:space="preserve">for </w:t>
      </w:r>
      <w:r w:rsidR="0022692B">
        <w:rPr>
          <w:rFonts w:ascii="Times New Roman" w:hAnsi="Times New Roman"/>
          <w:bCs/>
          <w:sz w:val="20"/>
          <w:szCs w:val="20"/>
        </w:rPr>
        <w:t>ethyl acetate (Leaf 4.93%) and a</w:t>
      </w:r>
      <w:r w:rsidRPr="0049420F">
        <w:rPr>
          <w:rFonts w:ascii="Times New Roman" w:hAnsi="Times New Roman"/>
          <w:bCs/>
          <w:sz w:val="20"/>
          <w:szCs w:val="20"/>
        </w:rPr>
        <w:t xml:space="preserve">queous (3.34%). </w:t>
      </w:r>
      <w:r w:rsidR="00B72E6A" w:rsidRPr="0049420F">
        <w:rPr>
          <w:rFonts w:ascii="Times New Roman" w:hAnsi="Times New Roman"/>
          <w:b/>
          <w:sz w:val="20"/>
          <w:szCs w:val="20"/>
        </w:rPr>
        <w:t xml:space="preserve"> </w:t>
      </w:r>
      <w:r w:rsidR="00E15414">
        <w:rPr>
          <w:rFonts w:ascii="Times New Roman" w:hAnsi="Times New Roman"/>
          <w:bCs/>
          <w:sz w:val="20"/>
          <w:szCs w:val="20"/>
        </w:rPr>
        <w:t>The result data are given in T</w:t>
      </w:r>
      <w:r w:rsidR="00BF2D27" w:rsidRPr="0049420F">
        <w:rPr>
          <w:rFonts w:ascii="Times New Roman" w:hAnsi="Times New Roman"/>
          <w:bCs/>
          <w:sz w:val="20"/>
          <w:szCs w:val="20"/>
        </w:rPr>
        <w:t xml:space="preserve">able 2. </w:t>
      </w:r>
    </w:p>
    <w:p w:rsidR="00BF2D27" w:rsidRPr="00503161" w:rsidRDefault="00E15414" w:rsidP="00AB04A5">
      <w:pPr>
        <w:spacing w:before="240" w:line="240" w:lineRule="auto"/>
        <w:jc w:val="center"/>
        <w:rPr>
          <w:rFonts w:ascii="Times New Roman" w:hAnsi="Times New Roman"/>
          <w:sz w:val="18"/>
          <w:szCs w:val="18"/>
        </w:rPr>
      </w:pPr>
      <w:proofErr w:type="gramStart"/>
      <w:r>
        <w:rPr>
          <w:rFonts w:ascii="Times New Roman" w:hAnsi="Times New Roman"/>
          <w:sz w:val="18"/>
          <w:szCs w:val="18"/>
        </w:rPr>
        <w:t>Table 2.</w:t>
      </w:r>
      <w:proofErr w:type="gramEnd"/>
      <w:r>
        <w:rPr>
          <w:rFonts w:ascii="Times New Roman" w:hAnsi="Times New Roman"/>
          <w:sz w:val="18"/>
          <w:szCs w:val="18"/>
        </w:rPr>
        <w:t xml:space="preserve"> Percentage </w:t>
      </w:r>
      <w:r w:rsidR="00BF2D27" w:rsidRPr="00503161">
        <w:rPr>
          <w:rFonts w:ascii="Times New Roman" w:hAnsi="Times New Roman"/>
          <w:sz w:val="18"/>
          <w:szCs w:val="18"/>
        </w:rPr>
        <w:t>yield of extracts by successive extraction</w:t>
      </w:r>
    </w:p>
    <w:tbl>
      <w:tblPr>
        <w:tblStyle w:val="LightShading"/>
        <w:tblpPr w:leftFromText="180" w:rightFromText="180" w:vertAnchor="text" w:tblpXSpec="center" w:tblpY="1"/>
        <w:tblW w:w="4430" w:type="pct"/>
        <w:tblLook w:val="04A0" w:firstRow="1" w:lastRow="0" w:firstColumn="1" w:lastColumn="0" w:noHBand="0" w:noVBand="1"/>
      </w:tblPr>
      <w:tblGrid>
        <w:gridCol w:w="1999"/>
        <w:gridCol w:w="1517"/>
        <w:gridCol w:w="1720"/>
        <w:gridCol w:w="1425"/>
        <w:gridCol w:w="1567"/>
      </w:tblGrid>
      <w:tr w:rsidR="00910BFD" w:rsidRPr="00503161" w:rsidTr="00E15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vMerge w:val="restart"/>
            <w:shd w:val="clear" w:color="auto" w:fill="auto"/>
            <w:hideMark/>
          </w:tcPr>
          <w:p w:rsidR="00910BFD" w:rsidRPr="00E15414" w:rsidRDefault="00910BFD" w:rsidP="004F2E11">
            <w:pPr>
              <w:spacing w:after="60"/>
              <w:jc w:val="center"/>
              <w:rPr>
                <w:rFonts w:ascii="Times New Roman" w:hAnsi="Times New Roman"/>
                <w:bCs w:val="0"/>
                <w:color w:val="000000"/>
                <w:sz w:val="18"/>
                <w:szCs w:val="18"/>
              </w:rPr>
            </w:pPr>
            <w:r w:rsidRPr="00E15414">
              <w:rPr>
                <w:rFonts w:ascii="Times New Roman" w:hAnsi="Times New Roman"/>
                <w:bCs w:val="0"/>
                <w:color w:val="000000"/>
                <w:sz w:val="18"/>
                <w:szCs w:val="18"/>
              </w:rPr>
              <w:t>Plant Part</w:t>
            </w:r>
          </w:p>
        </w:tc>
        <w:tc>
          <w:tcPr>
            <w:tcW w:w="3785" w:type="pct"/>
            <w:gridSpan w:val="4"/>
            <w:shd w:val="clear" w:color="auto" w:fill="auto"/>
            <w:hideMark/>
          </w:tcPr>
          <w:p w:rsidR="00910BFD" w:rsidRPr="00E15414" w:rsidRDefault="00910BFD" w:rsidP="004F2E11">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18"/>
                <w:szCs w:val="18"/>
              </w:rPr>
            </w:pPr>
            <w:r w:rsidRPr="00E15414">
              <w:rPr>
                <w:rFonts w:ascii="Times New Roman" w:hAnsi="Times New Roman"/>
                <w:bCs w:val="0"/>
                <w:color w:val="000000"/>
                <w:sz w:val="18"/>
                <w:szCs w:val="18"/>
              </w:rPr>
              <w:t>Extract (% w/w)</w:t>
            </w:r>
          </w:p>
        </w:tc>
      </w:tr>
      <w:tr w:rsidR="00910BFD" w:rsidRPr="00503161" w:rsidTr="00E15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vMerge/>
            <w:tcBorders>
              <w:bottom w:val="single" w:sz="4" w:space="0" w:color="auto"/>
            </w:tcBorders>
            <w:shd w:val="clear" w:color="auto" w:fill="auto"/>
            <w:hideMark/>
          </w:tcPr>
          <w:p w:rsidR="00910BFD" w:rsidRPr="00E15414" w:rsidRDefault="00910BFD" w:rsidP="004F2E11">
            <w:pPr>
              <w:spacing w:after="60"/>
              <w:jc w:val="center"/>
              <w:rPr>
                <w:rFonts w:ascii="Times New Roman" w:hAnsi="Times New Roman"/>
                <w:bCs w:val="0"/>
                <w:color w:val="000000"/>
                <w:sz w:val="18"/>
                <w:szCs w:val="18"/>
              </w:rPr>
            </w:pPr>
          </w:p>
        </w:tc>
        <w:tc>
          <w:tcPr>
            <w:tcW w:w="922" w:type="pct"/>
            <w:tcBorders>
              <w:bottom w:val="single" w:sz="4" w:space="0" w:color="auto"/>
            </w:tcBorders>
            <w:shd w:val="clear" w:color="auto" w:fill="auto"/>
            <w:hideMark/>
          </w:tcPr>
          <w:p w:rsidR="00910BFD" w:rsidRPr="00E15414" w:rsidRDefault="00910BFD"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E15414">
              <w:rPr>
                <w:rFonts w:ascii="Times New Roman" w:hAnsi="Times New Roman"/>
                <w:b/>
                <w:bCs/>
                <w:color w:val="000000"/>
                <w:sz w:val="18"/>
                <w:szCs w:val="18"/>
              </w:rPr>
              <w:t>n-Hexane</w:t>
            </w:r>
          </w:p>
        </w:tc>
        <w:tc>
          <w:tcPr>
            <w:tcW w:w="1045" w:type="pct"/>
            <w:tcBorders>
              <w:bottom w:val="single" w:sz="4" w:space="0" w:color="auto"/>
            </w:tcBorders>
            <w:shd w:val="clear" w:color="auto" w:fill="auto"/>
            <w:hideMark/>
          </w:tcPr>
          <w:p w:rsidR="00910BFD" w:rsidRPr="00E15414" w:rsidRDefault="00910BFD"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E15414">
              <w:rPr>
                <w:rFonts w:ascii="Times New Roman" w:hAnsi="Times New Roman"/>
                <w:b/>
                <w:bCs/>
                <w:color w:val="000000"/>
                <w:sz w:val="18"/>
                <w:szCs w:val="18"/>
              </w:rPr>
              <w:t>Ethyl Acetate</w:t>
            </w:r>
          </w:p>
        </w:tc>
        <w:tc>
          <w:tcPr>
            <w:tcW w:w="866" w:type="pct"/>
            <w:tcBorders>
              <w:bottom w:val="single" w:sz="4" w:space="0" w:color="auto"/>
            </w:tcBorders>
            <w:shd w:val="clear" w:color="auto" w:fill="auto"/>
            <w:hideMark/>
          </w:tcPr>
          <w:p w:rsidR="00910BFD" w:rsidRPr="00E15414" w:rsidRDefault="00910BFD"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E15414">
              <w:rPr>
                <w:rFonts w:ascii="Times New Roman" w:hAnsi="Times New Roman"/>
                <w:b/>
                <w:bCs/>
                <w:color w:val="000000"/>
                <w:sz w:val="18"/>
                <w:szCs w:val="18"/>
              </w:rPr>
              <w:t>Methanol</w:t>
            </w:r>
          </w:p>
        </w:tc>
        <w:tc>
          <w:tcPr>
            <w:tcW w:w="952" w:type="pct"/>
            <w:tcBorders>
              <w:bottom w:val="single" w:sz="4" w:space="0" w:color="auto"/>
            </w:tcBorders>
            <w:shd w:val="clear" w:color="auto" w:fill="auto"/>
            <w:hideMark/>
          </w:tcPr>
          <w:p w:rsidR="00910BFD" w:rsidRPr="00E15414" w:rsidRDefault="00910BFD"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18"/>
                <w:szCs w:val="18"/>
              </w:rPr>
            </w:pPr>
            <w:r w:rsidRPr="00E15414">
              <w:rPr>
                <w:rFonts w:ascii="Times New Roman" w:hAnsi="Times New Roman"/>
                <w:b/>
                <w:bCs/>
                <w:color w:val="000000"/>
                <w:sz w:val="18"/>
                <w:szCs w:val="18"/>
              </w:rPr>
              <w:t>Water</w:t>
            </w:r>
          </w:p>
        </w:tc>
      </w:tr>
      <w:tr w:rsidR="00910BFD" w:rsidRPr="00503161" w:rsidTr="00E15414">
        <w:tc>
          <w:tcPr>
            <w:cnfStyle w:val="001000000000" w:firstRow="0" w:lastRow="0" w:firstColumn="1" w:lastColumn="0" w:oddVBand="0" w:evenVBand="0" w:oddHBand="0" w:evenHBand="0" w:firstRowFirstColumn="0" w:firstRowLastColumn="0" w:lastRowFirstColumn="0" w:lastRowLastColumn="0"/>
            <w:tcW w:w="1215" w:type="pct"/>
            <w:tcBorders>
              <w:top w:val="single" w:sz="4" w:space="0" w:color="auto"/>
            </w:tcBorders>
            <w:shd w:val="clear" w:color="auto" w:fill="auto"/>
            <w:hideMark/>
          </w:tcPr>
          <w:p w:rsidR="00910BFD" w:rsidRPr="00E15414" w:rsidRDefault="00910BFD" w:rsidP="004F2E11">
            <w:pPr>
              <w:spacing w:after="60"/>
              <w:jc w:val="center"/>
              <w:rPr>
                <w:rFonts w:ascii="Times New Roman" w:hAnsi="Times New Roman"/>
                <w:b w:val="0"/>
                <w:bCs w:val="0"/>
                <w:color w:val="000000"/>
                <w:sz w:val="18"/>
                <w:szCs w:val="18"/>
              </w:rPr>
            </w:pPr>
            <w:r w:rsidRPr="00E15414">
              <w:rPr>
                <w:rFonts w:ascii="Times New Roman" w:hAnsi="Times New Roman"/>
                <w:b w:val="0"/>
                <w:bCs w:val="0"/>
                <w:color w:val="000000"/>
                <w:sz w:val="18"/>
                <w:szCs w:val="18"/>
              </w:rPr>
              <w:t>Leaf</w:t>
            </w:r>
          </w:p>
        </w:tc>
        <w:tc>
          <w:tcPr>
            <w:tcW w:w="922" w:type="pct"/>
            <w:tcBorders>
              <w:top w:val="single" w:sz="4" w:space="0" w:color="auto"/>
            </w:tcBorders>
            <w:shd w:val="clear" w:color="auto" w:fill="auto"/>
            <w:hideMark/>
          </w:tcPr>
          <w:p w:rsidR="00910BFD" w:rsidRPr="00503161" w:rsidRDefault="00910BFD" w:rsidP="004F2E1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503161">
              <w:rPr>
                <w:rFonts w:ascii="Times New Roman" w:hAnsi="Times New Roman"/>
                <w:bCs/>
                <w:color w:val="000000"/>
                <w:sz w:val="18"/>
                <w:szCs w:val="18"/>
              </w:rPr>
              <w:t>2.02</w:t>
            </w:r>
          </w:p>
        </w:tc>
        <w:tc>
          <w:tcPr>
            <w:tcW w:w="1045" w:type="pct"/>
            <w:tcBorders>
              <w:top w:val="single" w:sz="4" w:space="0" w:color="auto"/>
            </w:tcBorders>
            <w:shd w:val="clear" w:color="auto" w:fill="auto"/>
            <w:hideMark/>
          </w:tcPr>
          <w:p w:rsidR="00910BFD" w:rsidRPr="00503161" w:rsidRDefault="00910BFD" w:rsidP="004F2E1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503161">
              <w:rPr>
                <w:rFonts w:ascii="Times New Roman" w:hAnsi="Times New Roman"/>
                <w:bCs/>
                <w:color w:val="000000"/>
                <w:sz w:val="18"/>
                <w:szCs w:val="18"/>
              </w:rPr>
              <w:t>4.93</w:t>
            </w:r>
          </w:p>
        </w:tc>
        <w:tc>
          <w:tcPr>
            <w:tcW w:w="866" w:type="pct"/>
            <w:tcBorders>
              <w:top w:val="single" w:sz="4" w:space="0" w:color="auto"/>
            </w:tcBorders>
            <w:shd w:val="clear" w:color="auto" w:fill="auto"/>
            <w:hideMark/>
          </w:tcPr>
          <w:p w:rsidR="00910BFD" w:rsidRPr="00503161" w:rsidRDefault="00910BFD" w:rsidP="004F2E1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503161">
              <w:rPr>
                <w:rFonts w:ascii="Times New Roman" w:hAnsi="Times New Roman"/>
                <w:bCs/>
                <w:color w:val="000000"/>
                <w:sz w:val="18"/>
                <w:szCs w:val="18"/>
              </w:rPr>
              <w:t>1.36</w:t>
            </w:r>
          </w:p>
        </w:tc>
        <w:tc>
          <w:tcPr>
            <w:tcW w:w="952" w:type="pct"/>
            <w:tcBorders>
              <w:top w:val="single" w:sz="4" w:space="0" w:color="auto"/>
            </w:tcBorders>
            <w:shd w:val="clear" w:color="auto" w:fill="auto"/>
            <w:hideMark/>
          </w:tcPr>
          <w:p w:rsidR="00910BFD" w:rsidRPr="00503161" w:rsidRDefault="00910BFD" w:rsidP="004F2E11">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8"/>
                <w:szCs w:val="18"/>
              </w:rPr>
            </w:pPr>
            <w:r w:rsidRPr="00503161">
              <w:rPr>
                <w:rFonts w:ascii="Times New Roman" w:hAnsi="Times New Roman"/>
                <w:bCs/>
                <w:color w:val="000000"/>
                <w:sz w:val="18"/>
                <w:szCs w:val="18"/>
              </w:rPr>
              <w:t>3.83</w:t>
            </w:r>
          </w:p>
        </w:tc>
      </w:tr>
      <w:tr w:rsidR="00910BFD" w:rsidRPr="00503161" w:rsidTr="00E15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shd w:val="clear" w:color="auto" w:fill="auto"/>
            <w:hideMark/>
          </w:tcPr>
          <w:p w:rsidR="00910BFD" w:rsidRPr="00E15414" w:rsidRDefault="00910BFD" w:rsidP="004F2E11">
            <w:pPr>
              <w:spacing w:after="60"/>
              <w:jc w:val="center"/>
              <w:rPr>
                <w:rFonts w:ascii="Times New Roman" w:hAnsi="Times New Roman"/>
                <w:b w:val="0"/>
                <w:bCs w:val="0"/>
                <w:color w:val="000000"/>
                <w:sz w:val="18"/>
                <w:szCs w:val="18"/>
              </w:rPr>
            </w:pPr>
            <w:r w:rsidRPr="00E15414">
              <w:rPr>
                <w:rFonts w:ascii="Times New Roman" w:hAnsi="Times New Roman"/>
                <w:b w:val="0"/>
                <w:bCs w:val="0"/>
                <w:color w:val="000000"/>
                <w:sz w:val="18"/>
                <w:szCs w:val="18"/>
              </w:rPr>
              <w:t>Stem</w:t>
            </w:r>
          </w:p>
        </w:tc>
        <w:tc>
          <w:tcPr>
            <w:tcW w:w="922" w:type="pct"/>
            <w:shd w:val="clear" w:color="auto" w:fill="auto"/>
            <w:hideMark/>
          </w:tcPr>
          <w:p w:rsidR="00910BFD" w:rsidRPr="00503161" w:rsidRDefault="00910BFD"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8"/>
                <w:szCs w:val="18"/>
              </w:rPr>
            </w:pPr>
            <w:r w:rsidRPr="00503161">
              <w:rPr>
                <w:rFonts w:ascii="Times New Roman" w:hAnsi="Times New Roman"/>
                <w:bCs/>
                <w:color w:val="000000"/>
                <w:sz w:val="18"/>
                <w:szCs w:val="18"/>
              </w:rPr>
              <w:t>0.62</w:t>
            </w:r>
          </w:p>
        </w:tc>
        <w:tc>
          <w:tcPr>
            <w:tcW w:w="1045" w:type="pct"/>
            <w:shd w:val="clear" w:color="auto" w:fill="auto"/>
            <w:hideMark/>
          </w:tcPr>
          <w:p w:rsidR="00910BFD" w:rsidRPr="00503161" w:rsidRDefault="00910BFD"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8"/>
                <w:szCs w:val="18"/>
              </w:rPr>
            </w:pPr>
            <w:r w:rsidRPr="00503161">
              <w:rPr>
                <w:rFonts w:ascii="Times New Roman" w:hAnsi="Times New Roman"/>
                <w:bCs/>
                <w:color w:val="000000"/>
                <w:sz w:val="18"/>
                <w:szCs w:val="18"/>
              </w:rPr>
              <w:t>2.20</w:t>
            </w:r>
          </w:p>
        </w:tc>
        <w:tc>
          <w:tcPr>
            <w:tcW w:w="866" w:type="pct"/>
            <w:shd w:val="clear" w:color="auto" w:fill="auto"/>
            <w:hideMark/>
          </w:tcPr>
          <w:p w:rsidR="00910BFD" w:rsidRPr="00503161" w:rsidRDefault="00910BFD"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8"/>
                <w:szCs w:val="18"/>
              </w:rPr>
            </w:pPr>
            <w:r w:rsidRPr="00503161">
              <w:rPr>
                <w:rFonts w:ascii="Times New Roman" w:hAnsi="Times New Roman"/>
                <w:bCs/>
                <w:color w:val="000000"/>
                <w:sz w:val="18"/>
                <w:szCs w:val="18"/>
              </w:rPr>
              <w:t>1.23</w:t>
            </w:r>
          </w:p>
        </w:tc>
        <w:tc>
          <w:tcPr>
            <w:tcW w:w="952" w:type="pct"/>
            <w:shd w:val="clear" w:color="auto" w:fill="auto"/>
            <w:hideMark/>
          </w:tcPr>
          <w:p w:rsidR="00910BFD" w:rsidRPr="00503161" w:rsidRDefault="00910BFD" w:rsidP="004F2E11">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18"/>
                <w:szCs w:val="18"/>
              </w:rPr>
            </w:pPr>
            <w:r w:rsidRPr="00503161">
              <w:rPr>
                <w:rFonts w:ascii="Times New Roman" w:hAnsi="Times New Roman"/>
                <w:bCs/>
                <w:color w:val="000000"/>
                <w:sz w:val="18"/>
                <w:szCs w:val="18"/>
              </w:rPr>
              <w:t>3.34</w:t>
            </w:r>
          </w:p>
        </w:tc>
      </w:tr>
    </w:tbl>
    <w:p w:rsidR="00910BFD" w:rsidRPr="00503161" w:rsidRDefault="00910BFD" w:rsidP="004F2E11">
      <w:pPr>
        <w:spacing w:after="0" w:line="240" w:lineRule="auto"/>
        <w:jc w:val="center"/>
        <w:rPr>
          <w:rFonts w:ascii="Times New Roman" w:hAnsi="Times New Roman"/>
          <w:sz w:val="18"/>
          <w:szCs w:val="18"/>
        </w:rPr>
      </w:pPr>
    </w:p>
    <w:p w:rsidR="00E15414" w:rsidRDefault="00B86B17" w:rsidP="00E15414">
      <w:pPr>
        <w:spacing w:after="0" w:line="240" w:lineRule="auto"/>
        <w:jc w:val="both"/>
        <w:rPr>
          <w:rFonts w:ascii="Times New Roman" w:hAnsi="Times New Roman"/>
          <w:b/>
          <w:sz w:val="20"/>
          <w:szCs w:val="20"/>
        </w:rPr>
      </w:pPr>
      <w:r w:rsidRPr="0049420F">
        <w:rPr>
          <w:rFonts w:ascii="Times New Roman" w:hAnsi="Times New Roman"/>
          <w:b/>
          <w:sz w:val="20"/>
          <w:szCs w:val="20"/>
        </w:rPr>
        <w:t>Preliminary p</w:t>
      </w:r>
      <w:r w:rsidR="00E15414">
        <w:rPr>
          <w:rFonts w:ascii="Times New Roman" w:hAnsi="Times New Roman"/>
          <w:b/>
          <w:sz w:val="20"/>
          <w:szCs w:val="20"/>
        </w:rPr>
        <w:t>hytochemical screening results</w:t>
      </w:r>
    </w:p>
    <w:p w:rsidR="00FE5868" w:rsidRDefault="0050475F" w:rsidP="00E15414">
      <w:pPr>
        <w:spacing w:after="0" w:line="240" w:lineRule="auto"/>
        <w:jc w:val="both"/>
        <w:rPr>
          <w:rFonts w:ascii="Times New Roman" w:hAnsi="Times New Roman"/>
          <w:sz w:val="20"/>
          <w:szCs w:val="20"/>
        </w:rPr>
      </w:pPr>
      <w:r>
        <w:rPr>
          <w:rFonts w:ascii="Times New Roman" w:hAnsi="Times New Roman"/>
          <w:sz w:val="20"/>
          <w:szCs w:val="20"/>
        </w:rPr>
        <w:t>The p</w:t>
      </w:r>
      <w:r w:rsidR="00B86B17" w:rsidRPr="0049420F">
        <w:rPr>
          <w:rFonts w:ascii="Times New Roman" w:hAnsi="Times New Roman"/>
          <w:sz w:val="20"/>
          <w:szCs w:val="20"/>
        </w:rPr>
        <w:t>hytochemical scre</w:t>
      </w:r>
      <w:r w:rsidR="00E15414">
        <w:rPr>
          <w:rFonts w:ascii="Times New Roman" w:hAnsi="Times New Roman"/>
          <w:sz w:val="20"/>
          <w:szCs w:val="20"/>
        </w:rPr>
        <w:t>ening result data are shown in T</w:t>
      </w:r>
      <w:r w:rsidR="00B86B17" w:rsidRPr="0049420F">
        <w:rPr>
          <w:rFonts w:ascii="Times New Roman" w:hAnsi="Times New Roman"/>
          <w:sz w:val="20"/>
          <w:szCs w:val="20"/>
        </w:rPr>
        <w:t xml:space="preserve">able 3, which implies that the carbohydrates, </w:t>
      </w:r>
      <w:proofErr w:type="spellStart"/>
      <w:r w:rsidR="00B86B17" w:rsidRPr="0049420F">
        <w:rPr>
          <w:rFonts w:ascii="Times New Roman" w:hAnsi="Times New Roman"/>
          <w:sz w:val="20"/>
          <w:szCs w:val="20"/>
        </w:rPr>
        <w:t>flavanoids</w:t>
      </w:r>
      <w:proofErr w:type="spellEnd"/>
      <w:r w:rsidR="00B86B17" w:rsidRPr="0049420F">
        <w:rPr>
          <w:rFonts w:ascii="Times New Roman" w:hAnsi="Times New Roman"/>
          <w:sz w:val="20"/>
          <w:szCs w:val="20"/>
        </w:rPr>
        <w:t xml:space="preserve"> and phenolic compounds are present in </w:t>
      </w:r>
      <w:r w:rsidR="006C1867" w:rsidRPr="0049420F">
        <w:rPr>
          <w:rFonts w:ascii="Times New Roman" w:hAnsi="Times New Roman"/>
          <w:sz w:val="20"/>
          <w:szCs w:val="20"/>
        </w:rPr>
        <w:t>methanolic</w:t>
      </w:r>
      <w:r w:rsidR="00B86B17" w:rsidRPr="0049420F">
        <w:rPr>
          <w:rFonts w:ascii="Times New Roman" w:hAnsi="Times New Roman"/>
          <w:sz w:val="20"/>
          <w:szCs w:val="20"/>
        </w:rPr>
        <w:t xml:space="preserve"> extracts of leaf and stem</w:t>
      </w:r>
      <w:r w:rsidR="00B43F62" w:rsidRPr="0049420F">
        <w:rPr>
          <w:rFonts w:ascii="Times New Roman" w:hAnsi="Times New Roman"/>
          <w:sz w:val="20"/>
          <w:szCs w:val="20"/>
        </w:rPr>
        <w:t>.</w:t>
      </w:r>
    </w:p>
    <w:p w:rsidR="00FE5868" w:rsidRPr="008C1A7D" w:rsidRDefault="00FE5868" w:rsidP="00FE5868">
      <w:pPr>
        <w:spacing w:before="240" w:line="240" w:lineRule="auto"/>
        <w:jc w:val="center"/>
        <w:rPr>
          <w:rFonts w:ascii="Times New Roman" w:hAnsi="Times New Roman"/>
          <w:sz w:val="18"/>
          <w:szCs w:val="18"/>
        </w:rPr>
      </w:pPr>
      <w:proofErr w:type="gramStart"/>
      <w:r w:rsidRPr="008C1A7D">
        <w:rPr>
          <w:rFonts w:ascii="Times New Roman" w:hAnsi="Times New Roman"/>
          <w:sz w:val="18"/>
          <w:szCs w:val="18"/>
        </w:rPr>
        <w:t>Table</w:t>
      </w:r>
      <w:r>
        <w:rPr>
          <w:rFonts w:ascii="Times New Roman" w:hAnsi="Times New Roman"/>
          <w:sz w:val="18"/>
          <w:szCs w:val="18"/>
        </w:rPr>
        <w:t xml:space="preserve"> </w:t>
      </w:r>
      <w:r w:rsidRPr="008C1A7D">
        <w:rPr>
          <w:rFonts w:ascii="Times New Roman" w:hAnsi="Times New Roman"/>
          <w:sz w:val="18"/>
          <w:szCs w:val="18"/>
        </w:rPr>
        <w:t>3</w:t>
      </w:r>
      <w:r>
        <w:rPr>
          <w:rFonts w:ascii="Times New Roman" w:hAnsi="Times New Roman"/>
          <w:sz w:val="18"/>
          <w:szCs w:val="18"/>
        </w:rPr>
        <w:t>.</w:t>
      </w:r>
      <w:proofErr w:type="gramEnd"/>
      <w:r>
        <w:rPr>
          <w:rFonts w:ascii="Times New Roman" w:hAnsi="Times New Roman"/>
          <w:sz w:val="18"/>
          <w:szCs w:val="18"/>
        </w:rPr>
        <w:t xml:space="preserve"> Preliminary p</w:t>
      </w:r>
      <w:r w:rsidRPr="008C1A7D">
        <w:rPr>
          <w:rFonts w:ascii="Times New Roman" w:hAnsi="Times New Roman"/>
          <w:sz w:val="18"/>
          <w:szCs w:val="18"/>
        </w:rPr>
        <w:t xml:space="preserve">hytochemical screening of </w:t>
      </w:r>
      <w:proofErr w:type="spellStart"/>
      <w:r w:rsidRPr="008C1A7D">
        <w:rPr>
          <w:rFonts w:ascii="Times New Roman" w:hAnsi="Times New Roman"/>
          <w:i/>
          <w:sz w:val="18"/>
          <w:szCs w:val="18"/>
        </w:rPr>
        <w:t>Blainvillea</w:t>
      </w:r>
      <w:proofErr w:type="spellEnd"/>
      <w:r w:rsidRPr="008C1A7D">
        <w:rPr>
          <w:rFonts w:ascii="Times New Roman" w:hAnsi="Times New Roman"/>
          <w:i/>
          <w:sz w:val="18"/>
          <w:szCs w:val="18"/>
        </w:rPr>
        <w:t xml:space="preserve"> </w:t>
      </w:r>
      <w:proofErr w:type="spellStart"/>
      <w:r w:rsidRPr="008C1A7D">
        <w:rPr>
          <w:rFonts w:ascii="Times New Roman" w:hAnsi="Times New Roman"/>
          <w:i/>
          <w:sz w:val="18"/>
          <w:szCs w:val="18"/>
        </w:rPr>
        <w:t>acmella</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972"/>
        <w:gridCol w:w="2343"/>
        <w:gridCol w:w="604"/>
        <w:gridCol w:w="604"/>
        <w:gridCol w:w="604"/>
        <w:gridCol w:w="606"/>
        <w:gridCol w:w="604"/>
        <w:gridCol w:w="604"/>
        <w:gridCol w:w="604"/>
        <w:gridCol w:w="612"/>
      </w:tblGrid>
      <w:tr w:rsidR="00FE5868" w:rsidRPr="008C1A7D" w:rsidTr="00647B4E">
        <w:trPr>
          <w:jc w:val="center"/>
        </w:trPr>
        <w:tc>
          <w:tcPr>
            <w:tcW w:w="1076" w:type="pct"/>
            <w:vMerge w:val="restart"/>
            <w:vAlign w:val="center"/>
          </w:tcPr>
          <w:p w:rsidR="00FE5868" w:rsidRPr="008C1A7D" w:rsidRDefault="00FE5868" w:rsidP="00647B4E">
            <w:pPr>
              <w:spacing w:after="60" w:line="240" w:lineRule="auto"/>
              <w:jc w:val="center"/>
              <w:rPr>
                <w:rFonts w:ascii="Times New Roman" w:hAnsi="Times New Roman"/>
                <w:b/>
                <w:sz w:val="18"/>
                <w:szCs w:val="18"/>
              </w:rPr>
            </w:pPr>
            <w:r w:rsidRPr="008C1A7D">
              <w:rPr>
                <w:rFonts w:ascii="Times New Roman" w:hAnsi="Times New Roman"/>
                <w:b/>
                <w:sz w:val="18"/>
                <w:szCs w:val="18"/>
              </w:rPr>
              <w:t>Constituents</w:t>
            </w:r>
          </w:p>
        </w:tc>
        <w:tc>
          <w:tcPr>
            <w:tcW w:w="1279" w:type="pct"/>
            <w:vMerge w:val="restart"/>
            <w:vAlign w:val="center"/>
          </w:tcPr>
          <w:p w:rsidR="00FE5868" w:rsidRPr="008C1A7D" w:rsidRDefault="00FE5868" w:rsidP="00647B4E">
            <w:pPr>
              <w:spacing w:after="60" w:line="240" w:lineRule="auto"/>
              <w:jc w:val="center"/>
              <w:rPr>
                <w:rFonts w:ascii="Times New Roman" w:hAnsi="Times New Roman"/>
                <w:b/>
                <w:sz w:val="18"/>
                <w:szCs w:val="18"/>
              </w:rPr>
            </w:pPr>
            <w:r w:rsidRPr="008C1A7D">
              <w:rPr>
                <w:rFonts w:ascii="Times New Roman" w:hAnsi="Times New Roman"/>
                <w:b/>
                <w:sz w:val="18"/>
                <w:szCs w:val="18"/>
              </w:rPr>
              <w:t>Test</w:t>
            </w:r>
          </w:p>
        </w:tc>
        <w:tc>
          <w:tcPr>
            <w:tcW w:w="2646" w:type="pct"/>
            <w:gridSpan w:val="8"/>
            <w:vAlign w:val="center"/>
          </w:tcPr>
          <w:p w:rsidR="00FE5868" w:rsidRPr="008C1A7D" w:rsidRDefault="00FE5868" w:rsidP="00647B4E">
            <w:pPr>
              <w:spacing w:after="60" w:line="240" w:lineRule="auto"/>
              <w:jc w:val="center"/>
              <w:rPr>
                <w:rFonts w:ascii="Times New Roman" w:hAnsi="Times New Roman"/>
                <w:b/>
                <w:i/>
                <w:color w:val="000000"/>
                <w:sz w:val="18"/>
                <w:szCs w:val="18"/>
              </w:rPr>
            </w:pPr>
            <w:proofErr w:type="spellStart"/>
            <w:r w:rsidRPr="008C1A7D">
              <w:rPr>
                <w:rFonts w:ascii="Times New Roman" w:hAnsi="Times New Roman"/>
                <w:b/>
                <w:i/>
                <w:color w:val="000000"/>
                <w:sz w:val="18"/>
                <w:szCs w:val="18"/>
              </w:rPr>
              <w:t>Blainvillea</w:t>
            </w:r>
            <w:proofErr w:type="spellEnd"/>
            <w:r w:rsidRPr="008C1A7D">
              <w:rPr>
                <w:rFonts w:ascii="Times New Roman" w:hAnsi="Times New Roman"/>
                <w:b/>
                <w:i/>
                <w:color w:val="000000"/>
                <w:sz w:val="18"/>
                <w:szCs w:val="18"/>
              </w:rPr>
              <w:t xml:space="preserve"> </w:t>
            </w:r>
            <w:proofErr w:type="spellStart"/>
            <w:r w:rsidRPr="008C1A7D">
              <w:rPr>
                <w:rFonts w:ascii="Times New Roman" w:hAnsi="Times New Roman"/>
                <w:b/>
                <w:i/>
                <w:color w:val="000000"/>
                <w:sz w:val="18"/>
                <w:szCs w:val="18"/>
              </w:rPr>
              <w:t>acmella</w:t>
            </w:r>
            <w:proofErr w:type="spellEnd"/>
          </w:p>
        </w:tc>
      </w:tr>
      <w:tr w:rsidR="00FE5868" w:rsidRPr="008C1A7D" w:rsidTr="00647B4E">
        <w:trPr>
          <w:jc w:val="center"/>
        </w:trPr>
        <w:tc>
          <w:tcPr>
            <w:tcW w:w="1076" w:type="pct"/>
            <w:vMerge/>
            <w:vAlign w:val="center"/>
          </w:tcPr>
          <w:p w:rsidR="00FE5868" w:rsidRPr="008C1A7D" w:rsidRDefault="00FE5868" w:rsidP="00647B4E">
            <w:pPr>
              <w:pStyle w:val="BodyText"/>
              <w:spacing w:after="60" w:line="240" w:lineRule="auto"/>
              <w:jc w:val="center"/>
              <w:rPr>
                <w:sz w:val="18"/>
                <w:szCs w:val="18"/>
              </w:rPr>
            </w:pPr>
          </w:p>
        </w:tc>
        <w:tc>
          <w:tcPr>
            <w:tcW w:w="1279" w:type="pct"/>
            <w:vMerge/>
            <w:vAlign w:val="center"/>
          </w:tcPr>
          <w:p w:rsidR="00FE5868" w:rsidRPr="008C1A7D" w:rsidRDefault="00FE5868" w:rsidP="00647B4E">
            <w:pPr>
              <w:pStyle w:val="BodyText"/>
              <w:spacing w:after="60" w:line="240" w:lineRule="auto"/>
              <w:jc w:val="center"/>
              <w:rPr>
                <w:sz w:val="18"/>
                <w:szCs w:val="18"/>
              </w:rPr>
            </w:pPr>
          </w:p>
        </w:tc>
        <w:tc>
          <w:tcPr>
            <w:tcW w:w="1321" w:type="pct"/>
            <w:gridSpan w:val="4"/>
            <w:vAlign w:val="center"/>
          </w:tcPr>
          <w:p w:rsidR="00FE5868" w:rsidRPr="008C1A7D" w:rsidRDefault="00FE5868" w:rsidP="00647B4E">
            <w:pPr>
              <w:spacing w:after="60" w:line="240" w:lineRule="auto"/>
              <w:jc w:val="center"/>
              <w:rPr>
                <w:rFonts w:ascii="Times New Roman" w:hAnsi="Times New Roman"/>
                <w:b/>
                <w:sz w:val="18"/>
                <w:szCs w:val="18"/>
              </w:rPr>
            </w:pPr>
            <w:r w:rsidRPr="008C1A7D">
              <w:rPr>
                <w:rFonts w:ascii="Times New Roman" w:hAnsi="Times New Roman"/>
                <w:b/>
                <w:sz w:val="18"/>
                <w:szCs w:val="18"/>
              </w:rPr>
              <w:t>Leaf</w:t>
            </w:r>
          </w:p>
        </w:tc>
        <w:tc>
          <w:tcPr>
            <w:tcW w:w="1325" w:type="pct"/>
            <w:gridSpan w:val="4"/>
            <w:vAlign w:val="center"/>
          </w:tcPr>
          <w:p w:rsidR="00FE5868" w:rsidRPr="008C1A7D" w:rsidRDefault="00FE5868" w:rsidP="00647B4E">
            <w:pPr>
              <w:spacing w:after="60" w:line="240" w:lineRule="auto"/>
              <w:jc w:val="center"/>
              <w:rPr>
                <w:rFonts w:ascii="Times New Roman" w:hAnsi="Times New Roman"/>
                <w:b/>
                <w:sz w:val="18"/>
                <w:szCs w:val="18"/>
              </w:rPr>
            </w:pPr>
            <w:r w:rsidRPr="008C1A7D">
              <w:rPr>
                <w:rFonts w:ascii="Times New Roman" w:hAnsi="Times New Roman"/>
                <w:b/>
                <w:sz w:val="18"/>
                <w:szCs w:val="18"/>
              </w:rPr>
              <w:t>Stem</w:t>
            </w:r>
          </w:p>
        </w:tc>
      </w:tr>
      <w:tr w:rsidR="00FE5868" w:rsidRPr="008C1A7D" w:rsidTr="00647B4E">
        <w:trPr>
          <w:cantSplit/>
          <w:trHeight w:val="1277"/>
          <w:jc w:val="center"/>
        </w:trPr>
        <w:tc>
          <w:tcPr>
            <w:tcW w:w="1076" w:type="pct"/>
            <w:vMerge/>
            <w:vAlign w:val="center"/>
          </w:tcPr>
          <w:p w:rsidR="00FE5868" w:rsidRPr="008C1A7D" w:rsidRDefault="00FE5868" w:rsidP="00647B4E">
            <w:pPr>
              <w:pStyle w:val="BodyText"/>
              <w:spacing w:after="60" w:line="240" w:lineRule="auto"/>
              <w:jc w:val="center"/>
              <w:rPr>
                <w:sz w:val="18"/>
                <w:szCs w:val="18"/>
              </w:rPr>
            </w:pPr>
          </w:p>
        </w:tc>
        <w:tc>
          <w:tcPr>
            <w:tcW w:w="1279" w:type="pct"/>
            <w:vMerge/>
            <w:vAlign w:val="center"/>
          </w:tcPr>
          <w:p w:rsidR="00FE5868" w:rsidRPr="008C1A7D" w:rsidRDefault="00FE5868" w:rsidP="00647B4E">
            <w:pPr>
              <w:pStyle w:val="BodyText"/>
              <w:spacing w:after="60" w:line="240" w:lineRule="auto"/>
              <w:jc w:val="center"/>
              <w:rPr>
                <w:sz w:val="18"/>
                <w:szCs w:val="18"/>
              </w:rPr>
            </w:pPr>
          </w:p>
        </w:tc>
        <w:tc>
          <w:tcPr>
            <w:tcW w:w="330" w:type="pct"/>
            <w:textDirection w:val="btLr"/>
            <w:vAlign w:val="center"/>
          </w:tcPr>
          <w:p w:rsidR="00FE5868" w:rsidRPr="008C1A7D" w:rsidRDefault="00FE5868" w:rsidP="00647B4E">
            <w:pPr>
              <w:spacing w:after="60" w:line="240" w:lineRule="auto"/>
              <w:ind w:left="113" w:right="113"/>
              <w:jc w:val="center"/>
              <w:rPr>
                <w:rFonts w:ascii="Times New Roman" w:hAnsi="Times New Roman"/>
                <w:b/>
                <w:sz w:val="18"/>
                <w:szCs w:val="18"/>
              </w:rPr>
            </w:pPr>
            <w:r w:rsidRPr="008C1A7D">
              <w:rPr>
                <w:rFonts w:ascii="Times New Roman" w:hAnsi="Times New Roman"/>
                <w:b/>
                <w:sz w:val="18"/>
                <w:szCs w:val="18"/>
              </w:rPr>
              <w:t>n-Hexane</w:t>
            </w:r>
          </w:p>
        </w:tc>
        <w:tc>
          <w:tcPr>
            <w:tcW w:w="330" w:type="pct"/>
            <w:textDirection w:val="btLr"/>
            <w:vAlign w:val="center"/>
          </w:tcPr>
          <w:p w:rsidR="00FE5868" w:rsidRPr="008C1A7D" w:rsidRDefault="00FE5868" w:rsidP="00647B4E">
            <w:pPr>
              <w:spacing w:after="60" w:line="240" w:lineRule="auto"/>
              <w:ind w:left="113" w:right="113"/>
              <w:jc w:val="center"/>
              <w:rPr>
                <w:rFonts w:ascii="Times New Roman" w:hAnsi="Times New Roman"/>
                <w:b/>
                <w:sz w:val="18"/>
                <w:szCs w:val="18"/>
              </w:rPr>
            </w:pPr>
            <w:r w:rsidRPr="008C1A7D">
              <w:rPr>
                <w:rFonts w:ascii="Times New Roman" w:hAnsi="Times New Roman"/>
                <w:b/>
                <w:sz w:val="18"/>
                <w:szCs w:val="18"/>
              </w:rPr>
              <w:t>Ethyl Acetate</w:t>
            </w:r>
          </w:p>
        </w:tc>
        <w:tc>
          <w:tcPr>
            <w:tcW w:w="330" w:type="pct"/>
            <w:textDirection w:val="btLr"/>
            <w:vAlign w:val="center"/>
          </w:tcPr>
          <w:p w:rsidR="00FE5868" w:rsidRPr="008C1A7D" w:rsidRDefault="00FE5868" w:rsidP="00647B4E">
            <w:pPr>
              <w:spacing w:after="60" w:line="240" w:lineRule="auto"/>
              <w:ind w:left="113" w:right="113"/>
              <w:jc w:val="center"/>
              <w:rPr>
                <w:rFonts w:ascii="Times New Roman" w:hAnsi="Times New Roman"/>
                <w:b/>
                <w:sz w:val="18"/>
                <w:szCs w:val="18"/>
              </w:rPr>
            </w:pPr>
            <w:r w:rsidRPr="008C1A7D">
              <w:rPr>
                <w:rFonts w:ascii="Times New Roman" w:hAnsi="Times New Roman"/>
                <w:b/>
                <w:sz w:val="18"/>
                <w:szCs w:val="18"/>
              </w:rPr>
              <w:t>Methanol</w:t>
            </w:r>
          </w:p>
        </w:tc>
        <w:tc>
          <w:tcPr>
            <w:tcW w:w="331" w:type="pct"/>
            <w:textDirection w:val="btLr"/>
            <w:vAlign w:val="center"/>
          </w:tcPr>
          <w:p w:rsidR="00FE5868" w:rsidRPr="008C1A7D" w:rsidRDefault="00FE5868" w:rsidP="00647B4E">
            <w:pPr>
              <w:spacing w:after="60" w:line="240" w:lineRule="auto"/>
              <w:ind w:left="113" w:right="113"/>
              <w:jc w:val="center"/>
              <w:rPr>
                <w:rFonts w:ascii="Times New Roman" w:hAnsi="Times New Roman"/>
                <w:b/>
                <w:sz w:val="18"/>
                <w:szCs w:val="18"/>
              </w:rPr>
            </w:pPr>
            <w:r w:rsidRPr="008C1A7D">
              <w:rPr>
                <w:rFonts w:ascii="Times New Roman" w:hAnsi="Times New Roman"/>
                <w:b/>
                <w:sz w:val="18"/>
                <w:szCs w:val="18"/>
              </w:rPr>
              <w:t>Water</w:t>
            </w:r>
          </w:p>
        </w:tc>
        <w:tc>
          <w:tcPr>
            <w:tcW w:w="330" w:type="pct"/>
            <w:textDirection w:val="btLr"/>
            <w:vAlign w:val="center"/>
          </w:tcPr>
          <w:p w:rsidR="00FE5868" w:rsidRPr="008C1A7D" w:rsidRDefault="00FE5868" w:rsidP="00647B4E">
            <w:pPr>
              <w:spacing w:after="60" w:line="240" w:lineRule="auto"/>
              <w:ind w:left="113" w:right="113"/>
              <w:jc w:val="center"/>
              <w:rPr>
                <w:rFonts w:ascii="Times New Roman" w:hAnsi="Times New Roman"/>
                <w:b/>
                <w:sz w:val="18"/>
                <w:szCs w:val="18"/>
              </w:rPr>
            </w:pPr>
            <w:r w:rsidRPr="008C1A7D">
              <w:rPr>
                <w:rFonts w:ascii="Times New Roman" w:hAnsi="Times New Roman"/>
                <w:b/>
                <w:sz w:val="18"/>
                <w:szCs w:val="18"/>
              </w:rPr>
              <w:t>n-Hexane</w:t>
            </w:r>
          </w:p>
        </w:tc>
        <w:tc>
          <w:tcPr>
            <w:tcW w:w="330" w:type="pct"/>
            <w:textDirection w:val="btLr"/>
            <w:vAlign w:val="center"/>
          </w:tcPr>
          <w:p w:rsidR="00FE5868" w:rsidRPr="008C1A7D" w:rsidRDefault="00FE5868" w:rsidP="00647B4E">
            <w:pPr>
              <w:spacing w:after="60" w:line="240" w:lineRule="auto"/>
              <w:ind w:left="113" w:right="113"/>
              <w:jc w:val="center"/>
              <w:rPr>
                <w:rFonts w:ascii="Times New Roman" w:hAnsi="Times New Roman"/>
                <w:b/>
                <w:sz w:val="18"/>
                <w:szCs w:val="18"/>
              </w:rPr>
            </w:pPr>
            <w:r w:rsidRPr="008C1A7D">
              <w:rPr>
                <w:rFonts w:ascii="Times New Roman" w:hAnsi="Times New Roman"/>
                <w:b/>
                <w:sz w:val="18"/>
                <w:szCs w:val="18"/>
              </w:rPr>
              <w:t>Ethyl Acetate</w:t>
            </w:r>
          </w:p>
        </w:tc>
        <w:tc>
          <w:tcPr>
            <w:tcW w:w="330" w:type="pct"/>
            <w:textDirection w:val="btLr"/>
            <w:vAlign w:val="center"/>
          </w:tcPr>
          <w:p w:rsidR="00FE5868" w:rsidRPr="008C1A7D" w:rsidRDefault="00FE5868" w:rsidP="00647B4E">
            <w:pPr>
              <w:spacing w:after="60" w:line="240" w:lineRule="auto"/>
              <w:ind w:left="113" w:right="113"/>
              <w:jc w:val="center"/>
              <w:rPr>
                <w:rFonts w:ascii="Times New Roman" w:hAnsi="Times New Roman"/>
                <w:b/>
                <w:sz w:val="18"/>
                <w:szCs w:val="18"/>
              </w:rPr>
            </w:pPr>
            <w:r w:rsidRPr="008C1A7D">
              <w:rPr>
                <w:rFonts w:ascii="Times New Roman" w:hAnsi="Times New Roman"/>
                <w:b/>
                <w:sz w:val="18"/>
                <w:szCs w:val="18"/>
              </w:rPr>
              <w:t>Methanol</w:t>
            </w:r>
          </w:p>
        </w:tc>
        <w:tc>
          <w:tcPr>
            <w:tcW w:w="334" w:type="pct"/>
            <w:textDirection w:val="btLr"/>
            <w:vAlign w:val="center"/>
          </w:tcPr>
          <w:p w:rsidR="00FE5868" w:rsidRPr="008C1A7D" w:rsidRDefault="00FE5868" w:rsidP="00647B4E">
            <w:pPr>
              <w:spacing w:after="60" w:line="240" w:lineRule="auto"/>
              <w:ind w:left="113" w:right="113"/>
              <w:jc w:val="center"/>
              <w:rPr>
                <w:rFonts w:ascii="Times New Roman" w:hAnsi="Times New Roman"/>
                <w:b/>
                <w:sz w:val="18"/>
                <w:szCs w:val="18"/>
              </w:rPr>
            </w:pPr>
            <w:r w:rsidRPr="008C1A7D">
              <w:rPr>
                <w:rFonts w:ascii="Times New Roman" w:hAnsi="Times New Roman"/>
                <w:b/>
                <w:sz w:val="18"/>
                <w:szCs w:val="18"/>
              </w:rPr>
              <w:t>Water</w:t>
            </w:r>
          </w:p>
        </w:tc>
      </w:tr>
      <w:tr w:rsidR="00FE5868" w:rsidRPr="008C1A7D" w:rsidTr="00647B4E">
        <w:trPr>
          <w:jc w:val="center"/>
        </w:trPr>
        <w:tc>
          <w:tcPr>
            <w:tcW w:w="1076" w:type="pct"/>
            <w:vMerge w:val="restart"/>
            <w:vAlign w:val="center"/>
          </w:tcPr>
          <w:p w:rsidR="00FE5868" w:rsidRPr="008C1A7D" w:rsidRDefault="00FE5868" w:rsidP="00647B4E">
            <w:pPr>
              <w:spacing w:after="70" w:line="240" w:lineRule="auto"/>
              <w:jc w:val="center"/>
              <w:rPr>
                <w:rFonts w:ascii="Times New Roman" w:hAnsi="Times New Roman"/>
                <w:sz w:val="18"/>
                <w:szCs w:val="18"/>
              </w:rPr>
            </w:pPr>
            <w:r w:rsidRPr="008C1A7D">
              <w:rPr>
                <w:rFonts w:ascii="Times New Roman" w:hAnsi="Times New Roman"/>
                <w:sz w:val="18"/>
                <w:szCs w:val="18"/>
              </w:rPr>
              <w:t>Alkaloids</w:t>
            </w:r>
          </w:p>
        </w:tc>
        <w:tc>
          <w:tcPr>
            <w:tcW w:w="1279" w:type="pct"/>
            <w:vAlign w:val="center"/>
          </w:tcPr>
          <w:p w:rsidR="00FE5868" w:rsidRPr="008C1A7D" w:rsidRDefault="00FE5868" w:rsidP="00647B4E">
            <w:pPr>
              <w:spacing w:after="70" w:line="240" w:lineRule="auto"/>
              <w:rPr>
                <w:rFonts w:ascii="Times New Roman" w:hAnsi="Times New Roman"/>
                <w:sz w:val="18"/>
                <w:szCs w:val="18"/>
              </w:rPr>
            </w:pPr>
            <w:proofErr w:type="spellStart"/>
            <w:r w:rsidRPr="008C1A7D">
              <w:rPr>
                <w:rFonts w:ascii="Times New Roman" w:hAnsi="Times New Roman"/>
                <w:sz w:val="18"/>
                <w:szCs w:val="18"/>
              </w:rPr>
              <w:t>Dragendroff’s</w:t>
            </w:r>
            <w:proofErr w:type="spellEnd"/>
            <w:r w:rsidRPr="008C1A7D">
              <w:rPr>
                <w:rFonts w:ascii="Times New Roman" w:hAnsi="Times New Roman"/>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r w:rsidRPr="008C1A7D">
              <w:rPr>
                <w:sz w:val="18"/>
                <w:szCs w:val="18"/>
              </w:rPr>
              <w:t>Mayer’s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r w:rsidRPr="008C1A7D">
              <w:rPr>
                <w:sz w:val="18"/>
                <w:szCs w:val="18"/>
              </w:rPr>
              <w:t>Hager’s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r w:rsidRPr="008C1A7D">
              <w:rPr>
                <w:sz w:val="18"/>
                <w:szCs w:val="18"/>
              </w:rPr>
              <w:t>Wagner’s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restart"/>
            <w:vAlign w:val="center"/>
          </w:tcPr>
          <w:p w:rsidR="00FE5868" w:rsidRPr="008C1A7D" w:rsidRDefault="00FE5868" w:rsidP="00647B4E">
            <w:pPr>
              <w:spacing w:after="70" w:line="240" w:lineRule="auto"/>
              <w:jc w:val="center"/>
              <w:rPr>
                <w:rFonts w:ascii="Times New Roman" w:hAnsi="Times New Roman"/>
                <w:sz w:val="18"/>
                <w:szCs w:val="18"/>
              </w:rPr>
            </w:pPr>
            <w:r w:rsidRPr="008C1A7D">
              <w:rPr>
                <w:rFonts w:ascii="Times New Roman" w:hAnsi="Times New Roman"/>
                <w:sz w:val="18"/>
                <w:szCs w:val="18"/>
              </w:rPr>
              <w:t>Carbohydrates</w:t>
            </w:r>
          </w:p>
        </w:tc>
        <w:tc>
          <w:tcPr>
            <w:tcW w:w="1279" w:type="pct"/>
            <w:vAlign w:val="center"/>
          </w:tcPr>
          <w:p w:rsidR="00FE5868" w:rsidRPr="008C1A7D" w:rsidRDefault="00FE5868" w:rsidP="00647B4E">
            <w:pPr>
              <w:spacing w:after="70" w:line="240" w:lineRule="auto"/>
              <w:rPr>
                <w:rFonts w:ascii="Times New Roman" w:hAnsi="Times New Roman"/>
                <w:sz w:val="18"/>
                <w:szCs w:val="18"/>
              </w:rPr>
            </w:pPr>
            <w:proofErr w:type="spellStart"/>
            <w:r w:rsidRPr="008C1A7D">
              <w:rPr>
                <w:rFonts w:ascii="Times New Roman" w:hAnsi="Times New Roman"/>
                <w:sz w:val="18"/>
                <w:szCs w:val="18"/>
              </w:rPr>
              <w:t>Molish</w:t>
            </w:r>
            <w:proofErr w:type="spellEnd"/>
            <w:r w:rsidRPr="008C1A7D">
              <w:rPr>
                <w:rFonts w:ascii="Times New Roman" w:hAnsi="Times New Roman"/>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r w:rsidRPr="008C1A7D">
              <w:rPr>
                <w:sz w:val="18"/>
                <w:szCs w:val="18"/>
              </w:rPr>
              <w:t>Fehling’s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proofErr w:type="spellStart"/>
            <w:r w:rsidRPr="008C1A7D">
              <w:rPr>
                <w:sz w:val="18"/>
                <w:szCs w:val="18"/>
              </w:rPr>
              <w:t>Barfoed’s</w:t>
            </w:r>
            <w:proofErr w:type="spellEnd"/>
            <w:r w:rsidRPr="008C1A7D">
              <w:rPr>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restart"/>
            <w:vAlign w:val="center"/>
          </w:tcPr>
          <w:p w:rsidR="00FE5868" w:rsidRPr="008C1A7D" w:rsidRDefault="00FE5868" w:rsidP="00647B4E">
            <w:pPr>
              <w:spacing w:after="70" w:line="240" w:lineRule="auto"/>
              <w:jc w:val="center"/>
              <w:rPr>
                <w:rFonts w:ascii="Times New Roman" w:hAnsi="Times New Roman"/>
                <w:sz w:val="18"/>
                <w:szCs w:val="18"/>
              </w:rPr>
            </w:pPr>
            <w:r w:rsidRPr="008C1A7D">
              <w:rPr>
                <w:rFonts w:ascii="Times New Roman" w:hAnsi="Times New Roman"/>
                <w:sz w:val="18"/>
                <w:szCs w:val="18"/>
              </w:rPr>
              <w:t>Glycosides</w:t>
            </w:r>
          </w:p>
        </w:tc>
        <w:tc>
          <w:tcPr>
            <w:tcW w:w="1279" w:type="pct"/>
            <w:vAlign w:val="center"/>
          </w:tcPr>
          <w:p w:rsidR="00FE5868" w:rsidRPr="008C1A7D" w:rsidRDefault="00FE5868" w:rsidP="00647B4E">
            <w:pPr>
              <w:spacing w:after="70" w:line="240" w:lineRule="auto"/>
              <w:rPr>
                <w:rFonts w:ascii="Times New Roman" w:hAnsi="Times New Roman"/>
                <w:sz w:val="18"/>
                <w:szCs w:val="18"/>
              </w:rPr>
            </w:pPr>
            <w:proofErr w:type="spellStart"/>
            <w:r w:rsidRPr="008C1A7D">
              <w:rPr>
                <w:rFonts w:ascii="Times New Roman" w:hAnsi="Times New Roman"/>
                <w:sz w:val="18"/>
                <w:szCs w:val="18"/>
              </w:rPr>
              <w:t>Kellar-Killani</w:t>
            </w:r>
            <w:proofErr w:type="spellEnd"/>
            <w:r w:rsidRPr="008C1A7D">
              <w:rPr>
                <w:rFonts w:ascii="Times New Roman" w:hAnsi="Times New Roman"/>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proofErr w:type="spellStart"/>
            <w:r w:rsidRPr="008C1A7D">
              <w:rPr>
                <w:sz w:val="18"/>
                <w:szCs w:val="18"/>
              </w:rPr>
              <w:t>Borntrager’s</w:t>
            </w:r>
            <w:proofErr w:type="spellEnd"/>
            <w:r w:rsidRPr="008C1A7D">
              <w:rPr>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proofErr w:type="spellStart"/>
            <w:r w:rsidRPr="008C1A7D">
              <w:rPr>
                <w:sz w:val="18"/>
                <w:szCs w:val="18"/>
              </w:rPr>
              <w:t>Legal’s</w:t>
            </w:r>
            <w:proofErr w:type="spellEnd"/>
            <w:r w:rsidRPr="008C1A7D">
              <w:rPr>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Align w:val="center"/>
          </w:tcPr>
          <w:p w:rsidR="00FE5868" w:rsidRPr="008C1A7D" w:rsidRDefault="00FE5868" w:rsidP="00647B4E">
            <w:pPr>
              <w:spacing w:after="70" w:line="240" w:lineRule="auto"/>
              <w:jc w:val="center"/>
              <w:rPr>
                <w:rFonts w:ascii="Times New Roman" w:hAnsi="Times New Roman"/>
                <w:sz w:val="18"/>
                <w:szCs w:val="18"/>
              </w:rPr>
            </w:pPr>
            <w:r w:rsidRPr="008C1A7D">
              <w:rPr>
                <w:rFonts w:ascii="Times New Roman" w:hAnsi="Times New Roman"/>
                <w:sz w:val="18"/>
                <w:szCs w:val="18"/>
              </w:rPr>
              <w:t>Flavonoids</w:t>
            </w:r>
          </w:p>
        </w:tc>
        <w:tc>
          <w:tcPr>
            <w:tcW w:w="1279" w:type="pct"/>
            <w:vAlign w:val="center"/>
          </w:tcPr>
          <w:p w:rsidR="00FE5868" w:rsidRPr="008C1A7D" w:rsidRDefault="00FE5868" w:rsidP="00647B4E">
            <w:pPr>
              <w:spacing w:after="70" w:line="240" w:lineRule="auto"/>
              <w:rPr>
                <w:rFonts w:ascii="Times New Roman" w:hAnsi="Times New Roman"/>
                <w:sz w:val="18"/>
                <w:szCs w:val="18"/>
              </w:rPr>
            </w:pPr>
            <w:proofErr w:type="spellStart"/>
            <w:r w:rsidRPr="008C1A7D">
              <w:rPr>
                <w:rFonts w:ascii="Times New Roman" w:hAnsi="Times New Roman"/>
                <w:sz w:val="18"/>
                <w:szCs w:val="18"/>
              </w:rPr>
              <w:t>Shinoda</w:t>
            </w:r>
            <w:proofErr w:type="spellEnd"/>
            <w:r w:rsidRPr="008C1A7D">
              <w:rPr>
                <w:rFonts w:ascii="Times New Roman" w:hAnsi="Times New Roman"/>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restart"/>
            <w:vAlign w:val="center"/>
          </w:tcPr>
          <w:p w:rsidR="00FE5868" w:rsidRPr="008C1A7D" w:rsidRDefault="00FE5868" w:rsidP="00647B4E">
            <w:pPr>
              <w:spacing w:after="70" w:line="240" w:lineRule="auto"/>
              <w:jc w:val="center"/>
              <w:rPr>
                <w:rFonts w:ascii="Times New Roman" w:hAnsi="Times New Roman"/>
                <w:sz w:val="18"/>
                <w:szCs w:val="18"/>
              </w:rPr>
            </w:pPr>
            <w:proofErr w:type="spellStart"/>
            <w:r w:rsidRPr="008C1A7D">
              <w:rPr>
                <w:rFonts w:ascii="Times New Roman" w:hAnsi="Times New Roman"/>
                <w:sz w:val="18"/>
                <w:szCs w:val="18"/>
              </w:rPr>
              <w:t>Saponin</w:t>
            </w:r>
            <w:proofErr w:type="spellEnd"/>
          </w:p>
        </w:tc>
        <w:tc>
          <w:tcPr>
            <w:tcW w:w="1279" w:type="pct"/>
            <w:vAlign w:val="center"/>
          </w:tcPr>
          <w:p w:rsidR="00FE5868" w:rsidRPr="008C1A7D" w:rsidRDefault="00FE5868" w:rsidP="00647B4E">
            <w:pPr>
              <w:spacing w:after="70" w:line="240" w:lineRule="auto"/>
              <w:rPr>
                <w:rFonts w:ascii="Times New Roman" w:hAnsi="Times New Roman"/>
                <w:sz w:val="18"/>
                <w:szCs w:val="18"/>
              </w:rPr>
            </w:pPr>
            <w:r w:rsidRPr="008C1A7D">
              <w:rPr>
                <w:rFonts w:ascii="Times New Roman" w:hAnsi="Times New Roman"/>
                <w:sz w:val="18"/>
                <w:szCs w:val="18"/>
              </w:rPr>
              <w:t>Foam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2"/>
              <w:spacing w:after="70" w:line="240" w:lineRule="auto"/>
              <w:jc w:val="center"/>
              <w:rPr>
                <w:rFonts w:ascii="Times New Roman" w:hAnsi="Times New Roman"/>
                <w:b/>
                <w:sz w:val="18"/>
                <w:szCs w:val="18"/>
              </w:rPr>
            </w:pPr>
          </w:p>
        </w:tc>
        <w:tc>
          <w:tcPr>
            <w:tcW w:w="1279" w:type="pct"/>
            <w:vAlign w:val="center"/>
          </w:tcPr>
          <w:p w:rsidR="00FE5868" w:rsidRPr="008C1A7D" w:rsidRDefault="00FE5868" w:rsidP="00647B4E">
            <w:pPr>
              <w:pStyle w:val="BodyText2"/>
              <w:spacing w:after="70" w:line="240" w:lineRule="auto"/>
              <w:rPr>
                <w:rFonts w:ascii="Times New Roman" w:hAnsi="Times New Roman"/>
                <w:sz w:val="18"/>
                <w:szCs w:val="18"/>
              </w:rPr>
            </w:pPr>
            <w:proofErr w:type="spellStart"/>
            <w:r w:rsidRPr="008C1A7D">
              <w:rPr>
                <w:rFonts w:ascii="Times New Roman" w:hAnsi="Times New Roman"/>
                <w:sz w:val="18"/>
                <w:szCs w:val="18"/>
              </w:rPr>
              <w:t>Haemolytic</w:t>
            </w:r>
            <w:proofErr w:type="spellEnd"/>
            <w:r w:rsidRPr="008C1A7D">
              <w:rPr>
                <w:rFonts w:ascii="Times New Roman" w:hAnsi="Times New Roman"/>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Align w:val="center"/>
          </w:tcPr>
          <w:p w:rsidR="00FE5868" w:rsidRPr="008C1A7D" w:rsidRDefault="00FE5868" w:rsidP="00647B4E">
            <w:pPr>
              <w:spacing w:after="70" w:line="240" w:lineRule="auto"/>
              <w:jc w:val="center"/>
              <w:rPr>
                <w:rFonts w:ascii="Times New Roman" w:hAnsi="Times New Roman"/>
                <w:sz w:val="18"/>
                <w:szCs w:val="18"/>
              </w:rPr>
            </w:pPr>
            <w:r w:rsidRPr="008C1A7D">
              <w:rPr>
                <w:rFonts w:ascii="Times New Roman" w:hAnsi="Times New Roman"/>
                <w:sz w:val="18"/>
                <w:szCs w:val="18"/>
              </w:rPr>
              <w:t>Sterols/ Steroids</w:t>
            </w:r>
          </w:p>
        </w:tc>
        <w:tc>
          <w:tcPr>
            <w:tcW w:w="1279" w:type="pct"/>
            <w:vAlign w:val="center"/>
          </w:tcPr>
          <w:p w:rsidR="00FE5868" w:rsidRPr="008C1A7D" w:rsidRDefault="00FE5868" w:rsidP="00647B4E">
            <w:pPr>
              <w:spacing w:after="70" w:line="240" w:lineRule="auto"/>
              <w:rPr>
                <w:rFonts w:ascii="Times New Roman" w:hAnsi="Times New Roman"/>
                <w:sz w:val="18"/>
                <w:szCs w:val="18"/>
              </w:rPr>
            </w:pPr>
            <w:proofErr w:type="spellStart"/>
            <w:r w:rsidRPr="008C1A7D">
              <w:rPr>
                <w:rFonts w:ascii="Times New Roman" w:hAnsi="Times New Roman"/>
                <w:sz w:val="18"/>
                <w:szCs w:val="18"/>
              </w:rPr>
              <w:t>Salkowaski</w:t>
            </w:r>
            <w:proofErr w:type="spellEnd"/>
            <w:r w:rsidRPr="008C1A7D">
              <w:rPr>
                <w:rFonts w:ascii="Times New Roman" w:hAnsi="Times New Roman"/>
                <w:sz w:val="18"/>
                <w:szCs w:val="18"/>
              </w:rPr>
              <w:t xml:space="preserve"> reaction</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restart"/>
            <w:vAlign w:val="center"/>
          </w:tcPr>
          <w:p w:rsidR="00FE5868" w:rsidRPr="008C1A7D" w:rsidRDefault="00FE5868" w:rsidP="00647B4E">
            <w:pPr>
              <w:spacing w:after="70" w:line="240" w:lineRule="auto"/>
              <w:jc w:val="center"/>
              <w:rPr>
                <w:rFonts w:ascii="Times New Roman" w:hAnsi="Times New Roman"/>
                <w:sz w:val="18"/>
                <w:szCs w:val="18"/>
              </w:rPr>
            </w:pPr>
            <w:r w:rsidRPr="008C1A7D">
              <w:rPr>
                <w:rFonts w:ascii="Times New Roman" w:hAnsi="Times New Roman"/>
                <w:sz w:val="18"/>
                <w:szCs w:val="18"/>
              </w:rPr>
              <w:t>Tannins and Phenolic compounds</w:t>
            </w:r>
          </w:p>
        </w:tc>
        <w:tc>
          <w:tcPr>
            <w:tcW w:w="1279" w:type="pct"/>
            <w:vAlign w:val="center"/>
          </w:tcPr>
          <w:p w:rsidR="00FE5868" w:rsidRPr="008C1A7D" w:rsidRDefault="00FE5868" w:rsidP="00647B4E">
            <w:pPr>
              <w:spacing w:after="70" w:line="240" w:lineRule="auto"/>
              <w:rPr>
                <w:rFonts w:ascii="Times New Roman" w:hAnsi="Times New Roman"/>
                <w:sz w:val="18"/>
                <w:szCs w:val="18"/>
              </w:rPr>
            </w:pPr>
            <w:r w:rsidRPr="008C1A7D">
              <w:rPr>
                <w:rFonts w:ascii="Times New Roman" w:hAnsi="Times New Roman"/>
                <w:sz w:val="18"/>
                <w:szCs w:val="18"/>
              </w:rPr>
              <w:t>5% Ferric chloride solution</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r w:rsidRPr="008C1A7D">
              <w:rPr>
                <w:sz w:val="18"/>
                <w:szCs w:val="18"/>
              </w:rPr>
              <w:t>Lead acetate solution</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r w:rsidRPr="008C1A7D">
              <w:rPr>
                <w:sz w:val="18"/>
                <w:szCs w:val="18"/>
              </w:rPr>
              <w:t>Dil. Potassium permanganate solution</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Merge/>
            <w:vAlign w:val="center"/>
          </w:tcPr>
          <w:p w:rsidR="00FE5868" w:rsidRPr="008C1A7D" w:rsidRDefault="00FE5868" w:rsidP="00647B4E">
            <w:pPr>
              <w:pStyle w:val="BodyText"/>
              <w:spacing w:after="70" w:line="240" w:lineRule="auto"/>
              <w:jc w:val="center"/>
              <w:rPr>
                <w:b/>
                <w:sz w:val="18"/>
                <w:szCs w:val="18"/>
              </w:rPr>
            </w:pPr>
          </w:p>
        </w:tc>
        <w:tc>
          <w:tcPr>
            <w:tcW w:w="1279" w:type="pct"/>
            <w:vAlign w:val="center"/>
          </w:tcPr>
          <w:p w:rsidR="00FE5868" w:rsidRPr="008C1A7D" w:rsidRDefault="00FE5868" w:rsidP="00647B4E">
            <w:pPr>
              <w:pStyle w:val="BodyText"/>
              <w:spacing w:after="70" w:line="240" w:lineRule="auto"/>
              <w:jc w:val="left"/>
              <w:rPr>
                <w:sz w:val="18"/>
                <w:szCs w:val="18"/>
              </w:rPr>
            </w:pPr>
            <w:r w:rsidRPr="008C1A7D">
              <w:rPr>
                <w:sz w:val="18"/>
                <w:szCs w:val="18"/>
              </w:rPr>
              <w:t>Bromine water</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Align w:val="center"/>
          </w:tcPr>
          <w:p w:rsidR="00FE5868" w:rsidRPr="008C1A7D" w:rsidRDefault="00FE5868" w:rsidP="00647B4E">
            <w:pPr>
              <w:spacing w:after="70" w:line="240" w:lineRule="auto"/>
              <w:jc w:val="center"/>
              <w:rPr>
                <w:rFonts w:ascii="Times New Roman" w:hAnsi="Times New Roman"/>
                <w:sz w:val="18"/>
                <w:szCs w:val="18"/>
              </w:rPr>
            </w:pPr>
            <w:r w:rsidRPr="008C1A7D">
              <w:rPr>
                <w:rFonts w:ascii="Times New Roman" w:hAnsi="Times New Roman"/>
                <w:sz w:val="18"/>
                <w:szCs w:val="18"/>
              </w:rPr>
              <w:t>Amino acids</w:t>
            </w:r>
          </w:p>
        </w:tc>
        <w:tc>
          <w:tcPr>
            <w:tcW w:w="1279" w:type="pct"/>
            <w:vAlign w:val="center"/>
          </w:tcPr>
          <w:p w:rsidR="00FE5868" w:rsidRPr="008C1A7D" w:rsidRDefault="00FE5868" w:rsidP="00647B4E">
            <w:pPr>
              <w:spacing w:after="70" w:line="240" w:lineRule="auto"/>
              <w:rPr>
                <w:rFonts w:ascii="Times New Roman" w:hAnsi="Times New Roman"/>
                <w:sz w:val="18"/>
                <w:szCs w:val="18"/>
              </w:rPr>
            </w:pPr>
            <w:proofErr w:type="spellStart"/>
            <w:r w:rsidRPr="008C1A7D">
              <w:rPr>
                <w:rFonts w:ascii="Times New Roman" w:hAnsi="Times New Roman"/>
                <w:sz w:val="18"/>
                <w:szCs w:val="18"/>
              </w:rPr>
              <w:t>Ninhydrin</w:t>
            </w:r>
            <w:proofErr w:type="spellEnd"/>
            <w:r w:rsidRPr="008C1A7D">
              <w:rPr>
                <w:rFonts w:ascii="Times New Roman" w:hAnsi="Times New Roman"/>
                <w:sz w:val="18"/>
                <w:szCs w:val="18"/>
              </w:rPr>
              <w:t xml:space="preserve">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r w:rsidR="00FE5868" w:rsidRPr="008C1A7D" w:rsidTr="00647B4E">
        <w:trPr>
          <w:jc w:val="center"/>
        </w:trPr>
        <w:tc>
          <w:tcPr>
            <w:tcW w:w="1076" w:type="pct"/>
            <w:vAlign w:val="center"/>
          </w:tcPr>
          <w:p w:rsidR="00FE5868" w:rsidRPr="008C1A7D" w:rsidRDefault="00FE5868" w:rsidP="00647B4E">
            <w:pPr>
              <w:spacing w:after="70" w:line="240" w:lineRule="auto"/>
              <w:jc w:val="center"/>
              <w:rPr>
                <w:rFonts w:ascii="Times New Roman" w:hAnsi="Times New Roman"/>
                <w:sz w:val="18"/>
                <w:szCs w:val="18"/>
              </w:rPr>
            </w:pPr>
            <w:r w:rsidRPr="008C1A7D">
              <w:rPr>
                <w:rFonts w:ascii="Times New Roman" w:hAnsi="Times New Roman"/>
                <w:sz w:val="18"/>
                <w:szCs w:val="18"/>
              </w:rPr>
              <w:lastRenderedPageBreak/>
              <w:t>Proteins</w:t>
            </w:r>
          </w:p>
        </w:tc>
        <w:tc>
          <w:tcPr>
            <w:tcW w:w="1279" w:type="pct"/>
            <w:vAlign w:val="center"/>
          </w:tcPr>
          <w:p w:rsidR="00FE5868" w:rsidRPr="008C1A7D" w:rsidRDefault="00FE5868" w:rsidP="00647B4E">
            <w:pPr>
              <w:spacing w:after="70" w:line="240" w:lineRule="auto"/>
              <w:rPr>
                <w:rFonts w:ascii="Times New Roman" w:hAnsi="Times New Roman"/>
                <w:sz w:val="18"/>
                <w:szCs w:val="18"/>
              </w:rPr>
            </w:pPr>
            <w:r w:rsidRPr="008C1A7D">
              <w:rPr>
                <w:rFonts w:ascii="Times New Roman" w:hAnsi="Times New Roman"/>
                <w:sz w:val="18"/>
                <w:szCs w:val="18"/>
              </w:rPr>
              <w:t>Biuret test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1"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0"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c>
          <w:tcPr>
            <w:tcW w:w="334" w:type="pct"/>
            <w:vAlign w:val="center"/>
          </w:tcPr>
          <w:p w:rsidR="00FE5868" w:rsidRPr="008C1A7D" w:rsidRDefault="00FE5868" w:rsidP="00647B4E">
            <w:pPr>
              <w:spacing w:after="0" w:line="240" w:lineRule="auto"/>
              <w:jc w:val="center"/>
              <w:rPr>
                <w:rFonts w:ascii="Times New Roman" w:hAnsi="Times New Roman"/>
                <w:sz w:val="18"/>
                <w:szCs w:val="18"/>
              </w:rPr>
            </w:pPr>
            <w:r w:rsidRPr="008C1A7D">
              <w:rPr>
                <w:rFonts w:ascii="Times New Roman" w:hAnsi="Times New Roman"/>
                <w:sz w:val="18"/>
                <w:szCs w:val="18"/>
              </w:rPr>
              <w:t>-</w:t>
            </w:r>
          </w:p>
        </w:tc>
      </w:tr>
    </w:tbl>
    <w:p w:rsidR="00FE5868" w:rsidRPr="008C1A7D" w:rsidRDefault="00FE5868" w:rsidP="00FE5868">
      <w:pPr>
        <w:spacing w:after="0" w:line="240" w:lineRule="auto"/>
        <w:jc w:val="center"/>
        <w:rPr>
          <w:rFonts w:ascii="Times New Roman" w:hAnsi="Times New Roman"/>
          <w:sz w:val="18"/>
          <w:szCs w:val="18"/>
        </w:rPr>
      </w:pPr>
    </w:p>
    <w:p w:rsidR="00E15414" w:rsidRDefault="00E15414" w:rsidP="00E15414">
      <w:pPr>
        <w:spacing w:after="0" w:line="240" w:lineRule="auto"/>
        <w:jc w:val="both"/>
        <w:rPr>
          <w:rFonts w:ascii="Times New Roman" w:hAnsi="Times New Roman"/>
          <w:sz w:val="20"/>
          <w:szCs w:val="20"/>
        </w:rPr>
      </w:pPr>
    </w:p>
    <w:p w:rsidR="00E15414" w:rsidRDefault="00E15414" w:rsidP="00E15414">
      <w:pPr>
        <w:spacing w:after="0" w:line="240" w:lineRule="auto"/>
        <w:jc w:val="both"/>
        <w:rPr>
          <w:rFonts w:ascii="Times New Roman" w:hAnsi="Times New Roman"/>
          <w:sz w:val="20"/>
          <w:szCs w:val="20"/>
        </w:rPr>
      </w:pPr>
      <w:r>
        <w:rPr>
          <w:rFonts w:ascii="Times New Roman" w:hAnsi="Times New Roman"/>
          <w:b/>
          <w:bCs/>
          <w:sz w:val="20"/>
          <w:szCs w:val="20"/>
        </w:rPr>
        <w:t>T</w:t>
      </w:r>
      <w:r w:rsidR="00BD4956">
        <w:rPr>
          <w:rFonts w:ascii="Times New Roman" w:hAnsi="Times New Roman"/>
          <w:b/>
          <w:bCs/>
          <w:sz w:val="20"/>
          <w:szCs w:val="20"/>
        </w:rPr>
        <w:t xml:space="preserve">otal </w:t>
      </w:r>
      <w:proofErr w:type="spellStart"/>
      <w:r w:rsidR="00BD4956">
        <w:rPr>
          <w:rFonts w:ascii="Times New Roman" w:hAnsi="Times New Roman"/>
          <w:b/>
          <w:bCs/>
          <w:sz w:val="20"/>
          <w:szCs w:val="20"/>
        </w:rPr>
        <w:t>polyphenolic</w:t>
      </w:r>
      <w:proofErr w:type="spellEnd"/>
      <w:r w:rsidR="00BD4956">
        <w:rPr>
          <w:rFonts w:ascii="Times New Roman" w:hAnsi="Times New Roman"/>
          <w:b/>
          <w:bCs/>
          <w:sz w:val="20"/>
          <w:szCs w:val="20"/>
        </w:rPr>
        <w:t xml:space="preserve"> content </w:t>
      </w:r>
      <w:proofErr w:type="spellStart"/>
      <w:r w:rsidR="00BD4956">
        <w:rPr>
          <w:rFonts w:ascii="Times New Roman" w:hAnsi="Times New Roman"/>
          <w:b/>
          <w:bCs/>
          <w:sz w:val="20"/>
          <w:szCs w:val="20"/>
        </w:rPr>
        <w:t>d</w:t>
      </w:r>
      <w:r>
        <w:rPr>
          <w:rFonts w:ascii="Times New Roman" w:hAnsi="Times New Roman"/>
          <w:b/>
          <w:bCs/>
          <w:sz w:val="20"/>
          <w:szCs w:val="20"/>
        </w:rPr>
        <w:t>etermination</w:t>
      </w:r>
      <w:proofErr w:type="spellEnd"/>
    </w:p>
    <w:p w:rsidR="00FE5868" w:rsidRDefault="00C75B7C" w:rsidP="00E15414">
      <w:pPr>
        <w:spacing w:after="0" w:line="240" w:lineRule="auto"/>
        <w:jc w:val="both"/>
        <w:rPr>
          <w:rFonts w:ascii="Times New Roman" w:hAnsi="Times New Roman"/>
          <w:bCs/>
          <w:sz w:val="20"/>
          <w:szCs w:val="20"/>
        </w:rPr>
      </w:pPr>
      <w:proofErr w:type="spellStart"/>
      <w:r w:rsidRPr="0049420F">
        <w:rPr>
          <w:rFonts w:ascii="Times New Roman" w:hAnsi="Times New Roman"/>
          <w:bCs/>
          <w:i/>
          <w:sz w:val="20"/>
          <w:szCs w:val="20"/>
        </w:rPr>
        <w:t>Blainvillea</w:t>
      </w:r>
      <w:proofErr w:type="spellEnd"/>
      <w:r w:rsidRPr="0049420F">
        <w:rPr>
          <w:rFonts w:ascii="Times New Roman" w:hAnsi="Times New Roman"/>
          <w:bCs/>
          <w:i/>
          <w:sz w:val="20"/>
          <w:szCs w:val="20"/>
        </w:rPr>
        <w:t xml:space="preserve"> </w:t>
      </w:r>
      <w:proofErr w:type="spellStart"/>
      <w:r w:rsidRPr="0049420F">
        <w:rPr>
          <w:rFonts w:ascii="Times New Roman" w:hAnsi="Times New Roman"/>
          <w:bCs/>
          <w:i/>
          <w:sz w:val="20"/>
          <w:szCs w:val="20"/>
        </w:rPr>
        <w:t>acmella</w:t>
      </w:r>
      <w:proofErr w:type="spellEnd"/>
      <w:r w:rsidRPr="0049420F">
        <w:rPr>
          <w:rFonts w:ascii="Times New Roman" w:hAnsi="Times New Roman"/>
          <w:bCs/>
          <w:sz w:val="20"/>
          <w:szCs w:val="20"/>
        </w:rPr>
        <w:t xml:space="preserve"> </w:t>
      </w:r>
      <w:proofErr w:type="spellStart"/>
      <w:r w:rsidRPr="0049420F">
        <w:rPr>
          <w:rFonts w:ascii="Times New Roman" w:hAnsi="Times New Roman"/>
          <w:bCs/>
          <w:sz w:val="20"/>
          <w:szCs w:val="20"/>
        </w:rPr>
        <w:t>methanolic</w:t>
      </w:r>
      <w:proofErr w:type="spellEnd"/>
      <w:r w:rsidRPr="0049420F">
        <w:rPr>
          <w:rFonts w:ascii="Times New Roman" w:hAnsi="Times New Roman"/>
          <w:bCs/>
          <w:sz w:val="20"/>
          <w:szCs w:val="20"/>
        </w:rPr>
        <w:t xml:space="preserve"> extract </w:t>
      </w:r>
      <w:r w:rsidR="009B573C">
        <w:rPr>
          <w:rFonts w:ascii="Times New Roman" w:hAnsi="Times New Roman"/>
          <w:bCs/>
          <w:sz w:val="20"/>
          <w:szCs w:val="20"/>
        </w:rPr>
        <w:t xml:space="preserve">was found to contain </w:t>
      </w:r>
      <w:r w:rsidRPr="0049420F">
        <w:rPr>
          <w:rFonts w:ascii="Times New Roman" w:hAnsi="Times New Roman"/>
          <w:bCs/>
          <w:sz w:val="20"/>
          <w:szCs w:val="20"/>
        </w:rPr>
        <w:t xml:space="preserve">maximum </w:t>
      </w:r>
      <w:r w:rsidR="0078727C">
        <w:rPr>
          <w:rFonts w:ascii="Times New Roman" w:hAnsi="Times New Roman"/>
          <w:bCs/>
          <w:sz w:val="20"/>
          <w:szCs w:val="20"/>
        </w:rPr>
        <w:t xml:space="preserve">phenolic content </w:t>
      </w:r>
      <w:r w:rsidRPr="0049420F">
        <w:rPr>
          <w:rFonts w:ascii="Times New Roman" w:hAnsi="Times New Roman"/>
          <w:bCs/>
          <w:sz w:val="20"/>
          <w:szCs w:val="20"/>
        </w:rPr>
        <w:t>(73.67mg/g from leaves, 41.90mg/g from stem)</w:t>
      </w:r>
      <w:r w:rsidR="0078727C">
        <w:rPr>
          <w:rFonts w:ascii="Times New Roman" w:hAnsi="Times New Roman"/>
          <w:bCs/>
          <w:sz w:val="20"/>
          <w:szCs w:val="20"/>
        </w:rPr>
        <w:t>,</w:t>
      </w:r>
      <w:r w:rsidRPr="0049420F">
        <w:rPr>
          <w:rFonts w:ascii="Times New Roman" w:hAnsi="Times New Roman"/>
          <w:bCs/>
          <w:sz w:val="20"/>
          <w:szCs w:val="20"/>
        </w:rPr>
        <w:t xml:space="preserve"> while its hexane extract shows 9.29mg/g from leaves, 3.69mg/g from stem. The present phenolic c</w:t>
      </w:r>
      <w:r w:rsidR="00E15414">
        <w:rPr>
          <w:rFonts w:ascii="Times New Roman" w:hAnsi="Times New Roman"/>
          <w:bCs/>
          <w:sz w:val="20"/>
          <w:szCs w:val="20"/>
        </w:rPr>
        <w:t>ontents were found as given in T</w:t>
      </w:r>
      <w:r w:rsidRPr="0049420F">
        <w:rPr>
          <w:rFonts w:ascii="Times New Roman" w:hAnsi="Times New Roman"/>
          <w:bCs/>
          <w:sz w:val="20"/>
          <w:szCs w:val="20"/>
        </w:rPr>
        <w:t>able 4.</w:t>
      </w:r>
    </w:p>
    <w:p w:rsidR="00FE5868" w:rsidRPr="008C1A7D" w:rsidRDefault="00FE5868" w:rsidP="00FE5868">
      <w:pPr>
        <w:spacing w:before="240" w:line="240" w:lineRule="auto"/>
        <w:jc w:val="center"/>
        <w:rPr>
          <w:rFonts w:ascii="Times New Roman" w:hAnsi="Times New Roman"/>
          <w:b/>
          <w:bCs/>
          <w:sz w:val="18"/>
          <w:szCs w:val="18"/>
        </w:rPr>
      </w:pPr>
      <w:proofErr w:type="gramStart"/>
      <w:r w:rsidRPr="008C1A7D">
        <w:rPr>
          <w:rFonts w:ascii="Times New Roman" w:hAnsi="Times New Roman"/>
          <w:sz w:val="18"/>
          <w:szCs w:val="18"/>
        </w:rPr>
        <w:t xml:space="preserve">Table </w:t>
      </w:r>
      <w:r w:rsidRPr="008C1A7D">
        <w:rPr>
          <w:rFonts w:ascii="Times New Roman" w:hAnsi="Times New Roman"/>
          <w:bCs/>
          <w:sz w:val="18"/>
          <w:szCs w:val="18"/>
        </w:rPr>
        <w:t>4.</w:t>
      </w:r>
      <w:proofErr w:type="gramEnd"/>
      <w:r w:rsidRPr="008C1A7D">
        <w:rPr>
          <w:rFonts w:ascii="Times New Roman" w:hAnsi="Times New Roman"/>
          <w:sz w:val="18"/>
          <w:szCs w:val="18"/>
        </w:rPr>
        <w:t xml:space="preserve"> Total </w:t>
      </w:r>
      <w:proofErr w:type="spellStart"/>
      <w:r w:rsidRPr="008C1A7D">
        <w:rPr>
          <w:rFonts w:ascii="Times New Roman" w:hAnsi="Times New Roman"/>
          <w:sz w:val="18"/>
          <w:szCs w:val="18"/>
        </w:rPr>
        <w:t>polyphenolic</w:t>
      </w:r>
      <w:proofErr w:type="spellEnd"/>
      <w:r w:rsidRPr="008C1A7D">
        <w:rPr>
          <w:rFonts w:ascii="Times New Roman" w:hAnsi="Times New Roman"/>
          <w:sz w:val="18"/>
          <w:szCs w:val="18"/>
        </w:rPr>
        <w:t xml:space="preserve"> content in </w:t>
      </w:r>
      <w:proofErr w:type="spellStart"/>
      <w:r w:rsidRPr="008C1A7D">
        <w:rPr>
          <w:rFonts w:ascii="Times New Roman" w:hAnsi="Times New Roman"/>
          <w:bCs/>
          <w:i/>
          <w:sz w:val="18"/>
          <w:szCs w:val="18"/>
        </w:rPr>
        <w:t>Blainvillea</w:t>
      </w:r>
      <w:proofErr w:type="spellEnd"/>
      <w:r w:rsidRPr="008C1A7D">
        <w:rPr>
          <w:rFonts w:ascii="Times New Roman" w:hAnsi="Times New Roman"/>
          <w:bCs/>
          <w:i/>
          <w:sz w:val="18"/>
          <w:szCs w:val="18"/>
        </w:rPr>
        <w:t xml:space="preserve"> </w:t>
      </w:r>
      <w:proofErr w:type="spellStart"/>
      <w:r w:rsidRPr="008C1A7D">
        <w:rPr>
          <w:rFonts w:ascii="Times New Roman" w:hAnsi="Times New Roman"/>
          <w:bCs/>
          <w:i/>
          <w:sz w:val="18"/>
          <w:szCs w:val="18"/>
        </w:rPr>
        <w:t>acmella</w:t>
      </w:r>
      <w:proofErr w:type="spellEnd"/>
      <w:r w:rsidRPr="008C1A7D">
        <w:rPr>
          <w:rFonts w:ascii="Times New Roman" w:hAnsi="Times New Roman"/>
          <w:bCs/>
          <w:sz w:val="18"/>
          <w:szCs w:val="18"/>
        </w:rPr>
        <w:t xml:space="preserve"> </w:t>
      </w:r>
      <w:r w:rsidRPr="008C1A7D">
        <w:rPr>
          <w:rFonts w:ascii="Times New Roman" w:hAnsi="Times New Roman"/>
          <w:sz w:val="18"/>
          <w:szCs w:val="18"/>
        </w:rPr>
        <w:t>extracts</w:t>
      </w:r>
    </w:p>
    <w:tbl>
      <w:tblPr>
        <w:tblStyle w:val="LightShading"/>
        <w:tblW w:w="4847" w:type="pct"/>
        <w:tblLook w:val="04A0" w:firstRow="1" w:lastRow="0" w:firstColumn="1" w:lastColumn="0" w:noHBand="0" w:noVBand="1"/>
      </w:tblPr>
      <w:tblGrid>
        <w:gridCol w:w="1698"/>
        <w:gridCol w:w="1538"/>
        <w:gridCol w:w="1860"/>
        <w:gridCol w:w="1534"/>
        <w:gridCol w:w="2373"/>
      </w:tblGrid>
      <w:tr w:rsidR="00FE5868" w:rsidRPr="008C1A7D" w:rsidTr="00647B4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43" w:type="pct"/>
            <w:vMerge w:val="restart"/>
            <w:shd w:val="clear" w:color="auto" w:fill="auto"/>
          </w:tcPr>
          <w:p w:rsidR="00FE5868" w:rsidRPr="00667B24" w:rsidRDefault="00FE5868" w:rsidP="00647B4E">
            <w:pPr>
              <w:jc w:val="center"/>
              <w:rPr>
                <w:rFonts w:ascii="Times New Roman" w:hAnsi="Times New Roman"/>
                <w:sz w:val="18"/>
                <w:szCs w:val="18"/>
              </w:rPr>
            </w:pPr>
            <w:r w:rsidRPr="00667B24">
              <w:rPr>
                <w:rFonts w:ascii="Times New Roman" w:hAnsi="Times New Roman"/>
                <w:sz w:val="18"/>
                <w:szCs w:val="18"/>
              </w:rPr>
              <w:t>Plant Part</w:t>
            </w:r>
          </w:p>
        </w:tc>
        <w:tc>
          <w:tcPr>
            <w:tcW w:w="4057" w:type="pct"/>
            <w:gridSpan w:val="4"/>
            <w:shd w:val="clear" w:color="auto" w:fill="auto"/>
          </w:tcPr>
          <w:p w:rsidR="00FE5868" w:rsidRPr="00667B24" w:rsidRDefault="00FE5868" w:rsidP="00647B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18"/>
                <w:szCs w:val="18"/>
              </w:rPr>
            </w:pPr>
            <w:r w:rsidRPr="00667B24">
              <w:rPr>
                <w:rFonts w:ascii="Times New Roman" w:hAnsi="Times New Roman"/>
                <w:bCs w:val="0"/>
                <w:sz w:val="18"/>
                <w:szCs w:val="18"/>
              </w:rPr>
              <w:t>Total Phenolic Content mg/g equivalent to Gallic Acid</w:t>
            </w:r>
          </w:p>
        </w:tc>
      </w:tr>
      <w:tr w:rsidR="00FE5868" w:rsidRPr="008C1A7D" w:rsidTr="00647B4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43" w:type="pct"/>
            <w:vMerge/>
            <w:tcBorders>
              <w:bottom w:val="single" w:sz="4" w:space="0" w:color="auto"/>
            </w:tcBorders>
            <w:shd w:val="clear" w:color="auto" w:fill="auto"/>
          </w:tcPr>
          <w:p w:rsidR="00FE5868" w:rsidRPr="00667B24" w:rsidRDefault="00FE5868" w:rsidP="00647B4E">
            <w:pPr>
              <w:jc w:val="center"/>
              <w:rPr>
                <w:rFonts w:ascii="Times New Roman" w:hAnsi="Times New Roman"/>
                <w:sz w:val="18"/>
                <w:szCs w:val="18"/>
              </w:rPr>
            </w:pPr>
          </w:p>
        </w:tc>
        <w:tc>
          <w:tcPr>
            <w:tcW w:w="854" w:type="pct"/>
            <w:tcBorders>
              <w:bottom w:val="single" w:sz="4" w:space="0" w:color="auto"/>
            </w:tcBorders>
            <w:shd w:val="clear" w:color="auto" w:fill="auto"/>
          </w:tcPr>
          <w:p w:rsidR="00FE5868" w:rsidRPr="00667B24" w:rsidRDefault="00FE5868" w:rsidP="00647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67B24">
              <w:rPr>
                <w:rFonts w:ascii="Times New Roman" w:hAnsi="Times New Roman"/>
                <w:b/>
                <w:sz w:val="18"/>
                <w:szCs w:val="18"/>
              </w:rPr>
              <w:t>n-Hexane</w:t>
            </w:r>
          </w:p>
        </w:tc>
        <w:tc>
          <w:tcPr>
            <w:tcW w:w="1033" w:type="pct"/>
            <w:tcBorders>
              <w:bottom w:val="single" w:sz="4" w:space="0" w:color="auto"/>
            </w:tcBorders>
            <w:shd w:val="clear" w:color="auto" w:fill="auto"/>
          </w:tcPr>
          <w:p w:rsidR="00FE5868" w:rsidRPr="00667B24" w:rsidRDefault="00FE5868" w:rsidP="00647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67B24">
              <w:rPr>
                <w:rFonts w:ascii="Times New Roman" w:hAnsi="Times New Roman"/>
                <w:b/>
                <w:sz w:val="18"/>
                <w:szCs w:val="18"/>
              </w:rPr>
              <w:t>Ethyl Acetate</w:t>
            </w:r>
          </w:p>
        </w:tc>
        <w:tc>
          <w:tcPr>
            <w:tcW w:w="852" w:type="pct"/>
            <w:tcBorders>
              <w:bottom w:val="single" w:sz="4" w:space="0" w:color="auto"/>
            </w:tcBorders>
            <w:shd w:val="clear" w:color="auto" w:fill="auto"/>
          </w:tcPr>
          <w:p w:rsidR="00FE5868" w:rsidRPr="00667B24" w:rsidRDefault="00FE5868" w:rsidP="00647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67B24">
              <w:rPr>
                <w:rFonts w:ascii="Times New Roman" w:hAnsi="Times New Roman"/>
                <w:b/>
                <w:sz w:val="18"/>
                <w:szCs w:val="18"/>
              </w:rPr>
              <w:t>Methanol</w:t>
            </w:r>
          </w:p>
        </w:tc>
        <w:tc>
          <w:tcPr>
            <w:tcW w:w="1318" w:type="pct"/>
            <w:tcBorders>
              <w:bottom w:val="single" w:sz="4" w:space="0" w:color="auto"/>
            </w:tcBorders>
            <w:shd w:val="clear" w:color="auto" w:fill="auto"/>
          </w:tcPr>
          <w:p w:rsidR="00FE5868" w:rsidRPr="00667B24" w:rsidRDefault="00FE5868" w:rsidP="00647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67B24">
              <w:rPr>
                <w:rFonts w:ascii="Times New Roman" w:hAnsi="Times New Roman"/>
                <w:b/>
                <w:sz w:val="18"/>
                <w:szCs w:val="18"/>
              </w:rPr>
              <w:t>Water</w:t>
            </w:r>
          </w:p>
        </w:tc>
      </w:tr>
      <w:tr w:rsidR="00FE5868" w:rsidRPr="008C1A7D" w:rsidTr="00647B4E">
        <w:tc>
          <w:tcPr>
            <w:cnfStyle w:val="001000000000" w:firstRow="0" w:lastRow="0" w:firstColumn="1" w:lastColumn="0" w:oddVBand="0" w:evenVBand="0" w:oddHBand="0" w:evenHBand="0" w:firstRowFirstColumn="0" w:firstRowLastColumn="0" w:lastRowFirstColumn="0" w:lastRowLastColumn="0"/>
            <w:tcW w:w="943" w:type="pct"/>
            <w:tcBorders>
              <w:top w:val="single" w:sz="4" w:space="0" w:color="auto"/>
            </w:tcBorders>
            <w:shd w:val="clear" w:color="auto" w:fill="auto"/>
          </w:tcPr>
          <w:p w:rsidR="00FE5868" w:rsidRPr="00667B24" w:rsidRDefault="00FE5868" w:rsidP="00647B4E">
            <w:pPr>
              <w:jc w:val="center"/>
              <w:rPr>
                <w:rFonts w:ascii="Times New Roman" w:hAnsi="Times New Roman"/>
                <w:b w:val="0"/>
                <w:sz w:val="18"/>
                <w:szCs w:val="18"/>
              </w:rPr>
            </w:pPr>
            <w:r w:rsidRPr="00667B24">
              <w:rPr>
                <w:rFonts w:ascii="Times New Roman" w:hAnsi="Times New Roman"/>
                <w:b w:val="0"/>
                <w:sz w:val="18"/>
                <w:szCs w:val="18"/>
              </w:rPr>
              <w:t>Leaf</w:t>
            </w:r>
          </w:p>
        </w:tc>
        <w:tc>
          <w:tcPr>
            <w:tcW w:w="854" w:type="pct"/>
            <w:tcBorders>
              <w:top w:val="single" w:sz="4" w:space="0" w:color="auto"/>
            </w:tcBorders>
            <w:shd w:val="clear" w:color="auto" w:fill="auto"/>
          </w:tcPr>
          <w:p w:rsidR="00FE5868" w:rsidRPr="008C1A7D" w:rsidRDefault="00FE5868" w:rsidP="00647B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8C1A7D">
              <w:rPr>
                <w:rFonts w:ascii="Times New Roman" w:hAnsi="Times New Roman"/>
                <w:sz w:val="18"/>
                <w:szCs w:val="18"/>
              </w:rPr>
              <w:t>9.29±0.38</w:t>
            </w:r>
          </w:p>
        </w:tc>
        <w:tc>
          <w:tcPr>
            <w:tcW w:w="1033" w:type="pct"/>
            <w:tcBorders>
              <w:top w:val="single" w:sz="4" w:space="0" w:color="auto"/>
            </w:tcBorders>
            <w:shd w:val="clear" w:color="auto" w:fill="auto"/>
          </w:tcPr>
          <w:p w:rsidR="00FE5868" w:rsidRPr="008C1A7D" w:rsidRDefault="00FE5868" w:rsidP="00647B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8C1A7D">
              <w:rPr>
                <w:rFonts w:ascii="Times New Roman" w:hAnsi="Times New Roman"/>
                <w:sz w:val="18"/>
                <w:szCs w:val="18"/>
              </w:rPr>
              <w:t>29.08±0.38</w:t>
            </w:r>
          </w:p>
        </w:tc>
        <w:tc>
          <w:tcPr>
            <w:tcW w:w="852" w:type="pct"/>
            <w:tcBorders>
              <w:top w:val="single" w:sz="4" w:space="0" w:color="auto"/>
            </w:tcBorders>
            <w:shd w:val="clear" w:color="auto" w:fill="auto"/>
          </w:tcPr>
          <w:p w:rsidR="00FE5868" w:rsidRPr="008C1A7D" w:rsidRDefault="00FE5868" w:rsidP="00647B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8C1A7D">
              <w:rPr>
                <w:rFonts w:ascii="Times New Roman" w:hAnsi="Times New Roman"/>
                <w:sz w:val="18"/>
                <w:szCs w:val="18"/>
              </w:rPr>
              <w:t>73.67±0.38</w:t>
            </w:r>
          </w:p>
        </w:tc>
        <w:tc>
          <w:tcPr>
            <w:tcW w:w="1318" w:type="pct"/>
            <w:tcBorders>
              <w:top w:val="single" w:sz="4" w:space="0" w:color="auto"/>
            </w:tcBorders>
            <w:shd w:val="clear" w:color="auto" w:fill="auto"/>
          </w:tcPr>
          <w:p w:rsidR="00FE5868" w:rsidRPr="008C1A7D" w:rsidRDefault="00FE5868" w:rsidP="00647B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8C1A7D">
              <w:rPr>
                <w:rFonts w:ascii="Times New Roman" w:hAnsi="Times New Roman"/>
                <w:sz w:val="18"/>
                <w:szCs w:val="18"/>
              </w:rPr>
              <w:t>21.50±0.28</w:t>
            </w:r>
          </w:p>
        </w:tc>
      </w:tr>
      <w:tr w:rsidR="00FE5868" w:rsidRPr="008C1A7D" w:rsidTr="00647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pct"/>
            <w:shd w:val="clear" w:color="auto" w:fill="auto"/>
          </w:tcPr>
          <w:p w:rsidR="00FE5868" w:rsidRPr="00667B24" w:rsidRDefault="00FE5868" w:rsidP="00647B4E">
            <w:pPr>
              <w:jc w:val="center"/>
              <w:rPr>
                <w:rFonts w:ascii="Times New Roman" w:hAnsi="Times New Roman"/>
                <w:b w:val="0"/>
                <w:sz w:val="18"/>
                <w:szCs w:val="18"/>
              </w:rPr>
            </w:pPr>
            <w:r w:rsidRPr="00667B24">
              <w:rPr>
                <w:rFonts w:ascii="Times New Roman" w:hAnsi="Times New Roman"/>
                <w:b w:val="0"/>
                <w:sz w:val="18"/>
                <w:szCs w:val="18"/>
              </w:rPr>
              <w:t>Stem</w:t>
            </w:r>
          </w:p>
        </w:tc>
        <w:tc>
          <w:tcPr>
            <w:tcW w:w="854" w:type="pct"/>
            <w:shd w:val="clear" w:color="auto" w:fill="auto"/>
          </w:tcPr>
          <w:p w:rsidR="00FE5868" w:rsidRPr="008C1A7D" w:rsidRDefault="00FE5868" w:rsidP="00647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8C1A7D">
              <w:rPr>
                <w:rFonts w:ascii="Times New Roman" w:hAnsi="Times New Roman"/>
                <w:sz w:val="18"/>
                <w:szCs w:val="18"/>
              </w:rPr>
              <w:t>3.69±0.28</w:t>
            </w:r>
          </w:p>
        </w:tc>
        <w:tc>
          <w:tcPr>
            <w:tcW w:w="1033" w:type="pct"/>
            <w:shd w:val="clear" w:color="auto" w:fill="auto"/>
          </w:tcPr>
          <w:p w:rsidR="00FE5868" w:rsidRPr="008C1A7D" w:rsidRDefault="00FE5868" w:rsidP="00647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8C1A7D">
              <w:rPr>
                <w:rFonts w:ascii="Times New Roman" w:hAnsi="Times New Roman"/>
                <w:sz w:val="18"/>
                <w:szCs w:val="18"/>
              </w:rPr>
              <w:t>21.92±0.28</w:t>
            </w:r>
          </w:p>
        </w:tc>
        <w:tc>
          <w:tcPr>
            <w:tcW w:w="852" w:type="pct"/>
            <w:shd w:val="clear" w:color="auto" w:fill="auto"/>
          </w:tcPr>
          <w:p w:rsidR="00FE5868" w:rsidRPr="008C1A7D" w:rsidRDefault="00FE5868" w:rsidP="00647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8C1A7D">
              <w:rPr>
                <w:rFonts w:ascii="Times New Roman" w:hAnsi="Times New Roman"/>
                <w:sz w:val="18"/>
                <w:szCs w:val="18"/>
              </w:rPr>
              <w:t>41.90±0.45</w:t>
            </w:r>
          </w:p>
        </w:tc>
        <w:tc>
          <w:tcPr>
            <w:tcW w:w="1318" w:type="pct"/>
            <w:shd w:val="clear" w:color="auto" w:fill="auto"/>
          </w:tcPr>
          <w:p w:rsidR="00FE5868" w:rsidRPr="008C1A7D" w:rsidRDefault="00FE5868" w:rsidP="00647B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8C1A7D">
              <w:rPr>
                <w:rFonts w:ascii="Times New Roman" w:hAnsi="Times New Roman"/>
                <w:sz w:val="18"/>
                <w:szCs w:val="18"/>
              </w:rPr>
              <w:t>15.13±0.18</w:t>
            </w:r>
          </w:p>
        </w:tc>
      </w:tr>
    </w:tbl>
    <w:p w:rsidR="00E15414" w:rsidRDefault="00E15414" w:rsidP="00E15414">
      <w:pPr>
        <w:spacing w:after="0" w:line="240" w:lineRule="auto"/>
        <w:jc w:val="both"/>
        <w:rPr>
          <w:rFonts w:ascii="Times New Roman" w:hAnsi="Times New Roman"/>
          <w:sz w:val="20"/>
          <w:szCs w:val="20"/>
        </w:rPr>
      </w:pPr>
    </w:p>
    <w:p w:rsidR="00E15414" w:rsidRDefault="00BD4956" w:rsidP="00E15414">
      <w:pPr>
        <w:spacing w:after="0" w:line="240" w:lineRule="auto"/>
        <w:jc w:val="both"/>
        <w:rPr>
          <w:rFonts w:ascii="Times New Roman" w:hAnsi="Times New Roman"/>
          <w:b/>
          <w:bCs/>
          <w:sz w:val="20"/>
          <w:szCs w:val="20"/>
        </w:rPr>
      </w:pPr>
      <w:r>
        <w:rPr>
          <w:rFonts w:ascii="Times New Roman" w:hAnsi="Times New Roman"/>
          <w:b/>
          <w:bCs/>
          <w:sz w:val="20"/>
          <w:szCs w:val="20"/>
        </w:rPr>
        <w:t>Antioxidant a</w:t>
      </w:r>
      <w:r w:rsidR="00186361">
        <w:rPr>
          <w:rFonts w:ascii="Times New Roman" w:hAnsi="Times New Roman"/>
          <w:b/>
          <w:bCs/>
          <w:sz w:val="20"/>
          <w:szCs w:val="20"/>
        </w:rPr>
        <w:t>ssay o</w:t>
      </w:r>
      <w:r w:rsidR="00186361" w:rsidRPr="0049420F">
        <w:rPr>
          <w:rFonts w:ascii="Times New Roman" w:hAnsi="Times New Roman"/>
          <w:b/>
          <w:bCs/>
          <w:sz w:val="20"/>
          <w:szCs w:val="20"/>
        </w:rPr>
        <w:t xml:space="preserve">f </w:t>
      </w:r>
      <w:r>
        <w:rPr>
          <w:rFonts w:ascii="Times New Roman" w:hAnsi="Times New Roman"/>
          <w:b/>
          <w:bCs/>
          <w:sz w:val="20"/>
          <w:szCs w:val="20"/>
        </w:rPr>
        <w:t>e</w:t>
      </w:r>
      <w:r w:rsidR="00E15414">
        <w:rPr>
          <w:rFonts w:ascii="Times New Roman" w:hAnsi="Times New Roman"/>
          <w:b/>
          <w:bCs/>
          <w:sz w:val="20"/>
          <w:szCs w:val="20"/>
        </w:rPr>
        <w:t>xtracts</w:t>
      </w:r>
    </w:p>
    <w:p w:rsidR="00E15414" w:rsidRDefault="00BD4956" w:rsidP="00E15414">
      <w:pPr>
        <w:spacing w:after="0" w:line="240" w:lineRule="auto"/>
        <w:jc w:val="both"/>
        <w:rPr>
          <w:rFonts w:ascii="Times New Roman" w:hAnsi="Times New Roman"/>
          <w:b/>
          <w:bCs/>
          <w:sz w:val="20"/>
          <w:szCs w:val="20"/>
        </w:rPr>
      </w:pPr>
      <w:r>
        <w:rPr>
          <w:rFonts w:ascii="Times New Roman" w:hAnsi="Times New Roman"/>
          <w:b/>
          <w:bCs/>
          <w:sz w:val="20"/>
          <w:szCs w:val="20"/>
        </w:rPr>
        <w:t>Results for DPPH free radical scavenging a</w:t>
      </w:r>
      <w:r w:rsidR="00E15414">
        <w:rPr>
          <w:rFonts w:ascii="Times New Roman" w:hAnsi="Times New Roman"/>
          <w:b/>
          <w:bCs/>
          <w:sz w:val="20"/>
          <w:szCs w:val="20"/>
        </w:rPr>
        <w:t>ctivity</w:t>
      </w:r>
    </w:p>
    <w:p w:rsidR="00E15414" w:rsidRDefault="00186361" w:rsidP="00E15414">
      <w:pPr>
        <w:spacing w:after="0" w:line="240" w:lineRule="auto"/>
        <w:jc w:val="both"/>
        <w:rPr>
          <w:rFonts w:ascii="Times New Roman" w:hAnsi="Times New Roman"/>
          <w:color w:val="000000"/>
          <w:sz w:val="20"/>
          <w:szCs w:val="20"/>
        </w:rPr>
      </w:pPr>
      <w:r w:rsidRPr="0049420F">
        <w:rPr>
          <w:rFonts w:ascii="Times New Roman" w:hAnsi="Times New Roman"/>
          <w:bCs/>
          <w:sz w:val="20"/>
          <w:szCs w:val="20"/>
        </w:rPr>
        <w:t xml:space="preserve">Scavenging activity of various extracts and ascorbic acid was studied against DPPH radicals. All the samples were </w:t>
      </w:r>
      <w:proofErr w:type="spellStart"/>
      <w:r w:rsidRPr="0049420F">
        <w:rPr>
          <w:rFonts w:ascii="Times New Roman" w:hAnsi="Times New Roman"/>
          <w:bCs/>
          <w:sz w:val="20"/>
          <w:szCs w:val="20"/>
        </w:rPr>
        <w:t>analysed</w:t>
      </w:r>
      <w:proofErr w:type="spellEnd"/>
      <w:r w:rsidRPr="0049420F">
        <w:rPr>
          <w:rFonts w:ascii="Times New Roman" w:hAnsi="Times New Roman"/>
          <w:bCs/>
          <w:sz w:val="20"/>
          <w:szCs w:val="20"/>
        </w:rPr>
        <w:t xml:space="preserve"> in triplicate. The </w:t>
      </w:r>
      <w:r w:rsidRPr="0049420F">
        <w:rPr>
          <w:rFonts w:ascii="Times New Roman" w:hAnsi="Times New Roman"/>
          <w:sz w:val="20"/>
          <w:szCs w:val="20"/>
        </w:rPr>
        <w:t>DPPH assay of BALH extract found to produce no response (% inhibition) even at concentration 4000μg/ml.</w:t>
      </w:r>
      <w:r w:rsidRPr="0049420F">
        <w:rPr>
          <w:rFonts w:ascii="Times New Roman" w:hAnsi="Times New Roman"/>
          <w:bCs/>
          <w:sz w:val="20"/>
          <w:szCs w:val="20"/>
        </w:rPr>
        <w:t xml:space="preserve"> </w:t>
      </w:r>
      <w:r w:rsidRPr="0049420F">
        <w:rPr>
          <w:rFonts w:ascii="Times New Roman" w:hAnsi="Times New Roman"/>
          <w:sz w:val="20"/>
          <w:szCs w:val="20"/>
        </w:rPr>
        <w:t xml:space="preserve">The BALEA, BALM and </w:t>
      </w:r>
      <w:r w:rsidRPr="0049420F">
        <w:rPr>
          <w:rFonts w:ascii="Times New Roman" w:hAnsi="Times New Roman"/>
          <w:bCs/>
          <w:sz w:val="20"/>
          <w:szCs w:val="20"/>
        </w:rPr>
        <w:t>BPLW</w:t>
      </w:r>
      <w:r w:rsidRPr="0049420F">
        <w:rPr>
          <w:rFonts w:ascii="Times New Roman" w:hAnsi="Times New Roman"/>
          <w:sz w:val="20"/>
          <w:szCs w:val="20"/>
        </w:rPr>
        <w:t xml:space="preserve"> extract at the level of 300μg/ml, 250μg/ml and 350μg/ml showed &gt; 50% inhibition respectively, along with concentration dependent response. </w:t>
      </w:r>
      <w:r w:rsidRPr="0049420F">
        <w:rPr>
          <w:rFonts w:ascii="Times New Roman" w:eastAsia="E-BZ" w:hAnsi="Times New Roman"/>
          <w:sz w:val="20"/>
          <w:szCs w:val="20"/>
        </w:rPr>
        <w:t xml:space="preserve">The </w:t>
      </w:r>
      <w:proofErr w:type="spellStart"/>
      <w:r w:rsidRPr="0049420F">
        <w:rPr>
          <w:rFonts w:ascii="Times New Roman" w:eastAsia="E-BZ" w:hAnsi="Times New Roman"/>
          <w:sz w:val="20"/>
          <w:szCs w:val="20"/>
        </w:rPr>
        <w:t>methanolic</w:t>
      </w:r>
      <w:proofErr w:type="spellEnd"/>
      <w:r w:rsidRPr="0049420F">
        <w:rPr>
          <w:rFonts w:ascii="Times New Roman" w:eastAsia="E-BZ" w:hAnsi="Times New Roman"/>
          <w:sz w:val="20"/>
          <w:szCs w:val="20"/>
        </w:rPr>
        <w:t xml:space="preserve"> extract of </w:t>
      </w:r>
      <w:proofErr w:type="spellStart"/>
      <w:r w:rsidRPr="0049420F">
        <w:rPr>
          <w:rFonts w:ascii="Times New Roman" w:hAnsi="Times New Roman"/>
          <w:i/>
          <w:iCs/>
          <w:color w:val="000000"/>
          <w:sz w:val="20"/>
          <w:szCs w:val="20"/>
        </w:rPr>
        <w:t>Blainvillea</w:t>
      </w:r>
      <w:proofErr w:type="spellEnd"/>
      <w:r w:rsidRPr="0049420F">
        <w:rPr>
          <w:rFonts w:ascii="Times New Roman" w:hAnsi="Times New Roman"/>
          <w:i/>
          <w:iCs/>
          <w:color w:val="000000"/>
          <w:sz w:val="20"/>
          <w:szCs w:val="20"/>
        </w:rPr>
        <w:t xml:space="preserve"> </w:t>
      </w:r>
      <w:proofErr w:type="spellStart"/>
      <w:r w:rsidRPr="0049420F">
        <w:rPr>
          <w:rFonts w:ascii="Times New Roman" w:hAnsi="Times New Roman"/>
          <w:i/>
          <w:iCs/>
          <w:color w:val="000000"/>
          <w:sz w:val="20"/>
          <w:szCs w:val="20"/>
        </w:rPr>
        <w:t>acmella</w:t>
      </w:r>
      <w:proofErr w:type="spellEnd"/>
      <w:r w:rsidRPr="0049420F">
        <w:rPr>
          <w:rFonts w:ascii="Times New Roman" w:hAnsi="Times New Roman"/>
          <w:b/>
          <w:i/>
          <w:iCs/>
          <w:color w:val="000000"/>
          <w:sz w:val="20"/>
          <w:szCs w:val="20"/>
        </w:rPr>
        <w:t xml:space="preserve"> </w:t>
      </w:r>
      <w:r w:rsidRPr="0049420F">
        <w:rPr>
          <w:rFonts w:ascii="Times New Roman" w:eastAsia="E-BZ" w:hAnsi="Times New Roman"/>
          <w:sz w:val="20"/>
          <w:szCs w:val="20"/>
        </w:rPr>
        <w:t xml:space="preserve">leaves exhibited a maximum DPPH scavenging activity. IC50 value </w:t>
      </w:r>
      <w:r w:rsidR="00FE5868">
        <w:rPr>
          <w:rFonts w:ascii="Times New Roman" w:eastAsia="E-BZ" w:hAnsi="Times New Roman"/>
          <w:sz w:val="20"/>
          <w:szCs w:val="20"/>
        </w:rPr>
        <w:t xml:space="preserve">(Figure 1) </w:t>
      </w:r>
      <w:r w:rsidRPr="0049420F">
        <w:rPr>
          <w:rFonts w:ascii="Times New Roman" w:eastAsia="E-BZ" w:hAnsi="Times New Roman"/>
          <w:sz w:val="20"/>
          <w:szCs w:val="20"/>
        </w:rPr>
        <w:t xml:space="preserve">was </w:t>
      </w:r>
      <w:r w:rsidRPr="0049420F">
        <w:rPr>
          <w:rFonts w:ascii="Times New Roman" w:hAnsi="Times New Roman"/>
          <w:color w:val="000000"/>
          <w:sz w:val="20"/>
          <w:szCs w:val="20"/>
        </w:rPr>
        <w:t>226.49</w:t>
      </w:r>
      <w:r w:rsidRPr="0049420F">
        <w:rPr>
          <w:rFonts w:ascii="Times New Roman" w:eastAsia="E-BZ" w:hAnsi="Times New Roman"/>
          <w:sz w:val="20"/>
          <w:szCs w:val="20"/>
        </w:rPr>
        <w:t>±0.16</w:t>
      </w:r>
      <w:r w:rsidRPr="0049420F">
        <w:rPr>
          <w:rFonts w:ascii="Times New Roman" w:hAnsi="Times New Roman"/>
          <w:color w:val="000000"/>
          <w:sz w:val="20"/>
          <w:szCs w:val="20"/>
        </w:rPr>
        <w:t xml:space="preserve"> µg/ml</w:t>
      </w:r>
      <w:r w:rsidRPr="0049420F">
        <w:rPr>
          <w:rFonts w:ascii="Times New Roman" w:eastAsia="E-BZ" w:hAnsi="Times New Roman"/>
          <w:sz w:val="20"/>
          <w:szCs w:val="20"/>
        </w:rPr>
        <w:t xml:space="preserve"> followed by ethyl acetate and water extract whose scavenging activities (IC50) were </w:t>
      </w:r>
      <w:r w:rsidRPr="0049420F">
        <w:rPr>
          <w:rFonts w:ascii="Times New Roman" w:hAnsi="Times New Roman"/>
          <w:color w:val="000000"/>
          <w:sz w:val="20"/>
          <w:szCs w:val="20"/>
        </w:rPr>
        <w:t>283.35</w:t>
      </w:r>
      <w:r w:rsidRPr="0049420F">
        <w:rPr>
          <w:rFonts w:ascii="Times New Roman" w:eastAsia="E-BZ" w:hAnsi="Times New Roman"/>
          <w:sz w:val="20"/>
          <w:szCs w:val="20"/>
        </w:rPr>
        <w:t xml:space="preserve">±0.56 and </w:t>
      </w:r>
      <w:r w:rsidRPr="0049420F">
        <w:rPr>
          <w:rFonts w:ascii="Times New Roman" w:hAnsi="Times New Roman"/>
          <w:color w:val="000000"/>
          <w:sz w:val="20"/>
          <w:szCs w:val="20"/>
        </w:rPr>
        <w:t>337</w:t>
      </w:r>
      <w:r w:rsidRPr="0049420F">
        <w:rPr>
          <w:rFonts w:ascii="Times New Roman" w:eastAsia="E-BZ" w:hAnsi="Times New Roman"/>
          <w:sz w:val="20"/>
          <w:szCs w:val="20"/>
        </w:rPr>
        <w:t xml:space="preserve">±0.44 </w:t>
      </w:r>
      <w:r w:rsidRPr="0049420F">
        <w:rPr>
          <w:rFonts w:ascii="Times New Roman" w:hAnsi="Times New Roman"/>
          <w:color w:val="000000"/>
          <w:sz w:val="20"/>
          <w:szCs w:val="20"/>
        </w:rPr>
        <w:t>µg/ml</w:t>
      </w:r>
      <w:r w:rsidRPr="0049420F">
        <w:rPr>
          <w:rFonts w:ascii="Times New Roman" w:eastAsia="E-BZ" w:hAnsi="Times New Roman"/>
          <w:sz w:val="20"/>
          <w:szCs w:val="20"/>
        </w:rPr>
        <w:t xml:space="preserve">, respectively. The IC50 value of </w:t>
      </w:r>
      <w:r w:rsidR="00C623AB">
        <w:rPr>
          <w:rFonts w:ascii="Times New Roman" w:eastAsia="E-BZ" w:hAnsi="Times New Roman"/>
          <w:sz w:val="20"/>
          <w:szCs w:val="20"/>
        </w:rPr>
        <w:t>a</w:t>
      </w:r>
      <w:r w:rsidRPr="0049420F">
        <w:rPr>
          <w:rFonts w:ascii="Times New Roman" w:hAnsi="Times New Roman"/>
          <w:color w:val="000000"/>
          <w:sz w:val="20"/>
          <w:szCs w:val="20"/>
        </w:rPr>
        <w:t>scorbic acid was also 36.14</w:t>
      </w:r>
      <w:r w:rsidRPr="0049420F">
        <w:rPr>
          <w:rFonts w:ascii="Times New Roman" w:eastAsia="E-BZ" w:hAnsi="Times New Roman"/>
          <w:sz w:val="20"/>
          <w:szCs w:val="20"/>
        </w:rPr>
        <w:t>±</w:t>
      </w:r>
      <w:r w:rsidRPr="0049420F">
        <w:rPr>
          <w:rFonts w:ascii="Times New Roman" w:hAnsi="Times New Roman"/>
          <w:color w:val="000000"/>
          <w:sz w:val="20"/>
          <w:szCs w:val="20"/>
        </w:rPr>
        <w:t>0.26</w:t>
      </w:r>
      <w:r w:rsidR="00EF0B43">
        <w:rPr>
          <w:rFonts w:ascii="Times New Roman" w:hAnsi="Times New Roman"/>
          <w:color w:val="000000"/>
          <w:sz w:val="20"/>
          <w:szCs w:val="20"/>
        </w:rPr>
        <w:t>,</w:t>
      </w:r>
      <w:r w:rsidRPr="0049420F">
        <w:rPr>
          <w:rFonts w:ascii="Times New Roman" w:eastAsia="E-BZ" w:hAnsi="Times New Roman"/>
          <w:sz w:val="20"/>
          <w:szCs w:val="20"/>
        </w:rPr>
        <w:t xml:space="preserve"> </w:t>
      </w:r>
      <w:r w:rsidR="0024352F" w:rsidRPr="0049420F">
        <w:rPr>
          <w:rFonts w:ascii="Times New Roman" w:hAnsi="Times New Roman"/>
          <w:color w:val="000000"/>
          <w:sz w:val="20"/>
          <w:szCs w:val="20"/>
        </w:rPr>
        <w:t>while</w:t>
      </w:r>
      <w:r w:rsidRPr="0049420F">
        <w:rPr>
          <w:rFonts w:ascii="Times New Roman" w:hAnsi="Times New Roman"/>
          <w:color w:val="000000"/>
          <w:sz w:val="20"/>
          <w:szCs w:val="20"/>
        </w:rPr>
        <w:t xml:space="preserve"> </w:t>
      </w:r>
      <w:r w:rsidR="00EF0B43">
        <w:rPr>
          <w:rFonts w:ascii="Times New Roman" w:hAnsi="Times New Roman"/>
          <w:color w:val="000000"/>
          <w:sz w:val="20"/>
          <w:szCs w:val="20"/>
        </w:rPr>
        <w:t>n-</w:t>
      </w:r>
      <w:r w:rsidRPr="0049420F">
        <w:rPr>
          <w:rFonts w:ascii="Times New Roman" w:hAnsi="Times New Roman"/>
          <w:color w:val="000000"/>
          <w:sz w:val="20"/>
          <w:szCs w:val="20"/>
        </w:rPr>
        <w:t xml:space="preserve">hexane extract </w:t>
      </w:r>
      <w:r w:rsidR="00EF0B43">
        <w:rPr>
          <w:rFonts w:ascii="Times New Roman" w:hAnsi="Times New Roman"/>
          <w:color w:val="000000"/>
          <w:sz w:val="20"/>
          <w:szCs w:val="20"/>
        </w:rPr>
        <w:t>did not produced any response</w:t>
      </w:r>
      <w:r w:rsidRPr="0049420F">
        <w:rPr>
          <w:rFonts w:ascii="Times New Roman" w:hAnsi="Times New Roman"/>
          <w:color w:val="000000"/>
          <w:sz w:val="20"/>
          <w:szCs w:val="20"/>
        </w:rPr>
        <w:t>.</w:t>
      </w:r>
    </w:p>
    <w:p w:rsidR="00E15414" w:rsidRDefault="00E15414" w:rsidP="00E15414">
      <w:pPr>
        <w:spacing w:after="0" w:line="240" w:lineRule="auto"/>
        <w:jc w:val="both"/>
        <w:rPr>
          <w:rFonts w:ascii="Times New Roman" w:hAnsi="Times New Roman"/>
          <w:color w:val="000000"/>
          <w:sz w:val="20"/>
          <w:szCs w:val="20"/>
        </w:rPr>
      </w:pPr>
    </w:p>
    <w:p w:rsidR="00E15414" w:rsidRPr="00FE5868" w:rsidRDefault="00186361" w:rsidP="00FE5868">
      <w:pPr>
        <w:spacing w:after="0" w:line="240" w:lineRule="auto"/>
        <w:jc w:val="both"/>
        <w:rPr>
          <w:rFonts w:ascii="Times New Roman" w:hAnsi="Times New Roman"/>
          <w:sz w:val="20"/>
          <w:szCs w:val="20"/>
        </w:rPr>
      </w:pPr>
      <w:r w:rsidRPr="0049420F">
        <w:rPr>
          <w:rFonts w:ascii="Times New Roman" w:hAnsi="Times New Roman"/>
          <w:spacing w:val="-2"/>
          <w:sz w:val="20"/>
          <w:szCs w:val="20"/>
        </w:rPr>
        <w:t>BASH</w:t>
      </w:r>
      <w:r w:rsidRPr="0049420F">
        <w:rPr>
          <w:rFonts w:ascii="Times New Roman" w:hAnsi="Times New Roman"/>
          <w:sz w:val="20"/>
          <w:szCs w:val="20"/>
        </w:rPr>
        <w:t xml:space="preserve"> extract</w:t>
      </w:r>
      <w:r w:rsidRPr="0049420F">
        <w:rPr>
          <w:rFonts w:ascii="Times New Roman" w:hAnsi="Times New Roman"/>
          <w:bCs/>
          <w:sz w:val="20"/>
          <w:szCs w:val="20"/>
        </w:rPr>
        <w:t xml:space="preserve"> also produce</w:t>
      </w:r>
      <w:r w:rsidR="004C041F">
        <w:rPr>
          <w:rFonts w:ascii="Times New Roman" w:hAnsi="Times New Roman"/>
          <w:bCs/>
          <w:sz w:val="20"/>
          <w:szCs w:val="20"/>
        </w:rPr>
        <w:t>d</w:t>
      </w:r>
      <w:r w:rsidRPr="0049420F">
        <w:rPr>
          <w:rFonts w:ascii="Times New Roman" w:hAnsi="Times New Roman"/>
          <w:bCs/>
          <w:sz w:val="20"/>
          <w:szCs w:val="20"/>
        </w:rPr>
        <w:t xml:space="preserve"> similar results up</w:t>
      </w:r>
      <w:r w:rsidR="00E63474">
        <w:rPr>
          <w:rFonts w:ascii="Times New Roman" w:hAnsi="Times New Roman"/>
          <w:bCs/>
          <w:sz w:val="20"/>
          <w:szCs w:val="20"/>
        </w:rPr>
        <w:t xml:space="preserve"> </w:t>
      </w:r>
      <w:r w:rsidRPr="0049420F">
        <w:rPr>
          <w:rFonts w:ascii="Times New Roman" w:hAnsi="Times New Roman"/>
          <w:bCs/>
          <w:sz w:val="20"/>
          <w:szCs w:val="20"/>
        </w:rPr>
        <w:t xml:space="preserve">to </w:t>
      </w:r>
      <w:r w:rsidRPr="0049420F">
        <w:rPr>
          <w:rFonts w:ascii="Times New Roman" w:hAnsi="Times New Roman"/>
          <w:sz w:val="20"/>
          <w:szCs w:val="20"/>
        </w:rPr>
        <w:t xml:space="preserve">concentration 4000μg/ml as of BPLH extract i.e. no response was generated.  The BASEA, BASM, BASW extract, at the concentration level of 500μg/ml, 400μg/ml and 600μg/ml was found to exhibit &gt; 50% inhibition, which was a concentration dependant response. </w:t>
      </w:r>
      <w:r w:rsidRPr="0049420F">
        <w:rPr>
          <w:rFonts w:ascii="Times New Roman" w:hAnsi="Times New Roman"/>
          <w:color w:val="000000"/>
          <w:sz w:val="20"/>
          <w:szCs w:val="20"/>
        </w:rPr>
        <w:t xml:space="preserve">The IC50 value (the concentration with scavenging activity of 50%) of methanolic extract of stem part was, </w:t>
      </w:r>
      <w:r w:rsidRPr="0049420F">
        <w:rPr>
          <w:rFonts w:ascii="Times New Roman" w:eastAsia="E-BZ" w:hAnsi="Times New Roman"/>
          <w:sz w:val="20"/>
          <w:szCs w:val="20"/>
        </w:rPr>
        <w:t xml:space="preserve">402.05±1.10, followed by </w:t>
      </w:r>
      <w:r w:rsidRPr="0049420F">
        <w:rPr>
          <w:rFonts w:ascii="Times New Roman" w:hAnsi="Times New Roman"/>
          <w:color w:val="000000"/>
          <w:sz w:val="20"/>
          <w:szCs w:val="20"/>
        </w:rPr>
        <w:t>ethyl acetate and water</w:t>
      </w:r>
      <w:r w:rsidR="004C041F">
        <w:rPr>
          <w:rFonts w:ascii="Times New Roman" w:hAnsi="Times New Roman"/>
          <w:color w:val="000000"/>
          <w:sz w:val="20"/>
          <w:szCs w:val="20"/>
        </w:rPr>
        <w:t xml:space="preserve"> extract</w:t>
      </w:r>
      <w:r w:rsidRPr="0049420F">
        <w:rPr>
          <w:rFonts w:ascii="Times New Roman" w:hAnsi="Times New Roman"/>
          <w:color w:val="000000"/>
          <w:sz w:val="20"/>
          <w:szCs w:val="20"/>
        </w:rPr>
        <w:t>, whose IC50 values were 498.56</w:t>
      </w:r>
      <w:r w:rsidRPr="0049420F">
        <w:rPr>
          <w:rFonts w:ascii="Times New Roman" w:eastAsia="E-BZ" w:hAnsi="Times New Roman"/>
          <w:sz w:val="20"/>
          <w:szCs w:val="20"/>
        </w:rPr>
        <w:t>±0.87, and 579.85±1-34</w:t>
      </w:r>
      <w:r w:rsidRPr="0049420F">
        <w:rPr>
          <w:rFonts w:ascii="Times New Roman" w:hAnsi="Times New Roman"/>
          <w:color w:val="000000"/>
          <w:sz w:val="20"/>
          <w:szCs w:val="20"/>
        </w:rPr>
        <w:t xml:space="preserve"> µg/ml respectively</w:t>
      </w:r>
      <w:r w:rsidR="00FE5868">
        <w:rPr>
          <w:rFonts w:ascii="Times New Roman" w:hAnsi="Times New Roman"/>
          <w:color w:val="000000"/>
          <w:sz w:val="20"/>
          <w:szCs w:val="20"/>
        </w:rPr>
        <w:t xml:space="preserve"> (Figure 2)</w:t>
      </w:r>
      <w:r w:rsidRPr="0049420F">
        <w:rPr>
          <w:rFonts w:ascii="Times New Roman" w:hAnsi="Times New Roman"/>
          <w:color w:val="000000"/>
          <w:sz w:val="20"/>
          <w:szCs w:val="20"/>
        </w:rPr>
        <w:t>. Again no response was generated with hexane extract of stem part also.</w:t>
      </w:r>
    </w:p>
    <w:p w:rsidR="00E15414" w:rsidRDefault="00E15414" w:rsidP="005C1040">
      <w:pPr>
        <w:spacing w:before="240" w:line="240" w:lineRule="auto"/>
        <w:jc w:val="center"/>
        <w:rPr>
          <w:rFonts w:ascii="Times New Roman" w:hAnsi="Times New Roman"/>
          <w:sz w:val="18"/>
          <w:szCs w:val="18"/>
        </w:rPr>
      </w:pPr>
    </w:p>
    <w:p w:rsidR="00E7075E" w:rsidRPr="0049420F" w:rsidRDefault="00E7075E" w:rsidP="005C1040">
      <w:pPr>
        <w:pStyle w:val="BodyText2"/>
        <w:spacing w:before="240" w:after="0" w:line="240" w:lineRule="auto"/>
        <w:jc w:val="center"/>
        <w:rPr>
          <w:rFonts w:ascii="Times New Roman" w:hAnsi="Times New Roman"/>
          <w:b/>
          <w:bCs/>
          <w:sz w:val="20"/>
          <w:szCs w:val="20"/>
        </w:rPr>
      </w:pPr>
      <w:r w:rsidRPr="0049420F">
        <w:rPr>
          <w:rFonts w:ascii="Times New Roman" w:hAnsi="Times New Roman"/>
          <w:b/>
          <w:noProof/>
          <w:sz w:val="20"/>
          <w:szCs w:val="20"/>
        </w:rPr>
        <w:drawing>
          <wp:anchor distT="0" distB="0" distL="114300" distR="114300" simplePos="0" relativeHeight="251660288" behindDoc="0" locked="0" layoutInCell="1" allowOverlap="1">
            <wp:simplePos x="0" y="0"/>
            <wp:positionH relativeFrom="column">
              <wp:posOffset>725805</wp:posOffset>
            </wp:positionH>
            <wp:positionV relativeFrom="paragraph">
              <wp:posOffset>55880</wp:posOffset>
            </wp:positionV>
            <wp:extent cx="4259580" cy="2416175"/>
            <wp:effectExtent l="0" t="0" r="7620" b="3175"/>
            <wp:wrapTopAndBottom/>
            <wp:docPr id="73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E7075E" w:rsidRPr="0073444D" w:rsidRDefault="003A2BAC" w:rsidP="005C1040">
      <w:pPr>
        <w:pStyle w:val="BodyText2"/>
        <w:spacing w:before="240" w:line="240" w:lineRule="auto"/>
        <w:jc w:val="center"/>
        <w:rPr>
          <w:rFonts w:ascii="Times New Roman" w:hAnsi="Times New Roman"/>
          <w:color w:val="000000"/>
          <w:sz w:val="18"/>
          <w:szCs w:val="18"/>
        </w:rPr>
      </w:pPr>
      <w:proofErr w:type="gramStart"/>
      <w:r w:rsidRPr="0073444D">
        <w:rPr>
          <w:rFonts w:ascii="Times New Roman" w:hAnsi="Times New Roman"/>
          <w:bCs/>
          <w:sz w:val="18"/>
          <w:szCs w:val="18"/>
        </w:rPr>
        <w:t>Figure</w:t>
      </w:r>
      <w:r w:rsidR="00667B24">
        <w:rPr>
          <w:rFonts w:ascii="Times New Roman" w:hAnsi="Times New Roman"/>
          <w:bCs/>
          <w:sz w:val="18"/>
          <w:szCs w:val="18"/>
        </w:rPr>
        <w:t xml:space="preserve"> </w:t>
      </w:r>
      <w:r w:rsidR="00F668DF" w:rsidRPr="0073444D">
        <w:rPr>
          <w:rFonts w:ascii="Times New Roman" w:hAnsi="Times New Roman"/>
          <w:bCs/>
          <w:sz w:val="18"/>
          <w:szCs w:val="18"/>
        </w:rPr>
        <w:t>1</w:t>
      </w:r>
      <w:r w:rsidRPr="0073444D">
        <w:rPr>
          <w:rFonts w:ascii="Times New Roman" w:hAnsi="Times New Roman"/>
          <w:bCs/>
          <w:sz w:val="18"/>
          <w:szCs w:val="18"/>
        </w:rPr>
        <w:t>.</w:t>
      </w:r>
      <w:proofErr w:type="gramEnd"/>
      <w:r w:rsidR="00E7075E" w:rsidRPr="0073444D">
        <w:rPr>
          <w:rFonts w:ascii="Times New Roman" w:hAnsi="Times New Roman"/>
          <w:bCs/>
          <w:sz w:val="18"/>
          <w:szCs w:val="18"/>
        </w:rPr>
        <w:t xml:space="preserve"> </w:t>
      </w:r>
      <w:r w:rsidR="00E7075E" w:rsidRPr="0073444D">
        <w:rPr>
          <w:rFonts w:ascii="Times New Roman" w:hAnsi="Times New Roman"/>
          <w:color w:val="000000"/>
          <w:sz w:val="18"/>
          <w:szCs w:val="18"/>
        </w:rPr>
        <w:t>IC 50</w:t>
      </w:r>
      <w:r w:rsidR="00E7075E" w:rsidRPr="0073444D">
        <w:rPr>
          <w:rFonts w:ascii="Times New Roman" w:hAnsi="Times New Roman"/>
          <w:bCs/>
          <w:sz w:val="18"/>
          <w:szCs w:val="18"/>
        </w:rPr>
        <w:t xml:space="preserve"> of </w:t>
      </w:r>
      <w:proofErr w:type="spellStart"/>
      <w:r w:rsidR="00E7075E" w:rsidRPr="0073444D">
        <w:rPr>
          <w:rFonts w:ascii="Times New Roman" w:hAnsi="Times New Roman"/>
          <w:i/>
          <w:iCs/>
          <w:color w:val="000000"/>
          <w:sz w:val="18"/>
          <w:szCs w:val="18"/>
        </w:rPr>
        <w:t>Blainvillea</w:t>
      </w:r>
      <w:proofErr w:type="spellEnd"/>
      <w:r w:rsidR="00E7075E" w:rsidRPr="0073444D">
        <w:rPr>
          <w:rFonts w:ascii="Times New Roman" w:hAnsi="Times New Roman"/>
          <w:i/>
          <w:iCs/>
          <w:color w:val="000000"/>
          <w:sz w:val="18"/>
          <w:szCs w:val="18"/>
        </w:rPr>
        <w:t xml:space="preserve"> </w:t>
      </w:r>
      <w:proofErr w:type="spellStart"/>
      <w:r w:rsidR="00E7075E" w:rsidRPr="0073444D">
        <w:rPr>
          <w:rFonts w:ascii="Times New Roman" w:hAnsi="Times New Roman"/>
          <w:i/>
          <w:iCs/>
          <w:color w:val="000000"/>
          <w:sz w:val="18"/>
          <w:szCs w:val="18"/>
        </w:rPr>
        <w:t>acmella</w:t>
      </w:r>
      <w:proofErr w:type="spellEnd"/>
      <w:r w:rsidR="00E7075E" w:rsidRPr="0073444D">
        <w:rPr>
          <w:rFonts w:ascii="Times New Roman" w:hAnsi="Times New Roman"/>
          <w:i/>
          <w:iCs/>
          <w:color w:val="000000"/>
          <w:sz w:val="18"/>
          <w:szCs w:val="18"/>
        </w:rPr>
        <w:t xml:space="preserve"> </w:t>
      </w:r>
      <w:r w:rsidR="00F668DF" w:rsidRPr="0073444D">
        <w:rPr>
          <w:rFonts w:ascii="Times New Roman" w:hAnsi="Times New Roman"/>
          <w:color w:val="000000"/>
          <w:sz w:val="18"/>
          <w:szCs w:val="18"/>
        </w:rPr>
        <w:t>leaves e</w:t>
      </w:r>
      <w:r w:rsidR="00E7075E" w:rsidRPr="0073444D">
        <w:rPr>
          <w:rFonts w:ascii="Times New Roman" w:hAnsi="Times New Roman"/>
          <w:color w:val="000000"/>
          <w:sz w:val="18"/>
          <w:szCs w:val="18"/>
        </w:rPr>
        <w:t>xtracts</w:t>
      </w:r>
    </w:p>
    <w:p w:rsidR="00994B34" w:rsidRPr="0049420F" w:rsidRDefault="00994B34" w:rsidP="004F2E11">
      <w:pPr>
        <w:pStyle w:val="BodyText2"/>
        <w:spacing w:after="0" w:line="240" w:lineRule="auto"/>
        <w:ind w:firstLine="720"/>
        <w:jc w:val="both"/>
        <w:rPr>
          <w:rFonts w:ascii="Times New Roman" w:hAnsi="Times New Roman"/>
          <w:b/>
          <w:bCs/>
          <w:sz w:val="20"/>
          <w:szCs w:val="20"/>
        </w:rPr>
      </w:pPr>
    </w:p>
    <w:p w:rsidR="00994B34" w:rsidRPr="0049420F" w:rsidRDefault="00751978" w:rsidP="004550E3">
      <w:pPr>
        <w:pStyle w:val="BodyText2"/>
        <w:spacing w:after="0" w:line="240" w:lineRule="auto"/>
        <w:jc w:val="center"/>
        <w:rPr>
          <w:rFonts w:ascii="Times New Roman" w:hAnsi="Times New Roman"/>
          <w:b/>
          <w:bCs/>
          <w:sz w:val="20"/>
          <w:szCs w:val="20"/>
        </w:rPr>
      </w:pPr>
      <w:r w:rsidRPr="00751978">
        <w:rPr>
          <w:rFonts w:ascii="Times New Roman" w:hAnsi="Times New Roman"/>
          <w:b/>
          <w:noProof/>
          <w:sz w:val="20"/>
          <w:szCs w:val="20"/>
        </w:rPr>
        <w:lastRenderedPageBreak/>
        <w:drawing>
          <wp:inline distT="0" distB="0" distL="0" distR="0">
            <wp:extent cx="4205654" cy="1997515"/>
            <wp:effectExtent l="57150" t="19050" r="80596" b="59885"/>
            <wp:docPr id="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5868" w:rsidRDefault="00E7075E" w:rsidP="00C74EE6">
      <w:pPr>
        <w:pStyle w:val="BodyText2"/>
        <w:spacing w:before="240" w:line="240" w:lineRule="auto"/>
        <w:jc w:val="center"/>
        <w:rPr>
          <w:rFonts w:ascii="Times New Roman" w:hAnsi="Times New Roman"/>
          <w:color w:val="000000"/>
          <w:sz w:val="18"/>
          <w:szCs w:val="18"/>
        </w:rPr>
      </w:pPr>
      <w:proofErr w:type="gramStart"/>
      <w:r w:rsidRPr="00D226B1">
        <w:rPr>
          <w:rFonts w:ascii="Times New Roman" w:hAnsi="Times New Roman"/>
          <w:bCs/>
          <w:sz w:val="18"/>
          <w:szCs w:val="18"/>
        </w:rPr>
        <w:t>Fig</w:t>
      </w:r>
      <w:r w:rsidR="002B45EF" w:rsidRPr="00D226B1">
        <w:rPr>
          <w:rFonts w:ascii="Times New Roman" w:hAnsi="Times New Roman"/>
          <w:bCs/>
          <w:sz w:val="18"/>
          <w:szCs w:val="18"/>
        </w:rPr>
        <w:t xml:space="preserve">ure </w:t>
      </w:r>
      <w:r w:rsidR="00560702" w:rsidRPr="00D226B1">
        <w:rPr>
          <w:rFonts w:ascii="Times New Roman" w:hAnsi="Times New Roman"/>
          <w:bCs/>
          <w:sz w:val="18"/>
          <w:szCs w:val="18"/>
        </w:rPr>
        <w:t>2</w:t>
      </w:r>
      <w:r w:rsidRPr="00D226B1">
        <w:rPr>
          <w:rFonts w:ascii="Times New Roman" w:hAnsi="Times New Roman"/>
          <w:bCs/>
          <w:sz w:val="18"/>
          <w:szCs w:val="18"/>
        </w:rPr>
        <w:t>.</w:t>
      </w:r>
      <w:proofErr w:type="gramEnd"/>
      <w:r w:rsidRPr="00D226B1">
        <w:rPr>
          <w:rFonts w:ascii="Times New Roman" w:hAnsi="Times New Roman"/>
          <w:bCs/>
          <w:sz w:val="18"/>
          <w:szCs w:val="18"/>
        </w:rPr>
        <w:t xml:space="preserve"> </w:t>
      </w:r>
      <w:r w:rsidRPr="00D226B1">
        <w:rPr>
          <w:rFonts w:ascii="Times New Roman" w:hAnsi="Times New Roman"/>
          <w:color w:val="000000"/>
          <w:sz w:val="18"/>
          <w:szCs w:val="18"/>
        </w:rPr>
        <w:t>IC 50 of</w:t>
      </w:r>
      <w:r w:rsidRPr="00D226B1">
        <w:rPr>
          <w:rFonts w:ascii="Times New Roman" w:hAnsi="Times New Roman"/>
          <w:bCs/>
          <w:sz w:val="18"/>
          <w:szCs w:val="18"/>
        </w:rPr>
        <w:t xml:space="preserve"> </w:t>
      </w:r>
      <w:proofErr w:type="spellStart"/>
      <w:r w:rsidRPr="00D226B1">
        <w:rPr>
          <w:rFonts w:ascii="Times New Roman" w:hAnsi="Times New Roman"/>
          <w:i/>
          <w:iCs/>
          <w:color w:val="000000"/>
          <w:sz w:val="18"/>
          <w:szCs w:val="18"/>
        </w:rPr>
        <w:t>Blainvillea</w:t>
      </w:r>
      <w:proofErr w:type="spellEnd"/>
      <w:r w:rsidRPr="00D226B1">
        <w:rPr>
          <w:rFonts w:ascii="Times New Roman" w:hAnsi="Times New Roman"/>
          <w:i/>
          <w:iCs/>
          <w:color w:val="000000"/>
          <w:sz w:val="18"/>
          <w:szCs w:val="18"/>
        </w:rPr>
        <w:t xml:space="preserve"> </w:t>
      </w:r>
      <w:proofErr w:type="spellStart"/>
      <w:r w:rsidRPr="00D226B1">
        <w:rPr>
          <w:rFonts w:ascii="Times New Roman" w:hAnsi="Times New Roman"/>
          <w:i/>
          <w:iCs/>
          <w:color w:val="000000"/>
          <w:sz w:val="18"/>
          <w:szCs w:val="18"/>
        </w:rPr>
        <w:t>acmella</w:t>
      </w:r>
      <w:proofErr w:type="spellEnd"/>
      <w:r w:rsidRPr="00D226B1">
        <w:rPr>
          <w:rFonts w:ascii="Times New Roman" w:hAnsi="Times New Roman"/>
          <w:i/>
          <w:iCs/>
          <w:color w:val="000000"/>
          <w:sz w:val="18"/>
          <w:szCs w:val="18"/>
        </w:rPr>
        <w:t xml:space="preserve"> </w:t>
      </w:r>
      <w:r w:rsidR="00560702" w:rsidRPr="00D226B1">
        <w:rPr>
          <w:rFonts w:ascii="Times New Roman" w:hAnsi="Times New Roman"/>
          <w:color w:val="000000"/>
          <w:sz w:val="18"/>
          <w:szCs w:val="18"/>
        </w:rPr>
        <w:t>stem e</w:t>
      </w:r>
      <w:r w:rsidRPr="00D226B1">
        <w:rPr>
          <w:rFonts w:ascii="Times New Roman" w:hAnsi="Times New Roman"/>
          <w:color w:val="000000"/>
          <w:sz w:val="18"/>
          <w:szCs w:val="18"/>
        </w:rPr>
        <w:t>xtracts</w:t>
      </w:r>
    </w:p>
    <w:p w:rsidR="00C74EE6" w:rsidRPr="00FE5868" w:rsidRDefault="00C74EE6" w:rsidP="00C74EE6">
      <w:pPr>
        <w:pStyle w:val="BodyText2"/>
        <w:spacing w:after="0" w:line="240" w:lineRule="auto"/>
        <w:jc w:val="center"/>
        <w:rPr>
          <w:rFonts w:ascii="Times New Roman" w:hAnsi="Times New Roman"/>
          <w:color w:val="000000"/>
          <w:sz w:val="18"/>
          <w:szCs w:val="18"/>
        </w:rPr>
      </w:pPr>
    </w:p>
    <w:p w:rsidR="00FE5868" w:rsidRDefault="00FE5868" w:rsidP="00FE5868">
      <w:pPr>
        <w:spacing w:after="0" w:line="240" w:lineRule="auto"/>
        <w:jc w:val="both"/>
        <w:rPr>
          <w:rFonts w:ascii="Times New Roman" w:hAnsi="Times New Roman"/>
          <w:b/>
          <w:bCs/>
          <w:sz w:val="20"/>
          <w:szCs w:val="20"/>
        </w:rPr>
      </w:pPr>
      <w:r>
        <w:rPr>
          <w:rFonts w:ascii="Times New Roman" w:hAnsi="Times New Roman"/>
          <w:b/>
          <w:bCs/>
          <w:sz w:val="20"/>
          <w:szCs w:val="20"/>
        </w:rPr>
        <w:t>Results for reducing power activity</w:t>
      </w:r>
    </w:p>
    <w:p w:rsidR="00FE5868" w:rsidRDefault="00FE5868" w:rsidP="00C74EE6">
      <w:pPr>
        <w:spacing w:after="0" w:line="240" w:lineRule="auto"/>
        <w:jc w:val="both"/>
        <w:rPr>
          <w:rFonts w:ascii="Times New Roman" w:hAnsi="Times New Roman"/>
          <w:spacing w:val="-4"/>
          <w:sz w:val="20"/>
          <w:szCs w:val="20"/>
        </w:rPr>
      </w:pPr>
      <w:r w:rsidRPr="0049420F">
        <w:rPr>
          <w:rFonts w:ascii="Times New Roman" w:hAnsi="Times New Roman"/>
          <w:sz w:val="20"/>
          <w:szCs w:val="20"/>
        </w:rPr>
        <w:t xml:space="preserve">The reducing power of different extracts of leaf and stem of </w:t>
      </w:r>
      <w:proofErr w:type="spellStart"/>
      <w:r w:rsidRPr="0049420F">
        <w:rPr>
          <w:rFonts w:ascii="Times New Roman" w:hAnsi="Times New Roman"/>
          <w:i/>
          <w:iCs/>
          <w:color w:val="000000"/>
          <w:sz w:val="20"/>
          <w:szCs w:val="20"/>
        </w:rPr>
        <w:t>Blainvillea</w:t>
      </w:r>
      <w:proofErr w:type="spellEnd"/>
      <w:r w:rsidRPr="0049420F">
        <w:rPr>
          <w:rFonts w:ascii="Times New Roman" w:hAnsi="Times New Roman"/>
          <w:i/>
          <w:iCs/>
          <w:color w:val="000000"/>
          <w:sz w:val="20"/>
          <w:szCs w:val="20"/>
        </w:rPr>
        <w:t xml:space="preserve"> </w:t>
      </w:r>
      <w:proofErr w:type="spellStart"/>
      <w:r w:rsidRPr="0049420F">
        <w:rPr>
          <w:rFonts w:ascii="Times New Roman" w:hAnsi="Times New Roman"/>
          <w:i/>
          <w:iCs/>
          <w:color w:val="000000"/>
          <w:sz w:val="20"/>
          <w:szCs w:val="20"/>
        </w:rPr>
        <w:t>acmella</w:t>
      </w:r>
      <w:proofErr w:type="spellEnd"/>
      <w:r w:rsidRPr="0049420F">
        <w:rPr>
          <w:rFonts w:ascii="Times New Roman" w:hAnsi="Times New Roman"/>
          <w:i/>
          <w:sz w:val="20"/>
          <w:szCs w:val="20"/>
        </w:rPr>
        <w:t xml:space="preserve"> </w:t>
      </w:r>
      <w:r w:rsidRPr="0049420F">
        <w:rPr>
          <w:rFonts w:ascii="Times New Roman" w:hAnsi="Times New Roman"/>
          <w:sz w:val="20"/>
          <w:szCs w:val="20"/>
        </w:rPr>
        <w:t>was</w:t>
      </w:r>
      <w:r w:rsidRPr="0049420F">
        <w:rPr>
          <w:rFonts w:ascii="Times New Roman" w:hAnsi="Times New Roman"/>
          <w:i/>
          <w:sz w:val="20"/>
          <w:szCs w:val="20"/>
        </w:rPr>
        <w:t xml:space="preserve"> </w:t>
      </w:r>
      <w:r>
        <w:rPr>
          <w:rFonts w:ascii="Times New Roman" w:hAnsi="Times New Roman"/>
          <w:sz w:val="20"/>
          <w:szCs w:val="20"/>
        </w:rPr>
        <w:t xml:space="preserve">assayed and compared with </w:t>
      </w:r>
      <w:proofErr w:type="spellStart"/>
      <w:r>
        <w:rPr>
          <w:rFonts w:ascii="Times New Roman" w:hAnsi="Times New Roman"/>
          <w:sz w:val="20"/>
          <w:szCs w:val="20"/>
        </w:rPr>
        <w:t>butylated</w:t>
      </w:r>
      <w:proofErr w:type="spellEnd"/>
      <w:r>
        <w:rPr>
          <w:rFonts w:ascii="Times New Roman" w:hAnsi="Times New Roman"/>
          <w:sz w:val="20"/>
          <w:szCs w:val="20"/>
        </w:rPr>
        <w:t xml:space="preserve"> </w:t>
      </w:r>
      <w:proofErr w:type="spellStart"/>
      <w:r>
        <w:rPr>
          <w:rFonts w:ascii="Times New Roman" w:hAnsi="Times New Roman"/>
          <w:sz w:val="20"/>
          <w:szCs w:val="20"/>
        </w:rPr>
        <w:t>hydroxy</w:t>
      </w:r>
      <w:proofErr w:type="spellEnd"/>
      <w:r>
        <w:rPr>
          <w:rFonts w:ascii="Times New Roman" w:hAnsi="Times New Roman"/>
          <w:sz w:val="20"/>
          <w:szCs w:val="20"/>
        </w:rPr>
        <w:t xml:space="preserve"> a</w:t>
      </w:r>
      <w:r w:rsidRPr="0049420F">
        <w:rPr>
          <w:rFonts w:ascii="Times New Roman" w:hAnsi="Times New Roman"/>
          <w:sz w:val="20"/>
          <w:szCs w:val="20"/>
        </w:rPr>
        <w:t>nisole (BHA)</w:t>
      </w:r>
      <w:r>
        <w:rPr>
          <w:rFonts w:ascii="Times New Roman" w:hAnsi="Times New Roman"/>
          <w:sz w:val="20"/>
          <w:szCs w:val="20"/>
        </w:rPr>
        <w:t xml:space="preserve"> (Figure 3 and 4)</w:t>
      </w:r>
      <w:r w:rsidRPr="0049420F">
        <w:rPr>
          <w:rFonts w:ascii="Times New Roman" w:hAnsi="Times New Roman"/>
          <w:sz w:val="20"/>
          <w:szCs w:val="20"/>
        </w:rPr>
        <w:t xml:space="preserve">. Maximum reducing capacity was recorded with </w:t>
      </w:r>
      <w:proofErr w:type="spellStart"/>
      <w:r w:rsidRPr="0049420F">
        <w:rPr>
          <w:rFonts w:ascii="Times New Roman" w:hAnsi="Times New Roman"/>
          <w:sz w:val="20"/>
          <w:szCs w:val="20"/>
        </w:rPr>
        <w:t>methanolic</w:t>
      </w:r>
      <w:proofErr w:type="spellEnd"/>
      <w:r w:rsidRPr="0049420F">
        <w:rPr>
          <w:rFonts w:ascii="Times New Roman" w:hAnsi="Times New Roman"/>
          <w:sz w:val="20"/>
          <w:szCs w:val="20"/>
        </w:rPr>
        <w:t xml:space="preserve"> extract of leaf (BALM), although the response generated with </w:t>
      </w:r>
      <w:r w:rsidRPr="0049420F">
        <w:rPr>
          <w:rFonts w:ascii="Times New Roman" w:hAnsi="Times New Roman"/>
          <w:spacing w:val="-4"/>
          <w:sz w:val="20"/>
          <w:szCs w:val="20"/>
        </w:rPr>
        <w:t xml:space="preserve">BALEA and BALW were also significant as compared to standard, and was lowest with BALH. The similar finding was also observed with different extracts of </w:t>
      </w:r>
      <w:proofErr w:type="spellStart"/>
      <w:r w:rsidRPr="0049420F">
        <w:rPr>
          <w:rFonts w:ascii="Times New Roman" w:hAnsi="Times New Roman"/>
          <w:i/>
          <w:spacing w:val="-4"/>
          <w:sz w:val="20"/>
          <w:szCs w:val="20"/>
        </w:rPr>
        <w:t>Blainvillea</w:t>
      </w:r>
      <w:proofErr w:type="spellEnd"/>
      <w:r w:rsidRPr="0049420F">
        <w:rPr>
          <w:rFonts w:ascii="Times New Roman" w:hAnsi="Times New Roman"/>
          <w:i/>
          <w:spacing w:val="-4"/>
          <w:sz w:val="20"/>
          <w:szCs w:val="20"/>
        </w:rPr>
        <w:t xml:space="preserve"> </w:t>
      </w:r>
      <w:proofErr w:type="spellStart"/>
      <w:r w:rsidRPr="0049420F">
        <w:rPr>
          <w:rFonts w:ascii="Times New Roman" w:hAnsi="Times New Roman"/>
          <w:i/>
          <w:spacing w:val="-4"/>
          <w:sz w:val="20"/>
          <w:szCs w:val="20"/>
        </w:rPr>
        <w:t>acmella</w:t>
      </w:r>
      <w:proofErr w:type="spellEnd"/>
      <w:r w:rsidRPr="0049420F">
        <w:rPr>
          <w:rFonts w:ascii="Times New Roman" w:hAnsi="Times New Roman"/>
          <w:spacing w:val="-4"/>
          <w:sz w:val="20"/>
          <w:szCs w:val="20"/>
        </w:rPr>
        <w:t xml:space="preserve"> stem.  Th</w:t>
      </w:r>
      <w:r>
        <w:rPr>
          <w:rFonts w:ascii="Times New Roman" w:hAnsi="Times New Roman"/>
          <w:spacing w:val="-4"/>
          <w:sz w:val="20"/>
          <w:szCs w:val="20"/>
        </w:rPr>
        <w:t>e result data were found as in T</w:t>
      </w:r>
      <w:r w:rsidRPr="0049420F">
        <w:rPr>
          <w:rFonts w:ascii="Times New Roman" w:hAnsi="Times New Roman"/>
          <w:spacing w:val="-4"/>
          <w:sz w:val="20"/>
          <w:szCs w:val="20"/>
        </w:rPr>
        <w:t>able 5 and 6.</w:t>
      </w:r>
    </w:p>
    <w:p w:rsidR="00C74EE6" w:rsidRDefault="00C74EE6" w:rsidP="00C74EE6">
      <w:pPr>
        <w:spacing w:after="0" w:line="240" w:lineRule="auto"/>
        <w:jc w:val="both"/>
        <w:rPr>
          <w:rFonts w:ascii="Times New Roman" w:hAnsi="Times New Roman"/>
          <w:spacing w:val="-4"/>
          <w:sz w:val="20"/>
          <w:szCs w:val="20"/>
        </w:rPr>
      </w:pPr>
    </w:p>
    <w:p w:rsidR="00C74EE6" w:rsidRPr="0049420F" w:rsidRDefault="00C74EE6" w:rsidP="00C74EE6">
      <w:pPr>
        <w:spacing w:before="240" w:line="240" w:lineRule="auto"/>
        <w:jc w:val="center"/>
        <w:rPr>
          <w:rFonts w:ascii="Times New Roman" w:hAnsi="Times New Roman"/>
          <w:b/>
          <w:sz w:val="20"/>
          <w:szCs w:val="20"/>
        </w:rPr>
      </w:pPr>
      <w:r w:rsidRPr="0049420F">
        <w:rPr>
          <w:rFonts w:ascii="Times New Roman" w:hAnsi="Times New Roman"/>
          <w:b/>
          <w:noProof/>
          <w:sz w:val="20"/>
          <w:szCs w:val="20"/>
        </w:rPr>
        <w:drawing>
          <wp:inline distT="0" distB="0" distL="0" distR="0" wp14:anchorId="3505F959" wp14:editId="413BA938">
            <wp:extent cx="4747846" cy="2136531"/>
            <wp:effectExtent l="0" t="0" r="0" b="0"/>
            <wp:docPr id="746"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4EE6" w:rsidRPr="00FC6B29" w:rsidRDefault="00C74EE6" w:rsidP="00C74EE6">
      <w:pPr>
        <w:spacing w:after="0" w:line="240" w:lineRule="auto"/>
        <w:jc w:val="center"/>
        <w:rPr>
          <w:rFonts w:ascii="Times New Roman" w:eastAsia="AdvTimes" w:hAnsi="Times New Roman"/>
          <w:sz w:val="18"/>
          <w:szCs w:val="18"/>
        </w:rPr>
      </w:pPr>
      <w:proofErr w:type="gramStart"/>
      <w:r w:rsidRPr="00FC6B29">
        <w:rPr>
          <w:rFonts w:ascii="Times New Roman" w:hAnsi="Times New Roman"/>
          <w:sz w:val="18"/>
          <w:szCs w:val="18"/>
        </w:rPr>
        <w:t>Figure 3</w:t>
      </w:r>
      <w:r>
        <w:rPr>
          <w:rFonts w:ascii="Times New Roman" w:hAnsi="Times New Roman"/>
          <w:sz w:val="18"/>
          <w:szCs w:val="18"/>
        </w:rPr>
        <w:t>.</w:t>
      </w:r>
      <w:proofErr w:type="gramEnd"/>
      <w:r w:rsidRPr="00FC6B29">
        <w:rPr>
          <w:rFonts w:ascii="Times New Roman" w:hAnsi="Times New Roman"/>
          <w:sz w:val="18"/>
          <w:szCs w:val="18"/>
        </w:rPr>
        <w:t xml:space="preserve"> </w:t>
      </w:r>
      <w:r w:rsidRPr="00FC6B29">
        <w:rPr>
          <w:rFonts w:ascii="Times New Roman" w:eastAsia="AdvTimes" w:hAnsi="Times New Roman"/>
          <w:sz w:val="18"/>
          <w:szCs w:val="18"/>
        </w:rPr>
        <w:t xml:space="preserve">Reductive potential of different concentrations </w:t>
      </w:r>
      <w:r>
        <w:rPr>
          <w:rFonts w:ascii="Times New Roman" w:eastAsia="AdvTimes" w:hAnsi="Times New Roman"/>
          <w:sz w:val="18"/>
          <w:szCs w:val="18"/>
        </w:rPr>
        <w:t>of</w:t>
      </w:r>
      <w:r w:rsidRPr="00FC6B29">
        <w:rPr>
          <w:rFonts w:ascii="Times New Roman" w:eastAsia="AdvTimes" w:hAnsi="Times New Roman"/>
          <w:sz w:val="18"/>
          <w:szCs w:val="18"/>
        </w:rPr>
        <w:t xml:space="preserve"> </w:t>
      </w:r>
      <w:proofErr w:type="spellStart"/>
      <w:r w:rsidRPr="00FC6B29">
        <w:rPr>
          <w:rFonts w:ascii="Times New Roman" w:eastAsia="AdvTimes" w:hAnsi="Times New Roman"/>
          <w:i/>
          <w:sz w:val="18"/>
          <w:szCs w:val="18"/>
        </w:rPr>
        <w:t>Blainvillea</w:t>
      </w:r>
      <w:proofErr w:type="spellEnd"/>
      <w:r w:rsidRPr="00FC6B29">
        <w:rPr>
          <w:rFonts w:ascii="Times New Roman" w:eastAsia="AdvTimes" w:hAnsi="Times New Roman"/>
          <w:i/>
          <w:sz w:val="18"/>
          <w:szCs w:val="18"/>
        </w:rPr>
        <w:t xml:space="preserve"> </w:t>
      </w:r>
      <w:proofErr w:type="spellStart"/>
      <w:r w:rsidRPr="00FC6B29">
        <w:rPr>
          <w:rFonts w:ascii="Times New Roman" w:eastAsia="AdvTimes" w:hAnsi="Times New Roman"/>
          <w:i/>
          <w:sz w:val="18"/>
          <w:szCs w:val="18"/>
        </w:rPr>
        <w:t>acmella</w:t>
      </w:r>
      <w:proofErr w:type="spellEnd"/>
      <w:r w:rsidRPr="00FC6B29">
        <w:rPr>
          <w:rFonts w:ascii="Times New Roman" w:eastAsia="AdvTimes" w:hAnsi="Times New Roman"/>
          <w:i/>
          <w:sz w:val="18"/>
          <w:szCs w:val="18"/>
        </w:rPr>
        <w:t xml:space="preserve"> </w:t>
      </w:r>
      <w:r w:rsidRPr="00FC6B29">
        <w:rPr>
          <w:rFonts w:ascii="Times New Roman" w:eastAsia="AdvTimes" w:hAnsi="Times New Roman"/>
          <w:sz w:val="18"/>
          <w:szCs w:val="18"/>
        </w:rPr>
        <w:t>leaves extracts</w:t>
      </w:r>
    </w:p>
    <w:p w:rsidR="00C74EE6" w:rsidRPr="0049420F" w:rsidRDefault="00C74EE6" w:rsidP="00C74EE6">
      <w:pPr>
        <w:spacing w:after="0" w:line="240" w:lineRule="auto"/>
        <w:jc w:val="center"/>
        <w:rPr>
          <w:rFonts w:ascii="Times New Roman" w:eastAsia="AdvTimes" w:hAnsi="Times New Roman"/>
          <w:b/>
          <w:sz w:val="20"/>
          <w:szCs w:val="20"/>
        </w:rPr>
      </w:pPr>
      <w:r w:rsidRPr="0049420F">
        <w:rPr>
          <w:rFonts w:ascii="Times New Roman" w:hAnsi="Times New Roman"/>
          <w:noProof/>
          <w:sz w:val="20"/>
          <w:szCs w:val="20"/>
        </w:rPr>
        <w:drawing>
          <wp:anchor distT="0" distB="0" distL="114300" distR="114300" simplePos="0" relativeHeight="251659264" behindDoc="0" locked="0" layoutInCell="1" allowOverlap="1" wp14:anchorId="30204753" wp14:editId="615D11EB">
            <wp:simplePos x="0" y="0"/>
            <wp:positionH relativeFrom="column">
              <wp:posOffset>585470</wp:posOffset>
            </wp:positionH>
            <wp:positionV relativeFrom="paragraph">
              <wp:posOffset>290830</wp:posOffset>
            </wp:positionV>
            <wp:extent cx="4580255" cy="2057400"/>
            <wp:effectExtent l="0" t="0" r="0" b="0"/>
            <wp:wrapTopAndBottom/>
            <wp:docPr id="747"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74EE6" w:rsidRPr="0049420F" w:rsidRDefault="00C74EE6" w:rsidP="00C74EE6">
      <w:pPr>
        <w:pStyle w:val="BodyText2"/>
        <w:spacing w:after="0" w:line="240" w:lineRule="auto"/>
        <w:rPr>
          <w:rFonts w:ascii="Times New Roman" w:hAnsi="Times New Roman"/>
          <w:sz w:val="20"/>
          <w:szCs w:val="20"/>
        </w:rPr>
      </w:pPr>
    </w:p>
    <w:p w:rsidR="00C74EE6" w:rsidRPr="00C74EE6" w:rsidRDefault="00C74EE6" w:rsidP="00C74EE6">
      <w:pPr>
        <w:pStyle w:val="BodyText2"/>
        <w:spacing w:before="240" w:line="240" w:lineRule="auto"/>
        <w:jc w:val="center"/>
        <w:rPr>
          <w:rFonts w:ascii="Times New Roman" w:eastAsia="AdvTimes" w:hAnsi="Times New Roman"/>
          <w:sz w:val="18"/>
          <w:szCs w:val="18"/>
        </w:rPr>
      </w:pPr>
      <w:proofErr w:type="gramStart"/>
      <w:r w:rsidRPr="00475C47">
        <w:rPr>
          <w:rFonts w:ascii="Times New Roman" w:hAnsi="Times New Roman"/>
          <w:sz w:val="18"/>
          <w:szCs w:val="18"/>
        </w:rPr>
        <w:t>Figure 4</w:t>
      </w:r>
      <w:r>
        <w:rPr>
          <w:rFonts w:ascii="Times New Roman" w:hAnsi="Times New Roman"/>
          <w:sz w:val="18"/>
          <w:szCs w:val="18"/>
        </w:rPr>
        <w:t>.</w:t>
      </w:r>
      <w:proofErr w:type="gramEnd"/>
      <w:r w:rsidRPr="00475C47">
        <w:rPr>
          <w:rFonts w:ascii="Times New Roman" w:hAnsi="Times New Roman"/>
          <w:sz w:val="18"/>
          <w:szCs w:val="18"/>
        </w:rPr>
        <w:t xml:space="preserve"> </w:t>
      </w:r>
      <w:r w:rsidRPr="00475C47">
        <w:rPr>
          <w:rFonts w:ascii="Times New Roman" w:eastAsia="AdvTimes" w:hAnsi="Times New Roman"/>
          <w:sz w:val="18"/>
          <w:szCs w:val="18"/>
        </w:rPr>
        <w:t xml:space="preserve">Reductive potential of different concentrations of </w:t>
      </w:r>
      <w:proofErr w:type="spellStart"/>
      <w:r w:rsidRPr="0002463D">
        <w:rPr>
          <w:rFonts w:ascii="Times New Roman" w:eastAsia="AdvTimes" w:hAnsi="Times New Roman"/>
          <w:i/>
          <w:sz w:val="18"/>
          <w:szCs w:val="18"/>
        </w:rPr>
        <w:t>Blainvillea</w:t>
      </w:r>
      <w:proofErr w:type="spellEnd"/>
      <w:r w:rsidRPr="00475C47">
        <w:rPr>
          <w:rFonts w:ascii="Times New Roman" w:eastAsia="AdvTimes" w:hAnsi="Times New Roman"/>
          <w:i/>
          <w:sz w:val="18"/>
          <w:szCs w:val="18"/>
        </w:rPr>
        <w:t xml:space="preserve"> </w:t>
      </w:r>
      <w:proofErr w:type="spellStart"/>
      <w:r w:rsidRPr="00475C47">
        <w:rPr>
          <w:rFonts w:ascii="Times New Roman" w:eastAsia="AdvTimes" w:hAnsi="Times New Roman"/>
          <w:i/>
          <w:sz w:val="18"/>
          <w:szCs w:val="18"/>
        </w:rPr>
        <w:t>acmella</w:t>
      </w:r>
      <w:proofErr w:type="spellEnd"/>
      <w:r w:rsidRPr="00475C47">
        <w:rPr>
          <w:rFonts w:ascii="Times New Roman" w:eastAsia="AdvTimes" w:hAnsi="Times New Roman"/>
          <w:i/>
          <w:sz w:val="18"/>
          <w:szCs w:val="18"/>
        </w:rPr>
        <w:t xml:space="preserve"> </w:t>
      </w:r>
      <w:r w:rsidRPr="00475C47">
        <w:rPr>
          <w:rFonts w:ascii="Times New Roman" w:eastAsia="AdvTimes" w:hAnsi="Times New Roman"/>
          <w:sz w:val="18"/>
          <w:szCs w:val="18"/>
        </w:rPr>
        <w:t>ste</w:t>
      </w:r>
      <w:r>
        <w:rPr>
          <w:rFonts w:ascii="Times New Roman" w:eastAsia="AdvTimes" w:hAnsi="Times New Roman"/>
          <w:sz w:val="18"/>
          <w:szCs w:val="18"/>
        </w:rPr>
        <w:t>m extract</w:t>
      </w:r>
    </w:p>
    <w:p w:rsidR="00B81D14" w:rsidRPr="00BC58F7" w:rsidRDefault="00B81D14" w:rsidP="00AB04A5">
      <w:pPr>
        <w:spacing w:before="240" w:line="240" w:lineRule="auto"/>
        <w:jc w:val="center"/>
        <w:rPr>
          <w:rFonts w:ascii="Times New Roman" w:hAnsi="Times New Roman"/>
          <w:color w:val="000000"/>
          <w:sz w:val="18"/>
          <w:szCs w:val="18"/>
        </w:rPr>
      </w:pPr>
      <w:proofErr w:type="gramStart"/>
      <w:r w:rsidRPr="00BC58F7">
        <w:rPr>
          <w:rFonts w:ascii="Times New Roman" w:hAnsi="Times New Roman"/>
          <w:color w:val="000000"/>
          <w:sz w:val="18"/>
          <w:szCs w:val="18"/>
        </w:rPr>
        <w:lastRenderedPageBreak/>
        <w:t xml:space="preserve">Table </w:t>
      </w:r>
      <w:r w:rsidR="001E2CC1" w:rsidRPr="00BC58F7">
        <w:rPr>
          <w:rFonts w:ascii="Times New Roman" w:hAnsi="Times New Roman"/>
          <w:color w:val="000000"/>
          <w:sz w:val="18"/>
          <w:szCs w:val="18"/>
        </w:rPr>
        <w:t>5</w:t>
      </w:r>
      <w:r w:rsidR="00667B24">
        <w:rPr>
          <w:rFonts w:ascii="Times New Roman" w:hAnsi="Times New Roman"/>
          <w:color w:val="000000"/>
          <w:sz w:val="18"/>
          <w:szCs w:val="18"/>
        </w:rPr>
        <w:t>.</w:t>
      </w:r>
      <w:proofErr w:type="gramEnd"/>
      <w:r w:rsidR="00667B24">
        <w:rPr>
          <w:rFonts w:ascii="Times New Roman" w:hAnsi="Times New Roman"/>
          <w:color w:val="000000"/>
          <w:sz w:val="18"/>
          <w:szCs w:val="18"/>
        </w:rPr>
        <w:t xml:space="preserve"> </w:t>
      </w:r>
      <w:r w:rsidRPr="00BC58F7">
        <w:rPr>
          <w:rFonts w:ascii="Times New Roman" w:hAnsi="Times New Roman"/>
          <w:color w:val="000000"/>
          <w:sz w:val="18"/>
          <w:szCs w:val="18"/>
        </w:rPr>
        <w:t xml:space="preserve">Reducing power of </w:t>
      </w:r>
      <w:proofErr w:type="spellStart"/>
      <w:r w:rsidRPr="00BC58F7">
        <w:rPr>
          <w:rFonts w:ascii="Times New Roman" w:hAnsi="Times New Roman"/>
          <w:i/>
          <w:iCs/>
          <w:color w:val="000000"/>
          <w:sz w:val="18"/>
          <w:szCs w:val="18"/>
        </w:rPr>
        <w:t>Blainvillea</w:t>
      </w:r>
      <w:proofErr w:type="spellEnd"/>
      <w:r w:rsidRPr="00BC58F7">
        <w:rPr>
          <w:rFonts w:ascii="Times New Roman" w:hAnsi="Times New Roman"/>
          <w:i/>
          <w:iCs/>
          <w:color w:val="000000"/>
          <w:sz w:val="18"/>
          <w:szCs w:val="18"/>
        </w:rPr>
        <w:t xml:space="preserve"> </w:t>
      </w:r>
      <w:proofErr w:type="spellStart"/>
      <w:r w:rsidRPr="00BC58F7">
        <w:rPr>
          <w:rFonts w:ascii="Times New Roman" w:hAnsi="Times New Roman"/>
          <w:i/>
          <w:iCs/>
          <w:color w:val="000000"/>
          <w:sz w:val="18"/>
          <w:szCs w:val="18"/>
        </w:rPr>
        <w:t>acmella</w:t>
      </w:r>
      <w:proofErr w:type="spellEnd"/>
      <w:r w:rsidRPr="00BC58F7">
        <w:rPr>
          <w:rFonts w:ascii="Times New Roman" w:hAnsi="Times New Roman"/>
          <w:i/>
          <w:iCs/>
          <w:color w:val="000000"/>
          <w:sz w:val="18"/>
          <w:szCs w:val="18"/>
        </w:rPr>
        <w:t xml:space="preserve"> </w:t>
      </w:r>
      <w:r w:rsidRPr="00BC58F7">
        <w:rPr>
          <w:rFonts w:ascii="Times New Roman" w:hAnsi="Times New Roman"/>
          <w:iCs/>
          <w:color w:val="000000"/>
          <w:sz w:val="18"/>
          <w:szCs w:val="18"/>
        </w:rPr>
        <w:t>leaves</w:t>
      </w:r>
      <w:r w:rsidRPr="00BC58F7">
        <w:rPr>
          <w:rFonts w:ascii="Times New Roman" w:hAnsi="Times New Roman"/>
          <w:color w:val="000000"/>
          <w:sz w:val="18"/>
          <w:szCs w:val="18"/>
        </w:rPr>
        <w:t xml:space="preserve"> extracts</w:t>
      </w:r>
    </w:p>
    <w:tbl>
      <w:tblPr>
        <w:tblStyle w:val="LightShading"/>
        <w:tblW w:w="5000" w:type="pct"/>
        <w:tblLook w:val="04A0" w:firstRow="1" w:lastRow="0" w:firstColumn="1" w:lastColumn="0" w:noHBand="0" w:noVBand="1"/>
      </w:tblPr>
      <w:tblGrid>
        <w:gridCol w:w="946"/>
        <w:gridCol w:w="990"/>
        <w:gridCol w:w="1471"/>
        <w:gridCol w:w="1471"/>
        <w:gridCol w:w="1471"/>
        <w:gridCol w:w="1471"/>
        <w:gridCol w:w="1467"/>
      </w:tblGrid>
      <w:tr w:rsidR="00B81D14" w:rsidRPr="00DB3165" w:rsidTr="00667B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shd w:val="clear" w:color="auto" w:fill="auto"/>
            <w:noWrap/>
            <w:hideMark/>
          </w:tcPr>
          <w:p w:rsidR="00667B24" w:rsidRDefault="00667B24" w:rsidP="004F2E11">
            <w:pPr>
              <w:spacing w:after="40"/>
              <w:jc w:val="center"/>
              <w:rPr>
                <w:rFonts w:ascii="Times New Roman" w:hAnsi="Times New Roman"/>
                <w:color w:val="000000"/>
                <w:sz w:val="18"/>
                <w:szCs w:val="18"/>
              </w:rPr>
            </w:pPr>
            <w:r>
              <w:rPr>
                <w:rFonts w:ascii="Times New Roman" w:hAnsi="Times New Roman"/>
                <w:color w:val="000000"/>
                <w:sz w:val="18"/>
                <w:szCs w:val="18"/>
              </w:rPr>
              <w:t>Sequence</w:t>
            </w:r>
          </w:p>
          <w:p w:rsidR="00B81D14" w:rsidRPr="00667B24" w:rsidRDefault="00B81D14" w:rsidP="004F2E11">
            <w:pPr>
              <w:spacing w:after="40"/>
              <w:jc w:val="center"/>
              <w:rPr>
                <w:rFonts w:ascii="Times New Roman" w:hAnsi="Times New Roman"/>
                <w:color w:val="000000"/>
                <w:sz w:val="18"/>
                <w:szCs w:val="18"/>
              </w:rPr>
            </w:pPr>
            <w:r w:rsidRPr="00667B24">
              <w:rPr>
                <w:rFonts w:ascii="Times New Roman" w:hAnsi="Times New Roman"/>
                <w:color w:val="000000"/>
                <w:sz w:val="18"/>
                <w:szCs w:val="18"/>
              </w:rPr>
              <w:t>No.</w:t>
            </w:r>
          </w:p>
        </w:tc>
        <w:tc>
          <w:tcPr>
            <w:tcW w:w="533" w:type="pct"/>
            <w:shd w:val="clear" w:color="auto" w:fill="auto"/>
            <w:noWrap/>
            <w:hideMark/>
          </w:tcPr>
          <w:p w:rsidR="00B81D14" w:rsidRPr="00667B24" w:rsidRDefault="00B81D14"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proofErr w:type="spellStart"/>
            <w:r w:rsidRPr="00667B24">
              <w:rPr>
                <w:rFonts w:ascii="Times New Roman" w:hAnsi="Times New Roman"/>
                <w:color w:val="000000"/>
                <w:sz w:val="18"/>
                <w:szCs w:val="18"/>
              </w:rPr>
              <w:t>Conc</w:t>
            </w:r>
            <w:proofErr w:type="spellEnd"/>
            <w:r w:rsidRPr="00667B24">
              <w:rPr>
                <w:rFonts w:ascii="Times New Roman" w:hAnsi="Times New Roman"/>
                <w:color w:val="000000"/>
                <w:sz w:val="18"/>
                <w:szCs w:val="18"/>
              </w:rPr>
              <w:br/>
              <w:t>(µg/ml)</w:t>
            </w:r>
          </w:p>
        </w:tc>
        <w:tc>
          <w:tcPr>
            <w:tcW w:w="792" w:type="pct"/>
            <w:shd w:val="clear" w:color="auto" w:fill="auto"/>
            <w:noWrap/>
            <w:hideMark/>
          </w:tcPr>
          <w:p w:rsidR="00B81D14" w:rsidRPr="00667B24" w:rsidRDefault="00B81D14"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BHA</w:t>
            </w:r>
          </w:p>
        </w:tc>
        <w:tc>
          <w:tcPr>
            <w:tcW w:w="792" w:type="pct"/>
            <w:shd w:val="clear" w:color="auto" w:fill="auto"/>
            <w:noWrap/>
            <w:hideMark/>
          </w:tcPr>
          <w:p w:rsidR="00B81D14" w:rsidRPr="00667B24" w:rsidRDefault="00B81D14"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BALH</w:t>
            </w:r>
          </w:p>
        </w:tc>
        <w:tc>
          <w:tcPr>
            <w:tcW w:w="792" w:type="pct"/>
            <w:shd w:val="clear" w:color="auto" w:fill="auto"/>
            <w:noWrap/>
            <w:hideMark/>
          </w:tcPr>
          <w:p w:rsidR="00B81D14" w:rsidRPr="00667B24" w:rsidRDefault="00B81D14"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BALEA</w:t>
            </w:r>
          </w:p>
        </w:tc>
        <w:tc>
          <w:tcPr>
            <w:tcW w:w="792" w:type="pct"/>
            <w:shd w:val="clear" w:color="auto" w:fill="auto"/>
            <w:noWrap/>
            <w:hideMark/>
          </w:tcPr>
          <w:p w:rsidR="00B81D14" w:rsidRPr="00667B24" w:rsidRDefault="00B81D14"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BALM</w:t>
            </w:r>
          </w:p>
        </w:tc>
        <w:tc>
          <w:tcPr>
            <w:tcW w:w="792" w:type="pct"/>
            <w:shd w:val="clear" w:color="auto" w:fill="auto"/>
            <w:noWrap/>
            <w:hideMark/>
          </w:tcPr>
          <w:p w:rsidR="00B81D14" w:rsidRPr="00667B24" w:rsidRDefault="00B81D14"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BALW</w:t>
            </w:r>
          </w:p>
        </w:tc>
      </w:tr>
      <w:tr w:rsidR="00B81D14" w:rsidRPr="00DB3165" w:rsidTr="0066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shd w:val="clear" w:color="auto" w:fill="auto"/>
            <w:hideMark/>
          </w:tcPr>
          <w:p w:rsidR="00B81D14" w:rsidRPr="00667B24" w:rsidRDefault="00B81D14"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1</w:t>
            </w:r>
          </w:p>
        </w:tc>
        <w:tc>
          <w:tcPr>
            <w:tcW w:w="533" w:type="pct"/>
            <w:shd w:val="clear" w:color="auto" w:fill="auto"/>
            <w:hideMark/>
          </w:tcPr>
          <w:p w:rsidR="00B81D14" w:rsidRPr="00DB3165" w:rsidRDefault="00B81D14" w:rsidP="004F2E11">
            <w:pPr>
              <w:spacing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31.2</w:t>
            </w:r>
          </w:p>
        </w:tc>
        <w:tc>
          <w:tcPr>
            <w:tcW w:w="792" w:type="pct"/>
            <w:shd w:val="clear" w:color="auto" w:fill="auto"/>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0.306±0.001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0.006±0.001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0.024±0.001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0.034±0.001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0.017±0.001</w:t>
            </w:r>
          </w:p>
        </w:tc>
      </w:tr>
      <w:tr w:rsidR="00B81D14" w:rsidRPr="00DB3165" w:rsidTr="00667B24">
        <w:tc>
          <w:tcPr>
            <w:cnfStyle w:val="001000000000" w:firstRow="0" w:lastRow="0" w:firstColumn="1" w:lastColumn="0" w:oddVBand="0" w:evenVBand="0" w:oddHBand="0" w:evenHBand="0" w:firstRowFirstColumn="0" w:firstRowLastColumn="0" w:lastRowFirstColumn="0" w:lastRowLastColumn="0"/>
            <w:tcW w:w="509" w:type="pct"/>
            <w:shd w:val="clear" w:color="auto" w:fill="auto"/>
            <w:noWrap/>
            <w:hideMark/>
          </w:tcPr>
          <w:p w:rsidR="00B81D14" w:rsidRPr="00667B24" w:rsidRDefault="00B81D14"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2</w:t>
            </w:r>
          </w:p>
        </w:tc>
        <w:tc>
          <w:tcPr>
            <w:tcW w:w="533" w:type="pct"/>
            <w:shd w:val="clear" w:color="auto" w:fill="auto"/>
            <w:noWrap/>
            <w:hideMark/>
          </w:tcPr>
          <w:p w:rsidR="00B81D14" w:rsidRPr="00DB3165" w:rsidRDefault="00B81D14" w:rsidP="004F2E11">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62.5</w:t>
            </w:r>
          </w:p>
        </w:tc>
        <w:tc>
          <w:tcPr>
            <w:tcW w:w="792" w:type="pct"/>
            <w:shd w:val="clear" w:color="auto" w:fill="auto"/>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0.551±0.002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0.009±0.002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0.053±0.002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0.071±0.002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0.041±0.002</w:t>
            </w:r>
          </w:p>
        </w:tc>
      </w:tr>
      <w:tr w:rsidR="00B81D14" w:rsidRPr="00DB3165" w:rsidTr="0066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shd w:val="clear" w:color="auto" w:fill="auto"/>
            <w:noWrap/>
            <w:hideMark/>
          </w:tcPr>
          <w:p w:rsidR="00B81D14" w:rsidRPr="00667B24" w:rsidRDefault="00B81D14"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3</w:t>
            </w:r>
          </w:p>
        </w:tc>
        <w:tc>
          <w:tcPr>
            <w:tcW w:w="533" w:type="pct"/>
            <w:shd w:val="clear" w:color="auto" w:fill="auto"/>
            <w:noWrap/>
            <w:hideMark/>
          </w:tcPr>
          <w:p w:rsidR="00B81D14" w:rsidRPr="00DB3165" w:rsidRDefault="00B81D14" w:rsidP="004F2E11">
            <w:pPr>
              <w:spacing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125</w:t>
            </w:r>
          </w:p>
        </w:tc>
        <w:tc>
          <w:tcPr>
            <w:tcW w:w="792" w:type="pct"/>
            <w:shd w:val="clear" w:color="auto" w:fill="auto"/>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0.985±0.001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0.018±0.001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0.164±0.002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0.208±0.001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0.107±0.002</w:t>
            </w:r>
          </w:p>
        </w:tc>
      </w:tr>
      <w:tr w:rsidR="00B81D14" w:rsidRPr="00DB3165" w:rsidTr="00667B24">
        <w:tc>
          <w:tcPr>
            <w:cnfStyle w:val="001000000000" w:firstRow="0" w:lastRow="0" w:firstColumn="1" w:lastColumn="0" w:oddVBand="0" w:evenVBand="0" w:oddHBand="0" w:evenHBand="0" w:firstRowFirstColumn="0" w:firstRowLastColumn="0" w:lastRowFirstColumn="0" w:lastRowLastColumn="0"/>
            <w:tcW w:w="509" w:type="pct"/>
            <w:shd w:val="clear" w:color="auto" w:fill="auto"/>
            <w:noWrap/>
            <w:hideMark/>
          </w:tcPr>
          <w:p w:rsidR="00B81D14" w:rsidRPr="00667B24" w:rsidRDefault="00B81D14"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4</w:t>
            </w:r>
          </w:p>
        </w:tc>
        <w:tc>
          <w:tcPr>
            <w:tcW w:w="533" w:type="pct"/>
            <w:shd w:val="clear" w:color="auto" w:fill="auto"/>
            <w:noWrap/>
            <w:hideMark/>
          </w:tcPr>
          <w:p w:rsidR="00B81D14" w:rsidRPr="00DB3165" w:rsidRDefault="00B81D14" w:rsidP="004F2E11">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250</w:t>
            </w:r>
          </w:p>
        </w:tc>
        <w:tc>
          <w:tcPr>
            <w:tcW w:w="792" w:type="pct"/>
            <w:shd w:val="clear" w:color="auto" w:fill="auto"/>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1.631±0.001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0.021±0.001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0.438±0.002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0.513±0.002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0.319±0.002</w:t>
            </w:r>
          </w:p>
        </w:tc>
      </w:tr>
      <w:tr w:rsidR="00B81D14" w:rsidRPr="00DB3165" w:rsidTr="0066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pct"/>
            <w:shd w:val="clear" w:color="auto" w:fill="auto"/>
            <w:noWrap/>
            <w:hideMark/>
          </w:tcPr>
          <w:p w:rsidR="00B81D14" w:rsidRPr="00667B24" w:rsidRDefault="00B81D14"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5</w:t>
            </w:r>
          </w:p>
        </w:tc>
        <w:tc>
          <w:tcPr>
            <w:tcW w:w="533" w:type="pct"/>
            <w:shd w:val="clear" w:color="auto" w:fill="auto"/>
            <w:noWrap/>
            <w:hideMark/>
          </w:tcPr>
          <w:p w:rsidR="00B81D14" w:rsidRPr="00DB3165" w:rsidRDefault="00B81D14" w:rsidP="004F2E11">
            <w:pPr>
              <w:spacing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500</w:t>
            </w:r>
          </w:p>
        </w:tc>
        <w:tc>
          <w:tcPr>
            <w:tcW w:w="792" w:type="pct"/>
            <w:shd w:val="clear" w:color="auto" w:fill="auto"/>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2.603±0.002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0.021±0.001</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0.605±0.002</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0.749±0.003</w:t>
            </w:r>
          </w:p>
        </w:tc>
        <w:tc>
          <w:tcPr>
            <w:tcW w:w="792" w:type="pct"/>
            <w:shd w:val="clear" w:color="auto" w:fill="auto"/>
            <w:noWrap/>
            <w:hideMark/>
          </w:tcPr>
          <w:p w:rsidR="00B81D14" w:rsidRPr="00DB3165" w:rsidRDefault="00B81D14"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0.483±0.002</w:t>
            </w:r>
          </w:p>
        </w:tc>
      </w:tr>
    </w:tbl>
    <w:p w:rsidR="00500271" w:rsidRPr="002B39FE" w:rsidRDefault="001A07EB" w:rsidP="00667B24">
      <w:pPr>
        <w:spacing w:after="0" w:line="240" w:lineRule="auto"/>
        <w:rPr>
          <w:rFonts w:ascii="Times New Roman" w:hAnsi="Times New Roman"/>
          <w:sz w:val="18"/>
          <w:szCs w:val="18"/>
        </w:rPr>
      </w:pPr>
      <w:r>
        <w:rPr>
          <w:rFonts w:ascii="Times New Roman" w:hAnsi="Times New Roman"/>
          <w:sz w:val="18"/>
          <w:szCs w:val="18"/>
        </w:rPr>
        <w:t>n</w:t>
      </w:r>
      <w:r w:rsidR="002B39FE" w:rsidRPr="002B39FE">
        <w:rPr>
          <w:rFonts w:ascii="Times New Roman" w:hAnsi="Times New Roman"/>
          <w:sz w:val="18"/>
          <w:szCs w:val="18"/>
        </w:rPr>
        <w:t>=</w:t>
      </w:r>
      <w:r w:rsidR="00342C5C">
        <w:rPr>
          <w:rFonts w:ascii="Times New Roman" w:hAnsi="Times New Roman"/>
          <w:sz w:val="18"/>
          <w:szCs w:val="18"/>
        </w:rPr>
        <w:t>3, D</w:t>
      </w:r>
      <w:r w:rsidR="002B39FE" w:rsidRPr="002B39FE">
        <w:rPr>
          <w:rFonts w:ascii="Times New Roman" w:hAnsi="Times New Roman"/>
          <w:sz w:val="18"/>
          <w:szCs w:val="18"/>
        </w:rPr>
        <w:t xml:space="preserve">ata are given as mean </w:t>
      </w:r>
      <w:r w:rsidR="002B39FE" w:rsidRPr="002B39FE">
        <w:rPr>
          <w:rFonts w:ascii="Times New Roman" w:hAnsi="Times New Roman"/>
          <w:color w:val="000000"/>
          <w:kern w:val="24"/>
          <w:sz w:val="18"/>
          <w:szCs w:val="18"/>
        </w:rPr>
        <w:t>± S.</w:t>
      </w:r>
      <w:r w:rsidR="00DD454B">
        <w:rPr>
          <w:rFonts w:ascii="Times New Roman" w:hAnsi="Times New Roman"/>
          <w:color w:val="000000"/>
          <w:kern w:val="24"/>
          <w:sz w:val="18"/>
          <w:szCs w:val="18"/>
        </w:rPr>
        <w:t>D</w:t>
      </w:r>
    </w:p>
    <w:p w:rsidR="00500271" w:rsidRPr="00DB3165" w:rsidRDefault="00667B24" w:rsidP="002B39FE">
      <w:pPr>
        <w:spacing w:before="240" w:line="240" w:lineRule="auto"/>
        <w:jc w:val="center"/>
        <w:rPr>
          <w:rFonts w:ascii="Times New Roman" w:hAnsi="Times New Roman"/>
          <w:color w:val="000000"/>
          <w:sz w:val="18"/>
          <w:szCs w:val="18"/>
        </w:rPr>
      </w:pPr>
      <w:proofErr w:type="gramStart"/>
      <w:r>
        <w:rPr>
          <w:rFonts w:ascii="Times New Roman" w:hAnsi="Times New Roman"/>
          <w:color w:val="000000"/>
          <w:sz w:val="18"/>
          <w:szCs w:val="18"/>
        </w:rPr>
        <w:t>Table 6.</w:t>
      </w:r>
      <w:proofErr w:type="gramEnd"/>
      <w:r w:rsidR="00500271" w:rsidRPr="00DB3165">
        <w:rPr>
          <w:rFonts w:ascii="Times New Roman" w:hAnsi="Times New Roman"/>
          <w:color w:val="000000"/>
          <w:sz w:val="18"/>
          <w:szCs w:val="18"/>
        </w:rPr>
        <w:t xml:space="preserve"> Reducing power of </w:t>
      </w:r>
      <w:proofErr w:type="spellStart"/>
      <w:r w:rsidR="00500271" w:rsidRPr="00DB3165">
        <w:rPr>
          <w:rFonts w:ascii="Times New Roman" w:hAnsi="Times New Roman"/>
          <w:i/>
          <w:iCs/>
          <w:color w:val="000000"/>
          <w:sz w:val="18"/>
          <w:szCs w:val="18"/>
        </w:rPr>
        <w:t>Blainvillea</w:t>
      </w:r>
      <w:proofErr w:type="spellEnd"/>
      <w:r w:rsidR="00500271" w:rsidRPr="00DB3165">
        <w:rPr>
          <w:rFonts w:ascii="Times New Roman" w:hAnsi="Times New Roman"/>
          <w:i/>
          <w:iCs/>
          <w:color w:val="000000"/>
          <w:sz w:val="18"/>
          <w:szCs w:val="18"/>
        </w:rPr>
        <w:t xml:space="preserve"> </w:t>
      </w:r>
      <w:proofErr w:type="spellStart"/>
      <w:r w:rsidR="00500271" w:rsidRPr="00DB3165">
        <w:rPr>
          <w:rFonts w:ascii="Times New Roman" w:hAnsi="Times New Roman"/>
          <w:i/>
          <w:iCs/>
          <w:color w:val="000000"/>
          <w:sz w:val="18"/>
          <w:szCs w:val="18"/>
        </w:rPr>
        <w:t>acmella</w:t>
      </w:r>
      <w:proofErr w:type="spellEnd"/>
      <w:r w:rsidR="00500271" w:rsidRPr="00DB3165">
        <w:rPr>
          <w:rFonts w:ascii="Times New Roman" w:hAnsi="Times New Roman"/>
          <w:i/>
          <w:iCs/>
          <w:color w:val="000000"/>
          <w:sz w:val="18"/>
          <w:szCs w:val="18"/>
        </w:rPr>
        <w:t xml:space="preserve"> stem</w:t>
      </w:r>
      <w:r w:rsidR="00500271" w:rsidRPr="00DB3165">
        <w:rPr>
          <w:rFonts w:ascii="Times New Roman" w:hAnsi="Times New Roman"/>
          <w:color w:val="000000"/>
          <w:sz w:val="18"/>
          <w:szCs w:val="18"/>
        </w:rPr>
        <w:t xml:space="preserve"> extracts</w:t>
      </w:r>
    </w:p>
    <w:tbl>
      <w:tblPr>
        <w:tblStyle w:val="LightShading"/>
        <w:tblW w:w="4871" w:type="pct"/>
        <w:tblLook w:val="04A0" w:firstRow="1" w:lastRow="0" w:firstColumn="1" w:lastColumn="0" w:noHBand="0" w:noVBand="1"/>
      </w:tblPr>
      <w:tblGrid>
        <w:gridCol w:w="936"/>
        <w:gridCol w:w="947"/>
        <w:gridCol w:w="1434"/>
        <w:gridCol w:w="1432"/>
        <w:gridCol w:w="1432"/>
        <w:gridCol w:w="1433"/>
        <w:gridCol w:w="1433"/>
      </w:tblGrid>
      <w:tr w:rsidR="00500271" w:rsidRPr="00DB3165" w:rsidTr="00667B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shd w:val="clear" w:color="auto" w:fill="auto"/>
            <w:noWrap/>
            <w:hideMark/>
          </w:tcPr>
          <w:p w:rsidR="00500271" w:rsidRPr="00667B24" w:rsidRDefault="00500271" w:rsidP="004F2E11">
            <w:pPr>
              <w:spacing w:after="40"/>
              <w:jc w:val="center"/>
              <w:rPr>
                <w:rFonts w:ascii="Times New Roman" w:hAnsi="Times New Roman"/>
                <w:color w:val="000000"/>
                <w:sz w:val="18"/>
                <w:szCs w:val="18"/>
              </w:rPr>
            </w:pPr>
            <w:r w:rsidRPr="00667B24">
              <w:rPr>
                <w:rFonts w:ascii="Times New Roman" w:hAnsi="Times New Roman"/>
                <w:color w:val="000000"/>
                <w:sz w:val="18"/>
                <w:szCs w:val="18"/>
              </w:rPr>
              <w:t>S</w:t>
            </w:r>
            <w:r w:rsidR="00667B24" w:rsidRPr="00667B24">
              <w:rPr>
                <w:rFonts w:ascii="Times New Roman" w:hAnsi="Times New Roman"/>
                <w:color w:val="000000"/>
                <w:sz w:val="18"/>
                <w:szCs w:val="18"/>
              </w:rPr>
              <w:t>equence</w:t>
            </w:r>
            <w:r w:rsidRPr="00667B24">
              <w:rPr>
                <w:rFonts w:ascii="Times New Roman" w:hAnsi="Times New Roman"/>
                <w:color w:val="000000"/>
                <w:sz w:val="18"/>
                <w:szCs w:val="18"/>
              </w:rPr>
              <w:t xml:space="preserve"> </w:t>
            </w:r>
            <w:r w:rsidRPr="00667B24">
              <w:rPr>
                <w:rFonts w:ascii="Times New Roman" w:hAnsi="Times New Roman"/>
                <w:color w:val="000000"/>
                <w:sz w:val="18"/>
                <w:szCs w:val="18"/>
              </w:rPr>
              <w:br/>
              <w:t>No.</w:t>
            </w:r>
          </w:p>
        </w:tc>
        <w:tc>
          <w:tcPr>
            <w:tcW w:w="557" w:type="pct"/>
            <w:shd w:val="clear" w:color="auto" w:fill="auto"/>
            <w:noWrap/>
            <w:hideMark/>
          </w:tcPr>
          <w:p w:rsidR="00500271" w:rsidRPr="00667B24" w:rsidRDefault="00500271"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proofErr w:type="spellStart"/>
            <w:r w:rsidRPr="00667B24">
              <w:rPr>
                <w:rFonts w:ascii="Times New Roman" w:hAnsi="Times New Roman"/>
                <w:color w:val="000000"/>
                <w:sz w:val="18"/>
                <w:szCs w:val="18"/>
              </w:rPr>
              <w:t>Conc</w:t>
            </w:r>
            <w:proofErr w:type="spellEnd"/>
            <w:r w:rsidRPr="00667B24">
              <w:rPr>
                <w:rFonts w:ascii="Times New Roman" w:hAnsi="Times New Roman"/>
                <w:color w:val="000000"/>
                <w:sz w:val="18"/>
                <w:szCs w:val="18"/>
              </w:rPr>
              <w:br/>
              <w:t>(µg/ml)</w:t>
            </w:r>
          </w:p>
        </w:tc>
        <w:tc>
          <w:tcPr>
            <w:tcW w:w="826" w:type="pct"/>
            <w:shd w:val="clear" w:color="auto" w:fill="auto"/>
            <w:noWrap/>
            <w:hideMark/>
          </w:tcPr>
          <w:p w:rsidR="00500271" w:rsidRPr="00667B24" w:rsidRDefault="00500271"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BHA</w:t>
            </w:r>
          </w:p>
        </w:tc>
        <w:tc>
          <w:tcPr>
            <w:tcW w:w="825" w:type="pct"/>
            <w:shd w:val="clear" w:color="auto" w:fill="auto"/>
            <w:noWrap/>
            <w:hideMark/>
          </w:tcPr>
          <w:p w:rsidR="00500271" w:rsidRPr="00667B24" w:rsidRDefault="00500271"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BASH</w:t>
            </w:r>
          </w:p>
        </w:tc>
        <w:tc>
          <w:tcPr>
            <w:tcW w:w="825" w:type="pct"/>
            <w:shd w:val="clear" w:color="auto" w:fill="auto"/>
            <w:noWrap/>
            <w:hideMark/>
          </w:tcPr>
          <w:p w:rsidR="00500271" w:rsidRPr="00667B24" w:rsidRDefault="00500271"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BASEA</w:t>
            </w:r>
          </w:p>
        </w:tc>
        <w:tc>
          <w:tcPr>
            <w:tcW w:w="825" w:type="pct"/>
            <w:shd w:val="clear" w:color="auto" w:fill="auto"/>
            <w:noWrap/>
            <w:hideMark/>
          </w:tcPr>
          <w:p w:rsidR="00500271" w:rsidRPr="00667B24" w:rsidRDefault="00500271"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BASM</w:t>
            </w:r>
          </w:p>
        </w:tc>
        <w:tc>
          <w:tcPr>
            <w:tcW w:w="825" w:type="pct"/>
            <w:shd w:val="clear" w:color="auto" w:fill="auto"/>
            <w:noWrap/>
            <w:hideMark/>
          </w:tcPr>
          <w:p w:rsidR="00500271" w:rsidRPr="00667B24" w:rsidRDefault="00500271" w:rsidP="004F2E11">
            <w:pPr>
              <w:spacing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667B24">
              <w:rPr>
                <w:rFonts w:ascii="Times New Roman" w:hAnsi="Times New Roman"/>
                <w:color w:val="000000"/>
                <w:sz w:val="18"/>
                <w:szCs w:val="18"/>
              </w:rPr>
              <w:t>BASW</w:t>
            </w:r>
          </w:p>
        </w:tc>
      </w:tr>
      <w:tr w:rsidR="00500271" w:rsidRPr="00DB3165" w:rsidTr="0066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shd w:val="clear" w:color="auto" w:fill="auto"/>
            <w:hideMark/>
          </w:tcPr>
          <w:p w:rsidR="00500271" w:rsidRPr="00667B24" w:rsidRDefault="00500271"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1</w:t>
            </w:r>
          </w:p>
        </w:tc>
        <w:tc>
          <w:tcPr>
            <w:tcW w:w="557" w:type="pct"/>
            <w:shd w:val="clear" w:color="auto" w:fill="auto"/>
            <w:hideMark/>
          </w:tcPr>
          <w:p w:rsidR="00500271" w:rsidRPr="00DB3165" w:rsidRDefault="00500271" w:rsidP="004F2E11">
            <w:pPr>
              <w:spacing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31.2</w:t>
            </w:r>
          </w:p>
        </w:tc>
        <w:tc>
          <w:tcPr>
            <w:tcW w:w="826" w:type="pct"/>
            <w:shd w:val="clear" w:color="auto" w:fill="auto"/>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0.306±0.001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0.004±0.001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0.010±0.001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0.012±0.001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0.010±0.001</w:t>
            </w:r>
          </w:p>
        </w:tc>
      </w:tr>
      <w:tr w:rsidR="00500271" w:rsidRPr="00DB3165" w:rsidTr="00667B24">
        <w:tc>
          <w:tcPr>
            <w:cnfStyle w:val="001000000000" w:firstRow="0" w:lastRow="0" w:firstColumn="1" w:lastColumn="0" w:oddVBand="0" w:evenVBand="0" w:oddHBand="0" w:evenHBand="0" w:firstRowFirstColumn="0" w:firstRowLastColumn="0" w:lastRowFirstColumn="0" w:lastRowLastColumn="0"/>
            <w:tcW w:w="315" w:type="pct"/>
            <w:shd w:val="clear" w:color="auto" w:fill="auto"/>
            <w:noWrap/>
            <w:hideMark/>
          </w:tcPr>
          <w:p w:rsidR="00500271" w:rsidRPr="00667B24" w:rsidRDefault="00500271"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2</w:t>
            </w:r>
          </w:p>
        </w:tc>
        <w:tc>
          <w:tcPr>
            <w:tcW w:w="557" w:type="pct"/>
            <w:shd w:val="clear" w:color="auto" w:fill="auto"/>
            <w:noWrap/>
            <w:hideMark/>
          </w:tcPr>
          <w:p w:rsidR="00500271" w:rsidRPr="00DB3165" w:rsidRDefault="00500271" w:rsidP="004F2E11">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62.5</w:t>
            </w:r>
          </w:p>
        </w:tc>
        <w:tc>
          <w:tcPr>
            <w:tcW w:w="826" w:type="pct"/>
            <w:shd w:val="clear" w:color="auto" w:fill="auto"/>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0.551±0.002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0.006±0.002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0.015±0.001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0.022±0.002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0.036±0.002</w:t>
            </w:r>
          </w:p>
        </w:tc>
      </w:tr>
      <w:tr w:rsidR="00500271" w:rsidRPr="00DB3165" w:rsidTr="0066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shd w:val="clear" w:color="auto" w:fill="auto"/>
            <w:noWrap/>
            <w:hideMark/>
          </w:tcPr>
          <w:p w:rsidR="00500271" w:rsidRPr="00667B24" w:rsidRDefault="00500271"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3</w:t>
            </w:r>
          </w:p>
        </w:tc>
        <w:tc>
          <w:tcPr>
            <w:tcW w:w="557" w:type="pct"/>
            <w:shd w:val="clear" w:color="auto" w:fill="auto"/>
            <w:noWrap/>
            <w:hideMark/>
          </w:tcPr>
          <w:p w:rsidR="00500271" w:rsidRPr="00DB3165" w:rsidRDefault="00500271" w:rsidP="004F2E11">
            <w:pPr>
              <w:spacing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125</w:t>
            </w:r>
          </w:p>
        </w:tc>
        <w:tc>
          <w:tcPr>
            <w:tcW w:w="826" w:type="pct"/>
            <w:shd w:val="clear" w:color="auto" w:fill="auto"/>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0.985±0.001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0.008±0.001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0.076±0.002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0.105±0.002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0.050±0.002</w:t>
            </w:r>
          </w:p>
        </w:tc>
      </w:tr>
      <w:tr w:rsidR="00500271" w:rsidRPr="00DB3165" w:rsidTr="00667B24">
        <w:tc>
          <w:tcPr>
            <w:cnfStyle w:val="001000000000" w:firstRow="0" w:lastRow="0" w:firstColumn="1" w:lastColumn="0" w:oddVBand="0" w:evenVBand="0" w:oddHBand="0" w:evenHBand="0" w:firstRowFirstColumn="0" w:firstRowLastColumn="0" w:lastRowFirstColumn="0" w:lastRowLastColumn="0"/>
            <w:tcW w:w="315" w:type="pct"/>
            <w:shd w:val="clear" w:color="auto" w:fill="auto"/>
            <w:noWrap/>
            <w:hideMark/>
          </w:tcPr>
          <w:p w:rsidR="00500271" w:rsidRPr="00667B24" w:rsidRDefault="00500271"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4</w:t>
            </w:r>
          </w:p>
        </w:tc>
        <w:tc>
          <w:tcPr>
            <w:tcW w:w="557" w:type="pct"/>
            <w:shd w:val="clear" w:color="auto" w:fill="auto"/>
            <w:noWrap/>
            <w:hideMark/>
          </w:tcPr>
          <w:p w:rsidR="00500271" w:rsidRPr="00DB3165" w:rsidRDefault="00500271" w:rsidP="004F2E11">
            <w:pPr>
              <w:spacing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250</w:t>
            </w:r>
          </w:p>
        </w:tc>
        <w:tc>
          <w:tcPr>
            <w:tcW w:w="826" w:type="pct"/>
            <w:shd w:val="clear" w:color="auto" w:fill="auto"/>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1.631±0.001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0.009±0.001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0.260±0.002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0.357±0.002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000000" w:firstRow="0" w:lastRow="0" w:firstColumn="0" w:lastColumn="0" w:oddVBand="0" w:evenVBand="0" w:oddHBand="0" w:evenHBand="0" w:firstRowFirstColumn="0" w:firstRowLastColumn="0" w:lastRowFirstColumn="0" w:lastRowLastColumn="0"/>
              <w:rPr>
                <w:sz w:val="18"/>
                <w:szCs w:val="18"/>
              </w:rPr>
            </w:pPr>
            <w:r w:rsidRPr="00DB3165">
              <w:rPr>
                <w:color w:val="000000"/>
                <w:kern w:val="24"/>
                <w:sz w:val="18"/>
                <w:szCs w:val="18"/>
              </w:rPr>
              <w:t>0.149±0.002</w:t>
            </w:r>
          </w:p>
        </w:tc>
      </w:tr>
      <w:tr w:rsidR="00500271" w:rsidRPr="00DB3165" w:rsidTr="0066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shd w:val="clear" w:color="auto" w:fill="auto"/>
            <w:noWrap/>
            <w:hideMark/>
          </w:tcPr>
          <w:p w:rsidR="00500271" w:rsidRPr="00667B24" w:rsidRDefault="00500271" w:rsidP="004F2E11">
            <w:pPr>
              <w:spacing w:after="40"/>
              <w:jc w:val="center"/>
              <w:rPr>
                <w:rFonts w:ascii="Times New Roman" w:hAnsi="Times New Roman"/>
                <w:b w:val="0"/>
                <w:color w:val="000000"/>
                <w:sz w:val="18"/>
                <w:szCs w:val="18"/>
              </w:rPr>
            </w:pPr>
            <w:r w:rsidRPr="00667B24">
              <w:rPr>
                <w:rFonts w:ascii="Times New Roman" w:hAnsi="Times New Roman"/>
                <w:b w:val="0"/>
                <w:color w:val="000000"/>
                <w:sz w:val="18"/>
                <w:szCs w:val="18"/>
              </w:rPr>
              <w:t>5</w:t>
            </w:r>
          </w:p>
        </w:tc>
        <w:tc>
          <w:tcPr>
            <w:tcW w:w="557" w:type="pct"/>
            <w:shd w:val="clear" w:color="auto" w:fill="auto"/>
            <w:noWrap/>
            <w:hideMark/>
          </w:tcPr>
          <w:p w:rsidR="00500271" w:rsidRPr="00DB3165" w:rsidRDefault="00500271" w:rsidP="004F2E11">
            <w:pPr>
              <w:spacing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DB3165">
              <w:rPr>
                <w:rFonts w:ascii="Times New Roman" w:hAnsi="Times New Roman"/>
                <w:color w:val="000000"/>
                <w:sz w:val="18"/>
                <w:szCs w:val="18"/>
              </w:rPr>
              <w:t>500</w:t>
            </w:r>
          </w:p>
        </w:tc>
        <w:tc>
          <w:tcPr>
            <w:tcW w:w="826" w:type="pct"/>
            <w:shd w:val="clear" w:color="auto" w:fill="auto"/>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2.603±0.002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0.009±0.001</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0.280±0.002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0.392±0.002</w:t>
            </w:r>
          </w:p>
        </w:tc>
        <w:tc>
          <w:tcPr>
            <w:tcW w:w="825" w:type="pct"/>
            <w:shd w:val="clear" w:color="auto" w:fill="auto"/>
            <w:noWrap/>
            <w:hideMark/>
          </w:tcPr>
          <w:p w:rsidR="00500271" w:rsidRPr="00DB3165" w:rsidRDefault="00500271" w:rsidP="004F2E11">
            <w:pPr>
              <w:pStyle w:val="NormalWeb"/>
              <w:spacing w:before="0" w:after="40"/>
              <w:jc w:val="center"/>
              <w:textAlignment w:val="bottom"/>
              <w:cnfStyle w:val="000000100000" w:firstRow="0" w:lastRow="0" w:firstColumn="0" w:lastColumn="0" w:oddVBand="0" w:evenVBand="0" w:oddHBand="1" w:evenHBand="0" w:firstRowFirstColumn="0" w:firstRowLastColumn="0" w:lastRowFirstColumn="0" w:lastRowLastColumn="0"/>
              <w:rPr>
                <w:sz w:val="18"/>
                <w:szCs w:val="18"/>
              </w:rPr>
            </w:pPr>
            <w:r w:rsidRPr="00DB3165">
              <w:rPr>
                <w:color w:val="000000"/>
                <w:kern w:val="24"/>
                <w:sz w:val="18"/>
                <w:szCs w:val="18"/>
              </w:rPr>
              <w:t>0.167±0.002</w:t>
            </w:r>
          </w:p>
        </w:tc>
      </w:tr>
    </w:tbl>
    <w:p w:rsidR="001A07EB" w:rsidRPr="002B39FE" w:rsidRDefault="001A07EB" w:rsidP="00667B24">
      <w:pPr>
        <w:spacing w:after="0" w:line="240" w:lineRule="auto"/>
        <w:rPr>
          <w:rFonts w:ascii="Times New Roman" w:hAnsi="Times New Roman"/>
          <w:sz w:val="18"/>
          <w:szCs w:val="18"/>
        </w:rPr>
      </w:pPr>
      <w:r>
        <w:rPr>
          <w:rFonts w:ascii="Times New Roman" w:hAnsi="Times New Roman"/>
          <w:sz w:val="18"/>
          <w:szCs w:val="18"/>
        </w:rPr>
        <w:t>n</w:t>
      </w:r>
      <w:r w:rsidRPr="002B39FE">
        <w:rPr>
          <w:rFonts w:ascii="Times New Roman" w:hAnsi="Times New Roman"/>
          <w:sz w:val="18"/>
          <w:szCs w:val="18"/>
        </w:rPr>
        <w:t>=</w:t>
      </w:r>
      <w:r>
        <w:rPr>
          <w:rFonts w:ascii="Times New Roman" w:hAnsi="Times New Roman"/>
          <w:sz w:val="18"/>
          <w:szCs w:val="18"/>
        </w:rPr>
        <w:t>3, D</w:t>
      </w:r>
      <w:r w:rsidRPr="002B39FE">
        <w:rPr>
          <w:rFonts w:ascii="Times New Roman" w:hAnsi="Times New Roman"/>
          <w:sz w:val="18"/>
          <w:szCs w:val="18"/>
        </w:rPr>
        <w:t xml:space="preserve">ata are given as mean </w:t>
      </w:r>
      <w:r w:rsidRPr="002B39FE">
        <w:rPr>
          <w:rFonts w:ascii="Times New Roman" w:hAnsi="Times New Roman"/>
          <w:color w:val="000000"/>
          <w:kern w:val="24"/>
          <w:sz w:val="18"/>
          <w:szCs w:val="18"/>
        </w:rPr>
        <w:t>± S.</w:t>
      </w:r>
      <w:r w:rsidR="00DD454B">
        <w:rPr>
          <w:rFonts w:ascii="Times New Roman" w:hAnsi="Times New Roman"/>
          <w:color w:val="000000"/>
          <w:kern w:val="24"/>
          <w:sz w:val="18"/>
          <w:szCs w:val="18"/>
        </w:rPr>
        <w:t>D</w:t>
      </w:r>
    </w:p>
    <w:p w:rsidR="00500271" w:rsidRPr="00DB3165" w:rsidRDefault="00500271" w:rsidP="004F2E11">
      <w:pPr>
        <w:spacing w:after="0" w:line="240" w:lineRule="auto"/>
        <w:jc w:val="center"/>
        <w:rPr>
          <w:rFonts w:ascii="Times New Roman" w:hAnsi="Times New Roman"/>
          <w:b/>
          <w:sz w:val="18"/>
          <w:szCs w:val="18"/>
        </w:rPr>
      </w:pPr>
    </w:p>
    <w:p w:rsidR="008F5269" w:rsidRPr="00DB3165" w:rsidRDefault="008F5269" w:rsidP="00667B24">
      <w:pPr>
        <w:spacing w:after="0" w:line="240" w:lineRule="auto"/>
        <w:jc w:val="center"/>
        <w:rPr>
          <w:rFonts w:ascii="Times New Roman" w:hAnsi="Times New Roman"/>
          <w:sz w:val="20"/>
          <w:szCs w:val="20"/>
        </w:rPr>
      </w:pPr>
      <w:r w:rsidRPr="00DB3165">
        <w:rPr>
          <w:rFonts w:ascii="Times New Roman" w:hAnsi="Times New Roman"/>
          <w:b/>
          <w:sz w:val="20"/>
          <w:szCs w:val="20"/>
        </w:rPr>
        <w:t>Conclusion</w:t>
      </w:r>
    </w:p>
    <w:p w:rsidR="00667B24" w:rsidRDefault="00BF753F" w:rsidP="00667B24">
      <w:pPr>
        <w:spacing w:after="0" w:line="240" w:lineRule="auto"/>
        <w:jc w:val="both"/>
        <w:rPr>
          <w:rFonts w:ascii="Times New Roman" w:hAnsi="Times New Roman"/>
          <w:sz w:val="20"/>
          <w:szCs w:val="20"/>
        </w:rPr>
      </w:pPr>
      <w:r>
        <w:rPr>
          <w:rFonts w:ascii="Times New Roman" w:hAnsi="Times New Roman"/>
          <w:color w:val="000000"/>
          <w:sz w:val="20"/>
          <w:szCs w:val="20"/>
          <w:shd w:val="clear" w:color="auto" w:fill="FFFFFF"/>
        </w:rPr>
        <w:t xml:space="preserve">An </w:t>
      </w:r>
      <w:r w:rsidRPr="0049420F">
        <w:rPr>
          <w:rFonts w:ascii="Times New Roman" w:hAnsi="Times New Roman"/>
          <w:sz w:val="20"/>
          <w:szCs w:val="20"/>
        </w:rPr>
        <w:t>attempt has</w:t>
      </w:r>
      <w:r w:rsidR="000B151E" w:rsidRPr="0049420F">
        <w:rPr>
          <w:rFonts w:ascii="Times New Roman" w:hAnsi="Times New Roman"/>
          <w:sz w:val="20"/>
          <w:szCs w:val="20"/>
        </w:rPr>
        <w:t xml:space="preserve"> been made here to establish the antioxidant measures of the </w:t>
      </w:r>
      <w:proofErr w:type="spellStart"/>
      <w:r w:rsidR="000B151E" w:rsidRPr="0049420F">
        <w:rPr>
          <w:rFonts w:ascii="Times New Roman" w:eastAsia="AdvTimes" w:hAnsi="Times New Roman"/>
          <w:i/>
          <w:sz w:val="20"/>
          <w:szCs w:val="20"/>
        </w:rPr>
        <w:t>Blainvillea</w:t>
      </w:r>
      <w:proofErr w:type="spellEnd"/>
      <w:r w:rsidR="000B151E" w:rsidRPr="0049420F">
        <w:rPr>
          <w:rFonts w:ascii="Times New Roman" w:eastAsia="AdvTimes" w:hAnsi="Times New Roman"/>
          <w:i/>
          <w:sz w:val="20"/>
          <w:szCs w:val="20"/>
        </w:rPr>
        <w:t xml:space="preserve"> </w:t>
      </w:r>
      <w:proofErr w:type="spellStart"/>
      <w:r w:rsidR="000B151E" w:rsidRPr="0049420F">
        <w:rPr>
          <w:rFonts w:ascii="Times New Roman" w:eastAsia="AdvTimes" w:hAnsi="Times New Roman"/>
          <w:i/>
          <w:sz w:val="20"/>
          <w:szCs w:val="20"/>
        </w:rPr>
        <w:t>acmella</w:t>
      </w:r>
      <w:proofErr w:type="spellEnd"/>
      <w:r w:rsidR="000B151E" w:rsidRPr="0049420F">
        <w:rPr>
          <w:rFonts w:ascii="Times New Roman" w:hAnsi="Times New Roman"/>
          <w:sz w:val="20"/>
          <w:szCs w:val="20"/>
        </w:rPr>
        <w:t>, which might be helpful in establishing its therapeutic values</w:t>
      </w:r>
      <w:r w:rsidR="00EC7EE4" w:rsidRPr="0049420F">
        <w:rPr>
          <w:rFonts w:ascii="Times New Roman" w:hAnsi="Times New Roman"/>
          <w:sz w:val="20"/>
          <w:szCs w:val="20"/>
        </w:rPr>
        <w:t xml:space="preserve">. The leaf and stem part of the plant were extracted successively using solvents of different polarity. The extracts were subjected to </w:t>
      </w:r>
      <w:proofErr w:type="spellStart"/>
      <w:r w:rsidR="00EC7EE4" w:rsidRPr="0049420F">
        <w:rPr>
          <w:rFonts w:ascii="Times New Roman" w:hAnsi="Times New Roman"/>
          <w:sz w:val="20"/>
          <w:szCs w:val="20"/>
        </w:rPr>
        <w:t>phtyochemical</w:t>
      </w:r>
      <w:proofErr w:type="spellEnd"/>
      <w:r w:rsidR="00EC7EE4" w:rsidRPr="0049420F">
        <w:rPr>
          <w:rFonts w:ascii="Times New Roman" w:hAnsi="Times New Roman"/>
          <w:sz w:val="20"/>
          <w:szCs w:val="20"/>
        </w:rPr>
        <w:t xml:space="preserve"> screening to confirm presence of phytoconstituents and secondary metabolites. The results data regarding presence of total phenolic contents implies that the methanolic extract of both the part was most abundant, as compared to other extracts. From this we can conclude that the phenolic compounds can be better isolated with solvents of higher polarity range. The antioxidant potential as well as reducing power of the extracts was determined and was found better in methanolic extract. Still it was higher with leaf extract as compared to stem extract.</w:t>
      </w:r>
    </w:p>
    <w:p w:rsidR="00667B24" w:rsidRDefault="00667B24" w:rsidP="00667B24">
      <w:pPr>
        <w:spacing w:after="0" w:line="240" w:lineRule="auto"/>
        <w:jc w:val="both"/>
        <w:rPr>
          <w:rFonts w:ascii="Times New Roman" w:hAnsi="Times New Roman"/>
          <w:sz w:val="20"/>
          <w:szCs w:val="20"/>
        </w:rPr>
      </w:pPr>
    </w:p>
    <w:p w:rsidR="00EC7EE4" w:rsidRPr="00667B24" w:rsidRDefault="00EC7EE4" w:rsidP="00667B24">
      <w:pPr>
        <w:spacing w:after="0" w:line="240" w:lineRule="auto"/>
        <w:jc w:val="both"/>
        <w:rPr>
          <w:rFonts w:ascii="Times New Roman" w:hAnsi="Times New Roman"/>
          <w:sz w:val="20"/>
          <w:szCs w:val="20"/>
        </w:rPr>
      </w:pPr>
      <w:r w:rsidRPr="0049420F">
        <w:rPr>
          <w:rFonts w:ascii="Times New Roman" w:hAnsi="Times New Roman"/>
          <w:sz w:val="20"/>
          <w:szCs w:val="20"/>
        </w:rPr>
        <w:t xml:space="preserve">At the same time the results also demonstrate that the IC50 values of different extracts may be co-related with present phenolic content as it was in proportion to that of concentration of the extract and present phenolic moieties. The results confirm the superiority of the different leaf extracts than the stem part extracts. </w:t>
      </w:r>
      <w:r w:rsidRPr="0049420F">
        <w:rPr>
          <w:rFonts w:ascii="Times New Roman" w:eastAsiaTheme="minorHAnsi" w:hAnsi="Times New Roman"/>
          <w:sz w:val="20"/>
          <w:szCs w:val="20"/>
          <w:lang w:val="en-IN"/>
        </w:rPr>
        <w:t>In this study, it seemed that, the higher total phenolic content of plants extracts resulted in higher antioxidant activity.</w:t>
      </w:r>
      <w:r w:rsidR="00D443C1">
        <w:rPr>
          <w:rFonts w:ascii="Times New Roman" w:eastAsiaTheme="minorHAnsi" w:hAnsi="Times New Roman"/>
          <w:sz w:val="20"/>
          <w:szCs w:val="20"/>
          <w:lang w:val="en-IN"/>
        </w:rPr>
        <w:t xml:space="preserve"> </w:t>
      </w:r>
    </w:p>
    <w:p w:rsidR="00667B24" w:rsidRDefault="00667B24" w:rsidP="00667B24">
      <w:pPr>
        <w:spacing w:after="0" w:line="240" w:lineRule="auto"/>
        <w:jc w:val="center"/>
        <w:rPr>
          <w:rFonts w:ascii="Times New Roman" w:eastAsiaTheme="minorHAnsi" w:hAnsi="Times New Roman"/>
          <w:b/>
          <w:sz w:val="20"/>
          <w:szCs w:val="20"/>
          <w:lang w:val="en-IN"/>
        </w:rPr>
      </w:pPr>
    </w:p>
    <w:p w:rsidR="00D443C1" w:rsidRDefault="00D443C1" w:rsidP="00667B24">
      <w:pPr>
        <w:spacing w:after="0" w:line="240" w:lineRule="auto"/>
        <w:jc w:val="center"/>
        <w:rPr>
          <w:rFonts w:ascii="Times New Roman" w:eastAsiaTheme="minorHAnsi" w:hAnsi="Times New Roman"/>
          <w:b/>
          <w:sz w:val="20"/>
          <w:szCs w:val="20"/>
          <w:lang w:val="en-IN"/>
        </w:rPr>
      </w:pPr>
      <w:r w:rsidRPr="00D443C1">
        <w:rPr>
          <w:rFonts w:ascii="Times New Roman" w:eastAsiaTheme="minorHAnsi" w:hAnsi="Times New Roman"/>
          <w:b/>
          <w:sz w:val="20"/>
          <w:szCs w:val="20"/>
          <w:lang w:val="en-IN"/>
        </w:rPr>
        <w:t>Acknowledgement</w:t>
      </w:r>
    </w:p>
    <w:p w:rsidR="00DB7FAB" w:rsidRPr="00667B24" w:rsidRDefault="00A90A64" w:rsidP="00667B24">
      <w:pPr>
        <w:spacing w:after="0" w:line="240" w:lineRule="auto"/>
        <w:jc w:val="both"/>
        <w:rPr>
          <w:rFonts w:ascii="Times New Roman" w:eastAsiaTheme="minorHAnsi" w:hAnsi="Times New Roman"/>
          <w:sz w:val="20"/>
          <w:szCs w:val="20"/>
          <w:lang w:val="en-IN"/>
        </w:rPr>
      </w:pPr>
      <w:r>
        <w:rPr>
          <w:rFonts w:ascii="Times New Roman" w:eastAsiaTheme="minorHAnsi" w:hAnsi="Times New Roman"/>
          <w:sz w:val="20"/>
          <w:szCs w:val="20"/>
          <w:lang w:val="en-IN"/>
        </w:rPr>
        <w:t>Authors are thankful to School of Pharmaceutical S</w:t>
      </w:r>
      <w:r w:rsidR="00D443C1" w:rsidRPr="00D443C1">
        <w:rPr>
          <w:rFonts w:ascii="Times New Roman" w:eastAsiaTheme="minorHAnsi" w:hAnsi="Times New Roman"/>
          <w:sz w:val="20"/>
          <w:szCs w:val="20"/>
          <w:lang w:val="en-IN"/>
        </w:rPr>
        <w:t>ciences, Jaipur National University, Jaipur (Raj.) for providing necessary support and facility t</w:t>
      </w:r>
      <w:r w:rsidR="00667B24">
        <w:rPr>
          <w:rFonts w:ascii="Times New Roman" w:eastAsiaTheme="minorHAnsi" w:hAnsi="Times New Roman"/>
          <w:sz w:val="20"/>
          <w:szCs w:val="20"/>
          <w:lang w:val="en-IN"/>
        </w:rPr>
        <w:t>o carry out this research work.</w:t>
      </w:r>
    </w:p>
    <w:p w:rsidR="00DA0A11" w:rsidRPr="00250BB7" w:rsidRDefault="00066C5E" w:rsidP="00250BB7">
      <w:pPr>
        <w:spacing w:before="240" w:line="240" w:lineRule="auto"/>
        <w:jc w:val="center"/>
        <w:rPr>
          <w:rFonts w:ascii="Times New Roman" w:eastAsiaTheme="minorHAnsi" w:hAnsi="Times New Roman"/>
          <w:b/>
          <w:sz w:val="20"/>
          <w:szCs w:val="20"/>
          <w:lang w:val="en-IN"/>
        </w:rPr>
      </w:pPr>
      <w:r w:rsidRPr="00250BB7">
        <w:rPr>
          <w:rFonts w:ascii="Times New Roman" w:eastAsiaTheme="minorHAnsi" w:hAnsi="Times New Roman"/>
          <w:b/>
          <w:sz w:val="20"/>
          <w:szCs w:val="20"/>
          <w:lang w:val="en-IN"/>
        </w:rPr>
        <w:t>References</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noProof/>
          <w:sz w:val="20"/>
          <w:szCs w:val="20"/>
        </w:rPr>
        <w:t>Tiwari</w:t>
      </w:r>
      <w:r w:rsidR="00F11957" w:rsidRPr="00667B24">
        <w:rPr>
          <w:rFonts w:ascii="Times New Roman" w:hAnsi="Times New Roman"/>
          <w:noProof/>
          <w:sz w:val="20"/>
          <w:szCs w:val="20"/>
        </w:rPr>
        <w:t>,</w:t>
      </w:r>
      <w:r w:rsidRPr="00667B24">
        <w:rPr>
          <w:rFonts w:ascii="Times New Roman" w:hAnsi="Times New Roman"/>
          <w:noProof/>
          <w:sz w:val="20"/>
          <w:szCs w:val="20"/>
        </w:rPr>
        <w:t xml:space="preserve"> A</w:t>
      </w:r>
      <w:r w:rsidR="00F11957" w:rsidRPr="00667B24">
        <w:rPr>
          <w:rFonts w:ascii="Times New Roman" w:hAnsi="Times New Roman"/>
          <w:noProof/>
          <w:sz w:val="20"/>
          <w:szCs w:val="20"/>
        </w:rPr>
        <w:t xml:space="preserve">. </w:t>
      </w:r>
      <w:r w:rsidRPr="00667B24">
        <w:rPr>
          <w:rFonts w:ascii="Times New Roman" w:hAnsi="Times New Roman"/>
          <w:noProof/>
          <w:sz w:val="20"/>
          <w:szCs w:val="20"/>
        </w:rPr>
        <w:t>K.</w:t>
      </w:r>
      <w:r w:rsidR="001F55B1" w:rsidRPr="00667B24">
        <w:rPr>
          <w:rFonts w:ascii="Times New Roman" w:hAnsi="Times New Roman"/>
          <w:noProof/>
          <w:sz w:val="20"/>
          <w:szCs w:val="20"/>
        </w:rPr>
        <w:t xml:space="preserve"> (2001)</w:t>
      </w:r>
      <w:r w:rsidR="00B36073" w:rsidRPr="00667B24">
        <w:rPr>
          <w:rFonts w:ascii="Times New Roman" w:hAnsi="Times New Roman"/>
          <w:noProof/>
          <w:sz w:val="20"/>
          <w:szCs w:val="20"/>
        </w:rPr>
        <w:t>.</w:t>
      </w:r>
      <w:r w:rsidRPr="00667B24">
        <w:rPr>
          <w:rFonts w:ascii="Times New Roman" w:hAnsi="Times New Roman"/>
          <w:noProof/>
          <w:sz w:val="20"/>
          <w:szCs w:val="20"/>
        </w:rPr>
        <w:t xml:space="preserve"> Imbalance in antioxidant defence and human disease, multiple approach of natural antioxidants t</w:t>
      </w:r>
      <w:r w:rsidR="00F11957" w:rsidRPr="00667B24">
        <w:rPr>
          <w:rFonts w:ascii="Times New Roman" w:hAnsi="Times New Roman"/>
          <w:noProof/>
          <w:sz w:val="20"/>
          <w:szCs w:val="20"/>
        </w:rPr>
        <w:t xml:space="preserve">herapy. </w:t>
      </w:r>
      <w:r w:rsidR="00F11957" w:rsidRPr="00667B24">
        <w:rPr>
          <w:rFonts w:ascii="Times New Roman" w:hAnsi="Times New Roman"/>
          <w:i/>
          <w:noProof/>
          <w:sz w:val="20"/>
          <w:szCs w:val="20"/>
        </w:rPr>
        <w:t>Current  Science,</w:t>
      </w:r>
      <w:r w:rsidR="00F11957" w:rsidRPr="00667B24">
        <w:rPr>
          <w:rFonts w:ascii="Times New Roman" w:hAnsi="Times New Roman"/>
          <w:noProof/>
          <w:sz w:val="20"/>
          <w:szCs w:val="20"/>
        </w:rPr>
        <w:t xml:space="preserve"> 81(9):</w:t>
      </w:r>
      <w:r w:rsidRPr="00667B24">
        <w:rPr>
          <w:rFonts w:ascii="Times New Roman" w:hAnsi="Times New Roman"/>
          <w:noProof/>
          <w:sz w:val="20"/>
          <w:szCs w:val="20"/>
        </w:rPr>
        <w:t>1179-1187.</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noProof/>
          <w:sz w:val="20"/>
          <w:szCs w:val="20"/>
        </w:rPr>
        <w:t>Tiwari</w:t>
      </w:r>
      <w:r w:rsidR="00F11957" w:rsidRPr="00667B24">
        <w:rPr>
          <w:rFonts w:ascii="Times New Roman" w:hAnsi="Times New Roman"/>
          <w:noProof/>
          <w:sz w:val="20"/>
          <w:szCs w:val="20"/>
        </w:rPr>
        <w:t>,</w:t>
      </w:r>
      <w:r w:rsidRPr="00667B24">
        <w:rPr>
          <w:rFonts w:ascii="Times New Roman" w:hAnsi="Times New Roman"/>
          <w:noProof/>
          <w:sz w:val="20"/>
          <w:szCs w:val="20"/>
        </w:rPr>
        <w:t xml:space="preserve"> A</w:t>
      </w:r>
      <w:r w:rsidR="00F11957" w:rsidRPr="00667B24">
        <w:rPr>
          <w:rFonts w:ascii="Times New Roman" w:hAnsi="Times New Roman"/>
          <w:noProof/>
          <w:sz w:val="20"/>
          <w:szCs w:val="20"/>
        </w:rPr>
        <w:t xml:space="preserve">. </w:t>
      </w:r>
      <w:r w:rsidRPr="00667B24">
        <w:rPr>
          <w:rFonts w:ascii="Times New Roman" w:hAnsi="Times New Roman"/>
          <w:noProof/>
          <w:sz w:val="20"/>
          <w:szCs w:val="20"/>
        </w:rPr>
        <w:t xml:space="preserve">K. </w:t>
      </w:r>
      <w:r w:rsidR="00BE699E" w:rsidRPr="00667B24">
        <w:rPr>
          <w:rFonts w:ascii="Times New Roman" w:hAnsi="Times New Roman"/>
          <w:noProof/>
          <w:sz w:val="20"/>
          <w:szCs w:val="20"/>
        </w:rPr>
        <w:t>(2004)</w:t>
      </w:r>
      <w:r w:rsidR="00B36073" w:rsidRPr="00667B24">
        <w:rPr>
          <w:rFonts w:ascii="Times New Roman" w:hAnsi="Times New Roman"/>
          <w:noProof/>
          <w:sz w:val="20"/>
          <w:szCs w:val="20"/>
        </w:rPr>
        <w:t>.</w:t>
      </w:r>
      <w:r w:rsidR="00BE699E" w:rsidRPr="00667B24">
        <w:rPr>
          <w:rFonts w:ascii="Times New Roman" w:hAnsi="Times New Roman"/>
          <w:noProof/>
          <w:sz w:val="20"/>
          <w:szCs w:val="20"/>
        </w:rPr>
        <w:t xml:space="preserve"> </w:t>
      </w:r>
      <w:r w:rsidRPr="00667B24">
        <w:rPr>
          <w:rFonts w:ascii="Times New Roman" w:hAnsi="Times New Roman"/>
          <w:noProof/>
          <w:sz w:val="20"/>
          <w:szCs w:val="20"/>
        </w:rPr>
        <w:t>Antioxidants, new-generation therapeutic base for treatment of polygenic di</w:t>
      </w:r>
      <w:r w:rsidR="00F11957" w:rsidRPr="00667B24">
        <w:rPr>
          <w:rFonts w:ascii="Times New Roman" w:hAnsi="Times New Roman"/>
          <w:noProof/>
          <w:sz w:val="20"/>
          <w:szCs w:val="20"/>
        </w:rPr>
        <w:t xml:space="preserve">sorders. </w:t>
      </w:r>
      <w:r w:rsidR="00F11957" w:rsidRPr="00667B24">
        <w:rPr>
          <w:rFonts w:ascii="Times New Roman" w:hAnsi="Times New Roman"/>
          <w:i/>
          <w:noProof/>
          <w:sz w:val="20"/>
          <w:szCs w:val="20"/>
        </w:rPr>
        <w:t>Current Science</w:t>
      </w:r>
      <w:r w:rsidR="005F2685" w:rsidRPr="00667B24">
        <w:rPr>
          <w:rFonts w:ascii="Times New Roman" w:hAnsi="Times New Roman"/>
          <w:noProof/>
          <w:sz w:val="20"/>
          <w:szCs w:val="20"/>
        </w:rPr>
        <w:t>,</w:t>
      </w:r>
      <w:r w:rsidR="00F11957" w:rsidRPr="00667B24">
        <w:rPr>
          <w:rFonts w:ascii="Times New Roman" w:hAnsi="Times New Roman"/>
          <w:noProof/>
          <w:sz w:val="20"/>
          <w:szCs w:val="20"/>
        </w:rPr>
        <w:t xml:space="preserve"> 86(8):</w:t>
      </w:r>
      <w:r w:rsidRPr="00667B24">
        <w:rPr>
          <w:rFonts w:ascii="Times New Roman" w:hAnsi="Times New Roman"/>
          <w:noProof/>
          <w:sz w:val="20"/>
          <w:szCs w:val="20"/>
        </w:rPr>
        <w:t xml:space="preserve"> 1092-1102.</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noProof/>
          <w:sz w:val="20"/>
          <w:szCs w:val="20"/>
        </w:rPr>
        <w:t>Balz</w:t>
      </w:r>
      <w:r w:rsidR="00B36073" w:rsidRPr="00667B24">
        <w:rPr>
          <w:rFonts w:ascii="Times New Roman" w:hAnsi="Times New Roman"/>
          <w:noProof/>
          <w:sz w:val="20"/>
          <w:szCs w:val="20"/>
        </w:rPr>
        <w:t>,</w:t>
      </w:r>
      <w:r w:rsidRPr="00667B24">
        <w:rPr>
          <w:rFonts w:ascii="Times New Roman" w:hAnsi="Times New Roman"/>
          <w:noProof/>
          <w:sz w:val="20"/>
          <w:szCs w:val="20"/>
        </w:rPr>
        <w:t xml:space="preserve"> F. </w:t>
      </w:r>
      <w:r w:rsidR="006D23CE" w:rsidRPr="00667B24">
        <w:rPr>
          <w:rFonts w:ascii="Times New Roman" w:hAnsi="Times New Roman"/>
          <w:noProof/>
          <w:sz w:val="20"/>
          <w:szCs w:val="20"/>
        </w:rPr>
        <w:t>(1994)</w:t>
      </w:r>
      <w:r w:rsidR="00B36073" w:rsidRPr="00667B24">
        <w:rPr>
          <w:rFonts w:ascii="Times New Roman" w:hAnsi="Times New Roman"/>
          <w:noProof/>
          <w:sz w:val="20"/>
          <w:szCs w:val="20"/>
        </w:rPr>
        <w:t>.</w:t>
      </w:r>
      <w:r w:rsidR="006D23CE" w:rsidRPr="00667B24">
        <w:rPr>
          <w:rFonts w:ascii="Times New Roman" w:hAnsi="Times New Roman"/>
          <w:noProof/>
          <w:sz w:val="20"/>
          <w:szCs w:val="20"/>
        </w:rPr>
        <w:t xml:space="preserve"> </w:t>
      </w:r>
      <w:r w:rsidRPr="00667B24">
        <w:rPr>
          <w:rFonts w:ascii="Times New Roman" w:hAnsi="Times New Roman"/>
          <w:noProof/>
          <w:sz w:val="20"/>
          <w:szCs w:val="20"/>
        </w:rPr>
        <w:t xml:space="preserve">Molecular biological mechanisms of antioxidant action. </w:t>
      </w:r>
      <w:r w:rsidRPr="00667B24">
        <w:rPr>
          <w:rFonts w:ascii="Times New Roman" w:hAnsi="Times New Roman"/>
          <w:i/>
          <w:noProof/>
          <w:sz w:val="20"/>
          <w:szCs w:val="20"/>
        </w:rPr>
        <w:t>The FASEB Journal</w:t>
      </w:r>
      <w:r w:rsidR="00B36073" w:rsidRPr="00667B24">
        <w:rPr>
          <w:rFonts w:ascii="Times New Roman" w:hAnsi="Times New Roman"/>
          <w:noProof/>
          <w:sz w:val="20"/>
          <w:szCs w:val="20"/>
        </w:rPr>
        <w:t>,</w:t>
      </w:r>
      <w:r w:rsidRPr="00667B24">
        <w:rPr>
          <w:rFonts w:ascii="Times New Roman" w:hAnsi="Times New Roman"/>
          <w:noProof/>
          <w:sz w:val="20"/>
          <w:szCs w:val="20"/>
        </w:rPr>
        <w:t xml:space="preserve"> 13(9)</w:t>
      </w:r>
      <w:r w:rsidR="00B36073" w:rsidRPr="00667B24">
        <w:rPr>
          <w:rFonts w:ascii="Times New Roman" w:hAnsi="Times New Roman"/>
          <w:noProof/>
          <w:sz w:val="20"/>
          <w:szCs w:val="20"/>
        </w:rPr>
        <w:t>:</w:t>
      </w:r>
      <w:r w:rsidRPr="00667B24">
        <w:rPr>
          <w:rFonts w:ascii="Times New Roman" w:hAnsi="Times New Roman"/>
          <w:noProof/>
          <w:sz w:val="20"/>
          <w:szCs w:val="20"/>
        </w:rPr>
        <w:t xml:space="preserve"> 963-964.</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noProof/>
          <w:sz w:val="20"/>
          <w:szCs w:val="20"/>
        </w:rPr>
        <w:t>Byungpal</w:t>
      </w:r>
      <w:r w:rsidR="002C7A88" w:rsidRPr="00667B24">
        <w:rPr>
          <w:rFonts w:ascii="Times New Roman" w:hAnsi="Times New Roman"/>
          <w:noProof/>
          <w:sz w:val="20"/>
          <w:szCs w:val="20"/>
        </w:rPr>
        <w:t>,</w:t>
      </w:r>
      <w:r w:rsidRPr="00667B24">
        <w:rPr>
          <w:rFonts w:ascii="Times New Roman" w:hAnsi="Times New Roman"/>
          <w:noProof/>
          <w:sz w:val="20"/>
          <w:szCs w:val="20"/>
        </w:rPr>
        <w:t xml:space="preserve"> P</w:t>
      </w:r>
      <w:r w:rsidR="002C7A88" w:rsidRPr="00667B24">
        <w:rPr>
          <w:rFonts w:ascii="Times New Roman" w:hAnsi="Times New Roman"/>
          <w:noProof/>
          <w:sz w:val="20"/>
          <w:szCs w:val="20"/>
        </w:rPr>
        <w:t xml:space="preserve">. </w:t>
      </w:r>
      <w:r w:rsidRPr="00667B24">
        <w:rPr>
          <w:rFonts w:ascii="Times New Roman" w:hAnsi="Times New Roman"/>
          <w:noProof/>
          <w:sz w:val="20"/>
          <w:szCs w:val="20"/>
        </w:rPr>
        <w:t>Y.</w:t>
      </w:r>
      <w:r w:rsidR="008E1C49" w:rsidRPr="00667B24">
        <w:rPr>
          <w:rFonts w:ascii="Times New Roman" w:hAnsi="Times New Roman"/>
          <w:noProof/>
          <w:sz w:val="20"/>
          <w:szCs w:val="20"/>
        </w:rPr>
        <w:t xml:space="preserve"> (1994)</w:t>
      </w:r>
      <w:r w:rsidR="002C7A88" w:rsidRPr="00667B24">
        <w:rPr>
          <w:rFonts w:ascii="Times New Roman" w:hAnsi="Times New Roman"/>
          <w:noProof/>
          <w:sz w:val="20"/>
          <w:szCs w:val="20"/>
        </w:rPr>
        <w:t>.</w:t>
      </w:r>
      <w:r w:rsidRPr="00667B24">
        <w:rPr>
          <w:rFonts w:ascii="Times New Roman" w:hAnsi="Times New Roman"/>
          <w:noProof/>
          <w:sz w:val="20"/>
          <w:szCs w:val="20"/>
        </w:rPr>
        <w:t xml:space="preserve"> </w:t>
      </w:r>
      <w:proofErr w:type="gramStart"/>
      <w:r w:rsidRPr="00667B24">
        <w:rPr>
          <w:rFonts w:ascii="Times New Roman" w:hAnsi="Times New Roman"/>
          <w:bCs/>
          <w:sz w:val="20"/>
          <w:szCs w:val="20"/>
        </w:rPr>
        <w:t>Cellular defenses against damage from reactive oxygen species.</w:t>
      </w:r>
      <w:proofErr w:type="gramEnd"/>
      <w:r w:rsidRPr="00667B24">
        <w:rPr>
          <w:rFonts w:ascii="Times New Roman" w:hAnsi="Times New Roman"/>
          <w:bCs/>
          <w:sz w:val="20"/>
          <w:szCs w:val="20"/>
        </w:rPr>
        <w:t xml:space="preserve"> </w:t>
      </w:r>
      <w:r w:rsidRPr="00667B24">
        <w:rPr>
          <w:rFonts w:ascii="Times New Roman" w:hAnsi="Times New Roman"/>
          <w:i/>
          <w:noProof/>
          <w:sz w:val="20"/>
          <w:szCs w:val="20"/>
        </w:rPr>
        <w:t>Physiological Reviews</w:t>
      </w:r>
      <w:r w:rsidR="002C7A88" w:rsidRPr="00667B24">
        <w:rPr>
          <w:rFonts w:ascii="Times New Roman" w:hAnsi="Times New Roman"/>
          <w:noProof/>
          <w:sz w:val="20"/>
          <w:szCs w:val="20"/>
        </w:rPr>
        <w:t>,</w:t>
      </w:r>
      <w:r w:rsidRPr="00667B24">
        <w:rPr>
          <w:rFonts w:ascii="Times New Roman" w:hAnsi="Times New Roman"/>
          <w:noProof/>
          <w:sz w:val="20"/>
          <w:szCs w:val="20"/>
        </w:rPr>
        <w:t xml:space="preserve"> 74(1)</w:t>
      </w:r>
      <w:r w:rsidR="002C7A88" w:rsidRPr="00667B24">
        <w:rPr>
          <w:rFonts w:ascii="Times New Roman" w:hAnsi="Times New Roman"/>
          <w:noProof/>
          <w:sz w:val="20"/>
          <w:szCs w:val="20"/>
        </w:rPr>
        <w:t>:</w:t>
      </w:r>
      <w:r w:rsidRPr="00667B24">
        <w:rPr>
          <w:rFonts w:ascii="Times New Roman" w:hAnsi="Times New Roman"/>
          <w:noProof/>
          <w:sz w:val="20"/>
          <w:szCs w:val="20"/>
        </w:rPr>
        <w:t xml:space="preserve"> 139-162.</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noProof/>
          <w:sz w:val="20"/>
          <w:szCs w:val="20"/>
        </w:rPr>
        <w:t>Halliwell</w:t>
      </w:r>
      <w:r w:rsidR="005703BD" w:rsidRPr="00667B24">
        <w:rPr>
          <w:rFonts w:ascii="Times New Roman" w:hAnsi="Times New Roman"/>
          <w:noProof/>
          <w:sz w:val="20"/>
          <w:szCs w:val="20"/>
        </w:rPr>
        <w:t>,</w:t>
      </w:r>
      <w:r w:rsidRPr="00667B24">
        <w:rPr>
          <w:rFonts w:ascii="Times New Roman" w:hAnsi="Times New Roman"/>
          <w:noProof/>
          <w:sz w:val="20"/>
          <w:szCs w:val="20"/>
        </w:rPr>
        <w:t xml:space="preserve"> B</w:t>
      </w:r>
      <w:r w:rsidR="005703BD" w:rsidRPr="00667B24">
        <w:rPr>
          <w:rFonts w:ascii="Times New Roman" w:hAnsi="Times New Roman"/>
          <w:noProof/>
          <w:sz w:val="20"/>
          <w:szCs w:val="20"/>
        </w:rPr>
        <w:t>.</w:t>
      </w:r>
      <w:r w:rsidRPr="00667B24">
        <w:rPr>
          <w:rFonts w:ascii="Times New Roman" w:hAnsi="Times New Roman"/>
          <w:noProof/>
          <w:sz w:val="20"/>
          <w:szCs w:val="20"/>
        </w:rPr>
        <w:t>, Gutteridge</w:t>
      </w:r>
      <w:r w:rsidR="005703BD" w:rsidRPr="00667B24">
        <w:rPr>
          <w:rFonts w:ascii="Times New Roman" w:hAnsi="Times New Roman"/>
          <w:noProof/>
          <w:sz w:val="20"/>
          <w:szCs w:val="20"/>
        </w:rPr>
        <w:t>,</w:t>
      </w:r>
      <w:r w:rsidRPr="00667B24">
        <w:rPr>
          <w:rFonts w:ascii="Times New Roman" w:hAnsi="Times New Roman"/>
          <w:noProof/>
          <w:sz w:val="20"/>
          <w:szCs w:val="20"/>
        </w:rPr>
        <w:t xml:space="preserve"> J</w:t>
      </w:r>
      <w:r w:rsidR="005703BD" w:rsidRPr="00667B24">
        <w:rPr>
          <w:rFonts w:ascii="Times New Roman" w:hAnsi="Times New Roman"/>
          <w:noProof/>
          <w:sz w:val="20"/>
          <w:szCs w:val="20"/>
        </w:rPr>
        <w:t xml:space="preserve">. </w:t>
      </w:r>
      <w:r w:rsidRPr="00667B24">
        <w:rPr>
          <w:rFonts w:ascii="Times New Roman" w:hAnsi="Times New Roman"/>
          <w:noProof/>
          <w:sz w:val="20"/>
          <w:szCs w:val="20"/>
        </w:rPr>
        <w:t>M</w:t>
      </w:r>
      <w:r w:rsidR="005703BD" w:rsidRPr="00667B24">
        <w:rPr>
          <w:rFonts w:ascii="Times New Roman" w:hAnsi="Times New Roman"/>
          <w:noProof/>
          <w:sz w:val="20"/>
          <w:szCs w:val="20"/>
        </w:rPr>
        <w:t>. &amp;</w:t>
      </w:r>
      <w:r w:rsidRPr="00667B24">
        <w:rPr>
          <w:rFonts w:ascii="Times New Roman" w:hAnsi="Times New Roman"/>
          <w:noProof/>
          <w:sz w:val="20"/>
          <w:szCs w:val="20"/>
        </w:rPr>
        <w:t xml:space="preserve"> Cross</w:t>
      </w:r>
      <w:r w:rsidR="005703BD" w:rsidRPr="00667B24">
        <w:rPr>
          <w:rFonts w:ascii="Times New Roman" w:hAnsi="Times New Roman"/>
          <w:noProof/>
          <w:sz w:val="20"/>
          <w:szCs w:val="20"/>
        </w:rPr>
        <w:t>,</w:t>
      </w:r>
      <w:r w:rsidRPr="00667B24">
        <w:rPr>
          <w:rFonts w:ascii="Times New Roman" w:hAnsi="Times New Roman"/>
          <w:noProof/>
          <w:sz w:val="20"/>
          <w:szCs w:val="20"/>
        </w:rPr>
        <w:t xml:space="preserve"> C</w:t>
      </w:r>
      <w:r w:rsidR="005703BD" w:rsidRPr="00667B24">
        <w:rPr>
          <w:rFonts w:ascii="Times New Roman" w:hAnsi="Times New Roman"/>
          <w:noProof/>
          <w:sz w:val="20"/>
          <w:szCs w:val="20"/>
        </w:rPr>
        <w:t xml:space="preserve">. </w:t>
      </w:r>
      <w:r w:rsidRPr="00667B24">
        <w:rPr>
          <w:rFonts w:ascii="Times New Roman" w:hAnsi="Times New Roman"/>
          <w:noProof/>
          <w:sz w:val="20"/>
          <w:szCs w:val="20"/>
        </w:rPr>
        <w:t>E.</w:t>
      </w:r>
      <w:r w:rsidR="002A5A03" w:rsidRPr="00667B24">
        <w:rPr>
          <w:rFonts w:ascii="Times New Roman" w:hAnsi="Times New Roman"/>
          <w:noProof/>
          <w:sz w:val="20"/>
          <w:szCs w:val="20"/>
        </w:rPr>
        <w:t xml:space="preserve"> (1992)</w:t>
      </w:r>
      <w:r w:rsidR="005703BD" w:rsidRPr="00667B24">
        <w:rPr>
          <w:rFonts w:ascii="Times New Roman" w:hAnsi="Times New Roman"/>
          <w:noProof/>
          <w:sz w:val="20"/>
          <w:szCs w:val="20"/>
        </w:rPr>
        <w:t>.</w:t>
      </w:r>
      <w:r w:rsidR="002A5A03" w:rsidRPr="00667B24">
        <w:rPr>
          <w:rFonts w:ascii="Times New Roman" w:hAnsi="Times New Roman"/>
          <w:noProof/>
          <w:sz w:val="20"/>
          <w:szCs w:val="20"/>
        </w:rPr>
        <w:t xml:space="preserve"> </w:t>
      </w:r>
      <w:r w:rsidRPr="00667B24">
        <w:rPr>
          <w:rFonts w:ascii="Times New Roman" w:hAnsi="Times New Roman"/>
          <w:noProof/>
          <w:sz w:val="20"/>
          <w:szCs w:val="20"/>
        </w:rPr>
        <w:t xml:space="preserve"> Free radicals, antioxidants, and human disease: where are we now?  </w:t>
      </w:r>
      <w:r w:rsidR="00407A69" w:rsidRPr="00667B24">
        <w:rPr>
          <w:rFonts w:ascii="Times New Roman" w:hAnsi="Times New Roman"/>
          <w:i/>
          <w:noProof/>
          <w:sz w:val="20"/>
          <w:szCs w:val="20"/>
        </w:rPr>
        <w:t>The Journal of Labarotary and Clinical M</w:t>
      </w:r>
      <w:r w:rsidRPr="00667B24">
        <w:rPr>
          <w:rFonts w:ascii="Times New Roman" w:hAnsi="Times New Roman"/>
          <w:i/>
          <w:noProof/>
          <w:sz w:val="20"/>
          <w:szCs w:val="20"/>
        </w:rPr>
        <w:t>edicine</w:t>
      </w:r>
      <w:r w:rsidR="005703BD" w:rsidRPr="00667B24">
        <w:rPr>
          <w:rFonts w:ascii="Times New Roman" w:hAnsi="Times New Roman"/>
          <w:i/>
          <w:noProof/>
          <w:sz w:val="20"/>
          <w:szCs w:val="20"/>
        </w:rPr>
        <w:t xml:space="preserve">, </w:t>
      </w:r>
      <w:r w:rsidR="005703BD" w:rsidRPr="00667B24">
        <w:rPr>
          <w:rFonts w:ascii="Times New Roman" w:hAnsi="Times New Roman"/>
          <w:noProof/>
          <w:sz w:val="20"/>
          <w:szCs w:val="20"/>
        </w:rPr>
        <w:t xml:space="preserve"> 119(6):</w:t>
      </w:r>
      <w:r w:rsidRPr="00667B24">
        <w:rPr>
          <w:rFonts w:ascii="Times New Roman" w:hAnsi="Times New Roman"/>
          <w:noProof/>
          <w:sz w:val="20"/>
          <w:szCs w:val="20"/>
        </w:rPr>
        <w:t xml:space="preserve"> 598-620.</w:t>
      </w:r>
    </w:p>
    <w:p w:rsidR="00667B24" w:rsidRPr="00667B24" w:rsidRDefault="00FA14B4"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color w:val="000000"/>
          <w:sz w:val="20"/>
          <w:szCs w:val="20"/>
          <w:shd w:val="clear" w:color="auto" w:fill="FFFFFF"/>
        </w:rPr>
        <w:t>W</w:t>
      </w:r>
      <w:r w:rsidR="00DA0A11" w:rsidRPr="00667B24">
        <w:rPr>
          <w:rFonts w:ascii="Times New Roman" w:hAnsi="Times New Roman"/>
          <w:color w:val="000000"/>
          <w:sz w:val="20"/>
          <w:szCs w:val="20"/>
          <w:shd w:val="clear" w:color="auto" w:fill="FFFFFF"/>
        </w:rPr>
        <w:t>ei</w:t>
      </w:r>
      <w:r w:rsidR="00407A69" w:rsidRPr="00667B24">
        <w:rPr>
          <w:rFonts w:ascii="Times New Roman" w:hAnsi="Times New Roman"/>
          <w:color w:val="000000"/>
          <w:sz w:val="20"/>
          <w:szCs w:val="20"/>
          <w:shd w:val="clear" w:color="auto" w:fill="FFFFFF"/>
        </w:rPr>
        <w:t>,</w:t>
      </w:r>
      <w:r w:rsidR="00DA0A11" w:rsidRPr="00667B24">
        <w:rPr>
          <w:rFonts w:ascii="Times New Roman" w:hAnsi="Times New Roman"/>
          <w:bCs/>
          <w:color w:val="000000"/>
          <w:sz w:val="20"/>
          <w:szCs w:val="20"/>
          <w:shd w:val="clear" w:color="auto" w:fill="FFFFFF"/>
        </w:rPr>
        <w:t xml:space="preserve"> </w:t>
      </w:r>
      <w:r w:rsidRPr="00667B24">
        <w:rPr>
          <w:rFonts w:ascii="Times New Roman" w:hAnsi="Times New Roman"/>
          <w:color w:val="000000"/>
          <w:sz w:val="20"/>
          <w:szCs w:val="20"/>
          <w:shd w:val="clear" w:color="auto" w:fill="FFFFFF"/>
        </w:rPr>
        <w:t>B</w:t>
      </w:r>
      <w:r w:rsidR="00407A69" w:rsidRPr="00667B24">
        <w:rPr>
          <w:rFonts w:ascii="Times New Roman" w:hAnsi="Times New Roman"/>
          <w:color w:val="000000"/>
          <w:sz w:val="20"/>
          <w:szCs w:val="20"/>
          <w:shd w:val="clear" w:color="auto" w:fill="FFFFFF"/>
        </w:rPr>
        <w:t xml:space="preserve">. </w:t>
      </w:r>
      <w:r w:rsidRPr="00667B24">
        <w:rPr>
          <w:rFonts w:ascii="Times New Roman" w:hAnsi="Times New Roman"/>
          <w:color w:val="000000"/>
          <w:sz w:val="20"/>
          <w:szCs w:val="20"/>
          <w:shd w:val="clear" w:color="auto" w:fill="FFFFFF"/>
        </w:rPr>
        <w:t>N.</w:t>
      </w:r>
      <w:r w:rsidR="00A375D4" w:rsidRPr="00667B24">
        <w:rPr>
          <w:rFonts w:ascii="Times New Roman" w:hAnsi="Times New Roman"/>
          <w:color w:val="000000"/>
          <w:sz w:val="20"/>
          <w:szCs w:val="20"/>
          <w:shd w:val="clear" w:color="auto" w:fill="FFFFFF"/>
        </w:rPr>
        <w:t xml:space="preserve"> (2011)</w:t>
      </w:r>
      <w:r w:rsidR="00407A69" w:rsidRPr="00667B24">
        <w:rPr>
          <w:rFonts w:ascii="Times New Roman" w:hAnsi="Times New Roman"/>
          <w:color w:val="000000"/>
          <w:sz w:val="20"/>
          <w:szCs w:val="20"/>
          <w:shd w:val="clear" w:color="auto" w:fill="FFFFFF"/>
        </w:rPr>
        <w:t>.</w:t>
      </w:r>
      <w:r w:rsidR="00DA0A11" w:rsidRPr="00667B24">
        <w:rPr>
          <w:rFonts w:ascii="Times New Roman" w:hAnsi="Times New Roman"/>
          <w:bCs/>
          <w:color w:val="000000"/>
          <w:sz w:val="20"/>
          <w:szCs w:val="20"/>
          <w:shd w:val="clear" w:color="auto" w:fill="FFFFFF"/>
        </w:rPr>
        <w:t xml:space="preserve"> </w:t>
      </w:r>
      <w:proofErr w:type="spellStart"/>
      <w:r w:rsidR="00DA0A11" w:rsidRPr="00667B24">
        <w:rPr>
          <w:rFonts w:ascii="Times New Roman" w:hAnsi="Times New Roman"/>
          <w:bCs/>
          <w:color w:val="000000"/>
          <w:sz w:val="20"/>
          <w:szCs w:val="20"/>
          <w:shd w:val="clear" w:color="auto" w:fill="FFFFFF"/>
        </w:rPr>
        <w:t>Blainvillea</w:t>
      </w:r>
      <w:proofErr w:type="spellEnd"/>
      <w:r w:rsidR="00DA0A11" w:rsidRPr="00667B24">
        <w:rPr>
          <w:rFonts w:ascii="Times New Roman" w:hAnsi="Times New Roman"/>
          <w:bCs/>
          <w:color w:val="000000"/>
          <w:sz w:val="20"/>
          <w:szCs w:val="20"/>
          <w:shd w:val="clear" w:color="auto" w:fill="FFFFFF"/>
        </w:rPr>
        <w:t xml:space="preserve"> </w:t>
      </w:r>
      <w:proofErr w:type="spellStart"/>
      <w:r w:rsidR="00DA0A11" w:rsidRPr="00667B24">
        <w:rPr>
          <w:rFonts w:ascii="Times New Roman" w:hAnsi="Times New Roman"/>
          <w:bCs/>
          <w:color w:val="000000"/>
          <w:sz w:val="20"/>
          <w:szCs w:val="20"/>
          <w:shd w:val="clear" w:color="auto" w:fill="FFFFFF"/>
        </w:rPr>
        <w:t>acmella</w:t>
      </w:r>
      <w:proofErr w:type="spellEnd"/>
      <w:r w:rsidR="00DA0A11" w:rsidRPr="00667B24">
        <w:rPr>
          <w:rStyle w:val="apple-converted-space"/>
          <w:rFonts w:ascii="Times New Roman" w:hAnsi="Times New Roman"/>
          <w:color w:val="000000"/>
          <w:sz w:val="20"/>
          <w:szCs w:val="20"/>
          <w:shd w:val="clear" w:color="auto" w:fill="FFFFFF"/>
        </w:rPr>
        <w:t> </w:t>
      </w:r>
      <w:r w:rsidR="00DA0A11" w:rsidRPr="00667B24">
        <w:rPr>
          <w:rFonts w:ascii="Times New Roman" w:hAnsi="Times New Roman"/>
          <w:color w:val="000000"/>
          <w:sz w:val="20"/>
          <w:szCs w:val="20"/>
          <w:shd w:val="clear" w:color="auto" w:fill="FFFFFF"/>
        </w:rPr>
        <w:t xml:space="preserve">(Linnaeus) </w:t>
      </w:r>
      <w:proofErr w:type="spellStart"/>
      <w:r w:rsidR="00DA0A11" w:rsidRPr="00667B24">
        <w:rPr>
          <w:rFonts w:ascii="Times New Roman" w:hAnsi="Times New Roman"/>
          <w:color w:val="000000"/>
          <w:sz w:val="20"/>
          <w:szCs w:val="20"/>
          <w:shd w:val="clear" w:color="auto" w:fill="FFFFFF"/>
        </w:rPr>
        <w:t>Philipson</w:t>
      </w:r>
      <w:proofErr w:type="spellEnd"/>
      <w:r w:rsidR="00DA0A11" w:rsidRPr="00667B24">
        <w:rPr>
          <w:rFonts w:ascii="Times New Roman" w:hAnsi="Times New Roman"/>
          <w:color w:val="000000"/>
          <w:sz w:val="20"/>
          <w:szCs w:val="20"/>
          <w:shd w:val="clear" w:color="auto" w:fill="FFFFFF"/>
        </w:rPr>
        <w:t xml:space="preserve">, </w:t>
      </w:r>
      <w:r w:rsidRPr="00667B24">
        <w:rPr>
          <w:rFonts w:ascii="Times New Roman" w:hAnsi="Times New Roman"/>
          <w:i/>
          <w:color w:val="000000"/>
          <w:sz w:val="20"/>
          <w:szCs w:val="20"/>
          <w:shd w:val="clear" w:color="auto" w:fill="FFFFFF"/>
        </w:rPr>
        <w:t>Flora of China</w:t>
      </w:r>
      <w:r w:rsidR="00407A69" w:rsidRPr="00667B24">
        <w:rPr>
          <w:rFonts w:ascii="Times New Roman" w:hAnsi="Times New Roman"/>
          <w:color w:val="000000"/>
          <w:sz w:val="20"/>
          <w:szCs w:val="20"/>
          <w:shd w:val="clear" w:color="auto" w:fill="FFFFFF"/>
        </w:rPr>
        <w:t>,</w:t>
      </w:r>
      <w:r w:rsidR="00A375D4" w:rsidRPr="00667B24">
        <w:rPr>
          <w:rFonts w:ascii="Times New Roman" w:hAnsi="Times New Roman"/>
          <w:color w:val="000000"/>
          <w:sz w:val="20"/>
          <w:szCs w:val="20"/>
          <w:shd w:val="clear" w:color="auto" w:fill="FFFFFF"/>
        </w:rPr>
        <w:t xml:space="preserve"> </w:t>
      </w:r>
      <w:r w:rsidR="00407A69" w:rsidRPr="00667B24">
        <w:rPr>
          <w:rFonts w:ascii="Times New Roman" w:hAnsi="Times New Roman"/>
          <w:color w:val="000000"/>
          <w:sz w:val="20"/>
          <w:szCs w:val="20"/>
          <w:shd w:val="clear" w:color="auto" w:fill="FFFFFF"/>
        </w:rPr>
        <w:t>20-21:</w:t>
      </w:r>
      <w:r w:rsidRPr="00667B24">
        <w:rPr>
          <w:rFonts w:ascii="Times New Roman" w:hAnsi="Times New Roman"/>
          <w:color w:val="000000"/>
          <w:sz w:val="20"/>
          <w:szCs w:val="20"/>
          <w:shd w:val="clear" w:color="auto" w:fill="FFFFFF"/>
        </w:rPr>
        <w:t xml:space="preserve"> 868.</w:t>
      </w:r>
    </w:p>
    <w:p w:rsidR="00667B24" w:rsidRDefault="0042289B"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noProof/>
          <w:sz w:val="20"/>
          <w:szCs w:val="20"/>
        </w:rPr>
        <w:t>Singh</w:t>
      </w:r>
      <w:r w:rsidR="00274E05" w:rsidRPr="00667B24">
        <w:rPr>
          <w:rFonts w:ascii="Times New Roman" w:hAnsi="Times New Roman"/>
          <w:noProof/>
          <w:sz w:val="20"/>
          <w:szCs w:val="20"/>
        </w:rPr>
        <w:t>, P.,</w:t>
      </w:r>
      <w:r w:rsidRPr="00667B24">
        <w:rPr>
          <w:rFonts w:ascii="Times New Roman" w:hAnsi="Times New Roman"/>
          <w:noProof/>
          <w:sz w:val="20"/>
          <w:szCs w:val="20"/>
        </w:rPr>
        <w:t xml:space="preserve"> Sharma</w:t>
      </w:r>
      <w:r w:rsidR="00274E05" w:rsidRPr="00667B24">
        <w:rPr>
          <w:rFonts w:ascii="Times New Roman" w:hAnsi="Times New Roman"/>
          <w:noProof/>
          <w:sz w:val="20"/>
          <w:szCs w:val="20"/>
        </w:rPr>
        <w:t>,</w:t>
      </w:r>
      <w:r w:rsidRPr="00667B24">
        <w:rPr>
          <w:rFonts w:ascii="Times New Roman" w:hAnsi="Times New Roman"/>
          <w:noProof/>
          <w:sz w:val="20"/>
          <w:szCs w:val="20"/>
        </w:rPr>
        <w:t xml:space="preserve"> A</w:t>
      </w:r>
      <w:r w:rsidR="00274E05" w:rsidRPr="00667B24">
        <w:rPr>
          <w:rFonts w:ascii="Times New Roman" w:hAnsi="Times New Roman"/>
          <w:noProof/>
          <w:sz w:val="20"/>
          <w:szCs w:val="20"/>
        </w:rPr>
        <w:t xml:space="preserve">. </w:t>
      </w:r>
      <w:r w:rsidRPr="00667B24">
        <w:rPr>
          <w:rFonts w:ascii="Times New Roman" w:hAnsi="Times New Roman"/>
          <w:noProof/>
          <w:sz w:val="20"/>
          <w:szCs w:val="20"/>
        </w:rPr>
        <w:t>K</w:t>
      </w:r>
      <w:r w:rsidR="00274E05" w:rsidRPr="00667B24">
        <w:rPr>
          <w:rFonts w:ascii="Times New Roman" w:hAnsi="Times New Roman"/>
          <w:noProof/>
          <w:sz w:val="20"/>
          <w:szCs w:val="20"/>
        </w:rPr>
        <w:t>.</w:t>
      </w:r>
      <w:r w:rsidR="00DA0A11" w:rsidRPr="00667B24">
        <w:rPr>
          <w:rFonts w:ascii="Times New Roman" w:hAnsi="Times New Roman"/>
          <w:noProof/>
          <w:sz w:val="20"/>
          <w:szCs w:val="20"/>
        </w:rPr>
        <w:t>, Joshi</w:t>
      </w:r>
      <w:r w:rsidR="00274E05" w:rsidRPr="00667B24">
        <w:rPr>
          <w:rFonts w:ascii="Times New Roman" w:hAnsi="Times New Roman"/>
          <w:noProof/>
          <w:sz w:val="20"/>
          <w:szCs w:val="20"/>
        </w:rPr>
        <w:t>,</w:t>
      </w:r>
      <w:r w:rsidRPr="00667B24">
        <w:rPr>
          <w:rFonts w:ascii="Times New Roman" w:hAnsi="Times New Roman"/>
          <w:noProof/>
          <w:sz w:val="20"/>
          <w:szCs w:val="20"/>
        </w:rPr>
        <w:t xml:space="preserve"> K</w:t>
      </w:r>
      <w:r w:rsidR="00274E05" w:rsidRPr="00667B24">
        <w:rPr>
          <w:rFonts w:ascii="Times New Roman" w:hAnsi="Times New Roman"/>
          <w:noProof/>
          <w:sz w:val="20"/>
          <w:szCs w:val="20"/>
        </w:rPr>
        <w:t xml:space="preserve">. </w:t>
      </w:r>
      <w:r w:rsidRPr="00667B24">
        <w:rPr>
          <w:rFonts w:ascii="Times New Roman" w:hAnsi="Times New Roman"/>
          <w:noProof/>
          <w:sz w:val="20"/>
          <w:szCs w:val="20"/>
        </w:rPr>
        <w:t>C</w:t>
      </w:r>
      <w:r w:rsidR="00274E05" w:rsidRPr="00667B24">
        <w:rPr>
          <w:rFonts w:ascii="Times New Roman" w:hAnsi="Times New Roman"/>
          <w:noProof/>
          <w:sz w:val="20"/>
          <w:szCs w:val="20"/>
        </w:rPr>
        <w:t>.</w:t>
      </w:r>
      <w:r w:rsidRPr="00667B24">
        <w:rPr>
          <w:rFonts w:ascii="Times New Roman" w:hAnsi="Times New Roman"/>
          <w:noProof/>
          <w:sz w:val="20"/>
          <w:szCs w:val="20"/>
        </w:rPr>
        <w:t>, Jakupovic</w:t>
      </w:r>
      <w:r w:rsidR="00274E05" w:rsidRPr="00667B24">
        <w:rPr>
          <w:rFonts w:ascii="Times New Roman" w:hAnsi="Times New Roman"/>
          <w:noProof/>
          <w:sz w:val="20"/>
          <w:szCs w:val="20"/>
        </w:rPr>
        <w:t>, J. &amp;</w:t>
      </w:r>
      <w:r w:rsidRPr="00667B24">
        <w:rPr>
          <w:rFonts w:ascii="Times New Roman" w:hAnsi="Times New Roman"/>
          <w:noProof/>
          <w:sz w:val="20"/>
          <w:szCs w:val="20"/>
        </w:rPr>
        <w:t xml:space="preserve"> Bohlmann</w:t>
      </w:r>
      <w:r w:rsidR="00274E05" w:rsidRPr="00667B24">
        <w:rPr>
          <w:rFonts w:ascii="Times New Roman" w:hAnsi="Times New Roman"/>
          <w:noProof/>
          <w:sz w:val="20"/>
          <w:szCs w:val="20"/>
        </w:rPr>
        <w:t>,</w:t>
      </w:r>
      <w:r w:rsidRPr="00667B24">
        <w:rPr>
          <w:rFonts w:ascii="Times New Roman" w:hAnsi="Times New Roman"/>
          <w:noProof/>
          <w:sz w:val="20"/>
          <w:szCs w:val="20"/>
        </w:rPr>
        <w:t xml:space="preserve"> F.</w:t>
      </w:r>
      <w:r w:rsidR="00F928DC" w:rsidRPr="00667B24">
        <w:rPr>
          <w:rFonts w:ascii="Times New Roman" w:hAnsi="Times New Roman"/>
          <w:noProof/>
          <w:sz w:val="20"/>
          <w:szCs w:val="20"/>
        </w:rPr>
        <w:t xml:space="preserve"> (1985)</w:t>
      </w:r>
      <w:r w:rsidR="00274E05" w:rsidRPr="00667B24">
        <w:rPr>
          <w:rFonts w:ascii="Times New Roman" w:hAnsi="Times New Roman"/>
          <w:noProof/>
          <w:sz w:val="20"/>
          <w:szCs w:val="20"/>
        </w:rPr>
        <w:t>.</w:t>
      </w:r>
      <w:r w:rsidR="00DA0A11" w:rsidRPr="00667B24">
        <w:rPr>
          <w:rFonts w:ascii="Times New Roman" w:hAnsi="Times New Roman"/>
          <w:noProof/>
          <w:sz w:val="20"/>
          <w:szCs w:val="20"/>
        </w:rPr>
        <w:t xml:space="preserve"> Acanthospermolides and other constituents from </w:t>
      </w:r>
      <w:r w:rsidR="00DA0A11" w:rsidRPr="00667B24">
        <w:rPr>
          <w:rFonts w:ascii="Times New Roman" w:hAnsi="Times New Roman"/>
          <w:i/>
          <w:noProof/>
          <w:sz w:val="20"/>
          <w:szCs w:val="20"/>
        </w:rPr>
        <w:t>Blainvillea acmella</w:t>
      </w:r>
      <w:r w:rsidR="00DA0A11" w:rsidRPr="00667B24">
        <w:rPr>
          <w:rFonts w:ascii="Times New Roman" w:hAnsi="Times New Roman"/>
          <w:noProof/>
          <w:sz w:val="20"/>
          <w:szCs w:val="20"/>
        </w:rPr>
        <w:t xml:space="preserve">. </w:t>
      </w:r>
      <w:r w:rsidR="00DA0A11" w:rsidRPr="00667B24">
        <w:rPr>
          <w:rFonts w:ascii="Times New Roman" w:hAnsi="Times New Roman"/>
          <w:i/>
          <w:noProof/>
          <w:sz w:val="20"/>
          <w:szCs w:val="20"/>
        </w:rPr>
        <w:t>Phytochemistry</w:t>
      </w:r>
      <w:r w:rsidR="00274E05" w:rsidRPr="00667B24">
        <w:rPr>
          <w:rFonts w:ascii="Times New Roman" w:hAnsi="Times New Roman"/>
          <w:i/>
          <w:noProof/>
          <w:sz w:val="20"/>
          <w:szCs w:val="20"/>
        </w:rPr>
        <w:t>,</w:t>
      </w:r>
      <w:r w:rsidR="00274E05" w:rsidRPr="00667B24">
        <w:rPr>
          <w:rFonts w:ascii="Times New Roman" w:hAnsi="Times New Roman"/>
          <w:noProof/>
          <w:sz w:val="20"/>
          <w:szCs w:val="20"/>
        </w:rPr>
        <w:t xml:space="preserve"> 24(9):</w:t>
      </w:r>
      <w:r w:rsidR="00DA0A11" w:rsidRPr="00667B24">
        <w:rPr>
          <w:rFonts w:ascii="Times New Roman" w:hAnsi="Times New Roman"/>
          <w:noProof/>
          <w:sz w:val="20"/>
          <w:szCs w:val="20"/>
        </w:rPr>
        <w:t xml:space="preserve"> 2023-2028.</w:t>
      </w:r>
    </w:p>
    <w:p w:rsidR="00667B24" w:rsidRDefault="0074626C"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noProof/>
          <w:sz w:val="20"/>
          <w:szCs w:val="20"/>
        </w:rPr>
        <w:t>Kshirsagar</w:t>
      </w:r>
      <w:r w:rsidR="00B77721" w:rsidRPr="00667B24">
        <w:rPr>
          <w:rFonts w:ascii="Times New Roman" w:hAnsi="Times New Roman"/>
          <w:noProof/>
          <w:sz w:val="20"/>
          <w:szCs w:val="20"/>
        </w:rPr>
        <w:t>,</w:t>
      </w:r>
      <w:r w:rsidRPr="00667B24">
        <w:rPr>
          <w:rFonts w:ascii="Times New Roman" w:hAnsi="Times New Roman"/>
          <w:noProof/>
          <w:sz w:val="20"/>
          <w:szCs w:val="20"/>
        </w:rPr>
        <w:t xml:space="preserve"> R</w:t>
      </w:r>
      <w:r w:rsidR="00B77721" w:rsidRPr="00667B24">
        <w:rPr>
          <w:rFonts w:ascii="Times New Roman" w:hAnsi="Times New Roman"/>
          <w:noProof/>
          <w:sz w:val="20"/>
          <w:szCs w:val="20"/>
        </w:rPr>
        <w:t xml:space="preserve">. </w:t>
      </w:r>
      <w:r w:rsidRPr="00667B24">
        <w:rPr>
          <w:rFonts w:ascii="Times New Roman" w:hAnsi="Times New Roman"/>
          <w:noProof/>
          <w:sz w:val="20"/>
          <w:szCs w:val="20"/>
        </w:rPr>
        <w:t>D</w:t>
      </w:r>
      <w:r w:rsidR="00B77721" w:rsidRPr="00667B24">
        <w:rPr>
          <w:rFonts w:ascii="Times New Roman" w:hAnsi="Times New Roman"/>
          <w:noProof/>
          <w:sz w:val="20"/>
          <w:szCs w:val="20"/>
        </w:rPr>
        <w:t>. &amp;</w:t>
      </w:r>
      <w:r w:rsidRPr="00667B24">
        <w:rPr>
          <w:rFonts w:ascii="Times New Roman" w:hAnsi="Times New Roman"/>
          <w:noProof/>
          <w:sz w:val="20"/>
          <w:szCs w:val="20"/>
        </w:rPr>
        <w:t xml:space="preserve"> Singh</w:t>
      </w:r>
      <w:r w:rsidR="00B77721" w:rsidRPr="00667B24">
        <w:rPr>
          <w:rFonts w:ascii="Times New Roman" w:hAnsi="Times New Roman"/>
          <w:noProof/>
          <w:sz w:val="20"/>
          <w:szCs w:val="20"/>
        </w:rPr>
        <w:t>,</w:t>
      </w:r>
      <w:r w:rsidRPr="00667B24">
        <w:rPr>
          <w:rFonts w:ascii="Times New Roman" w:hAnsi="Times New Roman"/>
          <w:noProof/>
          <w:sz w:val="20"/>
          <w:szCs w:val="20"/>
        </w:rPr>
        <w:t xml:space="preserve"> N</w:t>
      </w:r>
      <w:r w:rsidR="00B77721" w:rsidRPr="00667B24">
        <w:rPr>
          <w:rFonts w:ascii="Times New Roman" w:hAnsi="Times New Roman"/>
          <w:noProof/>
          <w:sz w:val="20"/>
          <w:szCs w:val="20"/>
        </w:rPr>
        <w:t xml:space="preserve">. </w:t>
      </w:r>
      <w:r w:rsidRPr="00667B24">
        <w:rPr>
          <w:rFonts w:ascii="Times New Roman" w:hAnsi="Times New Roman"/>
          <w:noProof/>
          <w:sz w:val="20"/>
          <w:szCs w:val="20"/>
        </w:rPr>
        <w:t>P.</w:t>
      </w:r>
      <w:r w:rsidR="00BF16CB" w:rsidRPr="00667B24">
        <w:rPr>
          <w:rFonts w:ascii="Times New Roman" w:hAnsi="Times New Roman"/>
          <w:noProof/>
          <w:sz w:val="20"/>
          <w:szCs w:val="20"/>
        </w:rPr>
        <w:t xml:space="preserve"> (2001)</w:t>
      </w:r>
      <w:r w:rsidR="00B77721" w:rsidRPr="00667B24">
        <w:rPr>
          <w:rFonts w:ascii="Times New Roman" w:hAnsi="Times New Roman"/>
          <w:noProof/>
          <w:sz w:val="20"/>
          <w:szCs w:val="20"/>
        </w:rPr>
        <w:t>.</w:t>
      </w:r>
      <w:r w:rsidR="00DA0A11" w:rsidRPr="00667B24">
        <w:rPr>
          <w:rFonts w:ascii="Times New Roman" w:hAnsi="Times New Roman"/>
          <w:noProof/>
          <w:sz w:val="20"/>
          <w:szCs w:val="20"/>
        </w:rPr>
        <w:t xml:space="preserve"> Some less known ethnomedicinal uses from Mysore and Coorg, districts, Karnataka, Southern India. </w:t>
      </w:r>
      <w:r w:rsidR="00DA0A11" w:rsidRPr="00667B24">
        <w:rPr>
          <w:rFonts w:ascii="Times New Roman" w:hAnsi="Times New Roman"/>
          <w:i/>
          <w:noProof/>
          <w:sz w:val="20"/>
          <w:szCs w:val="20"/>
        </w:rPr>
        <w:t>Ancient Science of Life</w:t>
      </w:r>
      <w:r w:rsidR="00B77721" w:rsidRPr="00667B24">
        <w:rPr>
          <w:rFonts w:ascii="Times New Roman" w:hAnsi="Times New Roman"/>
          <w:noProof/>
          <w:sz w:val="20"/>
          <w:szCs w:val="20"/>
        </w:rPr>
        <w:t>,</w:t>
      </w:r>
      <w:r w:rsidRPr="00667B24">
        <w:rPr>
          <w:rFonts w:ascii="Times New Roman" w:hAnsi="Times New Roman"/>
          <w:noProof/>
          <w:sz w:val="20"/>
          <w:szCs w:val="20"/>
        </w:rPr>
        <w:t xml:space="preserve"> </w:t>
      </w:r>
      <w:r w:rsidR="00B77721" w:rsidRPr="00667B24">
        <w:rPr>
          <w:rFonts w:ascii="Times New Roman" w:hAnsi="Times New Roman"/>
          <w:noProof/>
          <w:sz w:val="20"/>
          <w:szCs w:val="20"/>
        </w:rPr>
        <w:t>20(3):</w:t>
      </w:r>
      <w:r w:rsidR="00DA0A11" w:rsidRPr="00667B24">
        <w:rPr>
          <w:rFonts w:ascii="Times New Roman" w:hAnsi="Times New Roman"/>
          <w:noProof/>
          <w:sz w:val="20"/>
          <w:szCs w:val="20"/>
        </w:rPr>
        <w:t>20-25.</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hAnsi="Times New Roman"/>
          <w:sz w:val="20"/>
          <w:szCs w:val="20"/>
        </w:rPr>
        <w:t>Saraf</w:t>
      </w:r>
      <w:proofErr w:type="spellEnd"/>
      <w:r w:rsidR="00422AA3" w:rsidRPr="00667B24">
        <w:rPr>
          <w:rFonts w:ascii="Times New Roman" w:hAnsi="Times New Roman"/>
          <w:sz w:val="20"/>
          <w:szCs w:val="20"/>
        </w:rPr>
        <w:t>,</w:t>
      </w:r>
      <w:r w:rsidR="00EE4C8D" w:rsidRPr="00667B24">
        <w:rPr>
          <w:rFonts w:ascii="Times New Roman" w:hAnsi="Times New Roman"/>
          <w:sz w:val="20"/>
          <w:szCs w:val="20"/>
        </w:rPr>
        <w:t xml:space="preserve"> D</w:t>
      </w:r>
      <w:r w:rsidR="00422AA3" w:rsidRPr="00667B24">
        <w:rPr>
          <w:rFonts w:ascii="Times New Roman" w:hAnsi="Times New Roman"/>
          <w:sz w:val="20"/>
          <w:szCs w:val="20"/>
        </w:rPr>
        <w:t xml:space="preserve">. </w:t>
      </w:r>
      <w:r w:rsidR="00EE4C8D" w:rsidRPr="00667B24">
        <w:rPr>
          <w:rFonts w:ascii="Times New Roman" w:hAnsi="Times New Roman"/>
          <w:sz w:val="20"/>
          <w:szCs w:val="20"/>
        </w:rPr>
        <w:t>K</w:t>
      </w:r>
      <w:r w:rsidR="00422AA3" w:rsidRPr="00667B24">
        <w:rPr>
          <w:rFonts w:ascii="Times New Roman" w:hAnsi="Times New Roman"/>
          <w:sz w:val="20"/>
          <w:szCs w:val="20"/>
        </w:rPr>
        <w:t>. &amp;</w:t>
      </w:r>
      <w:r w:rsidRPr="00667B24">
        <w:rPr>
          <w:rFonts w:ascii="Times New Roman" w:hAnsi="Times New Roman"/>
          <w:sz w:val="20"/>
          <w:szCs w:val="20"/>
        </w:rPr>
        <w:t xml:space="preserve"> Dixit</w:t>
      </w:r>
      <w:r w:rsidR="00422AA3" w:rsidRPr="00667B24">
        <w:rPr>
          <w:rFonts w:ascii="Times New Roman" w:hAnsi="Times New Roman"/>
          <w:sz w:val="20"/>
          <w:szCs w:val="20"/>
        </w:rPr>
        <w:t>,</w:t>
      </w:r>
      <w:r w:rsidR="00EE4C8D" w:rsidRPr="00667B24">
        <w:rPr>
          <w:rFonts w:ascii="Times New Roman" w:hAnsi="Times New Roman"/>
          <w:sz w:val="20"/>
          <w:szCs w:val="20"/>
        </w:rPr>
        <w:t xml:space="preserve"> V</w:t>
      </w:r>
      <w:r w:rsidR="00422AA3" w:rsidRPr="00667B24">
        <w:rPr>
          <w:rFonts w:ascii="Times New Roman" w:hAnsi="Times New Roman"/>
          <w:sz w:val="20"/>
          <w:szCs w:val="20"/>
        </w:rPr>
        <w:t xml:space="preserve">. </w:t>
      </w:r>
      <w:r w:rsidR="00EE4C8D" w:rsidRPr="00667B24">
        <w:rPr>
          <w:rFonts w:ascii="Times New Roman" w:hAnsi="Times New Roman"/>
          <w:sz w:val="20"/>
          <w:szCs w:val="20"/>
        </w:rPr>
        <w:t>K</w:t>
      </w:r>
      <w:r w:rsidRPr="00667B24">
        <w:rPr>
          <w:rFonts w:ascii="Times New Roman" w:hAnsi="Times New Roman"/>
          <w:sz w:val="20"/>
          <w:szCs w:val="20"/>
        </w:rPr>
        <w:t>.</w:t>
      </w:r>
      <w:r w:rsidR="002B4E42" w:rsidRPr="00667B24">
        <w:rPr>
          <w:rFonts w:ascii="Times New Roman" w:hAnsi="Times New Roman"/>
          <w:sz w:val="20"/>
          <w:szCs w:val="20"/>
        </w:rPr>
        <w:t xml:space="preserve"> (2002)</w:t>
      </w:r>
      <w:r w:rsidR="00422AA3" w:rsidRPr="00667B24">
        <w:rPr>
          <w:rFonts w:ascii="Times New Roman" w:hAnsi="Times New Roman"/>
          <w:sz w:val="20"/>
          <w:szCs w:val="20"/>
        </w:rPr>
        <w:t>.</w:t>
      </w:r>
      <w:r w:rsidRPr="00667B24">
        <w:rPr>
          <w:rFonts w:ascii="Times New Roman" w:hAnsi="Times New Roman"/>
          <w:sz w:val="20"/>
          <w:szCs w:val="20"/>
        </w:rPr>
        <w:t xml:space="preserve"> </w:t>
      </w:r>
      <w:proofErr w:type="spellStart"/>
      <w:proofErr w:type="gramStart"/>
      <w:r w:rsidRPr="00667B24">
        <w:rPr>
          <w:rFonts w:ascii="Times New Roman" w:hAnsi="Times New Roman"/>
          <w:sz w:val="20"/>
          <w:szCs w:val="20"/>
        </w:rPr>
        <w:t>Spilanthes</w:t>
      </w:r>
      <w:proofErr w:type="spellEnd"/>
      <w:r w:rsidRPr="00667B24">
        <w:rPr>
          <w:rFonts w:ascii="Times New Roman" w:hAnsi="Times New Roman"/>
          <w:sz w:val="20"/>
          <w:szCs w:val="20"/>
        </w:rPr>
        <w:t xml:space="preserve"> </w:t>
      </w:r>
      <w:proofErr w:type="spellStart"/>
      <w:r w:rsidRPr="00667B24">
        <w:rPr>
          <w:rFonts w:ascii="Times New Roman" w:hAnsi="Times New Roman"/>
          <w:sz w:val="20"/>
          <w:szCs w:val="20"/>
        </w:rPr>
        <w:t>acmella</w:t>
      </w:r>
      <w:proofErr w:type="spellEnd"/>
      <w:r w:rsidRPr="00667B24">
        <w:rPr>
          <w:rFonts w:ascii="Times New Roman" w:hAnsi="Times New Roman"/>
          <w:sz w:val="20"/>
          <w:szCs w:val="20"/>
        </w:rPr>
        <w:t xml:space="preserve"> </w:t>
      </w:r>
      <w:proofErr w:type="spellStart"/>
      <w:r w:rsidRPr="00667B24">
        <w:rPr>
          <w:rFonts w:ascii="Times New Roman" w:hAnsi="Times New Roman"/>
          <w:sz w:val="20"/>
          <w:szCs w:val="20"/>
        </w:rPr>
        <w:t>Murr</w:t>
      </w:r>
      <w:proofErr w:type="spellEnd"/>
      <w:r w:rsidRPr="00667B24">
        <w:rPr>
          <w:rFonts w:ascii="Times New Roman" w:hAnsi="Times New Roman"/>
          <w:sz w:val="20"/>
          <w:szCs w:val="20"/>
        </w:rPr>
        <w:t>.</w:t>
      </w:r>
      <w:proofErr w:type="gramEnd"/>
      <w:r w:rsidRPr="00667B24">
        <w:rPr>
          <w:rFonts w:ascii="Times New Roman" w:hAnsi="Times New Roman"/>
          <w:sz w:val="20"/>
          <w:szCs w:val="20"/>
        </w:rPr>
        <w:t xml:space="preserve"> : Study on Its Extract </w:t>
      </w:r>
      <w:proofErr w:type="spellStart"/>
      <w:r w:rsidRPr="00667B24">
        <w:rPr>
          <w:rFonts w:ascii="Times New Roman" w:hAnsi="Times New Roman"/>
          <w:sz w:val="20"/>
          <w:szCs w:val="20"/>
        </w:rPr>
        <w:t>Spilanthol</w:t>
      </w:r>
      <w:proofErr w:type="spellEnd"/>
      <w:r w:rsidRPr="00667B24">
        <w:rPr>
          <w:rFonts w:ascii="Times New Roman" w:hAnsi="Times New Roman"/>
          <w:sz w:val="20"/>
          <w:szCs w:val="20"/>
        </w:rPr>
        <w:t xml:space="preserve"> as </w:t>
      </w:r>
      <w:proofErr w:type="spellStart"/>
      <w:r w:rsidRPr="00667B24">
        <w:rPr>
          <w:rFonts w:ascii="Times New Roman" w:hAnsi="Times New Roman"/>
          <w:sz w:val="20"/>
          <w:szCs w:val="20"/>
        </w:rPr>
        <w:t>Larvicidal</w:t>
      </w:r>
      <w:proofErr w:type="spellEnd"/>
      <w:r w:rsidRPr="00667B24">
        <w:rPr>
          <w:rFonts w:ascii="Times New Roman" w:hAnsi="Times New Roman"/>
          <w:sz w:val="20"/>
          <w:szCs w:val="20"/>
        </w:rPr>
        <w:t xml:space="preserve"> Compound. </w:t>
      </w:r>
      <w:r w:rsidR="00422AA3" w:rsidRPr="00667B24">
        <w:rPr>
          <w:rFonts w:ascii="Times New Roman" w:hAnsi="Times New Roman"/>
          <w:i/>
          <w:sz w:val="20"/>
          <w:szCs w:val="20"/>
        </w:rPr>
        <w:t xml:space="preserve">Asian Journal </w:t>
      </w:r>
      <w:r w:rsidR="00A26F8E" w:rsidRPr="00667B24">
        <w:rPr>
          <w:rFonts w:ascii="Times New Roman" w:hAnsi="Times New Roman"/>
          <w:i/>
          <w:sz w:val="20"/>
          <w:szCs w:val="20"/>
        </w:rPr>
        <w:t>of Experimental</w:t>
      </w:r>
      <w:r w:rsidRPr="00667B24">
        <w:rPr>
          <w:rFonts w:ascii="Times New Roman" w:hAnsi="Times New Roman"/>
          <w:i/>
          <w:sz w:val="20"/>
          <w:szCs w:val="20"/>
        </w:rPr>
        <w:t xml:space="preserve"> Sc</w:t>
      </w:r>
      <w:r w:rsidR="00422AA3" w:rsidRPr="00667B24">
        <w:rPr>
          <w:rFonts w:ascii="Times New Roman" w:hAnsi="Times New Roman"/>
          <w:i/>
          <w:sz w:val="20"/>
          <w:szCs w:val="20"/>
        </w:rPr>
        <w:t>iences,</w:t>
      </w:r>
      <w:r w:rsidR="00422AA3" w:rsidRPr="00667B24">
        <w:rPr>
          <w:rFonts w:ascii="Times New Roman" w:hAnsi="Times New Roman"/>
          <w:sz w:val="20"/>
          <w:szCs w:val="20"/>
        </w:rPr>
        <w:t xml:space="preserve"> 16</w:t>
      </w:r>
      <w:r w:rsidRPr="00667B24">
        <w:rPr>
          <w:rFonts w:ascii="Times New Roman" w:hAnsi="Times New Roman"/>
          <w:sz w:val="20"/>
          <w:szCs w:val="20"/>
        </w:rPr>
        <w:t>(1-2): 9-19.</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hAnsi="Times New Roman"/>
          <w:sz w:val="20"/>
          <w:szCs w:val="20"/>
        </w:rPr>
        <w:lastRenderedPageBreak/>
        <w:t>Ratnasooriya</w:t>
      </w:r>
      <w:proofErr w:type="spellEnd"/>
      <w:r w:rsidR="00A26F8E" w:rsidRPr="00667B24">
        <w:rPr>
          <w:rFonts w:ascii="Times New Roman" w:hAnsi="Times New Roman"/>
          <w:sz w:val="20"/>
          <w:szCs w:val="20"/>
        </w:rPr>
        <w:t>,</w:t>
      </w:r>
      <w:r w:rsidRPr="00667B24">
        <w:rPr>
          <w:rFonts w:ascii="Times New Roman" w:hAnsi="Times New Roman"/>
          <w:sz w:val="20"/>
          <w:szCs w:val="20"/>
        </w:rPr>
        <w:t xml:space="preserve"> W</w:t>
      </w:r>
      <w:r w:rsidR="0030484B" w:rsidRPr="00667B24">
        <w:rPr>
          <w:rFonts w:ascii="Times New Roman" w:hAnsi="Times New Roman"/>
          <w:sz w:val="20"/>
          <w:szCs w:val="20"/>
        </w:rPr>
        <w:t xml:space="preserve">. </w:t>
      </w:r>
      <w:r w:rsidRPr="00667B24">
        <w:rPr>
          <w:rFonts w:ascii="Times New Roman" w:hAnsi="Times New Roman"/>
          <w:sz w:val="20"/>
          <w:szCs w:val="20"/>
        </w:rPr>
        <w:t>D</w:t>
      </w:r>
      <w:r w:rsidR="0030484B" w:rsidRPr="00667B24">
        <w:rPr>
          <w:rFonts w:ascii="Times New Roman" w:hAnsi="Times New Roman"/>
          <w:sz w:val="20"/>
          <w:szCs w:val="20"/>
        </w:rPr>
        <w:t>.</w:t>
      </w:r>
      <w:r w:rsidRPr="00667B24">
        <w:rPr>
          <w:rFonts w:ascii="Times New Roman" w:hAnsi="Times New Roman"/>
          <w:sz w:val="20"/>
          <w:szCs w:val="20"/>
        </w:rPr>
        <w:t xml:space="preserve">, </w:t>
      </w:r>
      <w:proofErr w:type="spellStart"/>
      <w:r w:rsidRPr="00667B24">
        <w:rPr>
          <w:rFonts w:ascii="Times New Roman" w:hAnsi="Times New Roman"/>
          <w:sz w:val="20"/>
          <w:szCs w:val="20"/>
        </w:rPr>
        <w:t>Pieris</w:t>
      </w:r>
      <w:proofErr w:type="spellEnd"/>
      <w:r w:rsidR="0030484B" w:rsidRPr="00667B24">
        <w:rPr>
          <w:rFonts w:ascii="Times New Roman" w:hAnsi="Times New Roman"/>
          <w:sz w:val="20"/>
          <w:szCs w:val="20"/>
        </w:rPr>
        <w:t>,</w:t>
      </w:r>
      <w:r w:rsidRPr="00667B24">
        <w:rPr>
          <w:rFonts w:ascii="Times New Roman" w:hAnsi="Times New Roman"/>
          <w:sz w:val="20"/>
          <w:szCs w:val="20"/>
        </w:rPr>
        <w:t xml:space="preserve"> K</w:t>
      </w:r>
      <w:r w:rsidR="0030484B" w:rsidRPr="00667B24">
        <w:rPr>
          <w:rFonts w:ascii="Times New Roman" w:hAnsi="Times New Roman"/>
          <w:sz w:val="20"/>
          <w:szCs w:val="20"/>
        </w:rPr>
        <w:t xml:space="preserve">. </w:t>
      </w:r>
      <w:r w:rsidRPr="00667B24">
        <w:rPr>
          <w:rFonts w:ascii="Times New Roman" w:hAnsi="Times New Roman"/>
          <w:sz w:val="20"/>
          <w:szCs w:val="20"/>
        </w:rPr>
        <w:t>P</w:t>
      </w:r>
      <w:r w:rsidR="0030484B" w:rsidRPr="00667B24">
        <w:rPr>
          <w:rFonts w:ascii="Times New Roman" w:hAnsi="Times New Roman"/>
          <w:sz w:val="20"/>
          <w:szCs w:val="20"/>
        </w:rPr>
        <w:t>.</w:t>
      </w:r>
      <w:r w:rsidRPr="00667B24">
        <w:rPr>
          <w:rFonts w:ascii="Times New Roman" w:hAnsi="Times New Roman"/>
          <w:sz w:val="20"/>
          <w:szCs w:val="20"/>
        </w:rPr>
        <w:t xml:space="preserve">, </w:t>
      </w:r>
      <w:proofErr w:type="spellStart"/>
      <w:r w:rsidRPr="00667B24">
        <w:rPr>
          <w:rFonts w:ascii="Times New Roman" w:hAnsi="Times New Roman"/>
          <w:sz w:val="20"/>
          <w:szCs w:val="20"/>
        </w:rPr>
        <w:t>Samaratunga</w:t>
      </w:r>
      <w:proofErr w:type="spellEnd"/>
      <w:r w:rsidR="0030484B" w:rsidRPr="00667B24">
        <w:rPr>
          <w:rFonts w:ascii="Times New Roman" w:hAnsi="Times New Roman"/>
          <w:sz w:val="20"/>
          <w:szCs w:val="20"/>
        </w:rPr>
        <w:t>,</w:t>
      </w:r>
      <w:r w:rsidRPr="00667B24">
        <w:rPr>
          <w:rFonts w:ascii="Times New Roman" w:hAnsi="Times New Roman"/>
          <w:sz w:val="20"/>
          <w:szCs w:val="20"/>
        </w:rPr>
        <w:t xml:space="preserve"> U</w:t>
      </w:r>
      <w:r w:rsidR="0030484B" w:rsidRPr="00667B24">
        <w:rPr>
          <w:rFonts w:ascii="Times New Roman" w:hAnsi="Times New Roman"/>
          <w:sz w:val="20"/>
          <w:szCs w:val="20"/>
        </w:rPr>
        <w:t>. &amp;</w:t>
      </w:r>
      <w:r w:rsidRPr="00667B24">
        <w:rPr>
          <w:rFonts w:ascii="Times New Roman" w:hAnsi="Times New Roman"/>
          <w:sz w:val="20"/>
          <w:szCs w:val="20"/>
        </w:rPr>
        <w:t xml:space="preserve"> </w:t>
      </w:r>
      <w:proofErr w:type="spellStart"/>
      <w:r w:rsidRPr="00667B24">
        <w:rPr>
          <w:rFonts w:ascii="Times New Roman" w:hAnsi="Times New Roman"/>
          <w:sz w:val="20"/>
          <w:szCs w:val="20"/>
        </w:rPr>
        <w:t>Jayakody</w:t>
      </w:r>
      <w:proofErr w:type="spellEnd"/>
      <w:r w:rsidR="0030484B" w:rsidRPr="00667B24">
        <w:rPr>
          <w:rFonts w:ascii="Times New Roman" w:hAnsi="Times New Roman"/>
          <w:sz w:val="20"/>
          <w:szCs w:val="20"/>
        </w:rPr>
        <w:t>,</w:t>
      </w:r>
      <w:r w:rsidRPr="00667B24">
        <w:rPr>
          <w:rFonts w:ascii="Times New Roman" w:hAnsi="Times New Roman"/>
          <w:sz w:val="20"/>
          <w:szCs w:val="20"/>
        </w:rPr>
        <w:t xml:space="preserve"> J</w:t>
      </w:r>
      <w:r w:rsidR="0030484B" w:rsidRPr="00667B24">
        <w:rPr>
          <w:rFonts w:ascii="Times New Roman" w:hAnsi="Times New Roman"/>
          <w:sz w:val="20"/>
          <w:szCs w:val="20"/>
        </w:rPr>
        <w:t xml:space="preserve">. </w:t>
      </w:r>
      <w:r w:rsidRPr="00667B24">
        <w:rPr>
          <w:rFonts w:ascii="Times New Roman" w:hAnsi="Times New Roman"/>
          <w:sz w:val="20"/>
          <w:szCs w:val="20"/>
        </w:rPr>
        <w:t>R.</w:t>
      </w:r>
      <w:r w:rsidR="00C6373B" w:rsidRPr="00667B24">
        <w:rPr>
          <w:rFonts w:ascii="Times New Roman" w:hAnsi="Times New Roman"/>
          <w:sz w:val="20"/>
          <w:szCs w:val="20"/>
        </w:rPr>
        <w:t xml:space="preserve"> (2004)</w:t>
      </w:r>
      <w:r w:rsidR="0030484B" w:rsidRPr="00667B24">
        <w:rPr>
          <w:rFonts w:ascii="Times New Roman" w:hAnsi="Times New Roman"/>
          <w:sz w:val="20"/>
          <w:szCs w:val="20"/>
        </w:rPr>
        <w:t>.</w:t>
      </w:r>
      <w:r w:rsidRPr="00667B24">
        <w:rPr>
          <w:rFonts w:ascii="Times New Roman" w:hAnsi="Times New Roman"/>
          <w:sz w:val="20"/>
          <w:szCs w:val="20"/>
        </w:rPr>
        <w:t xml:space="preserve"> Diuretic activity of </w:t>
      </w:r>
      <w:proofErr w:type="spellStart"/>
      <w:r w:rsidRPr="00667B24">
        <w:rPr>
          <w:rFonts w:ascii="Times New Roman" w:hAnsi="Times New Roman"/>
          <w:sz w:val="20"/>
          <w:szCs w:val="20"/>
        </w:rPr>
        <w:t>Spilanthes</w:t>
      </w:r>
      <w:proofErr w:type="spellEnd"/>
      <w:r w:rsidRPr="00667B24">
        <w:rPr>
          <w:rFonts w:ascii="Times New Roman" w:hAnsi="Times New Roman"/>
          <w:sz w:val="20"/>
          <w:szCs w:val="20"/>
        </w:rPr>
        <w:t xml:space="preserve"> </w:t>
      </w:r>
      <w:proofErr w:type="spellStart"/>
      <w:r w:rsidRPr="00667B24">
        <w:rPr>
          <w:rFonts w:ascii="Times New Roman" w:hAnsi="Times New Roman"/>
          <w:sz w:val="20"/>
          <w:szCs w:val="20"/>
        </w:rPr>
        <w:t>acmella</w:t>
      </w:r>
      <w:proofErr w:type="spellEnd"/>
      <w:r w:rsidRPr="00667B24">
        <w:rPr>
          <w:rFonts w:ascii="Times New Roman" w:hAnsi="Times New Roman"/>
          <w:sz w:val="20"/>
          <w:szCs w:val="20"/>
        </w:rPr>
        <w:t xml:space="preserve"> flowers in rats. </w:t>
      </w:r>
      <w:r w:rsidRPr="00667B24">
        <w:rPr>
          <w:rFonts w:ascii="Times New Roman" w:hAnsi="Times New Roman"/>
          <w:i/>
          <w:sz w:val="20"/>
          <w:szCs w:val="20"/>
        </w:rPr>
        <w:t>J</w:t>
      </w:r>
      <w:r w:rsidR="0030484B" w:rsidRPr="00667B24">
        <w:rPr>
          <w:rFonts w:ascii="Times New Roman" w:hAnsi="Times New Roman"/>
          <w:i/>
          <w:sz w:val="20"/>
          <w:szCs w:val="20"/>
        </w:rPr>
        <w:t>ournal of</w:t>
      </w:r>
      <w:r w:rsidRPr="00667B24">
        <w:rPr>
          <w:rFonts w:ascii="Times New Roman" w:hAnsi="Times New Roman"/>
          <w:i/>
          <w:sz w:val="20"/>
          <w:szCs w:val="20"/>
        </w:rPr>
        <w:t xml:space="preserve"> </w:t>
      </w:r>
      <w:proofErr w:type="spellStart"/>
      <w:r w:rsidRPr="00667B24">
        <w:rPr>
          <w:rFonts w:ascii="Times New Roman" w:hAnsi="Times New Roman"/>
          <w:i/>
          <w:sz w:val="20"/>
          <w:szCs w:val="20"/>
        </w:rPr>
        <w:t>Ethnopharmacol</w:t>
      </w:r>
      <w:r w:rsidR="0030484B" w:rsidRPr="00667B24">
        <w:rPr>
          <w:rFonts w:ascii="Times New Roman" w:hAnsi="Times New Roman"/>
          <w:i/>
          <w:sz w:val="20"/>
          <w:szCs w:val="20"/>
        </w:rPr>
        <w:t>ogy</w:t>
      </w:r>
      <w:proofErr w:type="spellEnd"/>
      <w:r w:rsidR="0030484B" w:rsidRPr="00667B24">
        <w:rPr>
          <w:rFonts w:ascii="Times New Roman" w:hAnsi="Times New Roman"/>
          <w:i/>
          <w:sz w:val="20"/>
          <w:szCs w:val="20"/>
        </w:rPr>
        <w:t>,</w:t>
      </w:r>
      <w:r w:rsidRPr="00667B24">
        <w:rPr>
          <w:rFonts w:ascii="Times New Roman" w:hAnsi="Times New Roman"/>
          <w:sz w:val="20"/>
          <w:szCs w:val="20"/>
        </w:rPr>
        <w:t xml:space="preserve"> 91(2-3): 317-</w:t>
      </w:r>
      <w:r w:rsidR="0030484B" w:rsidRPr="00667B24">
        <w:rPr>
          <w:rFonts w:ascii="Times New Roman" w:hAnsi="Times New Roman"/>
          <w:sz w:val="20"/>
          <w:szCs w:val="20"/>
        </w:rPr>
        <w:t>3</w:t>
      </w:r>
      <w:r w:rsidRPr="00667B24">
        <w:rPr>
          <w:rFonts w:ascii="Times New Roman" w:hAnsi="Times New Roman"/>
          <w:sz w:val="20"/>
          <w:szCs w:val="20"/>
        </w:rPr>
        <w:t>20.</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r w:rsidRPr="00667B24">
        <w:rPr>
          <w:rFonts w:ascii="Times New Roman" w:hAnsi="Times New Roman"/>
          <w:sz w:val="20"/>
          <w:szCs w:val="20"/>
        </w:rPr>
        <w:t>Rani</w:t>
      </w:r>
      <w:r w:rsidR="00527C75" w:rsidRPr="00667B24">
        <w:rPr>
          <w:rFonts w:ascii="Times New Roman" w:hAnsi="Times New Roman"/>
          <w:sz w:val="20"/>
          <w:szCs w:val="20"/>
        </w:rPr>
        <w:t>,</w:t>
      </w:r>
      <w:r w:rsidRPr="00667B24">
        <w:rPr>
          <w:rFonts w:ascii="Times New Roman" w:hAnsi="Times New Roman"/>
          <w:sz w:val="20"/>
          <w:szCs w:val="20"/>
        </w:rPr>
        <w:t xml:space="preserve"> S</w:t>
      </w:r>
      <w:r w:rsidR="00527C75" w:rsidRPr="00667B24">
        <w:rPr>
          <w:rFonts w:ascii="Times New Roman" w:hAnsi="Times New Roman"/>
          <w:sz w:val="20"/>
          <w:szCs w:val="20"/>
        </w:rPr>
        <w:t xml:space="preserve">. </w:t>
      </w:r>
      <w:r w:rsidRPr="00667B24">
        <w:rPr>
          <w:rFonts w:ascii="Times New Roman" w:hAnsi="Times New Roman"/>
          <w:sz w:val="20"/>
          <w:szCs w:val="20"/>
        </w:rPr>
        <w:t>A</w:t>
      </w:r>
      <w:r w:rsidR="00527C75" w:rsidRPr="00667B24">
        <w:rPr>
          <w:rFonts w:ascii="Times New Roman" w:hAnsi="Times New Roman"/>
          <w:sz w:val="20"/>
          <w:szCs w:val="20"/>
        </w:rPr>
        <w:t>. &amp;</w:t>
      </w:r>
      <w:r w:rsidRPr="00667B24">
        <w:rPr>
          <w:rFonts w:ascii="Times New Roman" w:hAnsi="Times New Roman"/>
          <w:sz w:val="20"/>
          <w:szCs w:val="20"/>
        </w:rPr>
        <w:t xml:space="preserve"> </w:t>
      </w:r>
      <w:proofErr w:type="spellStart"/>
      <w:r w:rsidRPr="00667B24">
        <w:rPr>
          <w:rFonts w:ascii="Times New Roman" w:hAnsi="Times New Roman"/>
          <w:sz w:val="20"/>
          <w:szCs w:val="20"/>
        </w:rPr>
        <w:t>Murty</w:t>
      </w:r>
      <w:proofErr w:type="spellEnd"/>
      <w:r w:rsidR="00527C75" w:rsidRPr="00667B24">
        <w:rPr>
          <w:rFonts w:ascii="Times New Roman" w:hAnsi="Times New Roman"/>
          <w:sz w:val="20"/>
          <w:szCs w:val="20"/>
        </w:rPr>
        <w:t>,</w:t>
      </w:r>
      <w:r w:rsidRPr="00667B24">
        <w:rPr>
          <w:rFonts w:ascii="Times New Roman" w:hAnsi="Times New Roman"/>
          <w:sz w:val="20"/>
          <w:szCs w:val="20"/>
        </w:rPr>
        <w:t xml:space="preserve"> S</w:t>
      </w:r>
      <w:r w:rsidR="00527C75" w:rsidRPr="00667B24">
        <w:rPr>
          <w:rFonts w:ascii="Times New Roman" w:hAnsi="Times New Roman"/>
          <w:sz w:val="20"/>
          <w:szCs w:val="20"/>
        </w:rPr>
        <w:t xml:space="preserve">. </w:t>
      </w:r>
      <w:r w:rsidRPr="00667B24">
        <w:rPr>
          <w:rFonts w:ascii="Times New Roman" w:hAnsi="Times New Roman"/>
          <w:sz w:val="20"/>
          <w:szCs w:val="20"/>
        </w:rPr>
        <w:t xml:space="preserve">U. </w:t>
      </w:r>
      <w:r w:rsidR="00C6373B" w:rsidRPr="00667B24">
        <w:rPr>
          <w:rFonts w:ascii="Times New Roman" w:hAnsi="Times New Roman"/>
          <w:sz w:val="20"/>
          <w:szCs w:val="20"/>
        </w:rPr>
        <w:t>(2006)</w:t>
      </w:r>
      <w:r w:rsidR="00527C75" w:rsidRPr="00667B24">
        <w:rPr>
          <w:rFonts w:ascii="Times New Roman" w:hAnsi="Times New Roman"/>
          <w:sz w:val="20"/>
          <w:szCs w:val="20"/>
        </w:rPr>
        <w:t>.</w:t>
      </w:r>
      <w:r w:rsidR="00C6373B" w:rsidRPr="00667B24">
        <w:rPr>
          <w:rFonts w:ascii="Times New Roman" w:hAnsi="Times New Roman"/>
          <w:sz w:val="20"/>
          <w:szCs w:val="20"/>
        </w:rPr>
        <w:t xml:space="preserve"> </w:t>
      </w:r>
      <w:r w:rsidRPr="00667B24">
        <w:rPr>
          <w:rFonts w:ascii="Times New Roman" w:hAnsi="Times New Roman"/>
          <w:sz w:val="20"/>
          <w:szCs w:val="20"/>
        </w:rPr>
        <w:t xml:space="preserve">Antifungal potential of flower head extract of </w:t>
      </w:r>
      <w:proofErr w:type="spellStart"/>
      <w:r w:rsidRPr="00667B24">
        <w:rPr>
          <w:rFonts w:ascii="Times New Roman" w:hAnsi="Times New Roman"/>
          <w:sz w:val="20"/>
          <w:szCs w:val="20"/>
        </w:rPr>
        <w:t>Spilanthes</w:t>
      </w:r>
      <w:proofErr w:type="spellEnd"/>
      <w:r w:rsidRPr="00667B24">
        <w:rPr>
          <w:rFonts w:ascii="Times New Roman" w:hAnsi="Times New Roman"/>
          <w:sz w:val="20"/>
          <w:szCs w:val="20"/>
        </w:rPr>
        <w:t xml:space="preserve"> </w:t>
      </w:r>
      <w:proofErr w:type="spellStart"/>
      <w:r w:rsidRPr="00667B24">
        <w:rPr>
          <w:rFonts w:ascii="Times New Roman" w:hAnsi="Times New Roman"/>
          <w:sz w:val="20"/>
          <w:szCs w:val="20"/>
        </w:rPr>
        <w:t>acmella</w:t>
      </w:r>
      <w:proofErr w:type="spellEnd"/>
      <w:r w:rsidRPr="00667B24">
        <w:rPr>
          <w:rFonts w:ascii="Times New Roman" w:hAnsi="Times New Roman"/>
          <w:sz w:val="20"/>
          <w:szCs w:val="20"/>
        </w:rPr>
        <w:t xml:space="preserve"> Linn.</w:t>
      </w:r>
      <w:r w:rsidR="00527C75" w:rsidRPr="00667B24">
        <w:rPr>
          <w:rFonts w:ascii="Times New Roman" w:hAnsi="Times New Roman"/>
          <w:sz w:val="20"/>
          <w:szCs w:val="20"/>
        </w:rPr>
        <w:t xml:space="preserve"> </w:t>
      </w:r>
      <w:r w:rsidRPr="00667B24">
        <w:rPr>
          <w:rFonts w:ascii="Times New Roman" w:hAnsi="Times New Roman"/>
          <w:i/>
          <w:sz w:val="20"/>
          <w:szCs w:val="20"/>
        </w:rPr>
        <w:t>African Journal of Biomedical Research</w:t>
      </w:r>
      <w:r w:rsidR="00527C75" w:rsidRPr="00667B24">
        <w:rPr>
          <w:rFonts w:ascii="Times New Roman" w:hAnsi="Times New Roman"/>
          <w:sz w:val="20"/>
          <w:szCs w:val="20"/>
        </w:rPr>
        <w:t>,</w:t>
      </w:r>
      <w:r w:rsidRPr="00667B24">
        <w:rPr>
          <w:rFonts w:ascii="Times New Roman" w:hAnsi="Times New Roman"/>
          <w:sz w:val="20"/>
          <w:szCs w:val="20"/>
        </w:rPr>
        <w:t xml:space="preserve"> 9: 67-69.</w:t>
      </w:r>
    </w:p>
    <w:p w:rsidR="00667B24" w:rsidRDefault="00C6373B"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hAnsi="Times New Roman"/>
          <w:sz w:val="20"/>
          <w:szCs w:val="20"/>
        </w:rPr>
        <w:t>Chakraborty</w:t>
      </w:r>
      <w:proofErr w:type="spellEnd"/>
      <w:r w:rsidR="00527C75" w:rsidRPr="00667B24">
        <w:rPr>
          <w:rFonts w:ascii="Times New Roman" w:hAnsi="Times New Roman"/>
          <w:sz w:val="20"/>
          <w:szCs w:val="20"/>
        </w:rPr>
        <w:t>,</w:t>
      </w:r>
      <w:r w:rsidRPr="00667B24">
        <w:rPr>
          <w:rFonts w:ascii="Times New Roman" w:hAnsi="Times New Roman"/>
          <w:sz w:val="20"/>
          <w:szCs w:val="20"/>
        </w:rPr>
        <w:t xml:space="preserve"> A</w:t>
      </w:r>
      <w:r w:rsidR="00527C75" w:rsidRPr="00667B24">
        <w:rPr>
          <w:rFonts w:ascii="Times New Roman" w:hAnsi="Times New Roman"/>
          <w:sz w:val="20"/>
          <w:szCs w:val="20"/>
        </w:rPr>
        <w:t>.</w:t>
      </w:r>
      <w:r w:rsidRPr="00667B24">
        <w:rPr>
          <w:rFonts w:ascii="Times New Roman" w:hAnsi="Times New Roman"/>
          <w:sz w:val="20"/>
          <w:szCs w:val="20"/>
        </w:rPr>
        <w:t xml:space="preserve">, </w:t>
      </w:r>
      <w:r w:rsidR="00DA0A11" w:rsidRPr="00667B24">
        <w:rPr>
          <w:rFonts w:ascii="Times New Roman" w:hAnsi="Times New Roman"/>
          <w:sz w:val="20"/>
          <w:szCs w:val="20"/>
        </w:rPr>
        <w:t>Devi</w:t>
      </w:r>
      <w:r w:rsidR="00527C75" w:rsidRPr="00667B24">
        <w:rPr>
          <w:rFonts w:ascii="Times New Roman" w:hAnsi="Times New Roman"/>
          <w:sz w:val="20"/>
          <w:szCs w:val="20"/>
        </w:rPr>
        <w:t>,</w:t>
      </w:r>
      <w:r w:rsidR="00DA0A11" w:rsidRPr="00667B24">
        <w:rPr>
          <w:rFonts w:ascii="Times New Roman" w:hAnsi="Times New Roman"/>
          <w:sz w:val="20"/>
          <w:szCs w:val="20"/>
        </w:rPr>
        <w:t xml:space="preserve"> B</w:t>
      </w:r>
      <w:r w:rsidR="00527C75" w:rsidRPr="00667B24">
        <w:rPr>
          <w:rFonts w:ascii="Times New Roman" w:hAnsi="Times New Roman"/>
          <w:sz w:val="20"/>
          <w:szCs w:val="20"/>
        </w:rPr>
        <w:t xml:space="preserve">. </w:t>
      </w:r>
      <w:r w:rsidR="00DA0A11" w:rsidRPr="00667B24">
        <w:rPr>
          <w:rFonts w:ascii="Times New Roman" w:hAnsi="Times New Roman"/>
          <w:sz w:val="20"/>
          <w:szCs w:val="20"/>
        </w:rPr>
        <w:t>R</w:t>
      </w:r>
      <w:r w:rsidR="00527C75" w:rsidRPr="00667B24">
        <w:rPr>
          <w:rFonts w:ascii="Times New Roman" w:hAnsi="Times New Roman"/>
          <w:sz w:val="20"/>
          <w:szCs w:val="20"/>
        </w:rPr>
        <w:t>.</w:t>
      </w:r>
      <w:r w:rsidR="00DA0A11" w:rsidRPr="00667B24">
        <w:rPr>
          <w:rFonts w:ascii="Times New Roman" w:hAnsi="Times New Roman"/>
          <w:sz w:val="20"/>
          <w:szCs w:val="20"/>
        </w:rPr>
        <w:t xml:space="preserve">, </w:t>
      </w:r>
      <w:proofErr w:type="spellStart"/>
      <w:r w:rsidR="00DA0A11" w:rsidRPr="00667B24">
        <w:rPr>
          <w:rFonts w:ascii="Times New Roman" w:hAnsi="Times New Roman"/>
          <w:sz w:val="20"/>
          <w:szCs w:val="20"/>
        </w:rPr>
        <w:t>Sanjebam</w:t>
      </w:r>
      <w:proofErr w:type="spellEnd"/>
      <w:r w:rsidR="00527C75" w:rsidRPr="00667B24">
        <w:rPr>
          <w:rFonts w:ascii="Times New Roman" w:hAnsi="Times New Roman"/>
          <w:sz w:val="20"/>
          <w:szCs w:val="20"/>
        </w:rPr>
        <w:t xml:space="preserve">, </w:t>
      </w:r>
      <w:r w:rsidR="00DA0A11" w:rsidRPr="00667B24">
        <w:rPr>
          <w:rFonts w:ascii="Times New Roman" w:hAnsi="Times New Roman"/>
          <w:sz w:val="20"/>
          <w:szCs w:val="20"/>
        </w:rPr>
        <w:t>R</w:t>
      </w:r>
      <w:r w:rsidR="00527C75" w:rsidRPr="00667B24">
        <w:rPr>
          <w:rFonts w:ascii="Times New Roman" w:hAnsi="Times New Roman"/>
          <w:sz w:val="20"/>
          <w:szCs w:val="20"/>
        </w:rPr>
        <w:t>.</w:t>
      </w:r>
      <w:proofErr w:type="gramStart"/>
      <w:r w:rsidR="00DA0A11" w:rsidRPr="00667B24">
        <w:rPr>
          <w:rFonts w:ascii="Times New Roman" w:hAnsi="Times New Roman"/>
          <w:sz w:val="20"/>
          <w:szCs w:val="20"/>
        </w:rPr>
        <w:t xml:space="preserve">,  </w:t>
      </w:r>
      <w:proofErr w:type="spellStart"/>
      <w:r w:rsidR="00DA0A11" w:rsidRPr="00667B24">
        <w:rPr>
          <w:rFonts w:ascii="Times New Roman" w:hAnsi="Times New Roman"/>
          <w:sz w:val="20"/>
          <w:szCs w:val="20"/>
        </w:rPr>
        <w:t>Khumbong</w:t>
      </w:r>
      <w:proofErr w:type="spellEnd"/>
      <w:proofErr w:type="gramEnd"/>
      <w:r w:rsidR="00527C75" w:rsidRPr="00667B24">
        <w:rPr>
          <w:rFonts w:ascii="Times New Roman" w:hAnsi="Times New Roman"/>
          <w:sz w:val="20"/>
          <w:szCs w:val="20"/>
        </w:rPr>
        <w:t>,</w:t>
      </w:r>
      <w:r w:rsidR="00DA0A11" w:rsidRPr="00667B24">
        <w:rPr>
          <w:rFonts w:ascii="Times New Roman" w:hAnsi="Times New Roman"/>
          <w:sz w:val="20"/>
          <w:szCs w:val="20"/>
        </w:rPr>
        <w:t xml:space="preserve"> S</w:t>
      </w:r>
      <w:r w:rsidR="00527C75" w:rsidRPr="00667B24">
        <w:rPr>
          <w:rFonts w:ascii="Times New Roman" w:hAnsi="Times New Roman"/>
          <w:sz w:val="20"/>
          <w:szCs w:val="20"/>
        </w:rPr>
        <w:t>. &amp;</w:t>
      </w:r>
      <w:r w:rsidR="00DA0A11" w:rsidRPr="00667B24">
        <w:rPr>
          <w:rFonts w:ascii="Times New Roman" w:hAnsi="Times New Roman"/>
          <w:sz w:val="20"/>
          <w:szCs w:val="20"/>
        </w:rPr>
        <w:t xml:space="preserve"> </w:t>
      </w:r>
      <w:proofErr w:type="spellStart"/>
      <w:r w:rsidR="00DA0A11" w:rsidRPr="00667B24">
        <w:rPr>
          <w:rFonts w:ascii="Times New Roman" w:hAnsi="Times New Roman"/>
          <w:sz w:val="20"/>
          <w:szCs w:val="20"/>
        </w:rPr>
        <w:t>Thokchom</w:t>
      </w:r>
      <w:proofErr w:type="spellEnd"/>
      <w:r w:rsidR="00527C75" w:rsidRPr="00667B24">
        <w:rPr>
          <w:rFonts w:ascii="Times New Roman" w:hAnsi="Times New Roman"/>
          <w:sz w:val="20"/>
          <w:szCs w:val="20"/>
        </w:rPr>
        <w:t xml:space="preserve">, </w:t>
      </w:r>
      <w:r w:rsidR="00DA0A11" w:rsidRPr="00667B24">
        <w:rPr>
          <w:rFonts w:ascii="Times New Roman" w:hAnsi="Times New Roman"/>
          <w:sz w:val="20"/>
          <w:szCs w:val="20"/>
        </w:rPr>
        <w:t>I</w:t>
      </w:r>
      <w:r w:rsidR="00527C75" w:rsidRPr="00667B24">
        <w:rPr>
          <w:rFonts w:ascii="Times New Roman" w:hAnsi="Times New Roman"/>
          <w:sz w:val="20"/>
          <w:szCs w:val="20"/>
        </w:rPr>
        <w:t xml:space="preserve">. </w:t>
      </w:r>
      <w:r w:rsidR="00DA0A11" w:rsidRPr="00667B24">
        <w:rPr>
          <w:rFonts w:ascii="Times New Roman" w:hAnsi="Times New Roman"/>
          <w:sz w:val="20"/>
          <w:szCs w:val="20"/>
        </w:rPr>
        <w:t>S.</w:t>
      </w:r>
      <w:r w:rsidRPr="00667B24">
        <w:rPr>
          <w:rFonts w:ascii="Times New Roman" w:hAnsi="Times New Roman"/>
          <w:sz w:val="20"/>
          <w:szCs w:val="20"/>
        </w:rPr>
        <w:t xml:space="preserve"> (2010)</w:t>
      </w:r>
      <w:r w:rsidR="00527C75" w:rsidRPr="00667B24">
        <w:rPr>
          <w:rFonts w:ascii="Times New Roman" w:hAnsi="Times New Roman"/>
          <w:sz w:val="20"/>
          <w:szCs w:val="20"/>
        </w:rPr>
        <w:t>.</w:t>
      </w:r>
      <w:r w:rsidR="00DA0A11" w:rsidRPr="00667B24">
        <w:rPr>
          <w:rFonts w:ascii="Times New Roman" w:hAnsi="Times New Roman"/>
          <w:sz w:val="20"/>
          <w:szCs w:val="20"/>
        </w:rPr>
        <w:t xml:space="preserve"> </w:t>
      </w:r>
      <w:proofErr w:type="gramStart"/>
      <w:r w:rsidR="00DA0A11" w:rsidRPr="00667B24">
        <w:rPr>
          <w:rFonts w:ascii="Times New Roman" w:hAnsi="Times New Roman"/>
          <w:sz w:val="20"/>
          <w:szCs w:val="20"/>
        </w:rPr>
        <w:t xml:space="preserve">Preliminary studies on local anesthetic and antipyretic activities of </w:t>
      </w:r>
      <w:proofErr w:type="spellStart"/>
      <w:r w:rsidR="00DA0A11" w:rsidRPr="00667B24">
        <w:rPr>
          <w:rFonts w:ascii="Times New Roman" w:hAnsi="Times New Roman"/>
          <w:sz w:val="20"/>
          <w:szCs w:val="20"/>
        </w:rPr>
        <w:t>Spilanthes</w:t>
      </w:r>
      <w:proofErr w:type="spellEnd"/>
      <w:r w:rsidR="00DA0A11" w:rsidRPr="00667B24">
        <w:rPr>
          <w:rFonts w:ascii="Times New Roman" w:hAnsi="Times New Roman"/>
          <w:sz w:val="20"/>
          <w:szCs w:val="20"/>
        </w:rPr>
        <w:t xml:space="preserve"> </w:t>
      </w:r>
      <w:proofErr w:type="spellStart"/>
      <w:r w:rsidR="00DA0A11" w:rsidRPr="00667B24">
        <w:rPr>
          <w:rFonts w:ascii="Times New Roman" w:hAnsi="Times New Roman"/>
          <w:sz w:val="20"/>
          <w:szCs w:val="20"/>
        </w:rPr>
        <w:t>acmella</w:t>
      </w:r>
      <w:proofErr w:type="spellEnd"/>
      <w:r w:rsidR="00DA0A11" w:rsidRPr="00667B24">
        <w:rPr>
          <w:rFonts w:ascii="Times New Roman" w:hAnsi="Times New Roman"/>
          <w:sz w:val="20"/>
          <w:szCs w:val="20"/>
        </w:rPr>
        <w:t xml:space="preserve"> </w:t>
      </w:r>
      <w:proofErr w:type="spellStart"/>
      <w:r w:rsidR="00DA0A11" w:rsidRPr="00667B24">
        <w:rPr>
          <w:rFonts w:ascii="Times New Roman" w:hAnsi="Times New Roman"/>
          <w:sz w:val="20"/>
          <w:szCs w:val="20"/>
        </w:rPr>
        <w:t>Murr</w:t>
      </w:r>
      <w:proofErr w:type="spellEnd"/>
      <w:r w:rsidR="00DA0A11" w:rsidRPr="00667B24">
        <w:rPr>
          <w:rFonts w:ascii="Times New Roman" w:hAnsi="Times New Roman"/>
          <w:sz w:val="20"/>
          <w:szCs w:val="20"/>
        </w:rPr>
        <w:t>.</w:t>
      </w:r>
      <w:proofErr w:type="gramEnd"/>
      <w:r w:rsidR="00DA0A11" w:rsidRPr="00667B24">
        <w:rPr>
          <w:rFonts w:ascii="Times New Roman" w:hAnsi="Times New Roman"/>
          <w:sz w:val="20"/>
          <w:szCs w:val="20"/>
        </w:rPr>
        <w:t xml:space="preserve"> </w:t>
      </w:r>
      <w:proofErr w:type="gramStart"/>
      <w:r w:rsidR="00DA0A11" w:rsidRPr="00667B24">
        <w:rPr>
          <w:rFonts w:ascii="Times New Roman" w:hAnsi="Times New Roman"/>
          <w:sz w:val="20"/>
          <w:szCs w:val="20"/>
        </w:rPr>
        <w:t>in</w:t>
      </w:r>
      <w:proofErr w:type="gramEnd"/>
      <w:r w:rsidR="00DA0A11" w:rsidRPr="00667B24">
        <w:rPr>
          <w:rFonts w:ascii="Times New Roman" w:hAnsi="Times New Roman"/>
          <w:sz w:val="20"/>
          <w:szCs w:val="20"/>
        </w:rPr>
        <w:t xml:space="preserve"> experimental animal models. </w:t>
      </w:r>
      <w:r w:rsidR="00DA0A11" w:rsidRPr="00667B24">
        <w:rPr>
          <w:rFonts w:ascii="Times New Roman" w:hAnsi="Times New Roman"/>
          <w:i/>
          <w:sz w:val="20"/>
          <w:szCs w:val="20"/>
        </w:rPr>
        <w:t>Indian J</w:t>
      </w:r>
      <w:r w:rsidR="00527C75" w:rsidRPr="00667B24">
        <w:rPr>
          <w:rFonts w:ascii="Times New Roman" w:hAnsi="Times New Roman"/>
          <w:i/>
          <w:sz w:val="20"/>
          <w:szCs w:val="20"/>
        </w:rPr>
        <w:t>ournal of</w:t>
      </w:r>
      <w:r w:rsidR="00DA0A11" w:rsidRPr="00667B24">
        <w:rPr>
          <w:rFonts w:ascii="Times New Roman" w:hAnsi="Times New Roman"/>
          <w:i/>
          <w:sz w:val="20"/>
          <w:szCs w:val="20"/>
        </w:rPr>
        <w:t xml:space="preserve"> Pharmacol</w:t>
      </w:r>
      <w:r w:rsidR="00527C75" w:rsidRPr="00667B24">
        <w:rPr>
          <w:rFonts w:ascii="Times New Roman" w:hAnsi="Times New Roman"/>
          <w:i/>
          <w:sz w:val="20"/>
          <w:szCs w:val="20"/>
        </w:rPr>
        <w:t>ogy,</w:t>
      </w:r>
      <w:r w:rsidR="00DA0A11" w:rsidRPr="00667B24">
        <w:rPr>
          <w:rFonts w:ascii="Times New Roman" w:hAnsi="Times New Roman"/>
          <w:sz w:val="20"/>
          <w:szCs w:val="20"/>
        </w:rPr>
        <w:t xml:space="preserve"> 42(5): 277-</w:t>
      </w:r>
      <w:r w:rsidR="00527C75" w:rsidRPr="00667B24">
        <w:rPr>
          <w:rFonts w:ascii="Times New Roman" w:hAnsi="Times New Roman"/>
          <w:sz w:val="20"/>
          <w:szCs w:val="20"/>
        </w:rPr>
        <w:t>27</w:t>
      </w:r>
      <w:r w:rsidR="00DA0A11" w:rsidRPr="00667B24">
        <w:rPr>
          <w:rFonts w:ascii="Times New Roman" w:hAnsi="Times New Roman"/>
          <w:sz w:val="20"/>
          <w:szCs w:val="20"/>
        </w:rPr>
        <w:t>9</w:t>
      </w:r>
    </w:p>
    <w:p w:rsidR="00667B24" w:rsidRPr="00667B24" w:rsidRDefault="00DA0A11" w:rsidP="00667B24">
      <w:pPr>
        <w:pStyle w:val="ListParagraph"/>
        <w:numPr>
          <w:ilvl w:val="0"/>
          <w:numId w:val="7"/>
        </w:numPr>
        <w:autoSpaceDE w:val="0"/>
        <w:autoSpaceDN w:val="0"/>
        <w:adjustRightInd w:val="0"/>
        <w:spacing w:line="240" w:lineRule="auto"/>
        <w:ind w:hanging="720"/>
        <w:jc w:val="both"/>
        <w:rPr>
          <w:rStyle w:val="apple-converted-space"/>
          <w:rFonts w:ascii="Times New Roman" w:hAnsi="Times New Roman"/>
          <w:sz w:val="20"/>
          <w:szCs w:val="20"/>
        </w:rPr>
      </w:pPr>
      <w:proofErr w:type="spellStart"/>
      <w:r w:rsidRPr="00667B24">
        <w:rPr>
          <w:rStyle w:val="apple-converted-space"/>
          <w:rFonts w:ascii="Times New Roman" w:hAnsi="Times New Roman"/>
          <w:color w:val="000000"/>
          <w:sz w:val="20"/>
          <w:szCs w:val="20"/>
          <w:shd w:val="clear" w:color="auto" w:fill="FFFFFF"/>
        </w:rPr>
        <w:t>Chakraborty</w:t>
      </w:r>
      <w:proofErr w:type="spellEnd"/>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A</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Devi</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R</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K</w:t>
      </w:r>
      <w:r w:rsidR="00290372" w:rsidRPr="00667B24">
        <w:rPr>
          <w:rStyle w:val="apple-converted-space"/>
          <w:rFonts w:ascii="Times New Roman" w:hAnsi="Times New Roman"/>
          <w:color w:val="000000"/>
          <w:sz w:val="20"/>
          <w:szCs w:val="20"/>
          <w:shd w:val="clear" w:color="auto" w:fill="FFFFFF"/>
        </w:rPr>
        <w:t xml:space="preserve">. </w:t>
      </w:r>
      <w:r w:rsidRPr="00667B24">
        <w:rPr>
          <w:rStyle w:val="apple-converted-space"/>
          <w:rFonts w:ascii="Times New Roman" w:hAnsi="Times New Roman"/>
          <w:color w:val="000000"/>
          <w:sz w:val="20"/>
          <w:szCs w:val="20"/>
          <w:shd w:val="clear" w:color="auto" w:fill="FFFFFF"/>
        </w:rPr>
        <w:t>B</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Rita</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S</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w:t>
      </w:r>
      <w:proofErr w:type="spellStart"/>
      <w:r w:rsidRPr="00667B24">
        <w:rPr>
          <w:rStyle w:val="apple-converted-space"/>
          <w:rFonts w:ascii="Times New Roman" w:hAnsi="Times New Roman"/>
          <w:color w:val="000000"/>
          <w:sz w:val="20"/>
          <w:szCs w:val="20"/>
          <w:shd w:val="clear" w:color="auto" w:fill="FFFFFF"/>
        </w:rPr>
        <w:t>Sharatchandra</w:t>
      </w:r>
      <w:proofErr w:type="spellEnd"/>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K</w:t>
      </w:r>
      <w:r w:rsidR="00290372" w:rsidRPr="00667B24">
        <w:rPr>
          <w:rStyle w:val="apple-converted-space"/>
          <w:rFonts w:ascii="Times New Roman" w:hAnsi="Times New Roman"/>
          <w:color w:val="000000"/>
          <w:sz w:val="20"/>
          <w:szCs w:val="20"/>
          <w:shd w:val="clear" w:color="auto" w:fill="FFFFFF"/>
        </w:rPr>
        <w:t xml:space="preserve">. </w:t>
      </w:r>
      <w:r w:rsidRPr="00667B24">
        <w:rPr>
          <w:rStyle w:val="apple-converted-space"/>
          <w:rFonts w:ascii="Times New Roman" w:hAnsi="Times New Roman"/>
          <w:color w:val="000000"/>
          <w:sz w:val="20"/>
          <w:szCs w:val="20"/>
          <w:shd w:val="clear" w:color="auto" w:fill="FFFFFF"/>
        </w:rPr>
        <w:t>H</w:t>
      </w:r>
      <w:r w:rsidR="00290372" w:rsidRPr="00667B24">
        <w:rPr>
          <w:rStyle w:val="apple-converted-space"/>
          <w:rFonts w:ascii="Times New Roman" w:hAnsi="Times New Roman"/>
          <w:color w:val="000000"/>
          <w:sz w:val="20"/>
          <w:szCs w:val="20"/>
          <w:shd w:val="clear" w:color="auto" w:fill="FFFFFF"/>
        </w:rPr>
        <w:t>. &amp;</w:t>
      </w:r>
      <w:r w:rsidRPr="00667B24">
        <w:rPr>
          <w:rStyle w:val="apple-converted-space"/>
          <w:rFonts w:ascii="Times New Roman" w:hAnsi="Times New Roman"/>
          <w:color w:val="000000"/>
          <w:sz w:val="20"/>
          <w:szCs w:val="20"/>
          <w:shd w:val="clear" w:color="auto" w:fill="FFFFFF"/>
        </w:rPr>
        <w:t xml:space="preserve"> Singh</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T</w:t>
      </w:r>
      <w:r w:rsidR="00290372" w:rsidRPr="00667B24">
        <w:rPr>
          <w:rStyle w:val="apple-converted-space"/>
          <w:rFonts w:ascii="Times New Roman" w:hAnsi="Times New Roman"/>
          <w:color w:val="000000"/>
          <w:sz w:val="20"/>
          <w:szCs w:val="20"/>
          <w:shd w:val="clear" w:color="auto" w:fill="FFFFFF"/>
        </w:rPr>
        <w:t xml:space="preserve">. </w:t>
      </w:r>
      <w:r w:rsidRPr="00667B24">
        <w:rPr>
          <w:rStyle w:val="apple-converted-space"/>
          <w:rFonts w:ascii="Times New Roman" w:hAnsi="Times New Roman"/>
          <w:color w:val="000000"/>
          <w:sz w:val="20"/>
          <w:szCs w:val="20"/>
          <w:shd w:val="clear" w:color="auto" w:fill="FFFFFF"/>
        </w:rPr>
        <w:t>I.</w:t>
      </w:r>
      <w:r w:rsidR="00870F68" w:rsidRPr="00667B24">
        <w:rPr>
          <w:rStyle w:val="apple-converted-space"/>
          <w:rFonts w:ascii="Times New Roman" w:hAnsi="Times New Roman"/>
          <w:color w:val="000000"/>
          <w:sz w:val="20"/>
          <w:szCs w:val="20"/>
          <w:shd w:val="clear" w:color="auto" w:fill="FFFFFF"/>
        </w:rPr>
        <w:t xml:space="preserve"> (2004)</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w:t>
      </w:r>
      <w:proofErr w:type="gramStart"/>
      <w:r w:rsidRPr="00667B24">
        <w:rPr>
          <w:rStyle w:val="apple-converted-space"/>
          <w:rFonts w:ascii="Times New Roman" w:hAnsi="Times New Roman"/>
          <w:color w:val="000000"/>
          <w:sz w:val="20"/>
          <w:szCs w:val="20"/>
          <w:shd w:val="clear" w:color="auto" w:fill="FFFFFF"/>
        </w:rPr>
        <w:t xml:space="preserve">Preliminary studies on </w:t>
      </w:r>
      <w:proofErr w:type="spellStart"/>
      <w:r w:rsidRPr="00667B24">
        <w:rPr>
          <w:rStyle w:val="apple-converted-space"/>
          <w:rFonts w:ascii="Times New Roman" w:hAnsi="Times New Roman"/>
          <w:color w:val="000000"/>
          <w:sz w:val="20"/>
          <w:szCs w:val="20"/>
          <w:shd w:val="clear" w:color="auto" w:fill="FFFFFF"/>
        </w:rPr>
        <w:t>antiinflammatory</w:t>
      </w:r>
      <w:proofErr w:type="spellEnd"/>
      <w:r w:rsidRPr="00667B24">
        <w:rPr>
          <w:rStyle w:val="apple-converted-space"/>
          <w:rFonts w:ascii="Times New Roman" w:hAnsi="Times New Roman"/>
          <w:color w:val="000000"/>
          <w:sz w:val="20"/>
          <w:szCs w:val="20"/>
          <w:shd w:val="clear" w:color="auto" w:fill="FFFFFF"/>
        </w:rPr>
        <w:t xml:space="preserve"> and analgesic activities of </w:t>
      </w:r>
      <w:proofErr w:type="spellStart"/>
      <w:r w:rsidRPr="00667B24">
        <w:rPr>
          <w:rStyle w:val="apple-converted-space"/>
          <w:rFonts w:ascii="Times New Roman" w:hAnsi="Times New Roman"/>
          <w:color w:val="000000"/>
          <w:sz w:val="20"/>
          <w:szCs w:val="20"/>
          <w:shd w:val="clear" w:color="auto" w:fill="FFFFFF"/>
        </w:rPr>
        <w:t>Spilanthes</w:t>
      </w:r>
      <w:proofErr w:type="spellEnd"/>
      <w:r w:rsidRPr="00667B24">
        <w:rPr>
          <w:rStyle w:val="apple-converted-space"/>
          <w:rFonts w:ascii="Times New Roman" w:hAnsi="Times New Roman"/>
          <w:color w:val="000000"/>
          <w:sz w:val="20"/>
          <w:szCs w:val="20"/>
          <w:shd w:val="clear" w:color="auto" w:fill="FFFFFF"/>
        </w:rPr>
        <w:t xml:space="preserve"> </w:t>
      </w:r>
      <w:proofErr w:type="spellStart"/>
      <w:r w:rsidRPr="00667B24">
        <w:rPr>
          <w:rStyle w:val="apple-converted-space"/>
          <w:rFonts w:ascii="Times New Roman" w:hAnsi="Times New Roman"/>
          <w:color w:val="000000"/>
          <w:sz w:val="20"/>
          <w:szCs w:val="20"/>
          <w:shd w:val="clear" w:color="auto" w:fill="FFFFFF"/>
        </w:rPr>
        <w:t>acmella</w:t>
      </w:r>
      <w:proofErr w:type="spellEnd"/>
      <w:r w:rsidRPr="00667B24">
        <w:rPr>
          <w:rStyle w:val="apple-converted-space"/>
          <w:rFonts w:ascii="Times New Roman" w:hAnsi="Times New Roman"/>
          <w:color w:val="000000"/>
          <w:sz w:val="20"/>
          <w:szCs w:val="20"/>
          <w:shd w:val="clear" w:color="auto" w:fill="FFFFFF"/>
        </w:rPr>
        <w:t xml:space="preserve"> in experimental animal models.</w:t>
      </w:r>
      <w:proofErr w:type="gramEnd"/>
      <w:r w:rsidRPr="00667B24">
        <w:rPr>
          <w:rStyle w:val="apple-converted-space"/>
          <w:rFonts w:ascii="Times New Roman" w:hAnsi="Times New Roman"/>
          <w:color w:val="000000"/>
          <w:sz w:val="20"/>
          <w:szCs w:val="20"/>
          <w:shd w:val="clear" w:color="auto" w:fill="FFFFFF"/>
        </w:rPr>
        <w:t xml:space="preserve"> </w:t>
      </w:r>
      <w:r w:rsidRPr="00667B24">
        <w:rPr>
          <w:rStyle w:val="apple-converted-space"/>
          <w:rFonts w:ascii="Times New Roman" w:hAnsi="Times New Roman"/>
          <w:i/>
          <w:color w:val="000000"/>
          <w:sz w:val="20"/>
          <w:szCs w:val="20"/>
          <w:shd w:val="clear" w:color="auto" w:fill="FFFFFF"/>
        </w:rPr>
        <w:t>Indian Journal of Pharmacology</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 xml:space="preserve"> 36(3)</w:t>
      </w:r>
      <w:r w:rsidR="00290372" w:rsidRPr="00667B24">
        <w:rPr>
          <w:rStyle w:val="apple-converted-space"/>
          <w:rFonts w:ascii="Times New Roman" w:hAnsi="Times New Roman"/>
          <w:color w:val="000000"/>
          <w:sz w:val="20"/>
          <w:szCs w:val="20"/>
          <w:shd w:val="clear" w:color="auto" w:fill="FFFFFF"/>
        </w:rPr>
        <w:t>:</w:t>
      </w:r>
      <w:r w:rsidRPr="00667B24">
        <w:rPr>
          <w:rStyle w:val="apple-converted-space"/>
          <w:rFonts w:ascii="Times New Roman" w:hAnsi="Times New Roman"/>
          <w:color w:val="000000"/>
          <w:sz w:val="20"/>
          <w:szCs w:val="20"/>
          <w:shd w:val="clear" w:color="auto" w:fill="FFFFFF"/>
        </w:rPr>
        <w:t>148-150.</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hAnsi="Times New Roman"/>
          <w:sz w:val="20"/>
          <w:szCs w:val="20"/>
        </w:rPr>
        <w:t>Khandelwal</w:t>
      </w:r>
      <w:proofErr w:type="spellEnd"/>
      <w:r w:rsidR="006172D8" w:rsidRPr="00667B24">
        <w:rPr>
          <w:rFonts w:ascii="Times New Roman" w:hAnsi="Times New Roman"/>
          <w:sz w:val="20"/>
          <w:szCs w:val="20"/>
        </w:rPr>
        <w:t>,</w:t>
      </w:r>
      <w:r w:rsidRPr="00667B24">
        <w:rPr>
          <w:rFonts w:ascii="Times New Roman" w:hAnsi="Times New Roman"/>
          <w:sz w:val="20"/>
          <w:szCs w:val="20"/>
        </w:rPr>
        <w:t xml:space="preserve"> K</w:t>
      </w:r>
      <w:r w:rsidR="006172D8" w:rsidRPr="00667B24">
        <w:rPr>
          <w:rFonts w:ascii="Times New Roman" w:hAnsi="Times New Roman"/>
          <w:sz w:val="20"/>
          <w:szCs w:val="20"/>
        </w:rPr>
        <w:t xml:space="preserve">. </w:t>
      </w:r>
      <w:r w:rsidRPr="00667B24">
        <w:rPr>
          <w:rFonts w:ascii="Times New Roman" w:hAnsi="Times New Roman"/>
          <w:sz w:val="20"/>
          <w:szCs w:val="20"/>
        </w:rPr>
        <w:t>R.</w:t>
      </w:r>
      <w:r w:rsidR="00870F68" w:rsidRPr="00667B24">
        <w:rPr>
          <w:rFonts w:ascii="Times New Roman" w:hAnsi="Times New Roman"/>
          <w:sz w:val="20"/>
          <w:szCs w:val="20"/>
        </w:rPr>
        <w:t xml:space="preserve"> (2010)</w:t>
      </w:r>
      <w:r w:rsidR="006172D8" w:rsidRPr="00667B24">
        <w:rPr>
          <w:rFonts w:ascii="Times New Roman" w:hAnsi="Times New Roman"/>
          <w:sz w:val="20"/>
          <w:szCs w:val="20"/>
        </w:rPr>
        <w:t>.</w:t>
      </w:r>
      <w:r w:rsidRPr="00667B24">
        <w:rPr>
          <w:rFonts w:ascii="Times New Roman" w:hAnsi="Times New Roman"/>
          <w:sz w:val="20"/>
          <w:szCs w:val="20"/>
        </w:rPr>
        <w:t xml:space="preserve"> </w:t>
      </w:r>
      <w:proofErr w:type="gramStart"/>
      <w:r w:rsidRPr="00667B24">
        <w:rPr>
          <w:rFonts w:ascii="Times New Roman" w:hAnsi="Times New Roman"/>
          <w:bCs/>
          <w:sz w:val="20"/>
          <w:szCs w:val="20"/>
        </w:rPr>
        <w:t xml:space="preserve">Practical </w:t>
      </w:r>
      <w:proofErr w:type="spellStart"/>
      <w:r w:rsidRPr="00667B24">
        <w:rPr>
          <w:rFonts w:ascii="Times New Roman" w:hAnsi="Times New Roman"/>
          <w:bCs/>
          <w:sz w:val="20"/>
          <w:szCs w:val="20"/>
        </w:rPr>
        <w:t>Pharmacognosy</w:t>
      </w:r>
      <w:proofErr w:type="spellEnd"/>
      <w:r w:rsidRPr="00667B24">
        <w:rPr>
          <w:rFonts w:ascii="Times New Roman" w:hAnsi="Times New Roman"/>
          <w:sz w:val="20"/>
          <w:szCs w:val="20"/>
        </w:rPr>
        <w:t>.</w:t>
      </w:r>
      <w:proofErr w:type="gramEnd"/>
      <w:r w:rsidRPr="00667B24">
        <w:rPr>
          <w:rFonts w:ascii="Times New Roman" w:hAnsi="Times New Roman"/>
          <w:sz w:val="20"/>
          <w:szCs w:val="20"/>
        </w:rPr>
        <w:t xml:space="preserve"> </w:t>
      </w:r>
      <w:proofErr w:type="spellStart"/>
      <w:proofErr w:type="gramStart"/>
      <w:r w:rsidRPr="00667B24">
        <w:rPr>
          <w:rFonts w:ascii="Times New Roman" w:hAnsi="Times New Roman"/>
          <w:i/>
          <w:sz w:val="20"/>
          <w:szCs w:val="20"/>
        </w:rPr>
        <w:t>Nirali</w:t>
      </w:r>
      <w:proofErr w:type="spellEnd"/>
      <w:r w:rsidRPr="00667B24">
        <w:rPr>
          <w:rFonts w:ascii="Times New Roman" w:hAnsi="Times New Roman"/>
          <w:i/>
          <w:sz w:val="20"/>
          <w:szCs w:val="20"/>
        </w:rPr>
        <w:t xml:space="preserve"> </w:t>
      </w:r>
      <w:proofErr w:type="spellStart"/>
      <w:r w:rsidRPr="00667B24">
        <w:rPr>
          <w:rFonts w:ascii="Times New Roman" w:hAnsi="Times New Roman"/>
          <w:i/>
          <w:sz w:val="20"/>
          <w:szCs w:val="20"/>
        </w:rPr>
        <w:t>Prakashan</w:t>
      </w:r>
      <w:proofErr w:type="spellEnd"/>
      <w:r w:rsidRPr="00667B24">
        <w:rPr>
          <w:rFonts w:ascii="Times New Roman" w:hAnsi="Times New Roman"/>
          <w:sz w:val="20"/>
          <w:szCs w:val="20"/>
        </w:rPr>
        <w:t>, Pune, India</w:t>
      </w:r>
      <w:r w:rsidR="00B37674" w:rsidRPr="00667B24">
        <w:rPr>
          <w:rFonts w:ascii="Times New Roman" w:hAnsi="Times New Roman"/>
          <w:sz w:val="20"/>
          <w:szCs w:val="20"/>
        </w:rPr>
        <w:t>.</w:t>
      </w:r>
      <w:proofErr w:type="gramEnd"/>
      <w:r w:rsidR="00B37674" w:rsidRPr="00667B24">
        <w:rPr>
          <w:rFonts w:ascii="Times New Roman" w:hAnsi="Times New Roman"/>
          <w:sz w:val="20"/>
          <w:szCs w:val="20"/>
        </w:rPr>
        <w:t xml:space="preserve"> </w:t>
      </w:r>
      <w:r w:rsidRPr="00667B24">
        <w:rPr>
          <w:rFonts w:ascii="Times New Roman" w:hAnsi="Times New Roman"/>
          <w:sz w:val="20"/>
          <w:szCs w:val="20"/>
        </w:rPr>
        <w:t>25.1-25.9.</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hAnsi="Times New Roman"/>
          <w:sz w:val="20"/>
          <w:szCs w:val="20"/>
        </w:rPr>
        <w:t>Harborne</w:t>
      </w:r>
      <w:proofErr w:type="spellEnd"/>
      <w:r w:rsidR="006172D8" w:rsidRPr="00667B24">
        <w:rPr>
          <w:rFonts w:ascii="Times New Roman" w:hAnsi="Times New Roman"/>
          <w:sz w:val="20"/>
          <w:szCs w:val="20"/>
        </w:rPr>
        <w:t>,</w:t>
      </w:r>
      <w:r w:rsidRPr="00667B24">
        <w:rPr>
          <w:rFonts w:ascii="Times New Roman" w:hAnsi="Times New Roman"/>
          <w:sz w:val="20"/>
          <w:szCs w:val="20"/>
        </w:rPr>
        <w:t xml:space="preserve"> J</w:t>
      </w:r>
      <w:r w:rsidR="006172D8" w:rsidRPr="00667B24">
        <w:rPr>
          <w:rFonts w:ascii="Times New Roman" w:hAnsi="Times New Roman"/>
          <w:sz w:val="20"/>
          <w:szCs w:val="20"/>
        </w:rPr>
        <w:t xml:space="preserve">. </w:t>
      </w:r>
      <w:r w:rsidRPr="00667B24">
        <w:rPr>
          <w:rFonts w:ascii="Times New Roman" w:hAnsi="Times New Roman"/>
          <w:sz w:val="20"/>
          <w:szCs w:val="20"/>
        </w:rPr>
        <w:t>B.</w:t>
      </w:r>
      <w:r w:rsidR="00B37674" w:rsidRPr="00667B24">
        <w:rPr>
          <w:rFonts w:ascii="Times New Roman" w:hAnsi="Times New Roman"/>
          <w:sz w:val="20"/>
          <w:szCs w:val="20"/>
        </w:rPr>
        <w:t xml:space="preserve"> (1998)</w:t>
      </w:r>
      <w:r w:rsidRPr="00667B24">
        <w:rPr>
          <w:rFonts w:ascii="Times New Roman" w:hAnsi="Times New Roman"/>
          <w:sz w:val="20"/>
          <w:szCs w:val="20"/>
        </w:rPr>
        <w:t xml:space="preserve"> </w:t>
      </w:r>
      <w:proofErr w:type="gramStart"/>
      <w:r w:rsidRPr="00667B24">
        <w:rPr>
          <w:rFonts w:ascii="Times New Roman" w:hAnsi="Times New Roman"/>
          <w:sz w:val="20"/>
          <w:szCs w:val="20"/>
        </w:rPr>
        <w:t>Phytochemical</w:t>
      </w:r>
      <w:proofErr w:type="gramEnd"/>
      <w:r w:rsidRPr="00667B24">
        <w:rPr>
          <w:rFonts w:ascii="Times New Roman" w:hAnsi="Times New Roman"/>
          <w:sz w:val="20"/>
          <w:szCs w:val="20"/>
        </w:rPr>
        <w:t xml:space="preserve"> me</w:t>
      </w:r>
      <w:r w:rsidR="00B37674" w:rsidRPr="00667B24">
        <w:rPr>
          <w:rFonts w:ascii="Times New Roman" w:hAnsi="Times New Roman"/>
          <w:sz w:val="20"/>
          <w:szCs w:val="20"/>
        </w:rPr>
        <w:t xml:space="preserve">thods. </w:t>
      </w:r>
      <w:r w:rsidR="00B37674" w:rsidRPr="00667B24">
        <w:rPr>
          <w:rFonts w:ascii="Times New Roman" w:hAnsi="Times New Roman"/>
          <w:i/>
          <w:sz w:val="20"/>
          <w:szCs w:val="20"/>
        </w:rPr>
        <w:t>Chapman and Hall</w:t>
      </w:r>
      <w:r w:rsidR="00B37674" w:rsidRPr="00667B24">
        <w:rPr>
          <w:rFonts w:ascii="Times New Roman" w:hAnsi="Times New Roman"/>
          <w:sz w:val="20"/>
          <w:szCs w:val="20"/>
        </w:rPr>
        <w:t>, London.</w:t>
      </w:r>
      <w:r w:rsidRPr="00667B24">
        <w:rPr>
          <w:rFonts w:ascii="Times New Roman" w:hAnsi="Times New Roman"/>
          <w:sz w:val="20"/>
          <w:szCs w:val="20"/>
        </w:rPr>
        <w:t xml:space="preserve"> 90-203.</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hAnsi="Times New Roman"/>
          <w:bCs/>
          <w:sz w:val="20"/>
          <w:szCs w:val="20"/>
        </w:rPr>
        <w:t>Maurya</w:t>
      </w:r>
      <w:proofErr w:type="spellEnd"/>
      <w:r w:rsidR="006172D8" w:rsidRPr="00667B24">
        <w:rPr>
          <w:rFonts w:ascii="Times New Roman" w:hAnsi="Times New Roman"/>
          <w:bCs/>
          <w:sz w:val="20"/>
          <w:szCs w:val="20"/>
        </w:rPr>
        <w:t>, S. &amp;</w:t>
      </w:r>
      <w:r w:rsidRPr="00667B24">
        <w:rPr>
          <w:rFonts w:ascii="Times New Roman" w:hAnsi="Times New Roman"/>
          <w:bCs/>
          <w:sz w:val="20"/>
          <w:szCs w:val="20"/>
        </w:rPr>
        <w:t xml:space="preserve"> Singh D. </w:t>
      </w:r>
      <w:r w:rsidR="00852121" w:rsidRPr="00667B24">
        <w:rPr>
          <w:rFonts w:ascii="Times New Roman" w:hAnsi="Times New Roman"/>
          <w:bCs/>
          <w:sz w:val="20"/>
          <w:szCs w:val="20"/>
        </w:rPr>
        <w:t>(2010)</w:t>
      </w:r>
      <w:r w:rsidR="006172D8" w:rsidRPr="00667B24">
        <w:rPr>
          <w:rFonts w:ascii="Times New Roman" w:hAnsi="Times New Roman"/>
          <w:bCs/>
          <w:sz w:val="20"/>
          <w:szCs w:val="20"/>
        </w:rPr>
        <w:t>.</w:t>
      </w:r>
      <w:r w:rsidR="00852121" w:rsidRPr="00667B24">
        <w:rPr>
          <w:rFonts w:ascii="Times New Roman" w:hAnsi="Times New Roman"/>
          <w:bCs/>
          <w:sz w:val="20"/>
          <w:szCs w:val="20"/>
        </w:rPr>
        <w:t xml:space="preserve"> </w:t>
      </w:r>
      <w:r w:rsidRPr="00667B24">
        <w:rPr>
          <w:rFonts w:ascii="Times New Roman" w:hAnsi="Times New Roman"/>
          <w:sz w:val="20"/>
          <w:szCs w:val="20"/>
        </w:rPr>
        <w:t xml:space="preserve">Quantitative analysis of total phenolic content in </w:t>
      </w:r>
      <w:proofErr w:type="spellStart"/>
      <w:r w:rsidRPr="00667B24">
        <w:rPr>
          <w:rFonts w:ascii="Times New Roman" w:hAnsi="Times New Roman"/>
          <w:i/>
          <w:sz w:val="20"/>
          <w:szCs w:val="20"/>
        </w:rPr>
        <w:t>Adhatoda</w:t>
      </w:r>
      <w:proofErr w:type="spellEnd"/>
      <w:r w:rsidRPr="00667B24">
        <w:rPr>
          <w:rFonts w:ascii="Times New Roman" w:hAnsi="Times New Roman"/>
          <w:i/>
          <w:sz w:val="20"/>
          <w:szCs w:val="20"/>
        </w:rPr>
        <w:t xml:space="preserve"> </w:t>
      </w:r>
      <w:proofErr w:type="spellStart"/>
      <w:r w:rsidRPr="00667B24">
        <w:rPr>
          <w:rFonts w:ascii="Times New Roman" w:hAnsi="Times New Roman"/>
          <w:i/>
          <w:sz w:val="20"/>
          <w:szCs w:val="20"/>
        </w:rPr>
        <w:t>vasica</w:t>
      </w:r>
      <w:proofErr w:type="spellEnd"/>
      <w:r w:rsidRPr="00667B24">
        <w:rPr>
          <w:rFonts w:ascii="Times New Roman" w:hAnsi="Times New Roman"/>
          <w:sz w:val="20"/>
          <w:szCs w:val="20"/>
        </w:rPr>
        <w:t xml:space="preserve"> </w:t>
      </w:r>
      <w:proofErr w:type="spellStart"/>
      <w:r w:rsidRPr="00667B24">
        <w:rPr>
          <w:rFonts w:ascii="Times New Roman" w:hAnsi="Times New Roman"/>
          <w:sz w:val="20"/>
          <w:szCs w:val="20"/>
        </w:rPr>
        <w:t>Nees</w:t>
      </w:r>
      <w:proofErr w:type="spellEnd"/>
      <w:r w:rsidRPr="00667B24">
        <w:rPr>
          <w:rFonts w:ascii="Times New Roman" w:hAnsi="Times New Roman"/>
          <w:sz w:val="20"/>
          <w:szCs w:val="20"/>
        </w:rPr>
        <w:t xml:space="preserve"> extracts. </w:t>
      </w:r>
      <w:r w:rsidRPr="00667B24">
        <w:rPr>
          <w:rFonts w:ascii="Times New Roman" w:hAnsi="Times New Roman"/>
          <w:bCs/>
          <w:i/>
          <w:sz w:val="20"/>
          <w:szCs w:val="20"/>
        </w:rPr>
        <w:t xml:space="preserve">International Journal of </w:t>
      </w:r>
      <w:proofErr w:type="spellStart"/>
      <w:r w:rsidRPr="00667B24">
        <w:rPr>
          <w:rFonts w:ascii="Times New Roman" w:hAnsi="Times New Roman"/>
          <w:bCs/>
          <w:i/>
          <w:sz w:val="20"/>
          <w:szCs w:val="20"/>
        </w:rPr>
        <w:t>Pharmtech</w:t>
      </w:r>
      <w:proofErr w:type="spellEnd"/>
      <w:r w:rsidRPr="00667B24">
        <w:rPr>
          <w:rFonts w:ascii="Times New Roman" w:hAnsi="Times New Roman"/>
          <w:bCs/>
          <w:i/>
          <w:sz w:val="20"/>
          <w:szCs w:val="20"/>
        </w:rPr>
        <w:t xml:space="preserve"> Research</w:t>
      </w:r>
      <w:r w:rsidR="006172D8" w:rsidRPr="00667B24">
        <w:rPr>
          <w:rFonts w:ascii="Times New Roman" w:hAnsi="Times New Roman"/>
          <w:bCs/>
          <w:sz w:val="20"/>
          <w:szCs w:val="20"/>
        </w:rPr>
        <w:t>,</w:t>
      </w:r>
      <w:r w:rsidRPr="00667B24">
        <w:rPr>
          <w:rFonts w:ascii="Times New Roman" w:hAnsi="Times New Roman"/>
          <w:sz w:val="20"/>
          <w:szCs w:val="20"/>
        </w:rPr>
        <w:t xml:space="preserve"> 2(4)</w:t>
      </w:r>
      <w:r w:rsidR="006172D8" w:rsidRPr="00667B24">
        <w:rPr>
          <w:rFonts w:ascii="Times New Roman" w:hAnsi="Times New Roman"/>
          <w:sz w:val="20"/>
          <w:szCs w:val="20"/>
        </w:rPr>
        <w:t>:</w:t>
      </w:r>
      <w:r w:rsidRPr="00667B24">
        <w:rPr>
          <w:rFonts w:ascii="Times New Roman" w:hAnsi="Times New Roman"/>
          <w:sz w:val="20"/>
          <w:szCs w:val="20"/>
        </w:rPr>
        <w:t>2403-2406.</w:t>
      </w:r>
    </w:p>
    <w:p w:rsidR="00667B24" w:rsidRP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eastAsia="AdvEPSTIM" w:hAnsi="Times New Roman"/>
          <w:sz w:val="20"/>
          <w:szCs w:val="20"/>
        </w:rPr>
        <w:t>Cengiz</w:t>
      </w:r>
      <w:proofErr w:type="spellEnd"/>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S</w:t>
      </w:r>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w:t>
      </w:r>
      <w:proofErr w:type="spellStart"/>
      <w:r w:rsidRPr="00667B24">
        <w:rPr>
          <w:rFonts w:ascii="Times New Roman" w:eastAsia="AdvEPSTIM" w:hAnsi="Times New Roman"/>
          <w:sz w:val="20"/>
          <w:szCs w:val="20"/>
        </w:rPr>
        <w:t>Bektas</w:t>
      </w:r>
      <w:proofErr w:type="spellEnd"/>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T</w:t>
      </w:r>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w:t>
      </w:r>
      <w:proofErr w:type="spellStart"/>
      <w:r w:rsidRPr="00667B24">
        <w:rPr>
          <w:rFonts w:ascii="Times New Roman" w:eastAsia="AdvEPSTIM" w:hAnsi="Times New Roman"/>
          <w:sz w:val="20"/>
          <w:szCs w:val="20"/>
        </w:rPr>
        <w:t>Dimitra</w:t>
      </w:r>
      <w:proofErr w:type="spellEnd"/>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D</w:t>
      </w:r>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w:t>
      </w:r>
      <w:proofErr w:type="spellStart"/>
      <w:r w:rsidRPr="00667B24">
        <w:rPr>
          <w:rFonts w:ascii="Times New Roman" w:eastAsia="AdvEPSTIM" w:hAnsi="Times New Roman"/>
          <w:sz w:val="20"/>
          <w:szCs w:val="20"/>
        </w:rPr>
        <w:t>Moschos</w:t>
      </w:r>
      <w:proofErr w:type="spellEnd"/>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P</w:t>
      </w:r>
      <w:r w:rsidR="002F2E3F" w:rsidRPr="00667B24">
        <w:rPr>
          <w:rFonts w:ascii="Times New Roman" w:eastAsia="AdvEPSTIM" w:hAnsi="Times New Roman"/>
          <w:sz w:val="20"/>
          <w:szCs w:val="20"/>
        </w:rPr>
        <w:t>. &amp;</w:t>
      </w:r>
      <w:r w:rsidRPr="00667B24">
        <w:rPr>
          <w:rFonts w:ascii="Times New Roman" w:eastAsia="AdvEPSTIM" w:hAnsi="Times New Roman"/>
          <w:sz w:val="20"/>
          <w:szCs w:val="20"/>
        </w:rPr>
        <w:t xml:space="preserve"> Mansur</w:t>
      </w:r>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H.</w:t>
      </w:r>
      <w:r w:rsidR="00B955F6" w:rsidRPr="00667B24">
        <w:rPr>
          <w:rFonts w:ascii="Times New Roman" w:eastAsia="AdvEPSTIM" w:hAnsi="Times New Roman"/>
          <w:sz w:val="20"/>
          <w:szCs w:val="20"/>
        </w:rPr>
        <w:t xml:space="preserve"> (2008)</w:t>
      </w:r>
      <w:r w:rsidR="002F2E3F" w:rsidRPr="00667B24">
        <w:rPr>
          <w:rFonts w:ascii="Times New Roman" w:eastAsia="AdvEPSTIM" w:hAnsi="Times New Roman"/>
          <w:sz w:val="20"/>
          <w:szCs w:val="20"/>
        </w:rPr>
        <w:t>.</w:t>
      </w:r>
      <w:r w:rsidRPr="00667B24">
        <w:rPr>
          <w:rFonts w:ascii="Times New Roman" w:eastAsia="AdvEPSTIM" w:hAnsi="Times New Roman"/>
          <w:sz w:val="20"/>
          <w:szCs w:val="20"/>
        </w:rPr>
        <w:t xml:space="preserve"> Studies on the antioxidant activity of the essential oil and methanol extract of </w:t>
      </w:r>
      <w:proofErr w:type="spellStart"/>
      <w:r w:rsidRPr="00667B24">
        <w:rPr>
          <w:rFonts w:ascii="Times New Roman" w:eastAsia="AdvEPSTIM" w:hAnsi="Times New Roman"/>
          <w:i/>
          <w:sz w:val="20"/>
          <w:szCs w:val="20"/>
        </w:rPr>
        <w:t>Marrubium</w:t>
      </w:r>
      <w:proofErr w:type="spellEnd"/>
      <w:r w:rsidRPr="00667B24">
        <w:rPr>
          <w:rFonts w:ascii="Times New Roman" w:eastAsia="AdvEPSTIM" w:hAnsi="Times New Roman"/>
          <w:i/>
          <w:sz w:val="20"/>
          <w:szCs w:val="20"/>
        </w:rPr>
        <w:t xml:space="preserve"> </w:t>
      </w:r>
      <w:proofErr w:type="spellStart"/>
      <w:r w:rsidRPr="00667B24">
        <w:rPr>
          <w:rFonts w:ascii="Times New Roman" w:eastAsia="AdvEPSTIM" w:hAnsi="Times New Roman"/>
          <w:i/>
          <w:sz w:val="20"/>
          <w:szCs w:val="20"/>
        </w:rPr>
        <w:t>globosum</w:t>
      </w:r>
      <w:proofErr w:type="spellEnd"/>
      <w:r w:rsidRPr="00667B24">
        <w:rPr>
          <w:rFonts w:ascii="Times New Roman" w:eastAsia="AdvEPSTIM" w:hAnsi="Times New Roman"/>
          <w:sz w:val="20"/>
          <w:szCs w:val="20"/>
        </w:rPr>
        <w:t xml:space="preserve"> subsp. </w:t>
      </w:r>
      <w:proofErr w:type="spellStart"/>
      <w:r w:rsidRPr="00667B24">
        <w:rPr>
          <w:rFonts w:ascii="Times New Roman" w:eastAsia="AdvEPSTIM" w:hAnsi="Times New Roman"/>
          <w:i/>
          <w:sz w:val="20"/>
          <w:szCs w:val="20"/>
        </w:rPr>
        <w:t>Globosum</w:t>
      </w:r>
      <w:proofErr w:type="spellEnd"/>
      <w:r w:rsidRPr="00667B24">
        <w:rPr>
          <w:rFonts w:ascii="Times New Roman" w:eastAsia="AdvEPSTIM" w:hAnsi="Times New Roman"/>
          <w:i/>
          <w:sz w:val="20"/>
          <w:szCs w:val="20"/>
        </w:rPr>
        <w:t xml:space="preserve"> </w:t>
      </w:r>
      <w:proofErr w:type="spellStart"/>
      <w:r w:rsidRPr="00667B24">
        <w:rPr>
          <w:rFonts w:ascii="Times New Roman" w:eastAsia="AdvEPSTIM" w:hAnsi="Times New Roman"/>
          <w:i/>
          <w:sz w:val="20"/>
          <w:szCs w:val="20"/>
        </w:rPr>
        <w:t>lamiaceae</w:t>
      </w:r>
      <w:proofErr w:type="spellEnd"/>
      <w:r w:rsidRPr="00667B24">
        <w:rPr>
          <w:rFonts w:ascii="Times New Roman" w:eastAsia="AdvEPSTIM" w:hAnsi="Times New Roman"/>
          <w:sz w:val="20"/>
          <w:szCs w:val="20"/>
        </w:rPr>
        <w:t xml:space="preserve"> by three different chemical assays. </w:t>
      </w:r>
      <w:proofErr w:type="spellStart"/>
      <w:r w:rsidRPr="00667B24">
        <w:rPr>
          <w:rFonts w:ascii="Times New Roman" w:eastAsia="AdvEPSTIM" w:hAnsi="Times New Roman"/>
          <w:i/>
          <w:sz w:val="20"/>
          <w:szCs w:val="20"/>
        </w:rPr>
        <w:t>Bioresource</w:t>
      </w:r>
      <w:proofErr w:type="spellEnd"/>
      <w:r w:rsidRPr="00667B24">
        <w:rPr>
          <w:rFonts w:ascii="Times New Roman" w:eastAsia="AdvEPSTIM" w:hAnsi="Times New Roman"/>
          <w:i/>
          <w:sz w:val="20"/>
          <w:szCs w:val="20"/>
        </w:rPr>
        <w:t xml:space="preserve"> Technology</w:t>
      </w:r>
      <w:r w:rsidR="002F2E3F" w:rsidRPr="00667B24">
        <w:rPr>
          <w:rFonts w:ascii="Times New Roman" w:eastAsia="AdvEPSTIM" w:hAnsi="Times New Roman"/>
          <w:sz w:val="20"/>
          <w:szCs w:val="20"/>
        </w:rPr>
        <w:t>, 99(10):</w:t>
      </w:r>
      <w:r w:rsidRPr="00667B24">
        <w:rPr>
          <w:rFonts w:ascii="Times New Roman" w:eastAsia="AdvEPSTIM" w:hAnsi="Times New Roman"/>
          <w:sz w:val="20"/>
          <w:szCs w:val="20"/>
        </w:rPr>
        <w:t>4239-4246.</w:t>
      </w:r>
    </w:p>
    <w:p w:rsidR="00667B24" w:rsidRDefault="00DA0A11" w:rsidP="00667B24">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hAnsi="Times New Roman"/>
          <w:sz w:val="20"/>
          <w:szCs w:val="20"/>
        </w:rPr>
        <w:t>Ilkay</w:t>
      </w:r>
      <w:proofErr w:type="spellEnd"/>
      <w:r w:rsidR="00D17B6E" w:rsidRPr="00667B24">
        <w:rPr>
          <w:rFonts w:ascii="Times New Roman" w:hAnsi="Times New Roman"/>
          <w:sz w:val="20"/>
          <w:szCs w:val="20"/>
        </w:rPr>
        <w:t>,</w:t>
      </w:r>
      <w:r w:rsidRPr="00667B24">
        <w:rPr>
          <w:rFonts w:ascii="Times New Roman" w:hAnsi="Times New Roman"/>
          <w:sz w:val="20"/>
          <w:szCs w:val="20"/>
        </w:rPr>
        <w:t xml:space="preserve"> O</w:t>
      </w:r>
      <w:r w:rsidR="00D17B6E" w:rsidRPr="00667B24">
        <w:rPr>
          <w:rFonts w:ascii="Times New Roman" w:hAnsi="Times New Roman"/>
          <w:sz w:val="20"/>
          <w:szCs w:val="20"/>
        </w:rPr>
        <w:t>.</w:t>
      </w:r>
      <w:r w:rsidRPr="00667B24">
        <w:rPr>
          <w:rFonts w:ascii="Times New Roman" w:hAnsi="Times New Roman"/>
          <w:sz w:val="20"/>
          <w:szCs w:val="20"/>
        </w:rPr>
        <w:t>, Murat</w:t>
      </w:r>
      <w:r w:rsidR="00D17B6E" w:rsidRPr="00667B24">
        <w:rPr>
          <w:rFonts w:ascii="Times New Roman" w:hAnsi="Times New Roman"/>
          <w:sz w:val="20"/>
          <w:szCs w:val="20"/>
        </w:rPr>
        <w:t>,</w:t>
      </w:r>
      <w:r w:rsidRPr="00667B24">
        <w:rPr>
          <w:rFonts w:ascii="Times New Roman" w:hAnsi="Times New Roman"/>
          <w:sz w:val="20"/>
          <w:szCs w:val="20"/>
        </w:rPr>
        <w:t xml:space="preserve"> K</w:t>
      </w:r>
      <w:r w:rsidR="00D17B6E" w:rsidRPr="00667B24">
        <w:rPr>
          <w:rFonts w:ascii="Times New Roman" w:hAnsi="Times New Roman"/>
          <w:sz w:val="20"/>
          <w:szCs w:val="20"/>
        </w:rPr>
        <w:t>.</w:t>
      </w:r>
      <w:r w:rsidRPr="00667B24">
        <w:rPr>
          <w:rFonts w:ascii="Times New Roman" w:hAnsi="Times New Roman"/>
          <w:sz w:val="20"/>
          <w:szCs w:val="20"/>
        </w:rPr>
        <w:t>, Mahmoud</w:t>
      </w:r>
      <w:r w:rsidR="00D17B6E" w:rsidRPr="00667B24">
        <w:rPr>
          <w:rFonts w:ascii="Times New Roman" w:hAnsi="Times New Roman"/>
          <w:sz w:val="20"/>
          <w:szCs w:val="20"/>
        </w:rPr>
        <w:t>,</w:t>
      </w:r>
      <w:r w:rsidRPr="00667B24">
        <w:rPr>
          <w:rFonts w:ascii="Times New Roman" w:hAnsi="Times New Roman"/>
          <w:sz w:val="20"/>
          <w:szCs w:val="20"/>
        </w:rPr>
        <w:t xml:space="preserve"> A</w:t>
      </w:r>
      <w:r w:rsidR="00D17B6E" w:rsidRPr="00667B24">
        <w:rPr>
          <w:rFonts w:ascii="Times New Roman" w:hAnsi="Times New Roman"/>
          <w:sz w:val="20"/>
          <w:szCs w:val="20"/>
        </w:rPr>
        <w:t xml:space="preserve">. </w:t>
      </w:r>
      <w:r w:rsidRPr="00667B24">
        <w:rPr>
          <w:rFonts w:ascii="Times New Roman" w:hAnsi="Times New Roman"/>
          <w:sz w:val="20"/>
          <w:szCs w:val="20"/>
        </w:rPr>
        <w:t>A</w:t>
      </w:r>
      <w:r w:rsidR="00D17B6E" w:rsidRPr="00667B24">
        <w:rPr>
          <w:rFonts w:ascii="Times New Roman" w:hAnsi="Times New Roman"/>
          <w:sz w:val="20"/>
          <w:szCs w:val="20"/>
        </w:rPr>
        <w:t>.</w:t>
      </w:r>
      <w:r w:rsidRPr="00667B24">
        <w:rPr>
          <w:rFonts w:ascii="Times New Roman" w:hAnsi="Times New Roman"/>
          <w:sz w:val="20"/>
          <w:szCs w:val="20"/>
        </w:rPr>
        <w:t xml:space="preserve">, </w:t>
      </w:r>
      <w:proofErr w:type="spellStart"/>
      <w:r w:rsidRPr="00667B24">
        <w:rPr>
          <w:rFonts w:ascii="Times New Roman" w:hAnsi="Times New Roman"/>
          <w:sz w:val="20"/>
          <w:szCs w:val="20"/>
        </w:rPr>
        <w:t>Sezer</w:t>
      </w:r>
      <w:proofErr w:type="spellEnd"/>
      <w:r w:rsidR="00D17B6E" w:rsidRPr="00667B24">
        <w:rPr>
          <w:rFonts w:ascii="Times New Roman" w:hAnsi="Times New Roman"/>
          <w:sz w:val="20"/>
          <w:szCs w:val="20"/>
        </w:rPr>
        <w:t>,</w:t>
      </w:r>
      <w:r w:rsidRPr="00667B24">
        <w:rPr>
          <w:rFonts w:ascii="Times New Roman" w:hAnsi="Times New Roman"/>
          <w:sz w:val="20"/>
          <w:szCs w:val="20"/>
        </w:rPr>
        <w:t xml:space="preserve"> S</w:t>
      </w:r>
      <w:r w:rsidR="00D17B6E" w:rsidRPr="00667B24">
        <w:rPr>
          <w:rFonts w:ascii="Times New Roman" w:hAnsi="Times New Roman"/>
          <w:sz w:val="20"/>
          <w:szCs w:val="20"/>
        </w:rPr>
        <w:t xml:space="preserve">. </w:t>
      </w:r>
      <w:r w:rsidRPr="00667B24">
        <w:rPr>
          <w:rFonts w:ascii="Times New Roman" w:hAnsi="Times New Roman"/>
          <w:sz w:val="20"/>
          <w:szCs w:val="20"/>
        </w:rPr>
        <w:t>F</w:t>
      </w:r>
      <w:r w:rsidR="00D17B6E" w:rsidRPr="00667B24">
        <w:rPr>
          <w:rFonts w:ascii="Times New Roman" w:hAnsi="Times New Roman"/>
          <w:sz w:val="20"/>
          <w:szCs w:val="20"/>
        </w:rPr>
        <w:t>.</w:t>
      </w:r>
      <w:r w:rsidRPr="00667B24">
        <w:rPr>
          <w:rFonts w:ascii="Times New Roman" w:hAnsi="Times New Roman"/>
          <w:sz w:val="20"/>
          <w:szCs w:val="20"/>
        </w:rPr>
        <w:t xml:space="preserve">, </w:t>
      </w:r>
      <w:proofErr w:type="spellStart"/>
      <w:r w:rsidRPr="00667B24">
        <w:rPr>
          <w:rFonts w:ascii="Times New Roman" w:hAnsi="Times New Roman"/>
          <w:sz w:val="20"/>
          <w:szCs w:val="20"/>
        </w:rPr>
        <w:t>Gulderen</w:t>
      </w:r>
      <w:proofErr w:type="spellEnd"/>
      <w:r w:rsidR="00D17B6E" w:rsidRPr="00667B24">
        <w:rPr>
          <w:rFonts w:ascii="Times New Roman" w:hAnsi="Times New Roman"/>
          <w:sz w:val="20"/>
          <w:szCs w:val="20"/>
        </w:rPr>
        <w:t>,</w:t>
      </w:r>
      <w:r w:rsidRPr="00667B24">
        <w:rPr>
          <w:rFonts w:ascii="Times New Roman" w:hAnsi="Times New Roman"/>
          <w:sz w:val="20"/>
          <w:szCs w:val="20"/>
        </w:rPr>
        <w:t xml:space="preserve"> Y</w:t>
      </w:r>
      <w:r w:rsidR="00D17B6E" w:rsidRPr="00667B24">
        <w:rPr>
          <w:rFonts w:ascii="Times New Roman" w:hAnsi="Times New Roman"/>
          <w:sz w:val="20"/>
          <w:szCs w:val="20"/>
        </w:rPr>
        <w:t>. &amp;</w:t>
      </w:r>
      <w:r w:rsidRPr="00667B24">
        <w:rPr>
          <w:rFonts w:ascii="Times New Roman" w:hAnsi="Times New Roman"/>
          <w:sz w:val="20"/>
          <w:szCs w:val="20"/>
        </w:rPr>
        <w:t xml:space="preserve"> Bilge</w:t>
      </w:r>
      <w:r w:rsidR="00D17B6E" w:rsidRPr="00667B24">
        <w:rPr>
          <w:rFonts w:ascii="Times New Roman" w:hAnsi="Times New Roman"/>
          <w:sz w:val="20"/>
          <w:szCs w:val="20"/>
        </w:rPr>
        <w:t>,</w:t>
      </w:r>
      <w:r w:rsidRPr="00667B24">
        <w:rPr>
          <w:rFonts w:ascii="Times New Roman" w:hAnsi="Times New Roman"/>
          <w:sz w:val="20"/>
          <w:szCs w:val="20"/>
        </w:rPr>
        <w:t xml:space="preserve"> S.</w:t>
      </w:r>
      <w:r w:rsidR="001221B6" w:rsidRPr="00667B24">
        <w:rPr>
          <w:rFonts w:ascii="Times New Roman" w:hAnsi="Times New Roman"/>
          <w:sz w:val="20"/>
          <w:szCs w:val="20"/>
        </w:rPr>
        <w:t xml:space="preserve"> (2009)</w:t>
      </w:r>
      <w:r w:rsidR="00D17B6E" w:rsidRPr="00667B24">
        <w:rPr>
          <w:rFonts w:ascii="Times New Roman" w:hAnsi="Times New Roman"/>
          <w:sz w:val="20"/>
          <w:szCs w:val="20"/>
        </w:rPr>
        <w:t>.</w:t>
      </w:r>
      <w:r w:rsidRPr="00667B24">
        <w:rPr>
          <w:rFonts w:ascii="Times New Roman" w:hAnsi="Times New Roman"/>
          <w:sz w:val="20"/>
          <w:szCs w:val="20"/>
        </w:rPr>
        <w:t xml:space="preserve"> Free radical scavenging properties and phenolic characterization of some edible plants. </w:t>
      </w:r>
      <w:r w:rsidRPr="00667B24">
        <w:rPr>
          <w:rFonts w:ascii="Times New Roman" w:hAnsi="Times New Roman"/>
          <w:i/>
          <w:sz w:val="20"/>
          <w:szCs w:val="20"/>
        </w:rPr>
        <w:t>Food Chemistry</w:t>
      </w:r>
      <w:r w:rsidR="00D17B6E" w:rsidRPr="00667B24">
        <w:rPr>
          <w:rFonts w:ascii="Times New Roman" w:hAnsi="Times New Roman"/>
          <w:sz w:val="20"/>
          <w:szCs w:val="20"/>
        </w:rPr>
        <w:t>,</w:t>
      </w:r>
      <w:r w:rsidRPr="00667B24">
        <w:rPr>
          <w:rFonts w:ascii="Times New Roman" w:hAnsi="Times New Roman"/>
          <w:sz w:val="20"/>
          <w:szCs w:val="20"/>
        </w:rPr>
        <w:t xml:space="preserve"> 114(1)</w:t>
      </w:r>
      <w:r w:rsidR="00D17B6E" w:rsidRPr="00667B24">
        <w:rPr>
          <w:rFonts w:ascii="Times New Roman" w:hAnsi="Times New Roman"/>
          <w:sz w:val="20"/>
          <w:szCs w:val="20"/>
        </w:rPr>
        <w:t>:</w:t>
      </w:r>
      <w:r w:rsidRPr="00667B24">
        <w:rPr>
          <w:rFonts w:ascii="Times New Roman" w:hAnsi="Times New Roman"/>
          <w:sz w:val="20"/>
          <w:szCs w:val="20"/>
        </w:rPr>
        <w:t xml:space="preserve"> 276–281.</w:t>
      </w:r>
    </w:p>
    <w:p w:rsidR="00DA0A11" w:rsidRPr="00667B24" w:rsidRDefault="00DA0A11" w:rsidP="004F2E11">
      <w:pPr>
        <w:pStyle w:val="ListParagraph"/>
        <w:numPr>
          <w:ilvl w:val="0"/>
          <w:numId w:val="7"/>
        </w:numPr>
        <w:autoSpaceDE w:val="0"/>
        <w:autoSpaceDN w:val="0"/>
        <w:adjustRightInd w:val="0"/>
        <w:spacing w:line="240" w:lineRule="auto"/>
        <w:ind w:hanging="720"/>
        <w:jc w:val="both"/>
        <w:rPr>
          <w:rFonts w:ascii="Times New Roman" w:hAnsi="Times New Roman"/>
          <w:sz w:val="20"/>
          <w:szCs w:val="20"/>
        </w:rPr>
      </w:pPr>
      <w:proofErr w:type="spellStart"/>
      <w:r w:rsidRPr="00667B24">
        <w:rPr>
          <w:rFonts w:ascii="Times New Roman" w:hAnsi="Times New Roman"/>
          <w:sz w:val="20"/>
          <w:szCs w:val="20"/>
        </w:rPr>
        <w:t>Jeng</w:t>
      </w:r>
      <w:proofErr w:type="spellEnd"/>
      <w:r w:rsidR="003828AF" w:rsidRPr="00667B24">
        <w:rPr>
          <w:rFonts w:ascii="Times New Roman" w:hAnsi="Times New Roman"/>
          <w:sz w:val="20"/>
          <w:szCs w:val="20"/>
        </w:rPr>
        <w:t>,</w:t>
      </w:r>
      <w:r w:rsidRPr="00667B24">
        <w:rPr>
          <w:rFonts w:ascii="Times New Roman" w:hAnsi="Times New Roman"/>
          <w:sz w:val="20"/>
          <w:szCs w:val="20"/>
        </w:rPr>
        <w:t xml:space="preserve"> L</w:t>
      </w:r>
      <w:r w:rsidR="003828AF" w:rsidRPr="00667B24">
        <w:rPr>
          <w:rFonts w:ascii="Times New Roman" w:hAnsi="Times New Roman"/>
          <w:sz w:val="20"/>
          <w:szCs w:val="20"/>
        </w:rPr>
        <w:t xml:space="preserve">. </w:t>
      </w:r>
      <w:r w:rsidRPr="00667B24">
        <w:rPr>
          <w:rFonts w:ascii="Times New Roman" w:hAnsi="Times New Roman"/>
          <w:sz w:val="20"/>
          <w:szCs w:val="20"/>
        </w:rPr>
        <w:t>M</w:t>
      </w:r>
      <w:r w:rsidR="003828AF" w:rsidRPr="00667B24">
        <w:rPr>
          <w:rFonts w:ascii="Times New Roman" w:hAnsi="Times New Roman"/>
          <w:sz w:val="20"/>
          <w:szCs w:val="20"/>
        </w:rPr>
        <w:t>.</w:t>
      </w:r>
      <w:r w:rsidRPr="00667B24">
        <w:rPr>
          <w:rFonts w:ascii="Times New Roman" w:hAnsi="Times New Roman"/>
          <w:sz w:val="20"/>
          <w:szCs w:val="20"/>
        </w:rPr>
        <w:t xml:space="preserve">, </w:t>
      </w:r>
      <w:proofErr w:type="spellStart"/>
      <w:r w:rsidRPr="00667B24">
        <w:rPr>
          <w:rFonts w:ascii="Times New Roman" w:hAnsi="Times New Roman"/>
          <w:sz w:val="20"/>
          <w:szCs w:val="20"/>
        </w:rPr>
        <w:t>Hsiu</w:t>
      </w:r>
      <w:proofErr w:type="spellEnd"/>
      <w:r w:rsidR="003828AF" w:rsidRPr="00667B24">
        <w:rPr>
          <w:rFonts w:ascii="Times New Roman" w:hAnsi="Times New Roman"/>
          <w:sz w:val="20"/>
          <w:szCs w:val="20"/>
        </w:rPr>
        <w:t>,</w:t>
      </w:r>
      <w:r w:rsidRPr="00667B24">
        <w:rPr>
          <w:rFonts w:ascii="Times New Roman" w:hAnsi="Times New Roman"/>
          <w:sz w:val="20"/>
          <w:szCs w:val="20"/>
        </w:rPr>
        <w:t xml:space="preserve"> C</w:t>
      </w:r>
      <w:r w:rsidR="003828AF" w:rsidRPr="00667B24">
        <w:rPr>
          <w:rFonts w:ascii="Times New Roman" w:hAnsi="Times New Roman"/>
          <w:sz w:val="20"/>
          <w:szCs w:val="20"/>
        </w:rPr>
        <w:t xml:space="preserve">. </w:t>
      </w:r>
      <w:r w:rsidRPr="00667B24">
        <w:rPr>
          <w:rFonts w:ascii="Times New Roman" w:hAnsi="Times New Roman"/>
          <w:sz w:val="20"/>
          <w:szCs w:val="20"/>
        </w:rPr>
        <w:t>L</w:t>
      </w:r>
      <w:r w:rsidR="003828AF" w:rsidRPr="00667B24">
        <w:rPr>
          <w:rFonts w:ascii="Times New Roman" w:hAnsi="Times New Roman"/>
          <w:sz w:val="20"/>
          <w:szCs w:val="20"/>
        </w:rPr>
        <w:t>.</w:t>
      </w:r>
      <w:r w:rsidRPr="00667B24">
        <w:rPr>
          <w:rFonts w:ascii="Times New Roman" w:hAnsi="Times New Roman"/>
          <w:sz w:val="20"/>
          <w:szCs w:val="20"/>
        </w:rPr>
        <w:t>, Chin</w:t>
      </w:r>
      <w:r w:rsidR="003828AF" w:rsidRPr="00667B24">
        <w:rPr>
          <w:rFonts w:ascii="Times New Roman" w:hAnsi="Times New Roman"/>
          <w:sz w:val="20"/>
          <w:szCs w:val="20"/>
        </w:rPr>
        <w:t>,</w:t>
      </w:r>
      <w:r w:rsidRPr="00667B24">
        <w:rPr>
          <w:rFonts w:ascii="Times New Roman" w:hAnsi="Times New Roman"/>
          <w:sz w:val="20"/>
          <w:szCs w:val="20"/>
        </w:rPr>
        <w:t xml:space="preserve"> C</w:t>
      </w:r>
      <w:r w:rsidR="003828AF" w:rsidRPr="00667B24">
        <w:rPr>
          <w:rFonts w:ascii="Times New Roman" w:hAnsi="Times New Roman"/>
          <w:sz w:val="20"/>
          <w:szCs w:val="20"/>
        </w:rPr>
        <w:t xml:space="preserve">. </w:t>
      </w:r>
      <w:r w:rsidRPr="00667B24">
        <w:rPr>
          <w:rFonts w:ascii="Times New Roman" w:hAnsi="Times New Roman"/>
          <w:sz w:val="20"/>
          <w:szCs w:val="20"/>
        </w:rPr>
        <w:t>C.</w:t>
      </w:r>
      <w:r w:rsidR="00AC4ACB" w:rsidRPr="00667B24">
        <w:rPr>
          <w:rFonts w:ascii="Times New Roman" w:hAnsi="Times New Roman"/>
          <w:sz w:val="20"/>
          <w:szCs w:val="20"/>
        </w:rPr>
        <w:t xml:space="preserve"> (2002)</w:t>
      </w:r>
      <w:r w:rsidR="003828AF" w:rsidRPr="00667B24">
        <w:rPr>
          <w:rFonts w:ascii="Times New Roman" w:hAnsi="Times New Roman"/>
          <w:sz w:val="20"/>
          <w:szCs w:val="20"/>
        </w:rPr>
        <w:t>.</w:t>
      </w:r>
      <w:r w:rsidRPr="00667B24">
        <w:rPr>
          <w:rFonts w:ascii="Times New Roman" w:hAnsi="Times New Roman"/>
          <w:sz w:val="20"/>
          <w:szCs w:val="20"/>
        </w:rPr>
        <w:t xml:space="preserve"> </w:t>
      </w:r>
      <w:proofErr w:type="gramStart"/>
      <w:r w:rsidRPr="00667B24">
        <w:rPr>
          <w:rFonts w:ascii="Times New Roman" w:hAnsi="Times New Roman"/>
          <w:sz w:val="20"/>
          <w:szCs w:val="20"/>
        </w:rPr>
        <w:t>Antioxidant properties of several medicinal mushrooms.</w:t>
      </w:r>
      <w:proofErr w:type="gramEnd"/>
      <w:r w:rsidRPr="00667B24">
        <w:rPr>
          <w:rFonts w:ascii="Times New Roman" w:hAnsi="Times New Roman"/>
          <w:sz w:val="20"/>
          <w:szCs w:val="20"/>
        </w:rPr>
        <w:t xml:space="preserve"> </w:t>
      </w:r>
      <w:r w:rsidRPr="00667B24">
        <w:rPr>
          <w:rFonts w:ascii="Times New Roman" w:hAnsi="Times New Roman"/>
          <w:i/>
          <w:sz w:val="20"/>
          <w:szCs w:val="20"/>
        </w:rPr>
        <w:t>Journal of Agriculture and Food Chemistry</w:t>
      </w:r>
      <w:r w:rsidR="003828AF" w:rsidRPr="00667B24">
        <w:rPr>
          <w:rFonts w:ascii="Times New Roman" w:hAnsi="Times New Roman"/>
          <w:sz w:val="20"/>
          <w:szCs w:val="20"/>
        </w:rPr>
        <w:t>,</w:t>
      </w:r>
      <w:r w:rsidRPr="00667B24">
        <w:rPr>
          <w:rFonts w:ascii="Times New Roman" w:hAnsi="Times New Roman"/>
          <w:sz w:val="20"/>
          <w:szCs w:val="20"/>
        </w:rPr>
        <w:t xml:space="preserve"> 50</w:t>
      </w:r>
      <w:r w:rsidR="003828AF" w:rsidRPr="00667B24">
        <w:rPr>
          <w:rFonts w:ascii="Times New Roman" w:hAnsi="Times New Roman"/>
          <w:sz w:val="20"/>
          <w:szCs w:val="20"/>
        </w:rPr>
        <w:t>(21):</w:t>
      </w:r>
      <w:r w:rsidRPr="00667B24">
        <w:rPr>
          <w:rFonts w:ascii="Times New Roman" w:hAnsi="Times New Roman"/>
          <w:sz w:val="20"/>
          <w:szCs w:val="20"/>
        </w:rPr>
        <w:t>6072-6077.</w:t>
      </w:r>
    </w:p>
    <w:sectPr w:rsidR="00DA0A11" w:rsidRPr="00667B24" w:rsidSect="00BE025B">
      <w:pgSz w:w="11907" w:h="16839" w:code="9"/>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BZ">
    <w:altName w:val="Arial Unicode MS"/>
    <w:panose1 w:val="00000000000000000000"/>
    <w:charset w:val="86"/>
    <w:family w:val="auto"/>
    <w:notTrueType/>
    <w:pitch w:val="default"/>
    <w:sig w:usb0="00000001" w:usb1="080F0000" w:usb2="00000010" w:usb3="00000000" w:csb0="0006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EPSTIM">
    <w:altName w:val="MS Mincho"/>
    <w:panose1 w:val="00000000000000000000"/>
    <w:charset w:val="80"/>
    <w:family w:val="auto"/>
    <w:notTrueType/>
    <w:pitch w:val="default"/>
    <w:sig w:usb0="00000001" w:usb1="08070000" w:usb2="00000010" w:usb3="00000000" w:csb0="00020000" w:csb1="00000000"/>
  </w:font>
  <w:font w:name="AdvTimes">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C75"/>
    <w:multiLevelType w:val="hybridMultilevel"/>
    <w:tmpl w:val="5726AE3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862"/>
    <w:multiLevelType w:val="hybridMultilevel"/>
    <w:tmpl w:val="7F402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FB1335B"/>
    <w:multiLevelType w:val="hybridMultilevel"/>
    <w:tmpl w:val="99CCB25A"/>
    <w:lvl w:ilvl="0" w:tplc="D5966E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E75301A"/>
    <w:multiLevelType w:val="hybridMultilevel"/>
    <w:tmpl w:val="FFB6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5A41"/>
    <w:multiLevelType w:val="hybridMultilevel"/>
    <w:tmpl w:val="6F0CB8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66F18CE"/>
    <w:multiLevelType w:val="hybridMultilevel"/>
    <w:tmpl w:val="ED64CF94"/>
    <w:lvl w:ilvl="0" w:tplc="FFFFFFFF">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49185EB4"/>
    <w:multiLevelType w:val="hybridMultilevel"/>
    <w:tmpl w:val="C9FA1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1679E"/>
    <w:rsid w:val="000050CB"/>
    <w:rsid w:val="00010FB1"/>
    <w:rsid w:val="000224CF"/>
    <w:rsid w:val="0002463D"/>
    <w:rsid w:val="0003191C"/>
    <w:rsid w:val="00066C5E"/>
    <w:rsid w:val="00070D19"/>
    <w:rsid w:val="00090A26"/>
    <w:rsid w:val="000B151E"/>
    <w:rsid w:val="000C0136"/>
    <w:rsid w:val="000C1594"/>
    <w:rsid w:val="000C7F5C"/>
    <w:rsid w:val="000E6F4F"/>
    <w:rsid w:val="000F3EB3"/>
    <w:rsid w:val="00103FD7"/>
    <w:rsid w:val="001100FA"/>
    <w:rsid w:val="00120375"/>
    <w:rsid w:val="001221B6"/>
    <w:rsid w:val="0013664B"/>
    <w:rsid w:val="00136923"/>
    <w:rsid w:val="001426B6"/>
    <w:rsid w:val="00150957"/>
    <w:rsid w:val="00164C3D"/>
    <w:rsid w:val="00165D0B"/>
    <w:rsid w:val="00185DE2"/>
    <w:rsid w:val="00186361"/>
    <w:rsid w:val="00186678"/>
    <w:rsid w:val="00187691"/>
    <w:rsid w:val="00194BCF"/>
    <w:rsid w:val="001A07EB"/>
    <w:rsid w:val="001A270B"/>
    <w:rsid w:val="001C2C5A"/>
    <w:rsid w:val="001C2E83"/>
    <w:rsid w:val="001D0C92"/>
    <w:rsid w:val="001D1BBC"/>
    <w:rsid w:val="001D3B4F"/>
    <w:rsid w:val="001E2CC1"/>
    <w:rsid w:val="001F49A3"/>
    <w:rsid w:val="001F55B1"/>
    <w:rsid w:val="001F5EDE"/>
    <w:rsid w:val="00201ECC"/>
    <w:rsid w:val="0021549B"/>
    <w:rsid w:val="00215568"/>
    <w:rsid w:val="0022692B"/>
    <w:rsid w:val="00227A59"/>
    <w:rsid w:val="002316C0"/>
    <w:rsid w:val="0024352F"/>
    <w:rsid w:val="0024554A"/>
    <w:rsid w:val="00247215"/>
    <w:rsid w:val="00250BB7"/>
    <w:rsid w:val="002576E0"/>
    <w:rsid w:val="00265B58"/>
    <w:rsid w:val="0026623B"/>
    <w:rsid w:val="0027409F"/>
    <w:rsid w:val="00274E05"/>
    <w:rsid w:val="002772D7"/>
    <w:rsid w:val="002830B5"/>
    <w:rsid w:val="00290372"/>
    <w:rsid w:val="00296F0E"/>
    <w:rsid w:val="002A3367"/>
    <w:rsid w:val="002A5A03"/>
    <w:rsid w:val="002B39FE"/>
    <w:rsid w:val="002B45EF"/>
    <w:rsid w:val="002B477D"/>
    <w:rsid w:val="002B4E42"/>
    <w:rsid w:val="002C0125"/>
    <w:rsid w:val="002C7A88"/>
    <w:rsid w:val="002D0DB9"/>
    <w:rsid w:val="002D1965"/>
    <w:rsid w:val="002D3464"/>
    <w:rsid w:val="002F2E3F"/>
    <w:rsid w:val="00302B19"/>
    <w:rsid w:val="0030484B"/>
    <w:rsid w:val="003069BB"/>
    <w:rsid w:val="00307F06"/>
    <w:rsid w:val="00311640"/>
    <w:rsid w:val="00315818"/>
    <w:rsid w:val="00316752"/>
    <w:rsid w:val="00320079"/>
    <w:rsid w:val="003274E8"/>
    <w:rsid w:val="00335F48"/>
    <w:rsid w:val="0033719A"/>
    <w:rsid w:val="00342B30"/>
    <w:rsid w:val="00342C5C"/>
    <w:rsid w:val="0034691B"/>
    <w:rsid w:val="0034766D"/>
    <w:rsid w:val="00347CEF"/>
    <w:rsid w:val="00354F32"/>
    <w:rsid w:val="00363FDF"/>
    <w:rsid w:val="00367F46"/>
    <w:rsid w:val="003713DE"/>
    <w:rsid w:val="00377038"/>
    <w:rsid w:val="00380F8C"/>
    <w:rsid w:val="00381074"/>
    <w:rsid w:val="003818FE"/>
    <w:rsid w:val="003824E0"/>
    <w:rsid w:val="003828AF"/>
    <w:rsid w:val="00390DBF"/>
    <w:rsid w:val="003A1B09"/>
    <w:rsid w:val="003A2BAC"/>
    <w:rsid w:val="003B0036"/>
    <w:rsid w:val="003C0D29"/>
    <w:rsid w:val="003C17ED"/>
    <w:rsid w:val="003D326A"/>
    <w:rsid w:val="003D6E8A"/>
    <w:rsid w:val="003F17D9"/>
    <w:rsid w:val="003F20F5"/>
    <w:rsid w:val="003F5C52"/>
    <w:rsid w:val="00400743"/>
    <w:rsid w:val="00400F5F"/>
    <w:rsid w:val="0040762B"/>
    <w:rsid w:val="00407A69"/>
    <w:rsid w:val="00407CF7"/>
    <w:rsid w:val="00417A21"/>
    <w:rsid w:val="0042289B"/>
    <w:rsid w:val="00422AA3"/>
    <w:rsid w:val="004258BC"/>
    <w:rsid w:val="00426E19"/>
    <w:rsid w:val="00434964"/>
    <w:rsid w:val="004350DD"/>
    <w:rsid w:val="00436DA8"/>
    <w:rsid w:val="00436FEB"/>
    <w:rsid w:val="0043727C"/>
    <w:rsid w:val="004426C4"/>
    <w:rsid w:val="00454B4F"/>
    <w:rsid w:val="004550E3"/>
    <w:rsid w:val="004635E6"/>
    <w:rsid w:val="00475C47"/>
    <w:rsid w:val="00477CFB"/>
    <w:rsid w:val="00486A5C"/>
    <w:rsid w:val="004908B8"/>
    <w:rsid w:val="0049420F"/>
    <w:rsid w:val="004A39FB"/>
    <w:rsid w:val="004C041F"/>
    <w:rsid w:val="004D0051"/>
    <w:rsid w:val="004D4D62"/>
    <w:rsid w:val="004E5D2E"/>
    <w:rsid w:val="004F2470"/>
    <w:rsid w:val="004F2E11"/>
    <w:rsid w:val="00500271"/>
    <w:rsid w:val="00500868"/>
    <w:rsid w:val="00503161"/>
    <w:rsid w:val="0050475F"/>
    <w:rsid w:val="005151F6"/>
    <w:rsid w:val="00527C75"/>
    <w:rsid w:val="00541B5B"/>
    <w:rsid w:val="005429C9"/>
    <w:rsid w:val="00547727"/>
    <w:rsid w:val="00550446"/>
    <w:rsid w:val="00557BB4"/>
    <w:rsid w:val="0056040E"/>
    <w:rsid w:val="00560702"/>
    <w:rsid w:val="00560FBC"/>
    <w:rsid w:val="005612C8"/>
    <w:rsid w:val="005703BD"/>
    <w:rsid w:val="005908FA"/>
    <w:rsid w:val="005950D1"/>
    <w:rsid w:val="005A46E1"/>
    <w:rsid w:val="005A51F4"/>
    <w:rsid w:val="005C1040"/>
    <w:rsid w:val="005C3C8D"/>
    <w:rsid w:val="005D1C5A"/>
    <w:rsid w:val="005D33E9"/>
    <w:rsid w:val="005E32E9"/>
    <w:rsid w:val="005E6581"/>
    <w:rsid w:val="005F2685"/>
    <w:rsid w:val="005F6211"/>
    <w:rsid w:val="00611948"/>
    <w:rsid w:val="006172D8"/>
    <w:rsid w:val="00643233"/>
    <w:rsid w:val="00647082"/>
    <w:rsid w:val="00653E30"/>
    <w:rsid w:val="00655439"/>
    <w:rsid w:val="0066650C"/>
    <w:rsid w:val="00667914"/>
    <w:rsid w:val="00667B24"/>
    <w:rsid w:val="00672289"/>
    <w:rsid w:val="00673485"/>
    <w:rsid w:val="00675520"/>
    <w:rsid w:val="00675961"/>
    <w:rsid w:val="006931A8"/>
    <w:rsid w:val="00694EB7"/>
    <w:rsid w:val="00697DF4"/>
    <w:rsid w:val="006A0583"/>
    <w:rsid w:val="006A2372"/>
    <w:rsid w:val="006A5687"/>
    <w:rsid w:val="006B0162"/>
    <w:rsid w:val="006B1539"/>
    <w:rsid w:val="006B42D9"/>
    <w:rsid w:val="006C1867"/>
    <w:rsid w:val="006D23CE"/>
    <w:rsid w:val="006D5937"/>
    <w:rsid w:val="006D72BA"/>
    <w:rsid w:val="006E0E82"/>
    <w:rsid w:val="006E7713"/>
    <w:rsid w:val="00706987"/>
    <w:rsid w:val="00715F42"/>
    <w:rsid w:val="00732527"/>
    <w:rsid w:val="00733E27"/>
    <w:rsid w:val="0073444D"/>
    <w:rsid w:val="0073751E"/>
    <w:rsid w:val="00743572"/>
    <w:rsid w:val="00743DE6"/>
    <w:rsid w:val="0074400C"/>
    <w:rsid w:val="0074626C"/>
    <w:rsid w:val="0074797B"/>
    <w:rsid w:val="00751978"/>
    <w:rsid w:val="0075328E"/>
    <w:rsid w:val="00764580"/>
    <w:rsid w:val="0077283F"/>
    <w:rsid w:val="00774A0D"/>
    <w:rsid w:val="0078202D"/>
    <w:rsid w:val="0078727C"/>
    <w:rsid w:val="00791ED3"/>
    <w:rsid w:val="00794E88"/>
    <w:rsid w:val="007A00C3"/>
    <w:rsid w:val="007A138F"/>
    <w:rsid w:val="007B4DF7"/>
    <w:rsid w:val="007B6CA9"/>
    <w:rsid w:val="007C0DAD"/>
    <w:rsid w:val="007C1A70"/>
    <w:rsid w:val="007E04B7"/>
    <w:rsid w:val="007E0F7B"/>
    <w:rsid w:val="007E256D"/>
    <w:rsid w:val="007F7D49"/>
    <w:rsid w:val="0080668F"/>
    <w:rsid w:val="008102CF"/>
    <w:rsid w:val="00816FD6"/>
    <w:rsid w:val="00824E02"/>
    <w:rsid w:val="0082543B"/>
    <w:rsid w:val="00832D6D"/>
    <w:rsid w:val="008368C7"/>
    <w:rsid w:val="00844A88"/>
    <w:rsid w:val="00852121"/>
    <w:rsid w:val="00853781"/>
    <w:rsid w:val="00854B1D"/>
    <w:rsid w:val="00860D73"/>
    <w:rsid w:val="00862C15"/>
    <w:rsid w:val="00870F68"/>
    <w:rsid w:val="008748E3"/>
    <w:rsid w:val="00881634"/>
    <w:rsid w:val="0089592D"/>
    <w:rsid w:val="008978EE"/>
    <w:rsid w:val="008B0A5B"/>
    <w:rsid w:val="008B5D42"/>
    <w:rsid w:val="008B5F46"/>
    <w:rsid w:val="008B751E"/>
    <w:rsid w:val="008C06B0"/>
    <w:rsid w:val="008C1A7D"/>
    <w:rsid w:val="008D1C8D"/>
    <w:rsid w:val="008D4BA6"/>
    <w:rsid w:val="008D53A7"/>
    <w:rsid w:val="008D7CE7"/>
    <w:rsid w:val="008E1C49"/>
    <w:rsid w:val="008E58A1"/>
    <w:rsid w:val="008F418C"/>
    <w:rsid w:val="008F4D7C"/>
    <w:rsid w:val="008F5269"/>
    <w:rsid w:val="008F6D55"/>
    <w:rsid w:val="00901662"/>
    <w:rsid w:val="00910BFD"/>
    <w:rsid w:val="00911653"/>
    <w:rsid w:val="0091679E"/>
    <w:rsid w:val="009219DF"/>
    <w:rsid w:val="00923FE8"/>
    <w:rsid w:val="00932F59"/>
    <w:rsid w:val="0096234C"/>
    <w:rsid w:val="00994B34"/>
    <w:rsid w:val="00997015"/>
    <w:rsid w:val="009A1941"/>
    <w:rsid w:val="009B573C"/>
    <w:rsid w:val="009C1A8E"/>
    <w:rsid w:val="009D2D35"/>
    <w:rsid w:val="009D6556"/>
    <w:rsid w:val="009D77D9"/>
    <w:rsid w:val="009F5260"/>
    <w:rsid w:val="00A004E7"/>
    <w:rsid w:val="00A079FD"/>
    <w:rsid w:val="00A1688E"/>
    <w:rsid w:val="00A26F8E"/>
    <w:rsid w:val="00A375D4"/>
    <w:rsid w:val="00A4049D"/>
    <w:rsid w:val="00A44CE5"/>
    <w:rsid w:val="00A44F69"/>
    <w:rsid w:val="00A54157"/>
    <w:rsid w:val="00A56743"/>
    <w:rsid w:val="00A600ED"/>
    <w:rsid w:val="00A72DBE"/>
    <w:rsid w:val="00A76706"/>
    <w:rsid w:val="00A86C9B"/>
    <w:rsid w:val="00A90A64"/>
    <w:rsid w:val="00AA2515"/>
    <w:rsid w:val="00AA411E"/>
    <w:rsid w:val="00AB04A5"/>
    <w:rsid w:val="00AB41FF"/>
    <w:rsid w:val="00AC0A56"/>
    <w:rsid w:val="00AC4ACB"/>
    <w:rsid w:val="00AD405F"/>
    <w:rsid w:val="00AD6B57"/>
    <w:rsid w:val="00AE446B"/>
    <w:rsid w:val="00B04CB5"/>
    <w:rsid w:val="00B15ABA"/>
    <w:rsid w:val="00B36073"/>
    <w:rsid w:val="00B365F5"/>
    <w:rsid w:val="00B37674"/>
    <w:rsid w:val="00B4207A"/>
    <w:rsid w:val="00B43F62"/>
    <w:rsid w:val="00B51463"/>
    <w:rsid w:val="00B6061A"/>
    <w:rsid w:val="00B613B9"/>
    <w:rsid w:val="00B6266E"/>
    <w:rsid w:val="00B65876"/>
    <w:rsid w:val="00B6735C"/>
    <w:rsid w:val="00B72E6A"/>
    <w:rsid w:val="00B734F8"/>
    <w:rsid w:val="00B767C7"/>
    <w:rsid w:val="00B77721"/>
    <w:rsid w:val="00B81D14"/>
    <w:rsid w:val="00B86B17"/>
    <w:rsid w:val="00B8714E"/>
    <w:rsid w:val="00B955F6"/>
    <w:rsid w:val="00B96324"/>
    <w:rsid w:val="00BB641C"/>
    <w:rsid w:val="00BB7D02"/>
    <w:rsid w:val="00BC3FDF"/>
    <w:rsid w:val="00BC4553"/>
    <w:rsid w:val="00BC58F7"/>
    <w:rsid w:val="00BD4956"/>
    <w:rsid w:val="00BE00CA"/>
    <w:rsid w:val="00BE025B"/>
    <w:rsid w:val="00BE699E"/>
    <w:rsid w:val="00BF16CB"/>
    <w:rsid w:val="00BF2D27"/>
    <w:rsid w:val="00BF753F"/>
    <w:rsid w:val="00BF7BF0"/>
    <w:rsid w:val="00C0327A"/>
    <w:rsid w:val="00C0382E"/>
    <w:rsid w:val="00C14180"/>
    <w:rsid w:val="00C179A0"/>
    <w:rsid w:val="00C20F10"/>
    <w:rsid w:val="00C23540"/>
    <w:rsid w:val="00C24670"/>
    <w:rsid w:val="00C311F3"/>
    <w:rsid w:val="00C33219"/>
    <w:rsid w:val="00C40C5A"/>
    <w:rsid w:val="00C40E0A"/>
    <w:rsid w:val="00C46F93"/>
    <w:rsid w:val="00C51798"/>
    <w:rsid w:val="00C551EE"/>
    <w:rsid w:val="00C577B4"/>
    <w:rsid w:val="00C623AB"/>
    <w:rsid w:val="00C6373B"/>
    <w:rsid w:val="00C72289"/>
    <w:rsid w:val="00C74EE6"/>
    <w:rsid w:val="00C75B7C"/>
    <w:rsid w:val="00C813D3"/>
    <w:rsid w:val="00CA0625"/>
    <w:rsid w:val="00CB0E56"/>
    <w:rsid w:val="00CB23E9"/>
    <w:rsid w:val="00CB3E2E"/>
    <w:rsid w:val="00CC2D3E"/>
    <w:rsid w:val="00CC4D7F"/>
    <w:rsid w:val="00CD2BD0"/>
    <w:rsid w:val="00CE2E1D"/>
    <w:rsid w:val="00CF0309"/>
    <w:rsid w:val="00CF0AB7"/>
    <w:rsid w:val="00CF125E"/>
    <w:rsid w:val="00D00A0C"/>
    <w:rsid w:val="00D02039"/>
    <w:rsid w:val="00D02318"/>
    <w:rsid w:val="00D0440F"/>
    <w:rsid w:val="00D0565C"/>
    <w:rsid w:val="00D058E2"/>
    <w:rsid w:val="00D136E0"/>
    <w:rsid w:val="00D17B6E"/>
    <w:rsid w:val="00D21DFB"/>
    <w:rsid w:val="00D22612"/>
    <w:rsid w:val="00D226B1"/>
    <w:rsid w:val="00D255BC"/>
    <w:rsid w:val="00D27236"/>
    <w:rsid w:val="00D37D59"/>
    <w:rsid w:val="00D4233A"/>
    <w:rsid w:val="00D443C1"/>
    <w:rsid w:val="00D56CCE"/>
    <w:rsid w:val="00D63716"/>
    <w:rsid w:val="00D7189A"/>
    <w:rsid w:val="00D72F46"/>
    <w:rsid w:val="00D732D8"/>
    <w:rsid w:val="00D74BC3"/>
    <w:rsid w:val="00D75046"/>
    <w:rsid w:val="00D756EE"/>
    <w:rsid w:val="00D77ED1"/>
    <w:rsid w:val="00D8024D"/>
    <w:rsid w:val="00D825F3"/>
    <w:rsid w:val="00DA0A11"/>
    <w:rsid w:val="00DB106D"/>
    <w:rsid w:val="00DB3165"/>
    <w:rsid w:val="00DB7E3B"/>
    <w:rsid w:val="00DB7FAB"/>
    <w:rsid w:val="00DC0CEA"/>
    <w:rsid w:val="00DC30D2"/>
    <w:rsid w:val="00DC44EF"/>
    <w:rsid w:val="00DD2372"/>
    <w:rsid w:val="00DD3AC1"/>
    <w:rsid w:val="00DD454B"/>
    <w:rsid w:val="00DD515D"/>
    <w:rsid w:val="00DE19C7"/>
    <w:rsid w:val="00DF12E5"/>
    <w:rsid w:val="00DF2BF2"/>
    <w:rsid w:val="00DF6A75"/>
    <w:rsid w:val="00E0679A"/>
    <w:rsid w:val="00E07449"/>
    <w:rsid w:val="00E152DD"/>
    <w:rsid w:val="00E15414"/>
    <w:rsid w:val="00E21F79"/>
    <w:rsid w:val="00E2506C"/>
    <w:rsid w:val="00E25FB2"/>
    <w:rsid w:val="00E412D1"/>
    <w:rsid w:val="00E63474"/>
    <w:rsid w:val="00E64DEC"/>
    <w:rsid w:val="00E668A8"/>
    <w:rsid w:val="00E7075E"/>
    <w:rsid w:val="00E82818"/>
    <w:rsid w:val="00E94A02"/>
    <w:rsid w:val="00EA5ABE"/>
    <w:rsid w:val="00EB2512"/>
    <w:rsid w:val="00EC7EE4"/>
    <w:rsid w:val="00ED6313"/>
    <w:rsid w:val="00EE4C8D"/>
    <w:rsid w:val="00EF0B43"/>
    <w:rsid w:val="00F006D6"/>
    <w:rsid w:val="00F0247D"/>
    <w:rsid w:val="00F02484"/>
    <w:rsid w:val="00F11957"/>
    <w:rsid w:val="00F14C74"/>
    <w:rsid w:val="00F222FC"/>
    <w:rsid w:val="00F2331B"/>
    <w:rsid w:val="00F33EDC"/>
    <w:rsid w:val="00F354B6"/>
    <w:rsid w:val="00F4315F"/>
    <w:rsid w:val="00F55D0A"/>
    <w:rsid w:val="00F65D2F"/>
    <w:rsid w:val="00F668DF"/>
    <w:rsid w:val="00F8269B"/>
    <w:rsid w:val="00F8767D"/>
    <w:rsid w:val="00F928DC"/>
    <w:rsid w:val="00F9306C"/>
    <w:rsid w:val="00F934CB"/>
    <w:rsid w:val="00F96A70"/>
    <w:rsid w:val="00FA14B4"/>
    <w:rsid w:val="00FA2851"/>
    <w:rsid w:val="00FA4D3A"/>
    <w:rsid w:val="00FA5934"/>
    <w:rsid w:val="00FB2962"/>
    <w:rsid w:val="00FB5A9F"/>
    <w:rsid w:val="00FB5DD5"/>
    <w:rsid w:val="00FC07CC"/>
    <w:rsid w:val="00FC3768"/>
    <w:rsid w:val="00FC6B29"/>
    <w:rsid w:val="00FC7B88"/>
    <w:rsid w:val="00FD0E39"/>
    <w:rsid w:val="00FD6B8F"/>
    <w:rsid w:val="00FE5868"/>
    <w:rsid w:val="00FF221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79E"/>
    <w:rPr>
      <w:rFonts w:ascii="Calibri" w:eastAsia="Calibri" w:hAnsi="Calibri" w:cs="Times New Roman"/>
      <w:lang w:val="en-US"/>
    </w:rPr>
  </w:style>
  <w:style w:type="paragraph" w:styleId="Heading1">
    <w:name w:val="heading 1"/>
    <w:basedOn w:val="Normal"/>
    <w:link w:val="Heading1Char"/>
    <w:uiPriority w:val="9"/>
    <w:qFormat/>
    <w:rsid w:val="00DE19C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nhideWhenUsed/>
    <w:qFormat/>
    <w:rsid w:val="00DE19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679E"/>
    <w:pPr>
      <w:spacing w:before="150" w:after="19"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1679E"/>
  </w:style>
  <w:style w:type="character" w:styleId="Emphasis">
    <w:name w:val="Emphasis"/>
    <w:basedOn w:val="DefaultParagraphFont"/>
    <w:qFormat/>
    <w:rsid w:val="0091679E"/>
    <w:rPr>
      <w:i/>
      <w:iCs/>
    </w:rPr>
  </w:style>
  <w:style w:type="paragraph" w:styleId="BalloonText">
    <w:name w:val="Balloon Text"/>
    <w:basedOn w:val="Normal"/>
    <w:link w:val="BalloonTextChar"/>
    <w:uiPriority w:val="99"/>
    <w:semiHidden/>
    <w:unhideWhenUsed/>
    <w:rsid w:val="00916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79E"/>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DE19C7"/>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rsid w:val="00DE19C7"/>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qFormat/>
    <w:rsid w:val="00DE19C7"/>
    <w:pPr>
      <w:ind w:left="720"/>
      <w:contextualSpacing/>
    </w:pPr>
  </w:style>
  <w:style w:type="paragraph" w:styleId="BodyText">
    <w:name w:val="Body Text"/>
    <w:basedOn w:val="Normal"/>
    <w:link w:val="BodyTextChar"/>
    <w:semiHidden/>
    <w:rsid w:val="00DE19C7"/>
    <w:pPr>
      <w:spacing w:after="0" w:line="36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DE19C7"/>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rsid w:val="00DE19C7"/>
    <w:pPr>
      <w:tabs>
        <w:tab w:val="left" w:pos="720"/>
      </w:tabs>
      <w:spacing w:after="0" w:line="360" w:lineRule="auto"/>
      <w:ind w:left="-90" w:firstLine="90"/>
      <w:jc w:val="both"/>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semiHidden/>
    <w:rsid w:val="00DE19C7"/>
    <w:rPr>
      <w:rFonts w:ascii="Times New Roman" w:eastAsia="Times New Roman" w:hAnsi="Times New Roman" w:cs="Times New Roman"/>
      <w:sz w:val="24"/>
      <w:szCs w:val="24"/>
      <w:lang w:val="en-US"/>
    </w:rPr>
  </w:style>
  <w:style w:type="table" w:styleId="TableGrid">
    <w:name w:val="Table Grid"/>
    <w:basedOn w:val="TableNormal"/>
    <w:uiPriority w:val="59"/>
    <w:rsid w:val="00DE19C7"/>
    <w:pPr>
      <w:spacing w:after="0" w:line="240" w:lineRule="auto"/>
    </w:pPr>
    <w:rPr>
      <w:rFonts w:ascii="Calibri" w:eastAsia="Calibri" w:hAnsi="Calibri"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nhideWhenUsed/>
    <w:rsid w:val="00AA2515"/>
    <w:pPr>
      <w:spacing w:after="120" w:line="480" w:lineRule="auto"/>
    </w:pPr>
  </w:style>
  <w:style w:type="character" w:customStyle="1" w:styleId="BodyText2Char">
    <w:name w:val="Body Text 2 Char"/>
    <w:basedOn w:val="DefaultParagraphFont"/>
    <w:link w:val="BodyText2"/>
    <w:rsid w:val="00AA2515"/>
    <w:rPr>
      <w:rFonts w:ascii="Calibri" w:eastAsia="Calibri" w:hAnsi="Calibri" w:cs="Times New Roman"/>
      <w:lang w:val="en-US"/>
    </w:rPr>
  </w:style>
  <w:style w:type="character" w:styleId="Hyperlink">
    <w:name w:val="Hyperlink"/>
    <w:basedOn w:val="DefaultParagraphFont"/>
    <w:uiPriority w:val="99"/>
    <w:unhideWhenUsed/>
    <w:rsid w:val="0026623B"/>
    <w:rPr>
      <w:color w:val="0000FF" w:themeColor="hyperlink"/>
      <w:u w:val="single"/>
    </w:rPr>
  </w:style>
  <w:style w:type="table" w:styleId="LightShading">
    <w:name w:val="Light Shading"/>
    <w:basedOn w:val="TableNormal"/>
    <w:uiPriority w:val="60"/>
    <w:rsid w:val="00E154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oshipiush@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PIUSH\Desktop\Thesis%20corrections%205%20may%202013\Antioxidant%20IC%205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PIUSH\Desktop\Thesis%20corrections%205%20may%202013\Antioxidant%20IC%205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J:\RPA%20EC%205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RPA%20EC%20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25"/>
    </mc:Choice>
    <mc:Fallback>
      <c:style val="25"/>
    </mc:Fallback>
  </mc:AlternateContent>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18176221434200407"/>
          <c:y val="4.4578740781096887E-2"/>
          <c:w val="0.79114952718676124"/>
          <c:h val="0.73211548291964368"/>
        </c:manualLayout>
      </c:layout>
      <c:bar3DChart>
        <c:barDir val="col"/>
        <c:grouping val="clustered"/>
        <c:varyColors val="0"/>
        <c:ser>
          <c:idx val="0"/>
          <c:order val="0"/>
          <c:tx>
            <c:strRef>
              <c:f>Sheet1!$C$42</c:f>
              <c:strCache>
                <c:ptCount val="1"/>
                <c:pt idx="0">
                  <c:v>IC50 µg/ml</c:v>
                </c:pt>
              </c:strCache>
            </c:strRef>
          </c:tx>
          <c:invertIfNegative val="0"/>
          <c:cat>
            <c:strRef>
              <c:f>Sheet1!$B$45:$B$48</c:f>
              <c:strCache>
                <c:ptCount val="4"/>
                <c:pt idx="0">
                  <c:v>BALEA</c:v>
                </c:pt>
                <c:pt idx="1">
                  <c:v>BALM</c:v>
                </c:pt>
                <c:pt idx="2">
                  <c:v>BALW</c:v>
                </c:pt>
                <c:pt idx="3">
                  <c:v>Ascorbic acid</c:v>
                </c:pt>
              </c:strCache>
            </c:strRef>
          </c:cat>
          <c:val>
            <c:numRef>
              <c:f>Sheet1!$F$45:$F$48</c:f>
              <c:numCache>
                <c:formatCode>0.00</c:formatCode>
                <c:ptCount val="4"/>
                <c:pt idx="0">
                  <c:v>283.34786844542708</c:v>
                </c:pt>
                <c:pt idx="1">
                  <c:v>226.49414575866186</c:v>
                </c:pt>
                <c:pt idx="2">
                  <c:v>337.00150035964879</c:v>
                </c:pt>
                <c:pt idx="3">
                  <c:v>36.136666666665974</c:v>
                </c:pt>
              </c:numCache>
            </c:numRef>
          </c:val>
        </c:ser>
        <c:dLbls>
          <c:showLegendKey val="0"/>
          <c:showVal val="0"/>
          <c:showCatName val="0"/>
          <c:showSerName val="0"/>
          <c:showPercent val="0"/>
          <c:showBubbleSize val="0"/>
        </c:dLbls>
        <c:gapWidth val="150"/>
        <c:shape val="box"/>
        <c:axId val="239413888"/>
        <c:axId val="188666240"/>
        <c:axId val="0"/>
      </c:bar3DChart>
      <c:catAx>
        <c:axId val="239413888"/>
        <c:scaling>
          <c:orientation val="minMax"/>
        </c:scaling>
        <c:delete val="0"/>
        <c:axPos val="b"/>
        <c:title>
          <c:tx>
            <c:rich>
              <a:bodyPr/>
              <a:lstStyle/>
              <a:p>
                <a:pPr>
                  <a:defRPr/>
                </a:pPr>
                <a:r>
                  <a:rPr lang="en-US"/>
                  <a:t>Extracts</a:t>
                </a:r>
              </a:p>
            </c:rich>
          </c:tx>
          <c:layout>
            <c:manualLayout>
              <c:xMode val="edge"/>
              <c:yMode val="edge"/>
              <c:x val="0.47506270825189795"/>
              <c:y val="0.91543548854765477"/>
            </c:manualLayout>
          </c:layout>
          <c:overlay val="0"/>
        </c:title>
        <c:numFmt formatCode="General" sourceLinked="1"/>
        <c:majorTickMark val="none"/>
        <c:minorTickMark val="none"/>
        <c:tickLblPos val="nextTo"/>
        <c:crossAx val="188666240"/>
        <c:crosses val="autoZero"/>
        <c:auto val="1"/>
        <c:lblAlgn val="ctr"/>
        <c:lblOffset val="100"/>
        <c:noMultiLvlLbl val="0"/>
      </c:catAx>
      <c:valAx>
        <c:axId val="188666240"/>
        <c:scaling>
          <c:orientation val="minMax"/>
        </c:scaling>
        <c:delete val="0"/>
        <c:axPos val="l"/>
        <c:majorGridlines/>
        <c:title>
          <c:tx>
            <c:rich>
              <a:bodyPr/>
              <a:lstStyle/>
              <a:p>
                <a:pPr>
                  <a:defRPr/>
                </a:pPr>
                <a:r>
                  <a:rPr lang="en-US"/>
                  <a:t>IC50 µg/ml</a:t>
                </a:r>
              </a:p>
            </c:rich>
          </c:tx>
          <c:layout>
            <c:manualLayout>
              <c:xMode val="edge"/>
              <c:yMode val="edge"/>
              <c:x val="2.4933607589831909E-2"/>
              <c:y val="0.29928962494923217"/>
            </c:manualLayout>
          </c:layout>
          <c:overlay val="0"/>
        </c:title>
        <c:numFmt formatCode="0.00" sourceLinked="1"/>
        <c:majorTickMark val="out"/>
        <c:minorTickMark val="none"/>
        <c:tickLblPos val="nextTo"/>
        <c:crossAx val="2394138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25"/>
    </mc:Choice>
    <mc:Fallback>
      <c:style val="25"/>
    </mc:Fallback>
  </mc:AlternateContent>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17979215918046007"/>
          <c:y val="4.0783642232915522E-2"/>
          <c:w val="0.79311958234830571"/>
          <c:h val="0.73243685724075369"/>
        </c:manualLayout>
      </c:layout>
      <c:bar3DChart>
        <c:barDir val="col"/>
        <c:grouping val="clustered"/>
        <c:varyColors val="0"/>
        <c:ser>
          <c:idx val="0"/>
          <c:order val="0"/>
          <c:tx>
            <c:strRef>
              <c:f>Sheet1!$C$51</c:f>
              <c:strCache>
                <c:ptCount val="1"/>
                <c:pt idx="0">
                  <c:v>IC50 µg/ml</c:v>
                </c:pt>
              </c:strCache>
            </c:strRef>
          </c:tx>
          <c:invertIfNegative val="0"/>
          <c:cat>
            <c:strRef>
              <c:f>Sheet1!$B$54:$B$57</c:f>
              <c:strCache>
                <c:ptCount val="4"/>
                <c:pt idx="0">
                  <c:v>BASEA</c:v>
                </c:pt>
                <c:pt idx="1">
                  <c:v>BASM</c:v>
                </c:pt>
                <c:pt idx="2">
                  <c:v>BASW</c:v>
                </c:pt>
                <c:pt idx="3">
                  <c:v>Ascorbic acid</c:v>
                </c:pt>
              </c:strCache>
            </c:strRef>
          </c:cat>
          <c:val>
            <c:numRef>
              <c:f>Sheet1!$F$54:$F$57</c:f>
              <c:numCache>
                <c:formatCode>0.00</c:formatCode>
                <c:ptCount val="4"/>
                <c:pt idx="0">
                  <c:v>498.5570687418936</c:v>
                </c:pt>
                <c:pt idx="1">
                  <c:v>402.05079962371167</c:v>
                </c:pt>
                <c:pt idx="2">
                  <c:v>579.84781878262777</c:v>
                </c:pt>
                <c:pt idx="3">
                  <c:v>36.136666666665974</c:v>
                </c:pt>
              </c:numCache>
            </c:numRef>
          </c:val>
        </c:ser>
        <c:dLbls>
          <c:showLegendKey val="0"/>
          <c:showVal val="0"/>
          <c:showCatName val="0"/>
          <c:showSerName val="0"/>
          <c:showPercent val="0"/>
          <c:showBubbleSize val="0"/>
        </c:dLbls>
        <c:gapWidth val="150"/>
        <c:shape val="box"/>
        <c:axId val="188842368"/>
        <c:axId val="188844288"/>
        <c:axId val="0"/>
      </c:bar3DChart>
      <c:catAx>
        <c:axId val="188842368"/>
        <c:scaling>
          <c:orientation val="minMax"/>
        </c:scaling>
        <c:delete val="0"/>
        <c:axPos val="b"/>
        <c:title>
          <c:tx>
            <c:rich>
              <a:bodyPr/>
              <a:lstStyle/>
              <a:p>
                <a:pPr>
                  <a:defRPr/>
                </a:pPr>
                <a:r>
                  <a:rPr lang="en-US"/>
                  <a:t>Extracts</a:t>
                </a:r>
              </a:p>
            </c:rich>
          </c:tx>
          <c:layout>
            <c:manualLayout>
              <c:xMode val="edge"/>
              <c:yMode val="edge"/>
              <c:x val="0.47687201777083488"/>
              <c:y val="0.90065531355501016"/>
            </c:manualLayout>
          </c:layout>
          <c:overlay val="0"/>
        </c:title>
        <c:numFmt formatCode="General" sourceLinked="1"/>
        <c:majorTickMark val="none"/>
        <c:minorTickMark val="none"/>
        <c:tickLblPos val="nextTo"/>
        <c:crossAx val="188844288"/>
        <c:crosses val="autoZero"/>
        <c:auto val="1"/>
        <c:lblAlgn val="ctr"/>
        <c:lblOffset val="100"/>
        <c:noMultiLvlLbl val="0"/>
      </c:catAx>
      <c:valAx>
        <c:axId val="188844288"/>
        <c:scaling>
          <c:orientation val="minMax"/>
        </c:scaling>
        <c:delete val="0"/>
        <c:axPos val="l"/>
        <c:majorGridlines/>
        <c:title>
          <c:tx>
            <c:rich>
              <a:bodyPr/>
              <a:lstStyle/>
              <a:p>
                <a:pPr>
                  <a:defRPr/>
                </a:pPr>
                <a:r>
                  <a:rPr lang="en-US"/>
                  <a:t>IC50 µg/ml</a:t>
                </a:r>
              </a:p>
            </c:rich>
          </c:tx>
          <c:layout>
            <c:manualLayout>
              <c:xMode val="edge"/>
              <c:yMode val="edge"/>
              <c:x val="2.323249598232845E-2"/>
              <c:y val="0.3005044114271978"/>
            </c:manualLayout>
          </c:layout>
          <c:overlay val="0"/>
        </c:title>
        <c:numFmt formatCode="0.00" sourceLinked="1"/>
        <c:majorTickMark val="out"/>
        <c:minorTickMark val="none"/>
        <c:tickLblPos val="nextTo"/>
        <c:crossAx val="1888423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38054950577985"/>
          <c:y val="4.9133326203449824E-2"/>
          <c:w val="0.65667678065064561"/>
          <c:h val="0.71373095987937063"/>
        </c:manualLayout>
      </c:layout>
      <c:lineChart>
        <c:grouping val="standard"/>
        <c:varyColors val="0"/>
        <c:ser>
          <c:idx val="0"/>
          <c:order val="0"/>
          <c:tx>
            <c:strRef>
              <c:f>BAL!$C$2</c:f>
              <c:strCache>
                <c:ptCount val="1"/>
                <c:pt idx="0">
                  <c:v>BHA</c:v>
                </c:pt>
              </c:strCache>
            </c:strRef>
          </c:tx>
          <c:cat>
            <c:numRef>
              <c:f>BAL!$B$3:$B$7</c:f>
              <c:numCache>
                <c:formatCode>General</c:formatCode>
                <c:ptCount val="5"/>
                <c:pt idx="0">
                  <c:v>31.2</c:v>
                </c:pt>
                <c:pt idx="1">
                  <c:v>62.5</c:v>
                </c:pt>
                <c:pt idx="2">
                  <c:v>125</c:v>
                </c:pt>
                <c:pt idx="3">
                  <c:v>250</c:v>
                </c:pt>
                <c:pt idx="4">
                  <c:v>500</c:v>
                </c:pt>
              </c:numCache>
            </c:numRef>
          </c:cat>
          <c:val>
            <c:numRef>
              <c:f>BAL!$C$3:$C$7</c:f>
              <c:numCache>
                <c:formatCode>0.000</c:formatCode>
                <c:ptCount val="5"/>
                <c:pt idx="0">
                  <c:v>0.30600000000000038</c:v>
                </c:pt>
                <c:pt idx="1">
                  <c:v>0.55066666666666653</c:v>
                </c:pt>
                <c:pt idx="2">
                  <c:v>0.98533333333333328</c:v>
                </c:pt>
                <c:pt idx="3">
                  <c:v>1.6306666666666665</c:v>
                </c:pt>
                <c:pt idx="4">
                  <c:v>2.6026666666666665</c:v>
                </c:pt>
              </c:numCache>
            </c:numRef>
          </c:val>
          <c:smooth val="0"/>
        </c:ser>
        <c:ser>
          <c:idx val="1"/>
          <c:order val="1"/>
          <c:tx>
            <c:strRef>
              <c:f>BAL!$D$2</c:f>
              <c:strCache>
                <c:ptCount val="1"/>
                <c:pt idx="0">
                  <c:v>BALH</c:v>
                </c:pt>
              </c:strCache>
            </c:strRef>
          </c:tx>
          <c:cat>
            <c:numRef>
              <c:f>BAL!$B$3:$B$7</c:f>
              <c:numCache>
                <c:formatCode>General</c:formatCode>
                <c:ptCount val="5"/>
                <c:pt idx="0">
                  <c:v>31.2</c:v>
                </c:pt>
                <c:pt idx="1">
                  <c:v>62.5</c:v>
                </c:pt>
                <c:pt idx="2">
                  <c:v>125</c:v>
                </c:pt>
                <c:pt idx="3">
                  <c:v>250</c:v>
                </c:pt>
                <c:pt idx="4">
                  <c:v>500</c:v>
                </c:pt>
              </c:numCache>
            </c:numRef>
          </c:cat>
          <c:val>
            <c:numRef>
              <c:f>BAL!$D$3:$D$7</c:f>
              <c:numCache>
                <c:formatCode>0.000</c:formatCode>
                <c:ptCount val="5"/>
                <c:pt idx="0">
                  <c:v>6.0000000000000114E-3</c:v>
                </c:pt>
                <c:pt idx="1">
                  <c:v>9.6666666666668268E-3</c:v>
                </c:pt>
                <c:pt idx="2">
                  <c:v>1.8333333333333295E-2</c:v>
                </c:pt>
                <c:pt idx="3">
                  <c:v>2.0666666666666684E-2</c:v>
                </c:pt>
                <c:pt idx="4">
                  <c:v>2.1666666666666685E-2</c:v>
                </c:pt>
              </c:numCache>
            </c:numRef>
          </c:val>
          <c:smooth val="0"/>
        </c:ser>
        <c:ser>
          <c:idx val="2"/>
          <c:order val="2"/>
          <c:tx>
            <c:strRef>
              <c:f>BAL!$E$2</c:f>
              <c:strCache>
                <c:ptCount val="1"/>
                <c:pt idx="0">
                  <c:v>BALEA</c:v>
                </c:pt>
              </c:strCache>
            </c:strRef>
          </c:tx>
          <c:cat>
            <c:numRef>
              <c:f>BAL!$B$3:$B$7</c:f>
              <c:numCache>
                <c:formatCode>General</c:formatCode>
                <c:ptCount val="5"/>
                <c:pt idx="0">
                  <c:v>31.2</c:v>
                </c:pt>
                <c:pt idx="1">
                  <c:v>62.5</c:v>
                </c:pt>
                <c:pt idx="2">
                  <c:v>125</c:v>
                </c:pt>
                <c:pt idx="3">
                  <c:v>250</c:v>
                </c:pt>
                <c:pt idx="4">
                  <c:v>500</c:v>
                </c:pt>
              </c:numCache>
            </c:numRef>
          </c:cat>
          <c:val>
            <c:numRef>
              <c:f>BAL!$E$3:$E$7</c:f>
              <c:numCache>
                <c:formatCode>0.000</c:formatCode>
                <c:ptCount val="5"/>
                <c:pt idx="0">
                  <c:v>2.3999999999999994E-2</c:v>
                </c:pt>
                <c:pt idx="1">
                  <c:v>5.2666666666666723E-2</c:v>
                </c:pt>
                <c:pt idx="2">
                  <c:v>0.16333333333333341</c:v>
                </c:pt>
                <c:pt idx="3">
                  <c:v>0.43666666666667175</c:v>
                </c:pt>
                <c:pt idx="4">
                  <c:v>0.60466666666666669</c:v>
                </c:pt>
              </c:numCache>
            </c:numRef>
          </c:val>
          <c:smooth val="0"/>
        </c:ser>
        <c:ser>
          <c:idx val="3"/>
          <c:order val="3"/>
          <c:tx>
            <c:strRef>
              <c:f>BAL!$F$2</c:f>
              <c:strCache>
                <c:ptCount val="1"/>
                <c:pt idx="0">
                  <c:v>BALM</c:v>
                </c:pt>
              </c:strCache>
            </c:strRef>
          </c:tx>
          <c:cat>
            <c:numRef>
              <c:f>BAL!$B$3:$B$7</c:f>
              <c:numCache>
                <c:formatCode>General</c:formatCode>
                <c:ptCount val="5"/>
                <c:pt idx="0">
                  <c:v>31.2</c:v>
                </c:pt>
                <c:pt idx="1">
                  <c:v>62.5</c:v>
                </c:pt>
                <c:pt idx="2">
                  <c:v>125</c:v>
                </c:pt>
                <c:pt idx="3">
                  <c:v>250</c:v>
                </c:pt>
                <c:pt idx="4">
                  <c:v>500</c:v>
                </c:pt>
              </c:numCache>
            </c:numRef>
          </c:cat>
          <c:val>
            <c:numRef>
              <c:f>BAL!$F$3:$F$7</c:f>
              <c:numCache>
                <c:formatCode>0.000</c:formatCode>
                <c:ptCount val="5"/>
                <c:pt idx="0">
                  <c:v>3.3999999999999996E-2</c:v>
                </c:pt>
                <c:pt idx="1">
                  <c:v>7.0666666666666683E-2</c:v>
                </c:pt>
                <c:pt idx="2">
                  <c:v>0.20833333333333531</c:v>
                </c:pt>
                <c:pt idx="3">
                  <c:v>0.51166666666666649</c:v>
                </c:pt>
                <c:pt idx="4">
                  <c:v>0.7486666666666667</c:v>
                </c:pt>
              </c:numCache>
            </c:numRef>
          </c:val>
          <c:smooth val="0"/>
        </c:ser>
        <c:ser>
          <c:idx val="4"/>
          <c:order val="4"/>
          <c:tx>
            <c:strRef>
              <c:f>BAL!$G$2</c:f>
              <c:strCache>
                <c:ptCount val="1"/>
                <c:pt idx="0">
                  <c:v>BALW</c:v>
                </c:pt>
              </c:strCache>
            </c:strRef>
          </c:tx>
          <c:cat>
            <c:numRef>
              <c:f>BAL!$B$3:$B$7</c:f>
              <c:numCache>
                <c:formatCode>General</c:formatCode>
                <c:ptCount val="5"/>
                <c:pt idx="0">
                  <c:v>31.2</c:v>
                </c:pt>
                <c:pt idx="1">
                  <c:v>62.5</c:v>
                </c:pt>
                <c:pt idx="2">
                  <c:v>125</c:v>
                </c:pt>
                <c:pt idx="3">
                  <c:v>250</c:v>
                </c:pt>
                <c:pt idx="4">
                  <c:v>500</c:v>
                </c:pt>
              </c:numCache>
            </c:numRef>
          </c:cat>
          <c:val>
            <c:numRef>
              <c:f>BAL!$G$3:$G$7</c:f>
              <c:numCache>
                <c:formatCode>0.000</c:formatCode>
                <c:ptCount val="5"/>
                <c:pt idx="0">
                  <c:v>1.6999999999999987E-2</c:v>
                </c:pt>
                <c:pt idx="1">
                  <c:v>4.0666666666666684E-2</c:v>
                </c:pt>
                <c:pt idx="2">
                  <c:v>0.10633333333333332</c:v>
                </c:pt>
                <c:pt idx="3">
                  <c:v>0.31766666666667276</c:v>
                </c:pt>
                <c:pt idx="4">
                  <c:v>0.48266666666667107</c:v>
                </c:pt>
              </c:numCache>
            </c:numRef>
          </c:val>
          <c:smooth val="0"/>
        </c:ser>
        <c:dLbls>
          <c:showLegendKey val="0"/>
          <c:showVal val="0"/>
          <c:showCatName val="0"/>
          <c:showSerName val="0"/>
          <c:showPercent val="0"/>
          <c:showBubbleSize val="0"/>
        </c:dLbls>
        <c:marker val="1"/>
        <c:smooth val="0"/>
        <c:axId val="212034688"/>
        <c:axId val="212036608"/>
      </c:lineChart>
      <c:catAx>
        <c:axId val="212034688"/>
        <c:scaling>
          <c:orientation val="minMax"/>
        </c:scaling>
        <c:delete val="0"/>
        <c:axPos val="b"/>
        <c:title>
          <c:tx>
            <c:rich>
              <a:bodyPr/>
              <a:lstStyle/>
              <a:p>
                <a:pPr>
                  <a:defRPr/>
                </a:pPr>
                <a:r>
                  <a:rPr lang="en-US"/>
                  <a:t>Concentration (</a:t>
                </a:r>
                <a:r>
                  <a:rPr lang="en-US">
                    <a:latin typeface="Calibri"/>
                    <a:cs typeface="Calibri"/>
                  </a:rPr>
                  <a:t>µg/ml</a:t>
                </a:r>
                <a:r>
                  <a:rPr lang="en-US"/>
                  <a:t>)</a:t>
                </a:r>
              </a:p>
            </c:rich>
          </c:tx>
          <c:overlay val="0"/>
        </c:title>
        <c:numFmt formatCode="General" sourceLinked="1"/>
        <c:majorTickMark val="none"/>
        <c:minorTickMark val="none"/>
        <c:tickLblPos val="nextTo"/>
        <c:crossAx val="212036608"/>
        <c:crosses val="autoZero"/>
        <c:auto val="1"/>
        <c:lblAlgn val="ctr"/>
        <c:lblOffset val="100"/>
        <c:noMultiLvlLbl val="0"/>
      </c:catAx>
      <c:valAx>
        <c:axId val="212036608"/>
        <c:scaling>
          <c:orientation val="minMax"/>
        </c:scaling>
        <c:delete val="0"/>
        <c:axPos val="l"/>
        <c:majorGridlines/>
        <c:title>
          <c:tx>
            <c:rich>
              <a:bodyPr/>
              <a:lstStyle/>
              <a:p>
                <a:pPr>
                  <a:defRPr/>
                </a:pPr>
                <a:r>
                  <a:rPr lang="en-US"/>
                  <a:t>Absorbance</a:t>
                </a:r>
              </a:p>
            </c:rich>
          </c:tx>
          <c:layout>
            <c:manualLayout>
              <c:xMode val="edge"/>
              <c:yMode val="edge"/>
              <c:x val="1.9700551615445708E-2"/>
              <c:y val="0.27098808227430676"/>
            </c:manualLayout>
          </c:layout>
          <c:overlay val="0"/>
        </c:title>
        <c:numFmt formatCode="0.000" sourceLinked="1"/>
        <c:majorTickMark val="out"/>
        <c:minorTickMark val="none"/>
        <c:tickLblPos val="nextTo"/>
        <c:crossAx val="212034688"/>
        <c:crosses val="autoZero"/>
        <c:crossBetween val="between"/>
      </c:valAx>
    </c:plotArea>
    <c:legend>
      <c:legendPos val="r"/>
      <c:layout>
        <c:manualLayout>
          <c:xMode val="edge"/>
          <c:yMode val="edge"/>
          <c:x val="0.81013292013197136"/>
          <c:y val="0.23900337894978183"/>
          <c:w val="0.17755410091810819"/>
          <c:h val="0.3918098822236704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38054950577985"/>
          <c:y val="8.3885686626133785E-2"/>
          <c:w val="0.63106606355056682"/>
          <c:h val="0.67887427265414169"/>
        </c:manualLayout>
      </c:layout>
      <c:lineChart>
        <c:grouping val="standard"/>
        <c:varyColors val="0"/>
        <c:ser>
          <c:idx val="0"/>
          <c:order val="0"/>
          <c:tx>
            <c:strRef>
              <c:f>BAS!$C$2</c:f>
              <c:strCache>
                <c:ptCount val="1"/>
                <c:pt idx="0">
                  <c:v>BHA</c:v>
                </c:pt>
              </c:strCache>
            </c:strRef>
          </c:tx>
          <c:cat>
            <c:numRef>
              <c:f>BAS!$B$3:$B$7</c:f>
              <c:numCache>
                <c:formatCode>General</c:formatCode>
                <c:ptCount val="5"/>
                <c:pt idx="0">
                  <c:v>31.2</c:v>
                </c:pt>
                <c:pt idx="1">
                  <c:v>62.5</c:v>
                </c:pt>
                <c:pt idx="2">
                  <c:v>125</c:v>
                </c:pt>
                <c:pt idx="3">
                  <c:v>250</c:v>
                </c:pt>
                <c:pt idx="4">
                  <c:v>500</c:v>
                </c:pt>
              </c:numCache>
            </c:numRef>
          </c:cat>
          <c:val>
            <c:numRef>
              <c:f>BAS!$C$3:$C$7</c:f>
              <c:numCache>
                <c:formatCode>0.000</c:formatCode>
                <c:ptCount val="5"/>
                <c:pt idx="0">
                  <c:v>0.30600000000000038</c:v>
                </c:pt>
                <c:pt idx="1">
                  <c:v>0.55066666666666653</c:v>
                </c:pt>
                <c:pt idx="2">
                  <c:v>0.98533333333333328</c:v>
                </c:pt>
                <c:pt idx="3">
                  <c:v>1.6306666666666665</c:v>
                </c:pt>
                <c:pt idx="4">
                  <c:v>2.6026666666666665</c:v>
                </c:pt>
              </c:numCache>
            </c:numRef>
          </c:val>
          <c:smooth val="0"/>
        </c:ser>
        <c:ser>
          <c:idx val="1"/>
          <c:order val="1"/>
          <c:tx>
            <c:strRef>
              <c:f>BAS!$D$2</c:f>
              <c:strCache>
                <c:ptCount val="1"/>
                <c:pt idx="0">
                  <c:v>BASH</c:v>
                </c:pt>
              </c:strCache>
            </c:strRef>
          </c:tx>
          <c:cat>
            <c:numRef>
              <c:f>BAS!$B$3:$B$7</c:f>
              <c:numCache>
                <c:formatCode>General</c:formatCode>
                <c:ptCount val="5"/>
                <c:pt idx="0">
                  <c:v>31.2</c:v>
                </c:pt>
                <c:pt idx="1">
                  <c:v>62.5</c:v>
                </c:pt>
                <c:pt idx="2">
                  <c:v>125</c:v>
                </c:pt>
                <c:pt idx="3">
                  <c:v>250</c:v>
                </c:pt>
                <c:pt idx="4">
                  <c:v>500</c:v>
                </c:pt>
              </c:numCache>
            </c:numRef>
          </c:cat>
          <c:val>
            <c:numRef>
              <c:f>BAS!$D$3:$D$7</c:f>
              <c:numCache>
                <c:formatCode>0.000</c:formatCode>
                <c:ptCount val="5"/>
                <c:pt idx="0">
                  <c:v>3.9999999999999888E-3</c:v>
                </c:pt>
                <c:pt idx="1">
                  <c:v>5.6666666666666714E-3</c:v>
                </c:pt>
                <c:pt idx="2">
                  <c:v>8.3333333333333228E-3</c:v>
                </c:pt>
                <c:pt idx="3">
                  <c:v>8.6666666666668519E-3</c:v>
                </c:pt>
                <c:pt idx="4">
                  <c:v>9.6666666666668268E-3</c:v>
                </c:pt>
              </c:numCache>
            </c:numRef>
          </c:val>
          <c:smooth val="0"/>
        </c:ser>
        <c:ser>
          <c:idx val="2"/>
          <c:order val="2"/>
          <c:tx>
            <c:strRef>
              <c:f>BAS!$E$2</c:f>
              <c:strCache>
                <c:ptCount val="1"/>
                <c:pt idx="0">
                  <c:v>BASEA</c:v>
                </c:pt>
              </c:strCache>
            </c:strRef>
          </c:tx>
          <c:cat>
            <c:numRef>
              <c:f>BAS!$B$3:$B$7</c:f>
              <c:numCache>
                <c:formatCode>General</c:formatCode>
                <c:ptCount val="5"/>
                <c:pt idx="0">
                  <c:v>31.2</c:v>
                </c:pt>
                <c:pt idx="1">
                  <c:v>62.5</c:v>
                </c:pt>
                <c:pt idx="2">
                  <c:v>125</c:v>
                </c:pt>
                <c:pt idx="3">
                  <c:v>250</c:v>
                </c:pt>
                <c:pt idx="4">
                  <c:v>500</c:v>
                </c:pt>
              </c:numCache>
            </c:numRef>
          </c:cat>
          <c:val>
            <c:numRef>
              <c:f>BAS!$E$3:$E$7</c:f>
              <c:numCache>
                <c:formatCode>0.000</c:formatCode>
                <c:ptCount val="5"/>
                <c:pt idx="0">
                  <c:v>1.0000000000000005E-2</c:v>
                </c:pt>
                <c:pt idx="1">
                  <c:v>1.5666666666666683E-2</c:v>
                </c:pt>
                <c:pt idx="2">
                  <c:v>7.5333333333334446E-2</c:v>
                </c:pt>
                <c:pt idx="3">
                  <c:v>0.25866666666666682</c:v>
                </c:pt>
                <c:pt idx="4">
                  <c:v>0.2796666666666705</c:v>
                </c:pt>
              </c:numCache>
            </c:numRef>
          </c:val>
          <c:smooth val="0"/>
        </c:ser>
        <c:ser>
          <c:idx val="3"/>
          <c:order val="3"/>
          <c:tx>
            <c:strRef>
              <c:f>BAS!$F$2</c:f>
              <c:strCache>
                <c:ptCount val="1"/>
                <c:pt idx="0">
                  <c:v>BASM</c:v>
                </c:pt>
              </c:strCache>
            </c:strRef>
          </c:tx>
          <c:cat>
            <c:numRef>
              <c:f>BAS!$B$3:$B$7</c:f>
              <c:numCache>
                <c:formatCode>General</c:formatCode>
                <c:ptCount val="5"/>
                <c:pt idx="0">
                  <c:v>31.2</c:v>
                </c:pt>
                <c:pt idx="1">
                  <c:v>62.5</c:v>
                </c:pt>
                <c:pt idx="2">
                  <c:v>125</c:v>
                </c:pt>
                <c:pt idx="3">
                  <c:v>250</c:v>
                </c:pt>
                <c:pt idx="4">
                  <c:v>500</c:v>
                </c:pt>
              </c:numCache>
            </c:numRef>
          </c:cat>
          <c:val>
            <c:numRef>
              <c:f>BAS!$F$3:$F$7</c:f>
              <c:numCache>
                <c:formatCode>0.000</c:formatCode>
                <c:ptCount val="5"/>
                <c:pt idx="0">
                  <c:v>1.1999999999999997E-2</c:v>
                </c:pt>
                <c:pt idx="1">
                  <c:v>2.1666666666666671E-2</c:v>
                </c:pt>
                <c:pt idx="2">
                  <c:v>0.10533333333333332</c:v>
                </c:pt>
                <c:pt idx="3">
                  <c:v>0.35566666666667102</c:v>
                </c:pt>
                <c:pt idx="4">
                  <c:v>0.39266666666667294</c:v>
                </c:pt>
              </c:numCache>
            </c:numRef>
          </c:val>
          <c:smooth val="0"/>
        </c:ser>
        <c:ser>
          <c:idx val="4"/>
          <c:order val="4"/>
          <c:tx>
            <c:strRef>
              <c:f>BAS!$G$2</c:f>
              <c:strCache>
                <c:ptCount val="1"/>
                <c:pt idx="0">
                  <c:v>BASW</c:v>
                </c:pt>
              </c:strCache>
            </c:strRef>
          </c:tx>
          <c:cat>
            <c:numRef>
              <c:f>BAS!$B$3:$B$7</c:f>
              <c:numCache>
                <c:formatCode>General</c:formatCode>
                <c:ptCount val="5"/>
                <c:pt idx="0">
                  <c:v>31.2</c:v>
                </c:pt>
                <c:pt idx="1">
                  <c:v>62.5</c:v>
                </c:pt>
                <c:pt idx="2">
                  <c:v>125</c:v>
                </c:pt>
                <c:pt idx="3">
                  <c:v>250</c:v>
                </c:pt>
                <c:pt idx="4">
                  <c:v>500</c:v>
                </c:pt>
              </c:numCache>
            </c:numRef>
          </c:cat>
          <c:val>
            <c:numRef>
              <c:f>BAS!$G$3:$G$7</c:f>
              <c:numCache>
                <c:formatCode>0.000</c:formatCode>
                <c:ptCount val="5"/>
                <c:pt idx="0">
                  <c:v>9.0000000000000028E-3</c:v>
                </c:pt>
                <c:pt idx="1">
                  <c:v>3.566666666666668E-2</c:v>
                </c:pt>
                <c:pt idx="2">
                  <c:v>5.0333333333334326E-2</c:v>
                </c:pt>
                <c:pt idx="3">
                  <c:v>0.14766666666666664</c:v>
                </c:pt>
                <c:pt idx="4">
                  <c:v>0.16666666666666669</c:v>
                </c:pt>
              </c:numCache>
            </c:numRef>
          </c:val>
          <c:smooth val="0"/>
        </c:ser>
        <c:dLbls>
          <c:showLegendKey val="0"/>
          <c:showVal val="0"/>
          <c:showCatName val="0"/>
          <c:showSerName val="0"/>
          <c:showPercent val="0"/>
          <c:showBubbleSize val="0"/>
        </c:dLbls>
        <c:marker val="1"/>
        <c:smooth val="0"/>
        <c:axId val="212130048"/>
        <c:axId val="212136320"/>
      </c:lineChart>
      <c:catAx>
        <c:axId val="212130048"/>
        <c:scaling>
          <c:orientation val="minMax"/>
        </c:scaling>
        <c:delete val="0"/>
        <c:axPos val="b"/>
        <c:title>
          <c:tx>
            <c:rich>
              <a:bodyPr/>
              <a:lstStyle/>
              <a:p>
                <a:pPr>
                  <a:defRPr/>
                </a:pPr>
                <a:r>
                  <a:rPr lang="en-US"/>
                  <a:t>Concentration (</a:t>
                </a:r>
                <a:r>
                  <a:rPr lang="en-US">
                    <a:latin typeface="Calibri"/>
                    <a:cs typeface="Calibri"/>
                  </a:rPr>
                  <a:t>µg/ml)</a:t>
                </a:r>
                <a:endParaRPr lang="en-US"/>
              </a:p>
            </c:rich>
          </c:tx>
          <c:overlay val="0"/>
        </c:title>
        <c:numFmt formatCode="General" sourceLinked="1"/>
        <c:majorTickMark val="none"/>
        <c:minorTickMark val="none"/>
        <c:tickLblPos val="nextTo"/>
        <c:crossAx val="212136320"/>
        <c:crosses val="autoZero"/>
        <c:auto val="1"/>
        <c:lblAlgn val="ctr"/>
        <c:lblOffset val="100"/>
        <c:noMultiLvlLbl val="0"/>
      </c:catAx>
      <c:valAx>
        <c:axId val="212136320"/>
        <c:scaling>
          <c:orientation val="minMax"/>
        </c:scaling>
        <c:delete val="0"/>
        <c:axPos val="l"/>
        <c:majorGridlines/>
        <c:title>
          <c:tx>
            <c:rich>
              <a:bodyPr/>
              <a:lstStyle/>
              <a:p>
                <a:pPr>
                  <a:defRPr/>
                </a:pPr>
                <a:r>
                  <a:rPr lang="en-US"/>
                  <a:t>Absorbance</a:t>
                </a:r>
              </a:p>
            </c:rich>
          </c:tx>
          <c:layout>
            <c:manualLayout>
              <c:xMode val="edge"/>
              <c:yMode val="edge"/>
              <c:x val="2.2163120567376012E-2"/>
              <c:y val="0.27088715858071583"/>
            </c:manualLayout>
          </c:layout>
          <c:overlay val="0"/>
        </c:title>
        <c:numFmt formatCode="0.000" sourceLinked="1"/>
        <c:majorTickMark val="out"/>
        <c:minorTickMark val="none"/>
        <c:tickLblPos val="nextTo"/>
        <c:crossAx val="2121300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BAACC-54FA-45B9-9E75-AC48940A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dc:creator>
  <cp:lastModifiedBy>Khalik et al. </cp:lastModifiedBy>
  <cp:revision>3</cp:revision>
  <dcterms:created xsi:type="dcterms:W3CDTF">2014-07-16T15:42:00Z</dcterms:created>
  <dcterms:modified xsi:type="dcterms:W3CDTF">2014-07-16T15:43:00Z</dcterms:modified>
</cp:coreProperties>
</file>