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Pr="006631D1" w:rsidRDefault="00A036E3" w:rsidP="00B935A6">
      <w:pPr>
        <w:wordWrap/>
        <w:spacing w:line="276" w:lineRule="auto"/>
        <w:jc w:val="center"/>
        <w:outlineLvl w:val="0"/>
        <w:rPr>
          <w:rFonts w:ascii="Times New Roman" w:hAnsi="Times New Roman" w:cs="Times New Roman"/>
          <w:b/>
          <w:sz w:val="28"/>
        </w:rPr>
      </w:pPr>
      <w:r w:rsidRPr="006631D1">
        <w:rPr>
          <w:rFonts w:ascii="Times New Roman" w:eastAsia="Times New Roman" w:hAnsi="Times New Roman" w:cs="Times New Roman"/>
          <w:b/>
          <w:sz w:val="28"/>
          <w:szCs w:val="24"/>
        </w:rPr>
        <w:t xml:space="preserve">DETERMINATION OF MODAFINIL IN TABLET </w:t>
      </w:r>
      <w:r w:rsidR="00E51AB0" w:rsidRPr="006631D1">
        <w:rPr>
          <w:rFonts w:ascii="Times New Roman" w:eastAsia="Times New Roman" w:hAnsi="Times New Roman" w:cs="Times New Roman"/>
          <w:b/>
          <w:sz w:val="28"/>
          <w:szCs w:val="24"/>
        </w:rPr>
        <w:t>FORMULATION</w:t>
      </w:r>
      <w:r w:rsidRPr="006631D1">
        <w:rPr>
          <w:rFonts w:ascii="Times New Roman" w:eastAsia="Times New Roman" w:hAnsi="Times New Roman" w:cs="Times New Roman"/>
          <w:b/>
          <w:sz w:val="28"/>
          <w:szCs w:val="24"/>
        </w:rPr>
        <w:t xml:space="preserve"> </w:t>
      </w:r>
      <w:r w:rsidR="00E51AB0" w:rsidRPr="006631D1">
        <w:rPr>
          <w:rFonts w:ascii="Times New Roman" w:eastAsia="Times New Roman" w:hAnsi="Times New Roman" w:cs="Times New Roman"/>
          <w:b/>
          <w:sz w:val="28"/>
          <w:szCs w:val="24"/>
        </w:rPr>
        <w:t xml:space="preserve">USING </w:t>
      </w:r>
      <w:r w:rsidRPr="006631D1">
        <w:rPr>
          <w:rFonts w:ascii="Times New Roman" w:eastAsia="Times New Roman" w:hAnsi="Times New Roman" w:cs="Times New Roman"/>
          <w:b/>
          <w:sz w:val="28"/>
          <w:szCs w:val="24"/>
        </w:rPr>
        <w:t>THREE NEW VALIDATED SPECTROPHOTOMETRIC METHODS</w:t>
      </w:r>
    </w:p>
    <w:p w:rsidR="00785CA6" w:rsidRPr="006631D1" w:rsidRDefault="00B935A6" w:rsidP="00122BDA">
      <w:pPr>
        <w:wordWrap/>
        <w:spacing w:before="120" w:after="120" w:line="360" w:lineRule="auto"/>
        <w:jc w:val="center"/>
        <w:outlineLvl w:val="0"/>
        <w:rPr>
          <w:rFonts w:ascii="Times New Roman" w:hAnsi="Times New Roman" w:cs="Times New Roman"/>
          <w:sz w:val="24"/>
        </w:rPr>
      </w:pPr>
      <w:r w:rsidRPr="006631D1">
        <w:rPr>
          <w:rFonts w:ascii="Times New Roman" w:hAnsi="Times New Roman" w:cs="Times New Roman"/>
          <w:sz w:val="24"/>
        </w:rPr>
        <w:t>(</w:t>
      </w:r>
      <w:proofErr w:type="spellStart"/>
      <w:r w:rsidRPr="006631D1">
        <w:rPr>
          <w:rFonts w:ascii="Times New Roman" w:hAnsi="Times New Roman" w:cs="Times New Roman"/>
          <w:sz w:val="24"/>
        </w:rPr>
        <w:t>Penentuan</w:t>
      </w:r>
      <w:proofErr w:type="spellEnd"/>
      <w:r w:rsidRPr="006631D1">
        <w:rPr>
          <w:rFonts w:ascii="Times New Roman" w:hAnsi="Times New Roman" w:cs="Times New Roman"/>
          <w:sz w:val="24"/>
        </w:rPr>
        <w:t xml:space="preserve"> </w:t>
      </w:r>
      <w:proofErr w:type="spellStart"/>
      <w:r w:rsidRPr="006631D1">
        <w:rPr>
          <w:rFonts w:ascii="Times New Roman" w:hAnsi="Times New Roman" w:cs="Times New Roman"/>
          <w:sz w:val="24"/>
        </w:rPr>
        <w:t>Modafinil</w:t>
      </w:r>
      <w:proofErr w:type="spellEnd"/>
      <w:r w:rsidRPr="006631D1">
        <w:rPr>
          <w:rFonts w:ascii="Times New Roman" w:hAnsi="Times New Roman" w:cs="Times New Roman"/>
          <w:sz w:val="24"/>
        </w:rPr>
        <w:t xml:space="preserve"> </w:t>
      </w:r>
      <w:proofErr w:type="spellStart"/>
      <w:r w:rsidRPr="006631D1">
        <w:rPr>
          <w:rFonts w:ascii="Times New Roman" w:hAnsi="Times New Roman" w:cs="Times New Roman"/>
          <w:sz w:val="24"/>
        </w:rPr>
        <w:t>Dalam</w:t>
      </w:r>
      <w:proofErr w:type="spellEnd"/>
      <w:r w:rsidRPr="006631D1">
        <w:rPr>
          <w:rFonts w:ascii="Times New Roman" w:hAnsi="Times New Roman" w:cs="Times New Roman"/>
          <w:sz w:val="24"/>
        </w:rPr>
        <w:t xml:space="preserve"> </w:t>
      </w:r>
      <w:proofErr w:type="spellStart"/>
      <w:r w:rsidRPr="006631D1">
        <w:rPr>
          <w:rFonts w:ascii="Times New Roman" w:hAnsi="Times New Roman" w:cs="Times New Roman"/>
          <w:sz w:val="24"/>
        </w:rPr>
        <w:t>Formulasi</w:t>
      </w:r>
      <w:proofErr w:type="spellEnd"/>
      <w:r w:rsidRPr="006631D1">
        <w:rPr>
          <w:rFonts w:ascii="Times New Roman" w:hAnsi="Times New Roman" w:cs="Times New Roman"/>
          <w:sz w:val="24"/>
        </w:rPr>
        <w:t xml:space="preserve"> Tablet </w:t>
      </w:r>
      <w:proofErr w:type="spellStart"/>
      <w:r w:rsidRPr="006631D1">
        <w:rPr>
          <w:rFonts w:ascii="Times New Roman" w:hAnsi="Times New Roman" w:cs="Times New Roman"/>
          <w:sz w:val="24"/>
        </w:rPr>
        <w:t>Menggunakan</w:t>
      </w:r>
      <w:proofErr w:type="spellEnd"/>
      <w:r w:rsidRPr="006631D1">
        <w:rPr>
          <w:rFonts w:ascii="Times New Roman" w:hAnsi="Times New Roman" w:cs="Times New Roman"/>
          <w:sz w:val="24"/>
        </w:rPr>
        <w:t xml:space="preserve"> </w:t>
      </w:r>
      <w:proofErr w:type="spellStart"/>
      <w:r w:rsidRPr="006631D1">
        <w:rPr>
          <w:rFonts w:ascii="Times New Roman" w:hAnsi="Times New Roman" w:cs="Times New Roman"/>
          <w:sz w:val="24"/>
        </w:rPr>
        <w:t>Tiga</w:t>
      </w:r>
      <w:proofErr w:type="spellEnd"/>
      <w:r w:rsidRPr="006631D1">
        <w:rPr>
          <w:rFonts w:ascii="Times New Roman" w:hAnsi="Times New Roman" w:cs="Times New Roman"/>
          <w:sz w:val="24"/>
        </w:rPr>
        <w:t xml:space="preserve"> </w:t>
      </w:r>
      <w:proofErr w:type="spellStart"/>
      <w:r w:rsidRPr="006631D1">
        <w:rPr>
          <w:rFonts w:ascii="Times New Roman" w:hAnsi="Times New Roman" w:cs="Times New Roman"/>
          <w:sz w:val="24"/>
        </w:rPr>
        <w:t>Kaedah</w:t>
      </w:r>
      <w:proofErr w:type="spellEnd"/>
      <w:r w:rsidRPr="006631D1">
        <w:rPr>
          <w:rFonts w:ascii="Times New Roman" w:hAnsi="Times New Roman" w:cs="Times New Roman"/>
          <w:sz w:val="24"/>
        </w:rPr>
        <w:t xml:space="preserve"> </w:t>
      </w:r>
      <w:proofErr w:type="spellStart"/>
      <w:r w:rsidRPr="006631D1">
        <w:rPr>
          <w:rFonts w:ascii="Times New Roman" w:hAnsi="Times New Roman" w:cs="Times New Roman"/>
          <w:sz w:val="24"/>
        </w:rPr>
        <w:t>Spektofotometrik</w:t>
      </w:r>
      <w:proofErr w:type="spellEnd"/>
      <w:r w:rsidRPr="006631D1">
        <w:rPr>
          <w:rFonts w:ascii="Times New Roman" w:hAnsi="Times New Roman" w:cs="Times New Roman"/>
          <w:sz w:val="24"/>
        </w:rPr>
        <w:t xml:space="preserve"> </w:t>
      </w:r>
      <w:proofErr w:type="spellStart"/>
      <w:r w:rsidRPr="006631D1">
        <w:rPr>
          <w:rFonts w:ascii="Times New Roman" w:hAnsi="Times New Roman" w:cs="Times New Roman"/>
          <w:sz w:val="24"/>
        </w:rPr>
        <w:t>Ditentusahkan</w:t>
      </w:r>
      <w:proofErr w:type="spellEnd"/>
      <w:r w:rsidRPr="006631D1">
        <w:rPr>
          <w:rFonts w:ascii="Times New Roman" w:hAnsi="Times New Roman" w:cs="Times New Roman"/>
          <w:sz w:val="24"/>
        </w:rPr>
        <w:t>)</w:t>
      </w:r>
    </w:p>
    <w:p w:rsidR="00785CA6" w:rsidRPr="006631D1" w:rsidRDefault="004764B9" w:rsidP="00B935A6">
      <w:pPr>
        <w:wordWrap/>
        <w:spacing w:before="120" w:after="120" w:line="360" w:lineRule="auto"/>
        <w:jc w:val="center"/>
        <w:outlineLvl w:val="0"/>
        <w:rPr>
          <w:rFonts w:ascii="Times New Roman" w:hAnsi="Times New Roman" w:cs="Times New Roman"/>
          <w:bCs/>
          <w:sz w:val="16"/>
          <w:szCs w:val="20"/>
          <w:vertAlign w:val="superscript"/>
        </w:rPr>
      </w:pPr>
      <w:proofErr w:type="spellStart"/>
      <w:r w:rsidRPr="006631D1">
        <w:rPr>
          <w:rFonts w:ascii="Times New Roman" w:hAnsi="Times New Roman" w:cs="Times New Roman"/>
          <w:bCs/>
          <w:szCs w:val="24"/>
        </w:rPr>
        <w:t>Pawan</w:t>
      </w:r>
      <w:proofErr w:type="spellEnd"/>
      <w:r w:rsidRPr="006631D1">
        <w:rPr>
          <w:rFonts w:ascii="Times New Roman" w:hAnsi="Times New Roman" w:cs="Times New Roman"/>
          <w:bCs/>
          <w:szCs w:val="24"/>
        </w:rPr>
        <w:t xml:space="preserve"> Kumar Basniwal</w:t>
      </w:r>
      <w:r w:rsidRPr="006631D1">
        <w:rPr>
          <w:rFonts w:ascii="Times New Roman" w:hAnsi="Times New Roman" w:cs="Times New Roman"/>
          <w:bCs/>
          <w:szCs w:val="24"/>
          <w:vertAlign w:val="superscript"/>
        </w:rPr>
        <w:t>1</w:t>
      </w:r>
      <w:proofErr w:type="gramStart"/>
      <w:r w:rsidRPr="006631D1">
        <w:rPr>
          <w:rFonts w:ascii="Times New Roman" w:hAnsi="Times New Roman" w:cs="Times New Roman"/>
          <w:bCs/>
          <w:szCs w:val="24"/>
          <w:vertAlign w:val="superscript"/>
        </w:rPr>
        <w:t>,2</w:t>
      </w:r>
      <w:proofErr w:type="gramEnd"/>
      <w:r w:rsidRPr="006631D1">
        <w:rPr>
          <w:rFonts w:ascii="Times New Roman" w:eastAsia="Times New Roman" w:hAnsi="Times New Roman" w:cs="Times New Roman"/>
          <w:bCs/>
          <w:szCs w:val="24"/>
        </w:rPr>
        <w:t>*</w:t>
      </w:r>
      <w:r w:rsidR="00A03BD5" w:rsidRPr="006631D1">
        <w:rPr>
          <w:rFonts w:ascii="Times New Roman" w:eastAsia="Times New Roman" w:hAnsi="Times New Roman" w:cs="Times New Roman"/>
          <w:bCs/>
          <w:szCs w:val="24"/>
        </w:rPr>
        <w:t xml:space="preserve"> and </w:t>
      </w:r>
      <w:proofErr w:type="spellStart"/>
      <w:r w:rsidR="00A03BD5" w:rsidRPr="006631D1">
        <w:rPr>
          <w:rFonts w:ascii="Times New Roman" w:hAnsi="Times New Roman" w:cs="Times New Roman"/>
          <w:bCs/>
          <w:szCs w:val="24"/>
        </w:rPr>
        <w:t>Deepti</w:t>
      </w:r>
      <w:proofErr w:type="spellEnd"/>
      <w:r w:rsidR="00A03BD5" w:rsidRPr="006631D1">
        <w:rPr>
          <w:rFonts w:ascii="Times New Roman" w:hAnsi="Times New Roman" w:cs="Times New Roman"/>
          <w:bCs/>
          <w:szCs w:val="24"/>
        </w:rPr>
        <w:t xml:space="preserve"> Jain</w:t>
      </w:r>
      <w:r w:rsidR="00A03BD5" w:rsidRPr="006631D1">
        <w:rPr>
          <w:rFonts w:ascii="Times New Roman" w:hAnsi="Times New Roman" w:cs="Times New Roman"/>
          <w:bCs/>
          <w:szCs w:val="24"/>
          <w:vertAlign w:val="superscript"/>
        </w:rPr>
        <w:t>1</w:t>
      </w:r>
    </w:p>
    <w:p w:rsidR="004764B9" w:rsidRPr="006631D1" w:rsidRDefault="004764B9" w:rsidP="00B935A6">
      <w:pPr>
        <w:wordWrap/>
        <w:adjustRightInd w:val="0"/>
        <w:jc w:val="center"/>
        <w:rPr>
          <w:rFonts w:ascii="Times New Roman" w:hAnsi="Times New Roman" w:cs="Times New Roman"/>
          <w:i/>
          <w:sz w:val="18"/>
          <w:szCs w:val="24"/>
        </w:rPr>
      </w:pPr>
      <w:r w:rsidRPr="006631D1">
        <w:rPr>
          <w:rFonts w:ascii="Times New Roman" w:hAnsi="Times New Roman" w:cs="Times New Roman"/>
          <w:bCs/>
          <w:i/>
          <w:sz w:val="18"/>
          <w:szCs w:val="24"/>
          <w:vertAlign w:val="superscript"/>
        </w:rPr>
        <w:t>1</w:t>
      </w:r>
      <w:r w:rsidRPr="006631D1">
        <w:rPr>
          <w:rFonts w:ascii="Times New Roman" w:hAnsi="Times New Roman" w:cs="Times New Roman"/>
          <w:i/>
          <w:sz w:val="18"/>
          <w:szCs w:val="24"/>
        </w:rPr>
        <w:t>School of Pharmaceutical Sciences, Rajiv Gandhi Technological University, Bhopal – 462033, Madhya Pradesh, India</w:t>
      </w:r>
    </w:p>
    <w:p w:rsidR="004764B9" w:rsidRPr="006631D1" w:rsidRDefault="004764B9" w:rsidP="00B935A6">
      <w:pPr>
        <w:wordWrap/>
        <w:jc w:val="center"/>
        <w:outlineLvl w:val="0"/>
        <w:rPr>
          <w:rFonts w:ascii="Times New Roman" w:hAnsi="Times New Roman" w:cs="Times New Roman"/>
          <w:b/>
          <w:i/>
          <w:sz w:val="18"/>
        </w:rPr>
      </w:pPr>
      <w:r w:rsidRPr="006631D1">
        <w:rPr>
          <w:rFonts w:ascii="Times New Roman" w:hAnsi="Times New Roman" w:cs="Times New Roman"/>
          <w:bCs/>
          <w:i/>
          <w:sz w:val="18"/>
          <w:szCs w:val="24"/>
          <w:vertAlign w:val="superscript"/>
        </w:rPr>
        <w:t>2</w:t>
      </w:r>
      <w:r w:rsidRPr="006631D1">
        <w:rPr>
          <w:rFonts w:ascii="Times New Roman" w:hAnsi="Times New Roman" w:cs="Times New Roman"/>
          <w:i/>
          <w:sz w:val="18"/>
          <w:szCs w:val="24"/>
        </w:rPr>
        <w:t xml:space="preserve"> LBS College of Pharmacy, Jaipur – 302004, Rajasthan, India</w:t>
      </w:r>
      <w:r w:rsidRPr="006631D1">
        <w:rPr>
          <w:rFonts w:ascii="Times New Roman" w:hAnsi="Times New Roman" w:cs="Times New Roman"/>
          <w:b/>
          <w:i/>
          <w:sz w:val="18"/>
        </w:rPr>
        <w:t xml:space="preserve"> </w:t>
      </w:r>
    </w:p>
    <w:p w:rsidR="00B935A6" w:rsidRPr="006631D1" w:rsidRDefault="00B935A6" w:rsidP="00B935A6">
      <w:pPr>
        <w:wordWrap/>
        <w:jc w:val="center"/>
        <w:outlineLvl w:val="0"/>
        <w:rPr>
          <w:rFonts w:ascii="Times New Roman" w:hAnsi="Times New Roman" w:cs="Times New Roman"/>
          <w:b/>
          <w:i/>
          <w:sz w:val="18"/>
        </w:rPr>
      </w:pPr>
    </w:p>
    <w:p w:rsidR="00785CA6" w:rsidRPr="006631D1" w:rsidRDefault="00A415C1" w:rsidP="00B935A6">
      <w:pPr>
        <w:wordWrap/>
        <w:spacing w:before="120" w:after="120" w:line="360" w:lineRule="auto"/>
        <w:jc w:val="center"/>
        <w:outlineLvl w:val="0"/>
        <w:rPr>
          <w:rFonts w:ascii="Times New Roman" w:hAnsi="Times New Roman" w:cs="Times New Roman"/>
          <w:bCs/>
          <w:i/>
          <w:sz w:val="18"/>
        </w:rPr>
      </w:pPr>
      <w:r w:rsidRPr="006631D1">
        <w:rPr>
          <w:rFonts w:ascii="Times New Roman" w:hAnsi="Times New Roman" w:cs="Times New Roman"/>
          <w:bCs/>
          <w:i/>
          <w:sz w:val="18"/>
          <w:vertAlign w:val="superscript"/>
        </w:rPr>
        <w:t>*</w:t>
      </w:r>
      <w:r w:rsidRPr="006631D1">
        <w:rPr>
          <w:rFonts w:ascii="Times New Roman" w:hAnsi="Times New Roman" w:cs="Times New Roman"/>
          <w:bCs/>
          <w:i/>
          <w:sz w:val="18"/>
        </w:rPr>
        <w:t xml:space="preserve">Corresponding author: </w:t>
      </w:r>
      <w:r w:rsidR="00EE4567" w:rsidRPr="006631D1">
        <w:rPr>
          <w:rFonts w:ascii="Times New Roman" w:hAnsi="Times New Roman" w:cs="Times New Roman"/>
          <w:bCs/>
          <w:i/>
          <w:sz w:val="18"/>
        </w:rPr>
        <w:t>pawanbasniwal@gmail.com</w:t>
      </w:r>
    </w:p>
    <w:p w:rsidR="00785CA6" w:rsidRPr="006631D1" w:rsidRDefault="00785CA6" w:rsidP="00B935A6">
      <w:pPr>
        <w:wordWrap/>
        <w:jc w:val="center"/>
        <w:outlineLvl w:val="0"/>
        <w:rPr>
          <w:rFonts w:ascii="Times New Roman" w:hAnsi="Times New Roman" w:cs="Times New Roman"/>
          <w:b/>
          <w:sz w:val="18"/>
          <w:szCs w:val="18"/>
        </w:rPr>
      </w:pPr>
      <w:r w:rsidRPr="006631D1">
        <w:rPr>
          <w:rFonts w:ascii="Times New Roman" w:hAnsi="Times New Roman" w:cs="Times New Roman"/>
          <w:b/>
          <w:sz w:val="18"/>
          <w:szCs w:val="18"/>
        </w:rPr>
        <w:t>Abstract</w:t>
      </w:r>
    </w:p>
    <w:p w:rsidR="00604074" w:rsidRPr="006631D1" w:rsidRDefault="00E51AB0" w:rsidP="00B935A6">
      <w:pPr>
        <w:pStyle w:val="ListParagraph"/>
        <w:shd w:val="clear" w:color="auto" w:fill="FFFFFF"/>
        <w:spacing w:after="0" w:line="240" w:lineRule="auto"/>
        <w:ind w:left="0"/>
        <w:jc w:val="both"/>
        <w:outlineLvl w:val="0"/>
        <w:rPr>
          <w:rFonts w:ascii="Times New Roman" w:eastAsia="Times New Roman" w:hAnsi="Times New Roman" w:cs="Times New Roman"/>
          <w:sz w:val="18"/>
          <w:szCs w:val="18"/>
        </w:rPr>
      </w:pPr>
      <w:r w:rsidRPr="006631D1">
        <w:rPr>
          <w:rFonts w:ascii="Times New Roman" w:eastAsia="Times New Roman" w:hAnsi="Times New Roman" w:cs="Times New Roman"/>
          <w:sz w:val="18"/>
          <w:szCs w:val="18"/>
        </w:rPr>
        <w:t>In this study,</w:t>
      </w:r>
      <w:r w:rsidR="00604074" w:rsidRPr="006631D1">
        <w:rPr>
          <w:rFonts w:ascii="Times New Roman" w:eastAsia="Times New Roman" w:hAnsi="Times New Roman" w:cs="Times New Roman"/>
          <w:sz w:val="18"/>
          <w:szCs w:val="18"/>
        </w:rPr>
        <w:t xml:space="preserve"> three new UV spectrophotometric methods viz. linear regression equation (LRE), standard absorptivity (SA) and first order derivative (FOD) method were developed and validated for determination of </w:t>
      </w:r>
      <w:proofErr w:type="spellStart"/>
      <w:r w:rsidR="00604074" w:rsidRPr="006631D1">
        <w:rPr>
          <w:rFonts w:ascii="Times New Roman" w:eastAsia="Times New Roman" w:hAnsi="Times New Roman" w:cs="Times New Roman"/>
          <w:sz w:val="18"/>
          <w:szCs w:val="18"/>
        </w:rPr>
        <w:t>modafinil</w:t>
      </w:r>
      <w:proofErr w:type="spellEnd"/>
      <w:r w:rsidR="00604074" w:rsidRPr="006631D1">
        <w:rPr>
          <w:rFonts w:ascii="Times New Roman" w:eastAsia="Times New Roman" w:hAnsi="Times New Roman" w:cs="Times New Roman"/>
          <w:sz w:val="18"/>
          <w:szCs w:val="18"/>
        </w:rPr>
        <w:t xml:space="preserve"> in tablet form. The Beer-Lambert’s law was obeyed as linear in the range of 10-50 </w:t>
      </w:r>
      <w:proofErr w:type="spellStart"/>
      <w:r w:rsidR="00604074" w:rsidRPr="006631D1">
        <w:rPr>
          <w:rFonts w:ascii="Times New Roman" w:eastAsia="Times New Roman" w:hAnsi="Times New Roman" w:cs="Times New Roman"/>
          <w:sz w:val="18"/>
          <w:szCs w:val="18"/>
        </w:rPr>
        <w:t>μg</w:t>
      </w:r>
      <w:proofErr w:type="spellEnd"/>
      <w:r w:rsidR="00604074" w:rsidRPr="006631D1">
        <w:rPr>
          <w:rFonts w:ascii="Times New Roman" w:eastAsia="Times New Roman" w:hAnsi="Times New Roman" w:cs="Times New Roman"/>
          <w:sz w:val="18"/>
          <w:szCs w:val="18"/>
        </w:rPr>
        <w:t xml:space="preserve">/mL and all the methods were validated for linearity, accuracy, precision and robustness. These methods were successfully applied for assay of </w:t>
      </w:r>
      <w:proofErr w:type="spellStart"/>
      <w:r w:rsidR="00604074" w:rsidRPr="006631D1">
        <w:rPr>
          <w:rFonts w:ascii="Times New Roman" w:eastAsia="Times New Roman" w:hAnsi="Times New Roman" w:cs="Times New Roman"/>
          <w:sz w:val="18"/>
          <w:szCs w:val="18"/>
        </w:rPr>
        <w:t>modafinil</w:t>
      </w:r>
      <w:proofErr w:type="spellEnd"/>
      <w:r w:rsidR="00604074" w:rsidRPr="006631D1">
        <w:rPr>
          <w:rFonts w:ascii="Times New Roman" w:eastAsia="Times New Roman" w:hAnsi="Times New Roman" w:cs="Times New Roman"/>
          <w:sz w:val="18"/>
          <w:szCs w:val="18"/>
        </w:rPr>
        <w:t xml:space="preserve"> drug content in tablets in the range of 100.20-100.42%, 100.11-100.58% and 100.25-100.34%, respectively with acceptable standard deviation </w:t>
      </w:r>
      <w:r w:rsidR="00C55653" w:rsidRPr="006631D1">
        <w:rPr>
          <w:rFonts w:ascii="Times New Roman" w:eastAsia="Times New Roman" w:hAnsi="Times New Roman" w:cs="Times New Roman"/>
          <w:sz w:val="18"/>
          <w:szCs w:val="18"/>
        </w:rPr>
        <w:t xml:space="preserve">(less than two) </w:t>
      </w:r>
      <w:r w:rsidR="00604074" w:rsidRPr="006631D1">
        <w:rPr>
          <w:rFonts w:ascii="Times New Roman" w:eastAsia="Times New Roman" w:hAnsi="Times New Roman" w:cs="Times New Roman"/>
          <w:sz w:val="18"/>
          <w:szCs w:val="18"/>
        </w:rPr>
        <w:t>for all the methods. The validated spectrophotometric methods may be successfully applied for assay, dissolution studies, bio-equivalence studies as well as routine analysis in pharmaceutical industries.</w:t>
      </w:r>
    </w:p>
    <w:p w:rsidR="00B935A6" w:rsidRPr="006631D1" w:rsidRDefault="00B935A6" w:rsidP="00B935A6">
      <w:pPr>
        <w:pStyle w:val="ListParagraph"/>
        <w:shd w:val="clear" w:color="auto" w:fill="FFFFFF"/>
        <w:spacing w:after="0" w:line="240" w:lineRule="auto"/>
        <w:ind w:left="0"/>
        <w:jc w:val="both"/>
        <w:outlineLvl w:val="0"/>
        <w:rPr>
          <w:rFonts w:ascii="Times New Roman" w:eastAsia="Times New Roman" w:hAnsi="Times New Roman" w:cs="Times New Roman"/>
          <w:sz w:val="18"/>
          <w:szCs w:val="18"/>
        </w:rPr>
      </w:pPr>
    </w:p>
    <w:p w:rsidR="00785CA6" w:rsidRPr="006631D1" w:rsidRDefault="00785CA6" w:rsidP="00B935A6">
      <w:pPr>
        <w:wordWrap/>
        <w:outlineLvl w:val="0"/>
        <w:rPr>
          <w:rFonts w:ascii="Times New Roman" w:eastAsia="Times New Roman" w:hAnsi="Times New Roman" w:cs="Times New Roman"/>
          <w:sz w:val="18"/>
          <w:szCs w:val="18"/>
        </w:rPr>
      </w:pPr>
      <w:r w:rsidRPr="006631D1">
        <w:rPr>
          <w:rFonts w:ascii="Times New Roman" w:hAnsi="Times New Roman" w:cs="Times New Roman"/>
          <w:b/>
          <w:sz w:val="18"/>
          <w:szCs w:val="18"/>
        </w:rPr>
        <w:t>Keyword</w:t>
      </w:r>
      <w:r w:rsidRPr="006631D1">
        <w:rPr>
          <w:rFonts w:ascii="Times New Roman" w:hAnsi="Times New Roman" w:cs="Times New Roman"/>
          <w:sz w:val="18"/>
          <w:szCs w:val="18"/>
        </w:rPr>
        <w:t xml:space="preserve">: </w:t>
      </w:r>
      <w:proofErr w:type="spellStart"/>
      <w:r w:rsidR="002D1CEA" w:rsidRPr="006631D1">
        <w:rPr>
          <w:rFonts w:ascii="Times New Roman" w:eastAsia="Times New Roman" w:hAnsi="Times New Roman" w:cs="Times New Roman"/>
          <w:sz w:val="18"/>
          <w:szCs w:val="18"/>
        </w:rPr>
        <w:t>Modafinil</w:t>
      </w:r>
      <w:proofErr w:type="spellEnd"/>
      <w:r w:rsidR="002D1CEA" w:rsidRPr="006631D1">
        <w:rPr>
          <w:rFonts w:ascii="Times New Roman" w:eastAsia="Times New Roman" w:hAnsi="Times New Roman" w:cs="Times New Roman"/>
          <w:sz w:val="18"/>
          <w:szCs w:val="18"/>
        </w:rPr>
        <w:t>, linear regression equation, standard absorptivity, first order derivative, tablets.</w:t>
      </w:r>
    </w:p>
    <w:p w:rsidR="00B935A6" w:rsidRPr="006631D1" w:rsidRDefault="00B935A6" w:rsidP="00B935A6">
      <w:pPr>
        <w:wordWrap/>
        <w:outlineLvl w:val="0"/>
        <w:rPr>
          <w:rFonts w:ascii="Times New Roman" w:hAnsi="Times New Roman" w:cs="Times New Roman"/>
          <w:b/>
        </w:rPr>
      </w:pPr>
    </w:p>
    <w:p w:rsidR="00B935A6" w:rsidRPr="006631D1" w:rsidRDefault="00666E40" w:rsidP="00B935A6">
      <w:pPr>
        <w:wordWrap/>
        <w:jc w:val="center"/>
        <w:outlineLvl w:val="0"/>
        <w:rPr>
          <w:rFonts w:ascii="Times New Roman" w:hAnsi="Times New Roman" w:cs="Times New Roman"/>
          <w:b/>
        </w:rPr>
      </w:pPr>
      <w:proofErr w:type="spellStart"/>
      <w:r w:rsidRPr="006631D1">
        <w:rPr>
          <w:rFonts w:ascii="Times New Roman" w:hAnsi="Times New Roman" w:cs="Times New Roman"/>
          <w:b/>
        </w:rPr>
        <w:t>Abstrak</w:t>
      </w:r>
      <w:proofErr w:type="spellEnd"/>
    </w:p>
    <w:p w:rsidR="00B935A6" w:rsidRPr="006631D1" w:rsidRDefault="00B935A6" w:rsidP="00B935A6">
      <w:pPr>
        <w:wordWrap/>
        <w:outlineLvl w:val="0"/>
        <w:rPr>
          <w:rFonts w:ascii="Times New Roman" w:hAnsi="Times New Roman" w:cs="Times New Roman"/>
          <w:b/>
        </w:rPr>
      </w:pPr>
      <w:proofErr w:type="spellStart"/>
      <w:proofErr w:type="gramStart"/>
      <w:r w:rsidRPr="006631D1">
        <w:rPr>
          <w:rFonts w:ascii="Times New Roman" w:hAnsi="Times New Roman" w:cs="Times New Roman"/>
          <w:sz w:val="18"/>
        </w:rPr>
        <w:t>Dalam</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kajian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ini</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tiga</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kaedah</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s</w:t>
      </w:r>
      <w:r w:rsidRPr="006631D1">
        <w:rPr>
          <w:rFonts w:ascii="Times New Roman" w:hAnsi="Times New Roman" w:cs="Times New Roman"/>
          <w:sz w:val="18"/>
        </w:rPr>
        <w:t>pektrofotometri</w:t>
      </w:r>
      <w:proofErr w:type="spellEnd"/>
      <w:r w:rsidRPr="006631D1">
        <w:rPr>
          <w:rFonts w:ascii="Times New Roman" w:hAnsi="Times New Roman" w:cs="Times New Roman"/>
          <w:sz w:val="18"/>
        </w:rPr>
        <w:t xml:space="preserve"> UV </w:t>
      </w:r>
      <w:proofErr w:type="spellStart"/>
      <w:r w:rsidRPr="006631D1">
        <w:rPr>
          <w:rFonts w:ascii="Times New Roman" w:hAnsi="Times New Roman" w:cs="Times New Roman"/>
          <w:sz w:val="18"/>
        </w:rPr>
        <w:t>baru</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iaitu</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p</w:t>
      </w:r>
      <w:r w:rsidRPr="006631D1">
        <w:rPr>
          <w:rFonts w:ascii="Times New Roman" w:hAnsi="Times New Roman" w:cs="Times New Roman"/>
          <w:sz w:val="18"/>
        </w:rPr>
        <w:t>ersamaa</w:t>
      </w:r>
      <w:r w:rsidR="006631D1" w:rsidRPr="006631D1">
        <w:rPr>
          <w:rFonts w:ascii="Times New Roman" w:hAnsi="Times New Roman" w:cs="Times New Roman"/>
          <w:sz w:val="18"/>
        </w:rPr>
        <w:t>n</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regresi</w:t>
      </w:r>
      <w:proofErr w:type="spellEnd"/>
      <w:r w:rsidR="006631D1" w:rsidRPr="006631D1">
        <w:rPr>
          <w:rFonts w:ascii="Times New Roman" w:hAnsi="Times New Roman" w:cs="Times New Roman"/>
          <w:sz w:val="18"/>
        </w:rPr>
        <w:t xml:space="preserve"> linear (LRE), </w:t>
      </w:r>
      <w:proofErr w:type="spellStart"/>
      <w:r w:rsidR="006631D1" w:rsidRPr="006631D1">
        <w:rPr>
          <w:rFonts w:ascii="Times New Roman" w:hAnsi="Times New Roman" w:cs="Times New Roman"/>
          <w:sz w:val="18"/>
        </w:rPr>
        <w:t>daya</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penyerapan</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piawai</w:t>
      </w:r>
      <w:proofErr w:type="spellEnd"/>
      <w:r w:rsidRPr="006631D1">
        <w:rPr>
          <w:rFonts w:ascii="Times New Roman" w:hAnsi="Times New Roman" w:cs="Times New Roman"/>
          <w:sz w:val="18"/>
        </w:rPr>
        <w:t xml:space="preserve"> (SA) </w:t>
      </w:r>
      <w:proofErr w:type="spellStart"/>
      <w:r w:rsidRPr="006631D1">
        <w:rPr>
          <w:rFonts w:ascii="Times New Roman" w:hAnsi="Times New Roman" w:cs="Times New Roman"/>
          <w:sz w:val="18"/>
        </w:rPr>
        <w:t>dan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terbitan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tertib</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pertama</w:t>
      </w:r>
      <w:proofErr w:type="spellEnd"/>
      <w:r w:rsidRPr="006631D1">
        <w:rPr>
          <w:rFonts w:ascii="Times New Roman" w:hAnsi="Times New Roman" w:cs="Times New Roman"/>
          <w:sz w:val="18"/>
        </w:rPr>
        <w:t xml:space="preserve"> (FOD) </w:t>
      </w:r>
      <w:proofErr w:type="spellStart"/>
      <w:r w:rsidRPr="006631D1">
        <w:rPr>
          <w:rFonts w:ascii="Times New Roman" w:hAnsi="Times New Roman" w:cs="Times New Roman"/>
          <w:sz w:val="18"/>
        </w:rPr>
        <w:t>kaedah</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telah</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dibangunkan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dan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dis</w:t>
      </w:r>
      <w:r w:rsidRPr="006631D1">
        <w:rPr>
          <w:rFonts w:ascii="Times New Roman" w:hAnsi="Times New Roman" w:cs="Times New Roman"/>
          <w:sz w:val="18"/>
        </w:rPr>
        <w:t>tentusahkan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terhadap</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penentuan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modafinil</w:t>
      </w:r>
      <w:proofErr w:type="spellEnd"/>
      <w:r w:rsidRPr="006631D1">
        <w:rPr>
          <w:rFonts w:ascii="Times New Roman" w:hAnsi="Times New Roman" w:cs="Times New Roman"/>
          <w:sz w:val="18"/>
        </w:rPr>
        <w:t xml:space="preserve"> </w:t>
      </w:r>
      <w:r w:rsidRPr="006631D1">
        <w:rPr>
          <w:rFonts w:ascii="Times New Roman" w:hAnsi="Times New Roman" w:cs="Times New Roman"/>
          <w:sz w:val="18"/>
        </w:rPr>
        <w:t xml:space="preserve">di </w:t>
      </w:r>
      <w:proofErr w:type="spellStart"/>
      <w:r w:rsidRPr="006631D1">
        <w:rPr>
          <w:rFonts w:ascii="Times New Roman" w:hAnsi="Times New Roman" w:cs="Times New Roman"/>
          <w:sz w:val="18"/>
        </w:rPr>
        <w:t>dal</w:t>
      </w:r>
      <w:r w:rsidRPr="006631D1">
        <w:rPr>
          <w:rFonts w:ascii="Times New Roman" w:hAnsi="Times New Roman" w:cs="Times New Roman"/>
          <w:sz w:val="18"/>
        </w:rPr>
        <w:t>am</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bentuk</w:t>
      </w:r>
      <w:proofErr w:type="spellEnd"/>
      <w:r w:rsidRPr="006631D1">
        <w:rPr>
          <w:rFonts w:ascii="Times New Roman" w:hAnsi="Times New Roman" w:cs="Times New Roman"/>
          <w:sz w:val="18"/>
        </w:rPr>
        <w:t xml:space="preserve"> tablet.</w:t>
      </w:r>
      <w:proofErr w:type="gramEnd"/>
      <w:r w:rsidRPr="006631D1">
        <w:rPr>
          <w:rFonts w:ascii="Times New Roman" w:hAnsi="Times New Roman" w:cs="Times New Roman"/>
          <w:sz w:val="18"/>
        </w:rPr>
        <w:t xml:space="preserve"> </w:t>
      </w:r>
      <w:proofErr w:type="spellStart"/>
      <w:proofErr w:type="gramStart"/>
      <w:r w:rsidRPr="006631D1">
        <w:rPr>
          <w:rFonts w:ascii="Times New Roman" w:hAnsi="Times New Roman" w:cs="Times New Roman"/>
          <w:sz w:val="18"/>
        </w:rPr>
        <w:t>Hukum</w:t>
      </w:r>
      <w:proofErr w:type="spellEnd"/>
      <w:r w:rsidRPr="006631D1">
        <w:rPr>
          <w:rFonts w:ascii="Times New Roman" w:hAnsi="Times New Roman" w:cs="Times New Roman"/>
          <w:sz w:val="18"/>
        </w:rPr>
        <w:t xml:space="preserve"> Beer-Lambert </w:t>
      </w:r>
      <w:proofErr w:type="spellStart"/>
      <w:r w:rsidRPr="006631D1">
        <w:rPr>
          <w:rFonts w:ascii="Times New Roman" w:hAnsi="Times New Roman" w:cs="Times New Roman"/>
          <w:sz w:val="18"/>
        </w:rPr>
        <w:t>telah</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dipatuhi</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sebagai</w:t>
      </w:r>
      <w:proofErr w:type="spellEnd"/>
      <w:r w:rsidRPr="006631D1">
        <w:rPr>
          <w:rFonts w:ascii="Times New Roman" w:hAnsi="Times New Roman" w:cs="Times New Roman"/>
          <w:sz w:val="18"/>
        </w:rPr>
        <w:t xml:space="preserve"> linear </w:t>
      </w:r>
      <w:proofErr w:type="spellStart"/>
      <w:r w:rsidRPr="006631D1">
        <w:rPr>
          <w:rFonts w:ascii="Times New Roman" w:hAnsi="Times New Roman" w:cs="Times New Roman"/>
          <w:sz w:val="18"/>
        </w:rPr>
        <w:t>dalam</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julat</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kepekatan</w:t>
      </w:r>
      <w:proofErr w:type="spellEnd"/>
      <w:r w:rsidRPr="006631D1">
        <w:rPr>
          <w:rFonts w:ascii="Times New Roman" w:hAnsi="Times New Roman" w:cs="Times New Roman"/>
          <w:sz w:val="18"/>
        </w:rPr>
        <w:t xml:space="preserve"> 10-50 </w:t>
      </w:r>
      <w:proofErr w:type="spellStart"/>
      <w:r w:rsidRPr="006631D1">
        <w:rPr>
          <w:rFonts w:ascii="Times New Roman" w:hAnsi="Times New Roman" w:cs="Times New Roman"/>
          <w:sz w:val="18"/>
        </w:rPr>
        <w:t>μg</w:t>
      </w:r>
      <w:proofErr w:type="spellEnd"/>
      <w:r w:rsidRPr="006631D1">
        <w:rPr>
          <w:rFonts w:ascii="Times New Roman" w:hAnsi="Times New Roman" w:cs="Times New Roman"/>
          <w:sz w:val="18"/>
        </w:rPr>
        <w:t>/</w:t>
      </w:r>
      <w:r w:rsidRPr="006631D1">
        <w:rPr>
          <w:rFonts w:ascii="Times New Roman" w:hAnsi="Times New Roman" w:cs="Times New Roman"/>
          <w:sz w:val="18"/>
        </w:rPr>
        <w:t xml:space="preserve">mL </w:t>
      </w:r>
      <w:proofErr w:type="spellStart"/>
      <w:r w:rsidRPr="006631D1">
        <w:rPr>
          <w:rFonts w:ascii="Times New Roman" w:hAnsi="Times New Roman" w:cs="Times New Roman"/>
          <w:sz w:val="18"/>
        </w:rPr>
        <w:t>dan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semua</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kaedah</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telah</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di</w:t>
      </w:r>
      <w:r w:rsidR="006631D1" w:rsidRPr="006631D1">
        <w:rPr>
          <w:rFonts w:ascii="Times New Roman" w:hAnsi="Times New Roman" w:cs="Times New Roman"/>
          <w:sz w:val="18"/>
        </w:rPr>
        <w:t>tentusahkan</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tehadap</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kelinearan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ketepatan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kejituan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dan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keteguhan</w:t>
      </w:r>
      <w:proofErr w:type="spellEnd"/>
      <w:r w:rsidRPr="006631D1">
        <w:rPr>
          <w:rFonts w:ascii="Times New Roman" w:hAnsi="Times New Roman" w:cs="Times New Roman"/>
          <w:sz w:val="18"/>
        </w:rPr>
        <w:t>.</w:t>
      </w:r>
      <w:proofErr w:type="gram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Kaedah-ka</w:t>
      </w:r>
      <w:r w:rsidR="006631D1" w:rsidRPr="006631D1">
        <w:rPr>
          <w:rFonts w:ascii="Times New Roman" w:hAnsi="Times New Roman" w:cs="Times New Roman"/>
          <w:sz w:val="18"/>
        </w:rPr>
        <w:t>edah</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ini</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telah</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berjaya</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diaplikasi</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bagi</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ujikaji</w:t>
      </w:r>
      <w:proofErr w:type="spellEnd"/>
      <w:r w:rsidR="006631D1" w:rsidRPr="006631D1">
        <w:rPr>
          <w:rFonts w:ascii="Times New Roman" w:hAnsi="Times New Roman" w:cs="Times New Roman"/>
          <w:sz w:val="18"/>
        </w:rPr>
        <w:t xml:space="preserve"> </w:t>
      </w:r>
      <w:proofErr w:type="spellStart"/>
      <w:r w:rsidRPr="006631D1">
        <w:rPr>
          <w:rFonts w:ascii="Times New Roman" w:hAnsi="Times New Roman" w:cs="Times New Roman"/>
          <w:sz w:val="18"/>
        </w:rPr>
        <w:t>kandungan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dadah</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modafinil</w:t>
      </w:r>
      <w:proofErr w:type="spellEnd"/>
      <w:r w:rsidRPr="006631D1">
        <w:rPr>
          <w:rFonts w:ascii="Times New Roman" w:hAnsi="Times New Roman" w:cs="Times New Roman"/>
          <w:sz w:val="18"/>
        </w:rPr>
        <w:t xml:space="preserve"> </w:t>
      </w:r>
      <w:r w:rsidR="006631D1" w:rsidRPr="006631D1">
        <w:rPr>
          <w:rFonts w:ascii="Times New Roman" w:hAnsi="Times New Roman" w:cs="Times New Roman"/>
          <w:sz w:val="18"/>
        </w:rPr>
        <w:t xml:space="preserve">di </w:t>
      </w:r>
      <w:proofErr w:type="spellStart"/>
      <w:r w:rsidRPr="006631D1">
        <w:rPr>
          <w:rFonts w:ascii="Times New Roman" w:hAnsi="Times New Roman" w:cs="Times New Roman"/>
          <w:sz w:val="18"/>
        </w:rPr>
        <w:t>dalam</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bentuk</w:t>
      </w:r>
      <w:proofErr w:type="spellEnd"/>
      <w:r w:rsidRPr="006631D1">
        <w:rPr>
          <w:rFonts w:ascii="Times New Roman" w:hAnsi="Times New Roman" w:cs="Times New Roman"/>
          <w:sz w:val="18"/>
        </w:rPr>
        <w:t xml:space="preserve"> tablet</w:t>
      </w:r>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iaitu</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masing</w:t>
      </w:r>
      <w:proofErr w:type="spellEnd"/>
      <w:r w:rsidR="006631D1" w:rsidRPr="006631D1">
        <w:rPr>
          <w:rFonts w:ascii="Times New Roman" w:hAnsi="Times New Roman" w:cs="Times New Roman"/>
          <w:sz w:val="18"/>
        </w:rPr>
        <w:t xml:space="preserve"> – </w:t>
      </w:r>
      <w:proofErr w:type="spellStart"/>
      <w:r w:rsidR="006631D1" w:rsidRPr="006631D1">
        <w:rPr>
          <w:rFonts w:ascii="Times New Roman" w:hAnsi="Times New Roman" w:cs="Times New Roman"/>
          <w:sz w:val="18"/>
        </w:rPr>
        <w:t>masing</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pada</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julat</w:t>
      </w:r>
      <w:proofErr w:type="spellEnd"/>
      <w:r w:rsidR="006631D1" w:rsidRPr="006631D1">
        <w:rPr>
          <w:rFonts w:ascii="Times New Roman" w:hAnsi="Times New Roman" w:cs="Times New Roman"/>
          <w:sz w:val="18"/>
        </w:rPr>
        <w:t xml:space="preserve"> 100.</w:t>
      </w:r>
      <w:r w:rsidRPr="006631D1">
        <w:rPr>
          <w:rFonts w:ascii="Times New Roman" w:hAnsi="Times New Roman" w:cs="Times New Roman"/>
          <w:sz w:val="18"/>
        </w:rPr>
        <w:t>20</w:t>
      </w:r>
      <w:r w:rsidR="006631D1" w:rsidRPr="006631D1">
        <w:rPr>
          <w:rFonts w:ascii="Times New Roman" w:hAnsi="Times New Roman" w:cs="Times New Roman"/>
          <w:sz w:val="18"/>
        </w:rPr>
        <w:t xml:space="preserve"> – 100.42%, 100.</w:t>
      </w:r>
      <w:r w:rsidRPr="006631D1">
        <w:rPr>
          <w:rFonts w:ascii="Times New Roman" w:hAnsi="Times New Roman" w:cs="Times New Roman"/>
          <w:sz w:val="18"/>
        </w:rPr>
        <w:t>11</w:t>
      </w:r>
      <w:r w:rsidR="006631D1" w:rsidRPr="006631D1">
        <w:rPr>
          <w:rFonts w:ascii="Times New Roman" w:hAnsi="Times New Roman" w:cs="Times New Roman"/>
          <w:sz w:val="18"/>
        </w:rPr>
        <w:t xml:space="preserve"> – 100.58% </w:t>
      </w:r>
      <w:proofErr w:type="spellStart"/>
      <w:r w:rsidR="006631D1" w:rsidRPr="006631D1">
        <w:rPr>
          <w:rFonts w:ascii="Times New Roman" w:hAnsi="Times New Roman" w:cs="Times New Roman"/>
          <w:sz w:val="18"/>
        </w:rPr>
        <w:t>dan</w:t>
      </w:r>
      <w:proofErr w:type="spellEnd"/>
      <w:r w:rsidR="006631D1" w:rsidRPr="006631D1">
        <w:rPr>
          <w:rFonts w:ascii="Times New Roman" w:hAnsi="Times New Roman" w:cs="Times New Roman"/>
          <w:sz w:val="18"/>
        </w:rPr>
        <w:t xml:space="preserve"> 100.25-100.34%, </w:t>
      </w:r>
      <w:proofErr w:type="spellStart"/>
      <w:r w:rsidRPr="006631D1">
        <w:rPr>
          <w:rFonts w:ascii="Times New Roman" w:hAnsi="Times New Roman" w:cs="Times New Roman"/>
          <w:sz w:val="18"/>
        </w:rPr>
        <w:t>dengan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sisihan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piawai</w:t>
      </w:r>
      <w:proofErr w:type="spellEnd"/>
      <w:r w:rsidRPr="006631D1">
        <w:rPr>
          <w:rFonts w:ascii="Times New Roman" w:hAnsi="Times New Roman" w:cs="Times New Roman"/>
          <w:sz w:val="18"/>
        </w:rPr>
        <w:t xml:space="preserve"> yang </w:t>
      </w:r>
      <w:proofErr w:type="spellStart"/>
      <w:r w:rsidRPr="006631D1">
        <w:rPr>
          <w:rFonts w:ascii="Times New Roman" w:hAnsi="Times New Roman" w:cs="Times New Roman"/>
          <w:sz w:val="18"/>
        </w:rPr>
        <w:t>boleh</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diterima</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kurang</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dari</w:t>
      </w:r>
      <w:proofErr w:type="spellEnd"/>
      <w:r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dua</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untuk</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semua</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kaedah</w:t>
      </w:r>
      <w:proofErr w:type="spellEnd"/>
      <w:r w:rsidR="006631D1" w:rsidRPr="006631D1">
        <w:rPr>
          <w:rFonts w:ascii="Times New Roman" w:hAnsi="Times New Roman" w:cs="Times New Roman"/>
          <w:sz w:val="18"/>
        </w:rPr>
        <w:t xml:space="preserve">. </w:t>
      </w:r>
      <w:proofErr w:type="spellStart"/>
      <w:proofErr w:type="gramStart"/>
      <w:r w:rsidR="006631D1" w:rsidRPr="006631D1">
        <w:rPr>
          <w:rFonts w:ascii="Times New Roman" w:hAnsi="Times New Roman" w:cs="Times New Roman"/>
          <w:sz w:val="18"/>
        </w:rPr>
        <w:t>K</w:t>
      </w:r>
      <w:r w:rsidRPr="006631D1">
        <w:rPr>
          <w:rFonts w:ascii="Times New Roman" w:hAnsi="Times New Roman" w:cs="Times New Roman"/>
          <w:sz w:val="18"/>
        </w:rPr>
        <w:t>aedah</w:t>
      </w:r>
      <w:proofErr w:type="spellEnd"/>
      <w:r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spektrofotometri</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disahkan</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berjaya</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digunapakai</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terhadap</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ujikaji</w:t>
      </w:r>
      <w:proofErr w:type="spellEnd"/>
      <w:r w:rsidR="006631D1" w:rsidRPr="006631D1">
        <w:rPr>
          <w:rFonts w:ascii="Times New Roman" w:hAnsi="Times New Roman" w:cs="Times New Roman"/>
          <w:sz w:val="18"/>
        </w:rPr>
        <w:t xml:space="preserve"> </w:t>
      </w:r>
      <w:proofErr w:type="spellStart"/>
      <w:r w:rsidR="006631D1" w:rsidRPr="006631D1">
        <w:rPr>
          <w:rFonts w:ascii="Times New Roman" w:hAnsi="Times New Roman" w:cs="Times New Roman"/>
          <w:sz w:val="18"/>
        </w:rPr>
        <w:t>pelatutan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kajian</w:t>
      </w:r>
      <w:proofErr w:type="spellEnd"/>
      <w:r w:rsidRPr="006631D1">
        <w:rPr>
          <w:rFonts w:ascii="Times New Roman" w:hAnsi="Times New Roman" w:cs="Times New Roman"/>
          <w:sz w:val="18"/>
        </w:rPr>
        <w:t xml:space="preserve"> bio-</w:t>
      </w:r>
      <w:proofErr w:type="spellStart"/>
      <w:r w:rsidRPr="006631D1">
        <w:rPr>
          <w:rFonts w:ascii="Times New Roman" w:hAnsi="Times New Roman" w:cs="Times New Roman"/>
          <w:sz w:val="18"/>
        </w:rPr>
        <w:t>kesetaraan</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serta</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analisis</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rutin</w:t>
      </w:r>
      <w:proofErr w:type="spellEnd"/>
      <w:r w:rsidRPr="006631D1">
        <w:rPr>
          <w:rFonts w:ascii="Times New Roman" w:hAnsi="Times New Roman" w:cs="Times New Roman"/>
          <w:sz w:val="18"/>
        </w:rPr>
        <w:t xml:space="preserve"> </w:t>
      </w:r>
      <w:r w:rsidR="006631D1" w:rsidRPr="006631D1">
        <w:rPr>
          <w:rFonts w:ascii="Times New Roman" w:hAnsi="Times New Roman" w:cs="Times New Roman"/>
          <w:sz w:val="18"/>
        </w:rPr>
        <w:t xml:space="preserve">di </w:t>
      </w:r>
      <w:proofErr w:type="spellStart"/>
      <w:r w:rsidRPr="006631D1">
        <w:rPr>
          <w:rFonts w:ascii="Times New Roman" w:hAnsi="Times New Roman" w:cs="Times New Roman"/>
          <w:sz w:val="18"/>
        </w:rPr>
        <w:t>dalam</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industri</w:t>
      </w:r>
      <w:proofErr w:type="spellEnd"/>
      <w:r w:rsidRPr="006631D1">
        <w:rPr>
          <w:rFonts w:ascii="Times New Roman" w:hAnsi="Times New Roman" w:cs="Times New Roman"/>
          <w:sz w:val="18"/>
        </w:rPr>
        <w:t xml:space="preserve"> </w:t>
      </w:r>
      <w:proofErr w:type="spellStart"/>
      <w:r w:rsidRPr="006631D1">
        <w:rPr>
          <w:rFonts w:ascii="Times New Roman" w:hAnsi="Times New Roman" w:cs="Times New Roman"/>
          <w:sz w:val="18"/>
        </w:rPr>
        <w:t>farmaseutikal</w:t>
      </w:r>
      <w:proofErr w:type="spellEnd"/>
      <w:r w:rsidRPr="006631D1">
        <w:rPr>
          <w:rFonts w:ascii="Times New Roman" w:hAnsi="Times New Roman" w:cs="Times New Roman"/>
          <w:sz w:val="18"/>
        </w:rPr>
        <w:t>.</w:t>
      </w:r>
      <w:proofErr w:type="gramEnd"/>
      <w:r w:rsidRPr="006631D1">
        <w:rPr>
          <w:rFonts w:ascii="Times New Roman" w:hAnsi="Times New Roman" w:cs="Times New Roman"/>
          <w:sz w:val="18"/>
        </w:rPr>
        <w:t xml:space="preserve"> </w:t>
      </w:r>
    </w:p>
    <w:p w:rsidR="006631D1" w:rsidRDefault="006631D1" w:rsidP="006631D1">
      <w:pPr>
        <w:wordWrap/>
        <w:spacing w:before="120" w:after="120" w:line="360" w:lineRule="auto"/>
        <w:outlineLvl w:val="0"/>
        <w:rPr>
          <w:rFonts w:ascii="Times New Roman" w:hAnsi="Times New Roman" w:cs="Times New Roman"/>
          <w:sz w:val="18"/>
          <w:szCs w:val="18"/>
        </w:rPr>
      </w:pPr>
      <w:r w:rsidRPr="006631D1">
        <w:rPr>
          <w:rFonts w:ascii="Times New Roman" w:hAnsi="Times New Roman" w:cs="Times New Roman"/>
          <w:b/>
          <w:sz w:val="18"/>
          <w:szCs w:val="18"/>
        </w:rPr>
        <w:t xml:space="preserve">Kata </w:t>
      </w:r>
      <w:proofErr w:type="spellStart"/>
      <w:r w:rsidRPr="006631D1">
        <w:rPr>
          <w:rFonts w:ascii="Times New Roman" w:hAnsi="Times New Roman" w:cs="Times New Roman"/>
          <w:b/>
          <w:sz w:val="18"/>
          <w:szCs w:val="18"/>
        </w:rPr>
        <w:t>kunci</w:t>
      </w:r>
      <w:proofErr w:type="spellEnd"/>
      <w:r w:rsidR="00B935A6" w:rsidRPr="006631D1">
        <w:rPr>
          <w:rFonts w:ascii="Times New Roman" w:hAnsi="Times New Roman" w:cs="Times New Roman"/>
          <w:b/>
          <w:sz w:val="18"/>
          <w:szCs w:val="18"/>
        </w:rPr>
        <w:t xml:space="preserve">: </w:t>
      </w:r>
      <w:proofErr w:type="spellStart"/>
      <w:r w:rsidR="00B935A6" w:rsidRPr="006631D1">
        <w:rPr>
          <w:rFonts w:ascii="Times New Roman" w:hAnsi="Times New Roman" w:cs="Times New Roman"/>
          <w:sz w:val="18"/>
          <w:szCs w:val="18"/>
        </w:rPr>
        <w:t>Modafinil</w:t>
      </w:r>
      <w:proofErr w:type="spellEnd"/>
      <w:r w:rsidR="00B935A6" w:rsidRPr="006631D1">
        <w:rPr>
          <w:rFonts w:ascii="Times New Roman" w:hAnsi="Times New Roman" w:cs="Times New Roman"/>
          <w:sz w:val="18"/>
          <w:szCs w:val="18"/>
        </w:rPr>
        <w:t xml:space="preserve">, </w:t>
      </w:r>
      <w:proofErr w:type="spellStart"/>
      <w:r w:rsidR="00B935A6" w:rsidRPr="006631D1">
        <w:rPr>
          <w:rFonts w:ascii="Times New Roman" w:hAnsi="Times New Roman" w:cs="Times New Roman"/>
          <w:sz w:val="18"/>
          <w:szCs w:val="18"/>
        </w:rPr>
        <w:t>persamaan</w:t>
      </w:r>
      <w:proofErr w:type="spellEnd"/>
      <w:r w:rsidR="00B935A6" w:rsidRPr="006631D1">
        <w:rPr>
          <w:rFonts w:ascii="Times New Roman" w:hAnsi="Times New Roman" w:cs="Times New Roman"/>
          <w:sz w:val="18"/>
          <w:szCs w:val="18"/>
        </w:rPr>
        <w:t xml:space="preserve"> </w:t>
      </w:r>
      <w:proofErr w:type="spellStart"/>
      <w:r w:rsidRPr="006631D1">
        <w:rPr>
          <w:rFonts w:ascii="Times New Roman" w:hAnsi="Times New Roman" w:cs="Times New Roman"/>
          <w:sz w:val="18"/>
          <w:szCs w:val="18"/>
        </w:rPr>
        <w:t>regresi</w:t>
      </w:r>
      <w:proofErr w:type="spellEnd"/>
      <w:r w:rsidRPr="006631D1">
        <w:rPr>
          <w:rFonts w:ascii="Times New Roman" w:hAnsi="Times New Roman" w:cs="Times New Roman"/>
          <w:sz w:val="18"/>
          <w:szCs w:val="18"/>
        </w:rPr>
        <w:t xml:space="preserve"> linear</w:t>
      </w:r>
      <w:r w:rsidR="00B935A6" w:rsidRPr="006631D1">
        <w:rPr>
          <w:rFonts w:ascii="Times New Roman" w:hAnsi="Times New Roman" w:cs="Times New Roman"/>
          <w:sz w:val="18"/>
          <w:szCs w:val="18"/>
        </w:rPr>
        <w:t xml:space="preserve">, </w:t>
      </w:r>
      <w:proofErr w:type="spellStart"/>
      <w:r w:rsidR="00B935A6" w:rsidRPr="006631D1">
        <w:rPr>
          <w:rFonts w:ascii="Times New Roman" w:hAnsi="Times New Roman" w:cs="Times New Roman"/>
          <w:sz w:val="18"/>
          <w:szCs w:val="18"/>
        </w:rPr>
        <w:t>keberserapan</w:t>
      </w:r>
      <w:proofErr w:type="spellEnd"/>
      <w:r w:rsidR="00B935A6" w:rsidRPr="006631D1">
        <w:rPr>
          <w:rFonts w:ascii="Times New Roman" w:hAnsi="Times New Roman" w:cs="Times New Roman"/>
          <w:sz w:val="18"/>
          <w:szCs w:val="18"/>
        </w:rPr>
        <w:t xml:space="preserve"> standard, </w:t>
      </w:r>
      <w:proofErr w:type="spellStart"/>
      <w:r w:rsidR="00B935A6" w:rsidRPr="006631D1">
        <w:rPr>
          <w:rFonts w:ascii="Times New Roman" w:hAnsi="Times New Roman" w:cs="Times New Roman"/>
          <w:sz w:val="18"/>
          <w:szCs w:val="18"/>
        </w:rPr>
        <w:t>perintah</w:t>
      </w:r>
      <w:proofErr w:type="spellEnd"/>
      <w:r w:rsidR="00B935A6" w:rsidRPr="006631D1">
        <w:rPr>
          <w:rFonts w:ascii="Times New Roman" w:hAnsi="Times New Roman" w:cs="Times New Roman"/>
          <w:sz w:val="18"/>
          <w:szCs w:val="18"/>
        </w:rPr>
        <w:t xml:space="preserve"> </w:t>
      </w:r>
      <w:proofErr w:type="spellStart"/>
      <w:r w:rsidR="00B935A6" w:rsidRPr="006631D1">
        <w:rPr>
          <w:rFonts w:ascii="Times New Roman" w:hAnsi="Times New Roman" w:cs="Times New Roman"/>
          <w:sz w:val="18"/>
          <w:szCs w:val="18"/>
        </w:rPr>
        <w:t>pertama</w:t>
      </w:r>
      <w:proofErr w:type="spellEnd"/>
      <w:r w:rsidR="00B935A6" w:rsidRPr="006631D1">
        <w:rPr>
          <w:rFonts w:ascii="Times New Roman" w:hAnsi="Times New Roman" w:cs="Times New Roman"/>
          <w:sz w:val="18"/>
          <w:szCs w:val="18"/>
        </w:rPr>
        <w:t xml:space="preserve"> </w:t>
      </w:r>
      <w:proofErr w:type="spellStart"/>
      <w:r w:rsidR="00B935A6" w:rsidRPr="006631D1">
        <w:rPr>
          <w:rFonts w:ascii="Times New Roman" w:hAnsi="Times New Roman" w:cs="Times New Roman"/>
          <w:sz w:val="18"/>
          <w:szCs w:val="18"/>
        </w:rPr>
        <w:t>terbitan</w:t>
      </w:r>
      <w:proofErr w:type="spellEnd"/>
      <w:r w:rsidR="00B935A6" w:rsidRPr="006631D1">
        <w:rPr>
          <w:rFonts w:ascii="Times New Roman" w:hAnsi="Times New Roman" w:cs="Times New Roman"/>
          <w:sz w:val="18"/>
          <w:szCs w:val="18"/>
        </w:rPr>
        <w:t>, tablet.</w:t>
      </w:r>
    </w:p>
    <w:p w:rsidR="006631D1" w:rsidRPr="006631D1" w:rsidRDefault="006631D1" w:rsidP="006631D1">
      <w:pPr>
        <w:wordWrap/>
        <w:spacing w:before="120" w:after="120"/>
        <w:outlineLvl w:val="0"/>
        <w:rPr>
          <w:rFonts w:ascii="Times New Roman" w:hAnsi="Times New Roman" w:cs="Times New Roman"/>
          <w:sz w:val="18"/>
          <w:szCs w:val="18"/>
        </w:rPr>
      </w:pPr>
    </w:p>
    <w:p w:rsidR="006631D1" w:rsidRDefault="00785CA6" w:rsidP="006631D1">
      <w:pPr>
        <w:wordWrap/>
        <w:jc w:val="center"/>
        <w:outlineLvl w:val="0"/>
        <w:rPr>
          <w:rFonts w:ascii="Times New Roman" w:hAnsi="Times New Roman" w:cs="Times New Roman"/>
          <w:b/>
          <w:sz w:val="18"/>
          <w:szCs w:val="18"/>
        </w:rPr>
      </w:pPr>
      <w:r w:rsidRPr="006631D1">
        <w:rPr>
          <w:rFonts w:ascii="Times New Roman" w:hAnsi="Times New Roman" w:cs="Times New Roman"/>
          <w:b/>
        </w:rPr>
        <w:t>Introduction</w:t>
      </w:r>
    </w:p>
    <w:p w:rsidR="002D1CEA" w:rsidRPr="006631D1" w:rsidRDefault="002D1CEA" w:rsidP="006631D1">
      <w:pPr>
        <w:wordWrap/>
        <w:outlineLvl w:val="0"/>
        <w:rPr>
          <w:rFonts w:ascii="Times New Roman" w:hAnsi="Times New Roman" w:cs="Times New Roman"/>
          <w:b/>
          <w:sz w:val="18"/>
          <w:szCs w:val="18"/>
        </w:rPr>
      </w:pPr>
      <w:r w:rsidRPr="006631D1">
        <w:rPr>
          <w:rFonts w:ascii="Times New Roman" w:eastAsia="Times New Roman" w:hAnsi="Times New Roman" w:cs="Times New Roman"/>
          <w:szCs w:val="24"/>
        </w:rPr>
        <w:t xml:space="preserve">Chemically, </w:t>
      </w:r>
      <w:proofErr w:type="spellStart"/>
      <w:r w:rsidRPr="006631D1">
        <w:rPr>
          <w:rFonts w:ascii="Times New Roman" w:eastAsia="Times New Roman" w:hAnsi="Times New Roman" w:cs="Times New Roman"/>
          <w:szCs w:val="24"/>
        </w:rPr>
        <w:t>modafinil</w:t>
      </w:r>
      <w:proofErr w:type="spellEnd"/>
      <w:r w:rsidRPr="006631D1">
        <w:rPr>
          <w:rFonts w:ascii="Times New Roman" w:eastAsia="Times New Roman" w:hAnsi="Times New Roman" w:cs="Times New Roman"/>
          <w:szCs w:val="24"/>
        </w:rPr>
        <w:t xml:space="preserve"> (AMD) is 2-(</w:t>
      </w:r>
      <w:proofErr w:type="spellStart"/>
      <w:r w:rsidRPr="006631D1">
        <w:rPr>
          <w:rFonts w:ascii="Times New Roman" w:eastAsia="Times New Roman" w:hAnsi="Times New Roman" w:cs="Times New Roman"/>
          <w:szCs w:val="24"/>
        </w:rPr>
        <w:t>benzhydryl</w:t>
      </w:r>
      <w:proofErr w:type="spellEnd"/>
      <w:r w:rsidRPr="006631D1">
        <w:rPr>
          <w:rFonts w:ascii="Times New Roman" w:eastAsia="Times New Roman" w:hAnsi="Times New Roman" w:cs="Times New Roman"/>
          <w:szCs w:val="24"/>
        </w:rPr>
        <w:t xml:space="preserve"> </w:t>
      </w:r>
      <w:proofErr w:type="spellStart"/>
      <w:r w:rsidRPr="006631D1">
        <w:rPr>
          <w:rFonts w:ascii="Times New Roman" w:eastAsia="Times New Roman" w:hAnsi="Times New Roman" w:cs="Times New Roman"/>
          <w:szCs w:val="24"/>
        </w:rPr>
        <w:t>sulfinyl</w:t>
      </w:r>
      <w:proofErr w:type="spellEnd"/>
      <w:proofErr w:type="gramStart"/>
      <w:r w:rsidRPr="006631D1">
        <w:rPr>
          <w:rFonts w:ascii="Times New Roman" w:eastAsia="Times New Roman" w:hAnsi="Times New Roman" w:cs="Times New Roman"/>
          <w:szCs w:val="24"/>
        </w:rPr>
        <w:t>)</w:t>
      </w:r>
      <w:proofErr w:type="spellStart"/>
      <w:r w:rsidRPr="006631D1">
        <w:rPr>
          <w:rFonts w:ascii="Times New Roman" w:eastAsia="Times New Roman" w:hAnsi="Times New Roman" w:cs="Times New Roman"/>
          <w:szCs w:val="24"/>
        </w:rPr>
        <w:t>acetamide</w:t>
      </w:r>
      <w:proofErr w:type="spellEnd"/>
      <w:proofErr w:type="gramEnd"/>
      <w:r w:rsidRPr="006631D1">
        <w:rPr>
          <w:rFonts w:ascii="Times New Roman" w:eastAsia="Times New Roman" w:hAnsi="Times New Roman" w:cs="Times New Roman"/>
          <w:szCs w:val="24"/>
        </w:rPr>
        <w:t xml:space="preserve"> (Figure 1) and its R-enantiomer  is known as </w:t>
      </w:r>
      <w:proofErr w:type="spellStart"/>
      <w:r w:rsidRPr="006631D1">
        <w:rPr>
          <w:rFonts w:ascii="Times New Roman" w:eastAsia="Times New Roman" w:hAnsi="Times New Roman" w:cs="Times New Roman"/>
          <w:kern w:val="36"/>
          <w:szCs w:val="24"/>
        </w:rPr>
        <w:t>armodafinil</w:t>
      </w:r>
      <w:proofErr w:type="spellEnd"/>
      <w:r w:rsidRPr="006631D1">
        <w:rPr>
          <w:rFonts w:ascii="Times New Roman" w:eastAsia="Times New Roman" w:hAnsi="Times New Roman" w:cs="Times New Roman"/>
          <w:kern w:val="36"/>
          <w:szCs w:val="24"/>
        </w:rPr>
        <w:t>.</w:t>
      </w:r>
      <w:r w:rsidRPr="006631D1">
        <w:rPr>
          <w:rFonts w:ascii="Times New Roman" w:eastAsia="Times New Roman" w:hAnsi="Times New Roman" w:cs="Times New Roman"/>
          <w:szCs w:val="24"/>
        </w:rPr>
        <w:t xml:space="preserve"> It is </w:t>
      </w:r>
      <w:r w:rsidRPr="006631D1">
        <w:rPr>
          <w:rFonts w:ascii="Times New Roman" w:hAnsi="Times New Roman" w:cs="Times New Roman"/>
          <w:szCs w:val="24"/>
        </w:rPr>
        <w:t>a non-amphetamine, wakefulness-promoting agent</w:t>
      </w:r>
      <w:r w:rsidRPr="006631D1">
        <w:rPr>
          <w:rFonts w:ascii="Times New Roman" w:eastAsia="Times New Roman" w:hAnsi="Times New Roman" w:cs="Times New Roman"/>
          <w:szCs w:val="24"/>
        </w:rPr>
        <w:t xml:space="preserve"> which is indicated for use in patients with excessive sleepiness associated with narcolepsy, obstructive sleep </w:t>
      </w:r>
      <w:proofErr w:type="spellStart"/>
      <w:r w:rsidRPr="006631D1">
        <w:rPr>
          <w:rFonts w:ascii="Times New Roman" w:eastAsia="Times New Roman" w:hAnsi="Times New Roman" w:cs="Times New Roman"/>
          <w:szCs w:val="24"/>
        </w:rPr>
        <w:t>apnoea</w:t>
      </w:r>
      <w:proofErr w:type="spellEnd"/>
      <w:r w:rsidRPr="006631D1">
        <w:rPr>
          <w:rFonts w:ascii="Times New Roman" w:eastAsia="Times New Roman" w:hAnsi="Times New Roman" w:cs="Times New Roman"/>
          <w:szCs w:val="24"/>
        </w:rPr>
        <w:t>/</w:t>
      </w:r>
      <w:proofErr w:type="spellStart"/>
      <w:r w:rsidRPr="006631D1">
        <w:rPr>
          <w:rFonts w:ascii="Times New Roman" w:eastAsia="Times New Roman" w:hAnsi="Times New Roman" w:cs="Times New Roman"/>
          <w:szCs w:val="24"/>
        </w:rPr>
        <w:t>hypopnoea</w:t>
      </w:r>
      <w:proofErr w:type="spellEnd"/>
      <w:r w:rsidRPr="006631D1">
        <w:rPr>
          <w:rFonts w:ascii="Times New Roman" w:eastAsia="Times New Roman" w:hAnsi="Times New Roman" w:cs="Times New Roman"/>
          <w:szCs w:val="24"/>
        </w:rPr>
        <w:t xml:space="preserve"> syndro</w:t>
      </w:r>
      <w:r w:rsidR="00102763" w:rsidRPr="006631D1">
        <w:rPr>
          <w:rFonts w:ascii="Times New Roman" w:eastAsia="Times New Roman" w:hAnsi="Times New Roman" w:cs="Times New Roman"/>
          <w:szCs w:val="24"/>
        </w:rPr>
        <w:t>me or shift work sleep disorder</w:t>
      </w:r>
      <w:r w:rsidRPr="006631D1">
        <w:rPr>
          <w:rFonts w:ascii="Times New Roman" w:eastAsia="Times New Roman" w:hAnsi="Times New Roman" w:cs="Times New Roman"/>
          <w:szCs w:val="24"/>
        </w:rPr>
        <w:t xml:space="preserve"> [</w:t>
      </w:r>
      <w:r w:rsidRPr="00450164">
        <w:rPr>
          <w:rFonts w:ascii="Times New Roman" w:eastAsia="Times New Roman" w:hAnsi="Times New Roman" w:cs="Times New Roman"/>
          <w:bCs/>
          <w:szCs w:val="24"/>
        </w:rPr>
        <w:t>1</w:t>
      </w:r>
      <w:r w:rsidRPr="006631D1">
        <w:rPr>
          <w:rFonts w:ascii="Times New Roman" w:eastAsia="Times New Roman" w:hAnsi="Times New Roman" w:cs="Times New Roman"/>
          <w:szCs w:val="24"/>
        </w:rPr>
        <w:t>]</w:t>
      </w:r>
      <w:r w:rsidR="00102763" w:rsidRPr="006631D1">
        <w:rPr>
          <w:rFonts w:ascii="Times New Roman" w:eastAsia="Times New Roman" w:hAnsi="Times New Roman" w:cs="Times New Roman"/>
          <w:szCs w:val="24"/>
        </w:rPr>
        <w:t>.</w:t>
      </w:r>
      <w:r w:rsidRPr="006631D1">
        <w:rPr>
          <w:rFonts w:ascii="Times New Roman" w:eastAsia="Times New Roman" w:hAnsi="Times New Roman" w:cs="Times New Roman"/>
          <w:szCs w:val="24"/>
        </w:rPr>
        <w:t xml:space="preserve"> It is active metabolite of </w:t>
      </w:r>
      <w:proofErr w:type="spellStart"/>
      <w:r w:rsidRPr="006631D1">
        <w:rPr>
          <w:rFonts w:ascii="Times New Roman" w:eastAsia="Times New Roman" w:hAnsi="Times New Roman" w:cs="Times New Roman"/>
          <w:szCs w:val="24"/>
        </w:rPr>
        <w:t>adrafinil</w:t>
      </w:r>
      <w:proofErr w:type="spellEnd"/>
      <w:r w:rsidRPr="006631D1">
        <w:rPr>
          <w:rFonts w:ascii="Times New Roman" w:eastAsia="Times New Roman" w:hAnsi="Times New Roman" w:cs="Times New Roman"/>
          <w:szCs w:val="24"/>
        </w:rPr>
        <w:t xml:space="preserve"> [2-(</w:t>
      </w:r>
      <w:proofErr w:type="spellStart"/>
      <w:r w:rsidRPr="006631D1">
        <w:rPr>
          <w:rFonts w:ascii="Times New Roman" w:eastAsia="Times New Roman" w:hAnsi="Times New Roman" w:cs="Times New Roman"/>
          <w:szCs w:val="24"/>
        </w:rPr>
        <w:t>benzhydrylsulfinyl</w:t>
      </w:r>
      <w:proofErr w:type="spellEnd"/>
      <w:r w:rsidRPr="006631D1">
        <w:rPr>
          <w:rFonts w:ascii="Times New Roman" w:eastAsia="Times New Roman" w:hAnsi="Times New Roman" w:cs="Times New Roman"/>
          <w:szCs w:val="24"/>
        </w:rPr>
        <w:t>)-N-</w:t>
      </w:r>
      <w:proofErr w:type="spellStart"/>
      <w:r w:rsidRPr="006631D1">
        <w:rPr>
          <w:rFonts w:ascii="Times New Roman" w:eastAsia="Times New Roman" w:hAnsi="Times New Roman" w:cs="Times New Roman"/>
          <w:szCs w:val="24"/>
        </w:rPr>
        <w:t>hydroxyacetamide</w:t>
      </w:r>
      <w:proofErr w:type="spellEnd"/>
      <w:r w:rsidRPr="006631D1">
        <w:rPr>
          <w:rFonts w:ascii="Times New Roman" w:eastAsia="Times New Roman" w:hAnsi="Times New Roman" w:cs="Times New Roman"/>
          <w:szCs w:val="24"/>
        </w:rPr>
        <w:t>] (Figure</w:t>
      </w:r>
      <w:r w:rsidR="00F8209E" w:rsidRPr="006631D1">
        <w:rPr>
          <w:rFonts w:ascii="Times New Roman" w:eastAsia="Times New Roman" w:hAnsi="Times New Roman" w:cs="Times New Roman"/>
          <w:szCs w:val="24"/>
        </w:rPr>
        <w:t xml:space="preserve"> 1), which is one of the </w:t>
      </w:r>
      <w:proofErr w:type="spellStart"/>
      <w:r w:rsidR="00F8209E" w:rsidRPr="006631D1">
        <w:rPr>
          <w:rFonts w:ascii="Times New Roman" w:eastAsia="Times New Roman" w:hAnsi="Times New Roman" w:cs="Times New Roman"/>
          <w:szCs w:val="24"/>
        </w:rPr>
        <w:t>psycho</w:t>
      </w:r>
      <w:r w:rsidRPr="006631D1">
        <w:rPr>
          <w:rFonts w:ascii="Times New Roman" w:eastAsia="Times New Roman" w:hAnsi="Times New Roman" w:cs="Times New Roman"/>
          <w:szCs w:val="24"/>
        </w:rPr>
        <w:t>stimulants</w:t>
      </w:r>
      <w:proofErr w:type="spellEnd"/>
      <w:r w:rsidRPr="006631D1">
        <w:rPr>
          <w:rFonts w:ascii="Times New Roman" w:eastAsia="Times New Roman" w:hAnsi="Times New Roman" w:cs="Times New Roman"/>
          <w:szCs w:val="24"/>
        </w:rPr>
        <w:t xml:space="preserve"> </w:t>
      </w:r>
      <w:r w:rsidR="00E01512" w:rsidRPr="006631D1">
        <w:rPr>
          <w:rFonts w:ascii="Times New Roman" w:eastAsia="Times New Roman" w:hAnsi="Times New Roman" w:cs="Times New Roman"/>
          <w:szCs w:val="24"/>
        </w:rPr>
        <w:t>caus</w:t>
      </w:r>
      <w:r w:rsidRPr="006631D1">
        <w:rPr>
          <w:rFonts w:ascii="Times New Roman" w:eastAsia="Times New Roman" w:hAnsi="Times New Roman" w:cs="Times New Roman"/>
          <w:szCs w:val="24"/>
        </w:rPr>
        <w:t xml:space="preserve">ing behavioral activating effects. </w:t>
      </w:r>
      <w:proofErr w:type="spellStart"/>
      <w:r w:rsidRPr="006631D1">
        <w:rPr>
          <w:rFonts w:ascii="Times New Roman" w:eastAsia="Times New Roman" w:hAnsi="Times New Roman" w:cs="Times New Roman"/>
          <w:szCs w:val="24"/>
        </w:rPr>
        <w:t>Adrafinil</w:t>
      </w:r>
      <w:proofErr w:type="spellEnd"/>
      <w:r w:rsidRPr="006631D1">
        <w:rPr>
          <w:rFonts w:ascii="Times New Roman" w:eastAsia="Times New Roman" w:hAnsi="Times New Roman" w:cs="Times New Roman"/>
          <w:szCs w:val="24"/>
        </w:rPr>
        <w:t xml:space="preserve"> is also metabolized into </w:t>
      </w:r>
      <w:proofErr w:type="spellStart"/>
      <w:r w:rsidRPr="006631D1">
        <w:rPr>
          <w:rFonts w:ascii="Times New Roman" w:eastAsia="Times New Roman" w:hAnsi="Times New Roman" w:cs="Times New Roman"/>
          <w:szCs w:val="24"/>
        </w:rPr>
        <w:t>modafinil</w:t>
      </w:r>
      <w:proofErr w:type="spellEnd"/>
      <w:r w:rsidRPr="006631D1">
        <w:rPr>
          <w:rFonts w:ascii="Times New Roman" w:eastAsia="Times New Roman" w:hAnsi="Times New Roman" w:cs="Times New Roman"/>
          <w:szCs w:val="24"/>
        </w:rPr>
        <w:t xml:space="preserve"> acid. </w:t>
      </w:r>
    </w:p>
    <w:p w:rsidR="00252284" w:rsidRPr="006631D1" w:rsidRDefault="00252284" w:rsidP="00122BDA">
      <w:pPr>
        <w:wordWrap/>
        <w:spacing w:before="120" w:after="120" w:line="360" w:lineRule="auto"/>
        <w:jc w:val="center"/>
        <w:rPr>
          <w:rFonts w:ascii="Times New Roman" w:hAnsi="Times New Roman" w:cs="Times New Roman"/>
          <w:szCs w:val="24"/>
        </w:rPr>
      </w:pPr>
      <w:r w:rsidRPr="006631D1">
        <w:rPr>
          <w:rFonts w:ascii="Times New Roman" w:hAnsi="Times New Roman" w:cs="Times New Roman"/>
          <w:noProof/>
          <w:szCs w:val="24"/>
          <w:lang w:eastAsia="en-US"/>
        </w:rPr>
        <w:drawing>
          <wp:inline distT="0" distB="0" distL="0" distR="0" wp14:anchorId="4EB636AC" wp14:editId="3F5C496A">
            <wp:extent cx="3286125" cy="1143000"/>
            <wp:effectExtent l="19050" t="0" r="9525" b="0"/>
            <wp:docPr id="1" name="Picture 1" descr="Fig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_1"/>
                    <pic:cNvPicPr>
                      <a:picLocks noChangeAspect="1" noChangeArrowheads="1"/>
                    </pic:cNvPicPr>
                  </pic:nvPicPr>
                  <pic:blipFill>
                    <a:blip r:embed="rId8" cstate="print"/>
                    <a:srcRect/>
                    <a:stretch>
                      <a:fillRect/>
                    </a:stretch>
                  </pic:blipFill>
                  <pic:spPr bwMode="auto">
                    <a:xfrm>
                      <a:off x="0" y="0"/>
                      <a:ext cx="3286125" cy="1143000"/>
                    </a:xfrm>
                    <a:prstGeom prst="rect">
                      <a:avLst/>
                    </a:prstGeom>
                    <a:noFill/>
                    <a:ln w="9525">
                      <a:noFill/>
                      <a:miter lim="800000"/>
                      <a:headEnd/>
                      <a:tailEnd/>
                    </a:ln>
                  </pic:spPr>
                </pic:pic>
              </a:graphicData>
            </a:graphic>
          </wp:inline>
        </w:drawing>
      </w:r>
    </w:p>
    <w:p w:rsidR="00252284" w:rsidRPr="006631D1" w:rsidRDefault="006631D1" w:rsidP="00122BDA">
      <w:pPr>
        <w:wordWrap/>
        <w:spacing w:before="120" w:after="120" w:line="360" w:lineRule="auto"/>
        <w:jc w:val="center"/>
        <w:rPr>
          <w:rFonts w:ascii="Times New Roman" w:hAnsi="Times New Roman" w:cs="Times New Roman"/>
          <w:szCs w:val="24"/>
        </w:rPr>
      </w:pPr>
      <w:proofErr w:type="gramStart"/>
      <w:r>
        <w:rPr>
          <w:rFonts w:ascii="Times New Roman" w:hAnsi="Times New Roman" w:cs="Times New Roman"/>
          <w:szCs w:val="24"/>
        </w:rPr>
        <w:t>Figure 1.</w:t>
      </w:r>
      <w:proofErr w:type="gramEnd"/>
      <w:r w:rsidR="00252284" w:rsidRPr="006631D1">
        <w:rPr>
          <w:rFonts w:ascii="Times New Roman" w:hAnsi="Times New Roman" w:cs="Times New Roman"/>
          <w:szCs w:val="24"/>
        </w:rPr>
        <w:t xml:space="preserve"> </w:t>
      </w:r>
      <w:proofErr w:type="gramStart"/>
      <w:r w:rsidR="00252284" w:rsidRPr="006631D1">
        <w:rPr>
          <w:rFonts w:ascii="Times New Roman" w:hAnsi="Times New Roman" w:cs="Times New Roman"/>
          <w:szCs w:val="24"/>
        </w:rPr>
        <w:t xml:space="preserve">Structure of </w:t>
      </w:r>
      <w:proofErr w:type="spellStart"/>
      <w:r w:rsidR="00252284" w:rsidRPr="006631D1">
        <w:rPr>
          <w:rFonts w:ascii="Times New Roman" w:hAnsi="Times New Roman" w:cs="Times New Roman"/>
          <w:szCs w:val="24"/>
        </w:rPr>
        <w:t>modafinil</w:t>
      </w:r>
      <w:proofErr w:type="spellEnd"/>
      <w:r w:rsidR="00252284" w:rsidRPr="006631D1">
        <w:rPr>
          <w:rFonts w:ascii="Times New Roman" w:hAnsi="Times New Roman" w:cs="Times New Roman"/>
          <w:szCs w:val="24"/>
        </w:rPr>
        <w:t xml:space="preserve"> (1) and </w:t>
      </w:r>
      <w:proofErr w:type="spellStart"/>
      <w:r w:rsidR="00252284" w:rsidRPr="006631D1">
        <w:rPr>
          <w:rFonts w:ascii="Times New Roman" w:hAnsi="Times New Roman" w:cs="Times New Roman"/>
          <w:szCs w:val="24"/>
        </w:rPr>
        <w:t>adrafinil</w:t>
      </w:r>
      <w:proofErr w:type="spellEnd"/>
      <w:r w:rsidR="00252284" w:rsidRPr="006631D1">
        <w:rPr>
          <w:rFonts w:ascii="Times New Roman" w:hAnsi="Times New Roman" w:cs="Times New Roman"/>
          <w:szCs w:val="24"/>
        </w:rPr>
        <w:t xml:space="preserve"> (2).</w:t>
      </w:r>
      <w:proofErr w:type="gramEnd"/>
    </w:p>
    <w:p w:rsidR="00785CA6" w:rsidRDefault="002D1CEA" w:rsidP="006631D1">
      <w:pPr>
        <w:shd w:val="clear" w:color="auto" w:fill="FFFFFF"/>
        <w:wordWrap/>
        <w:outlineLvl w:val="0"/>
        <w:rPr>
          <w:rFonts w:ascii="Times New Roman" w:eastAsia="Times New Roman" w:hAnsi="Times New Roman" w:cs="Times New Roman"/>
          <w:szCs w:val="24"/>
        </w:rPr>
      </w:pPr>
      <w:r w:rsidRPr="00450164">
        <w:rPr>
          <w:rFonts w:ascii="Times New Roman" w:eastAsia="Times New Roman" w:hAnsi="Times New Roman" w:cs="Times New Roman"/>
          <w:szCs w:val="24"/>
        </w:rPr>
        <w:t xml:space="preserve">The pharmacokinetics of </w:t>
      </w:r>
      <w:proofErr w:type="spellStart"/>
      <w:r w:rsidRPr="00450164">
        <w:rPr>
          <w:rFonts w:ascii="Times New Roman" w:eastAsia="Times New Roman" w:hAnsi="Times New Roman" w:cs="Times New Roman"/>
          <w:szCs w:val="24"/>
        </w:rPr>
        <w:t>adrafinil</w:t>
      </w:r>
      <w:proofErr w:type="spellEnd"/>
      <w:r w:rsidRPr="00450164">
        <w:rPr>
          <w:rFonts w:ascii="Times New Roman" w:eastAsia="Times New Roman" w:hAnsi="Times New Roman" w:cs="Times New Roman"/>
          <w:szCs w:val="24"/>
        </w:rPr>
        <w:t xml:space="preserve"> was investigated by liquid chromatography/tandem mass spectrometric (LC–MS/MS) method along with determination of its metabolite [</w:t>
      </w:r>
      <w:r w:rsidRPr="00450164">
        <w:rPr>
          <w:rFonts w:ascii="Times New Roman" w:eastAsia="Times New Roman" w:hAnsi="Times New Roman" w:cs="Times New Roman"/>
          <w:bCs/>
          <w:szCs w:val="24"/>
        </w:rPr>
        <w:t>2</w:t>
      </w:r>
      <w:r w:rsidRPr="00450164">
        <w:rPr>
          <w:rFonts w:ascii="Times New Roman" w:eastAsia="Times New Roman" w:hAnsi="Times New Roman" w:cs="Times New Roman"/>
          <w:szCs w:val="24"/>
        </w:rPr>
        <w:t>]</w:t>
      </w:r>
      <w:r w:rsidR="00102763" w:rsidRPr="00450164">
        <w:rPr>
          <w:rFonts w:ascii="Times New Roman" w:eastAsia="Times New Roman" w:hAnsi="Times New Roman" w:cs="Times New Roman"/>
          <w:szCs w:val="24"/>
        </w:rPr>
        <w:t>.</w:t>
      </w:r>
      <w:r w:rsidRPr="00450164">
        <w:rPr>
          <w:rFonts w:ascii="Times New Roman" w:eastAsia="Times New Roman" w:hAnsi="Times New Roman" w:cs="Times New Roman"/>
          <w:szCs w:val="24"/>
        </w:rPr>
        <w:t xml:space="preserve"> </w:t>
      </w:r>
      <w:r w:rsidRPr="00450164">
        <w:rPr>
          <w:rFonts w:ascii="Times New Roman" w:eastAsia="Times New Roman" w:hAnsi="Times New Roman" w:cs="Times New Roman"/>
          <w:kern w:val="36"/>
          <w:szCs w:val="24"/>
        </w:rPr>
        <w:t xml:space="preserve">Very few analytical chromatographic methods were reported for determination of </w:t>
      </w:r>
      <w:proofErr w:type="spellStart"/>
      <w:r w:rsidRPr="00450164">
        <w:rPr>
          <w:rFonts w:ascii="Times New Roman" w:eastAsia="Times New Roman" w:hAnsi="Times New Roman" w:cs="Times New Roman"/>
          <w:kern w:val="36"/>
          <w:szCs w:val="24"/>
        </w:rPr>
        <w:t>armodafinil</w:t>
      </w:r>
      <w:proofErr w:type="spellEnd"/>
      <w:r w:rsidRPr="00450164">
        <w:rPr>
          <w:rFonts w:ascii="Times New Roman" w:eastAsia="Times New Roman" w:hAnsi="Times New Roman" w:cs="Times New Roman"/>
          <w:kern w:val="36"/>
          <w:szCs w:val="24"/>
        </w:rPr>
        <w:t xml:space="preserve"> </w:t>
      </w:r>
      <w:r w:rsidRPr="00450164">
        <w:rPr>
          <w:rFonts w:ascii="Times New Roman" w:hAnsi="Times New Roman" w:cs="Times New Roman"/>
          <w:szCs w:val="24"/>
        </w:rPr>
        <w:t>in human plasma [</w:t>
      </w:r>
      <w:r w:rsidRPr="00450164">
        <w:rPr>
          <w:rFonts w:ascii="Times New Roman" w:hAnsi="Times New Roman" w:cs="Times New Roman"/>
          <w:bCs/>
          <w:szCs w:val="24"/>
        </w:rPr>
        <w:t>3</w:t>
      </w:r>
      <w:r w:rsidRPr="00450164">
        <w:rPr>
          <w:rFonts w:ascii="Times New Roman" w:hAnsi="Times New Roman" w:cs="Times New Roman"/>
          <w:szCs w:val="24"/>
        </w:rPr>
        <w:t xml:space="preserve">] and </w:t>
      </w:r>
      <w:r w:rsidRPr="00450164">
        <w:rPr>
          <w:rFonts w:ascii="Times New Roman" w:eastAsia="Times New Roman" w:hAnsi="Times New Roman" w:cs="Times New Roman"/>
          <w:kern w:val="36"/>
          <w:szCs w:val="24"/>
        </w:rPr>
        <w:t>in plasma and urine [</w:t>
      </w:r>
      <w:r w:rsidRPr="00450164">
        <w:rPr>
          <w:rFonts w:ascii="Times New Roman" w:eastAsia="Times New Roman" w:hAnsi="Times New Roman" w:cs="Times New Roman"/>
          <w:bCs/>
          <w:kern w:val="36"/>
          <w:szCs w:val="24"/>
        </w:rPr>
        <w:t>4</w:t>
      </w:r>
      <w:r w:rsidRPr="00450164">
        <w:rPr>
          <w:rFonts w:ascii="Times New Roman" w:eastAsia="Times New Roman" w:hAnsi="Times New Roman" w:cs="Times New Roman"/>
          <w:kern w:val="36"/>
          <w:szCs w:val="24"/>
        </w:rPr>
        <w:t>]</w:t>
      </w:r>
      <w:r w:rsidR="00102763" w:rsidRPr="00450164">
        <w:rPr>
          <w:rFonts w:ascii="Times New Roman" w:eastAsia="Times New Roman" w:hAnsi="Times New Roman" w:cs="Times New Roman"/>
          <w:kern w:val="36"/>
          <w:szCs w:val="24"/>
        </w:rPr>
        <w:t>.</w:t>
      </w:r>
      <w:r w:rsidRPr="00450164">
        <w:rPr>
          <w:rFonts w:ascii="Times New Roman" w:eastAsia="Times New Roman" w:hAnsi="Times New Roman" w:cs="Times New Roman"/>
          <w:kern w:val="36"/>
          <w:szCs w:val="24"/>
        </w:rPr>
        <w:t xml:space="preserve"> </w:t>
      </w:r>
      <w:proofErr w:type="spellStart"/>
      <w:r w:rsidRPr="00450164">
        <w:rPr>
          <w:rFonts w:ascii="Times New Roman" w:eastAsia="Times New Roman" w:hAnsi="Times New Roman" w:cs="Times New Roman"/>
          <w:kern w:val="36"/>
          <w:szCs w:val="24"/>
        </w:rPr>
        <w:t>Armodafinil</w:t>
      </w:r>
      <w:proofErr w:type="spellEnd"/>
      <w:r w:rsidRPr="006631D1">
        <w:rPr>
          <w:rFonts w:ascii="Times New Roman" w:eastAsia="Times New Roman" w:hAnsi="Times New Roman" w:cs="Times New Roman"/>
          <w:kern w:val="36"/>
          <w:szCs w:val="24"/>
        </w:rPr>
        <w:t xml:space="preserve"> </w:t>
      </w:r>
      <w:r w:rsidRPr="00450164">
        <w:rPr>
          <w:rFonts w:ascii="Times New Roman" w:eastAsia="Times New Roman" w:hAnsi="Times New Roman" w:cs="Times New Roman"/>
          <w:kern w:val="36"/>
          <w:szCs w:val="24"/>
        </w:rPr>
        <w:lastRenderedPageBreak/>
        <w:t>also was determined by HPLC along with its synthetic intermediates [</w:t>
      </w:r>
      <w:r w:rsidRPr="00450164">
        <w:rPr>
          <w:rFonts w:ascii="Times New Roman" w:eastAsia="Times New Roman" w:hAnsi="Times New Roman" w:cs="Times New Roman"/>
          <w:bCs/>
          <w:kern w:val="36"/>
          <w:szCs w:val="24"/>
        </w:rPr>
        <w:t>5-6</w:t>
      </w:r>
      <w:r w:rsidRPr="00450164">
        <w:rPr>
          <w:rFonts w:ascii="Times New Roman" w:eastAsia="Times New Roman" w:hAnsi="Times New Roman" w:cs="Times New Roman"/>
          <w:kern w:val="36"/>
          <w:szCs w:val="24"/>
        </w:rPr>
        <w:t>]</w:t>
      </w:r>
      <w:r w:rsidRPr="00450164">
        <w:rPr>
          <w:rFonts w:ascii="Times New Roman" w:eastAsia="Times New Roman" w:hAnsi="Times New Roman" w:cs="Times New Roman"/>
          <w:szCs w:val="24"/>
        </w:rPr>
        <w:t xml:space="preserve"> </w:t>
      </w:r>
      <w:r w:rsidRPr="00450164">
        <w:rPr>
          <w:rFonts w:ascii="Times New Roman" w:eastAsia="Times New Roman" w:hAnsi="Times New Roman" w:cs="Times New Roman"/>
          <w:kern w:val="36"/>
          <w:szCs w:val="24"/>
        </w:rPr>
        <w:t xml:space="preserve">and </w:t>
      </w:r>
      <w:proofErr w:type="spellStart"/>
      <w:r w:rsidRPr="00450164">
        <w:rPr>
          <w:rFonts w:ascii="Times New Roman" w:eastAsia="Times New Roman" w:hAnsi="Times New Roman" w:cs="Times New Roman"/>
          <w:kern w:val="36"/>
          <w:szCs w:val="24"/>
        </w:rPr>
        <w:t>enantiomeric</w:t>
      </w:r>
      <w:proofErr w:type="spellEnd"/>
      <w:r w:rsidRPr="00450164">
        <w:rPr>
          <w:rFonts w:ascii="Times New Roman" w:eastAsia="Times New Roman" w:hAnsi="Times New Roman" w:cs="Times New Roman"/>
          <w:kern w:val="36"/>
          <w:szCs w:val="24"/>
        </w:rPr>
        <w:t xml:space="preserve"> determination was reported by </w:t>
      </w:r>
      <w:r w:rsidRPr="00450164">
        <w:rPr>
          <w:rFonts w:ascii="Times New Roman" w:eastAsia="Times New Roman" w:hAnsi="Times New Roman" w:cs="Times New Roman"/>
          <w:szCs w:val="24"/>
        </w:rPr>
        <w:t xml:space="preserve">capillary electrophoresis with </w:t>
      </w:r>
      <w:proofErr w:type="spellStart"/>
      <w:r w:rsidRPr="00450164">
        <w:rPr>
          <w:rFonts w:ascii="Times New Roman" w:eastAsia="Times New Roman" w:hAnsi="Times New Roman" w:cs="Times New Roman"/>
          <w:szCs w:val="24"/>
        </w:rPr>
        <w:t>sulfobutyl</w:t>
      </w:r>
      <w:proofErr w:type="spellEnd"/>
      <w:r w:rsidRPr="00450164">
        <w:rPr>
          <w:rFonts w:ascii="Times New Roman" w:eastAsia="Times New Roman" w:hAnsi="Times New Roman" w:cs="Times New Roman"/>
          <w:szCs w:val="24"/>
        </w:rPr>
        <w:t xml:space="preserve"> ether-</w:t>
      </w:r>
      <w:r w:rsidRPr="00450164">
        <w:rPr>
          <w:rFonts w:ascii="Symbol" w:eastAsia="Times New Roman" w:hAnsi="Symbol" w:cs="Times New Roman"/>
          <w:szCs w:val="24"/>
        </w:rPr>
        <w:t></w:t>
      </w:r>
      <w:r w:rsidRPr="00450164">
        <w:rPr>
          <w:rFonts w:ascii="Times New Roman" w:eastAsia="Times New Roman" w:hAnsi="Times New Roman" w:cs="Times New Roman"/>
          <w:szCs w:val="24"/>
        </w:rPr>
        <w:t>-</w:t>
      </w:r>
      <w:proofErr w:type="spellStart"/>
      <w:r w:rsidR="00102763" w:rsidRPr="00450164">
        <w:rPr>
          <w:rFonts w:ascii="Times New Roman" w:eastAsia="Times New Roman" w:hAnsi="Times New Roman" w:cs="Times New Roman"/>
          <w:szCs w:val="24"/>
        </w:rPr>
        <w:t>cyclodextrin</w:t>
      </w:r>
      <w:proofErr w:type="spellEnd"/>
      <w:r w:rsidR="00102763" w:rsidRPr="00450164">
        <w:rPr>
          <w:rFonts w:ascii="Times New Roman" w:eastAsia="Times New Roman" w:hAnsi="Times New Roman" w:cs="Times New Roman"/>
          <w:szCs w:val="24"/>
        </w:rPr>
        <w:t xml:space="preserve"> as chiral selector</w:t>
      </w:r>
      <w:r w:rsidRPr="00450164">
        <w:rPr>
          <w:rFonts w:ascii="Times New Roman" w:eastAsia="Times New Roman" w:hAnsi="Times New Roman" w:cs="Times New Roman"/>
          <w:szCs w:val="24"/>
        </w:rPr>
        <w:t xml:space="preserve"> [</w:t>
      </w:r>
      <w:r w:rsidRPr="00450164">
        <w:rPr>
          <w:rFonts w:ascii="Times New Roman" w:eastAsia="Times New Roman" w:hAnsi="Times New Roman" w:cs="Times New Roman"/>
          <w:bCs/>
          <w:szCs w:val="24"/>
        </w:rPr>
        <w:t>7</w:t>
      </w:r>
      <w:r w:rsidRPr="00450164">
        <w:rPr>
          <w:rFonts w:ascii="Times New Roman" w:eastAsia="Times New Roman" w:hAnsi="Times New Roman" w:cs="Times New Roman"/>
          <w:szCs w:val="24"/>
        </w:rPr>
        <w:t>]</w:t>
      </w:r>
      <w:r w:rsidR="00102763" w:rsidRPr="00450164">
        <w:rPr>
          <w:rFonts w:ascii="Times New Roman" w:eastAsia="Times New Roman" w:hAnsi="Times New Roman" w:cs="Times New Roman"/>
          <w:szCs w:val="24"/>
        </w:rPr>
        <w:t>.</w:t>
      </w:r>
      <w:r w:rsidRPr="00450164">
        <w:rPr>
          <w:rFonts w:ascii="Times New Roman" w:eastAsia="Times New Roman" w:hAnsi="Times New Roman" w:cs="Times New Roman"/>
          <w:szCs w:val="24"/>
        </w:rPr>
        <w:t xml:space="preserve"> Spectrophotometric methods may be suitable for routine analysis as these are economic, rapid, simple, maintenance-free, and show comparable accuracy and precisi</w:t>
      </w:r>
      <w:r w:rsidR="00102763" w:rsidRPr="00450164">
        <w:rPr>
          <w:rFonts w:ascii="Times New Roman" w:eastAsia="Times New Roman" w:hAnsi="Times New Roman" w:cs="Times New Roman"/>
          <w:szCs w:val="24"/>
        </w:rPr>
        <w:t>on with chromatographic methods</w:t>
      </w:r>
      <w:r w:rsidRPr="00450164">
        <w:rPr>
          <w:rFonts w:ascii="Times New Roman" w:eastAsia="Times New Roman" w:hAnsi="Times New Roman" w:cs="Times New Roman"/>
          <w:szCs w:val="24"/>
        </w:rPr>
        <w:t xml:space="preserve"> [</w:t>
      </w:r>
      <w:r w:rsidRPr="00450164">
        <w:rPr>
          <w:rFonts w:ascii="Times New Roman" w:eastAsia="Times New Roman" w:hAnsi="Times New Roman" w:cs="Times New Roman"/>
          <w:bCs/>
          <w:szCs w:val="24"/>
        </w:rPr>
        <w:t>8-9</w:t>
      </w:r>
      <w:r w:rsidRPr="00450164">
        <w:rPr>
          <w:rFonts w:ascii="Times New Roman" w:eastAsia="Times New Roman" w:hAnsi="Times New Roman" w:cs="Times New Roman"/>
          <w:szCs w:val="24"/>
        </w:rPr>
        <w:t>]</w:t>
      </w:r>
      <w:r w:rsidR="00102763" w:rsidRPr="00450164">
        <w:rPr>
          <w:rFonts w:ascii="Times New Roman" w:eastAsia="Times New Roman" w:hAnsi="Times New Roman" w:cs="Times New Roman"/>
          <w:szCs w:val="24"/>
        </w:rPr>
        <w:t>.</w:t>
      </w:r>
      <w:r w:rsidRPr="00450164">
        <w:rPr>
          <w:rFonts w:ascii="Times New Roman" w:eastAsia="Times New Roman" w:hAnsi="Times New Roman" w:cs="Times New Roman"/>
          <w:szCs w:val="24"/>
        </w:rPr>
        <w:t xml:space="preserve"> Hitherto, as per knowledge of authors, there is no UV spectrophotometric method reported in literature for the determination of </w:t>
      </w:r>
      <w:proofErr w:type="spellStart"/>
      <w:r w:rsidRPr="00450164">
        <w:rPr>
          <w:rFonts w:ascii="Times New Roman" w:eastAsia="Times New Roman" w:hAnsi="Times New Roman" w:cs="Times New Roman"/>
          <w:szCs w:val="24"/>
        </w:rPr>
        <w:t>modafinil</w:t>
      </w:r>
      <w:proofErr w:type="spellEnd"/>
      <w:r w:rsidRPr="00450164">
        <w:rPr>
          <w:rFonts w:ascii="Times New Roman" w:eastAsia="Times New Roman" w:hAnsi="Times New Roman" w:cs="Times New Roman"/>
          <w:szCs w:val="24"/>
        </w:rPr>
        <w:t xml:space="preserve">. Thus, the aim of present work was to develop spectrophotometric assay methods for determination of </w:t>
      </w:r>
      <w:proofErr w:type="spellStart"/>
      <w:r w:rsidRPr="00450164">
        <w:rPr>
          <w:rFonts w:ascii="Times New Roman" w:eastAsia="Times New Roman" w:hAnsi="Times New Roman" w:cs="Times New Roman"/>
          <w:szCs w:val="24"/>
        </w:rPr>
        <w:t>modafinil</w:t>
      </w:r>
      <w:proofErr w:type="spellEnd"/>
      <w:r w:rsidRPr="00450164">
        <w:rPr>
          <w:rFonts w:ascii="Times New Roman" w:eastAsia="Times New Roman" w:hAnsi="Times New Roman" w:cs="Times New Roman"/>
          <w:szCs w:val="24"/>
        </w:rPr>
        <w:t xml:space="preserve"> in the bulk drug and pharmaceutical dosage form</w:t>
      </w:r>
      <w:r w:rsidR="005610A9" w:rsidRPr="00450164">
        <w:rPr>
          <w:rFonts w:ascii="Times New Roman" w:eastAsia="Times New Roman" w:hAnsi="Times New Roman" w:cs="Times New Roman"/>
          <w:szCs w:val="24"/>
        </w:rPr>
        <w:t>s</w:t>
      </w:r>
      <w:r w:rsidRPr="00450164">
        <w:rPr>
          <w:rFonts w:ascii="Times New Roman" w:eastAsia="Times New Roman" w:hAnsi="Times New Roman" w:cs="Times New Roman"/>
          <w:szCs w:val="24"/>
        </w:rPr>
        <w:t>.</w:t>
      </w:r>
    </w:p>
    <w:p w:rsidR="006631D1" w:rsidRPr="006631D1" w:rsidRDefault="006631D1" w:rsidP="006631D1">
      <w:pPr>
        <w:shd w:val="clear" w:color="auto" w:fill="FFFFFF"/>
        <w:wordWrap/>
        <w:outlineLvl w:val="0"/>
        <w:rPr>
          <w:rFonts w:ascii="Times New Roman" w:hAnsi="Times New Roman" w:cs="Times New Roman"/>
          <w:sz w:val="16"/>
          <w:szCs w:val="20"/>
        </w:rPr>
      </w:pPr>
    </w:p>
    <w:p w:rsidR="00785CA6" w:rsidRPr="006631D1" w:rsidRDefault="006631D1" w:rsidP="00122BDA">
      <w:pPr>
        <w:wordWrap/>
        <w:spacing w:before="120" w:after="120" w:line="360" w:lineRule="auto"/>
        <w:jc w:val="center"/>
        <w:outlineLvl w:val="0"/>
        <w:rPr>
          <w:rFonts w:ascii="Times New Roman" w:hAnsi="Times New Roman" w:cs="Times New Roman"/>
          <w:b/>
          <w:szCs w:val="20"/>
        </w:rPr>
      </w:pPr>
      <w:r>
        <w:rPr>
          <w:rFonts w:ascii="Times New Roman" w:hAnsi="Times New Roman" w:cs="Times New Roman"/>
          <w:b/>
          <w:szCs w:val="20"/>
        </w:rPr>
        <w:t>Materials and Methods</w:t>
      </w:r>
    </w:p>
    <w:p w:rsidR="00F30430" w:rsidRPr="006631D1" w:rsidRDefault="00F30430" w:rsidP="006631D1">
      <w:pPr>
        <w:wordWrap/>
        <w:rPr>
          <w:rFonts w:ascii="Times New Roman" w:hAnsi="Times New Roman" w:cs="Times New Roman"/>
          <w:b/>
          <w:bCs/>
          <w:iCs/>
          <w:szCs w:val="24"/>
        </w:rPr>
      </w:pPr>
      <w:r w:rsidRPr="006631D1">
        <w:rPr>
          <w:rFonts w:ascii="Times New Roman" w:hAnsi="Times New Roman" w:cs="Times New Roman"/>
          <w:b/>
          <w:bCs/>
          <w:iCs/>
          <w:szCs w:val="24"/>
        </w:rPr>
        <w:t>Instruments, reagents and chemicals</w:t>
      </w:r>
    </w:p>
    <w:p w:rsidR="006631D1" w:rsidRDefault="00F30430" w:rsidP="006631D1">
      <w:pPr>
        <w:wordWrap/>
        <w:rPr>
          <w:rFonts w:ascii="Times New Roman" w:hAnsi="Times New Roman" w:cs="Times New Roman"/>
          <w:szCs w:val="24"/>
        </w:rPr>
      </w:pPr>
      <w:r w:rsidRPr="006631D1">
        <w:rPr>
          <w:rFonts w:ascii="Times New Roman" w:hAnsi="Times New Roman" w:cs="Times New Roman"/>
          <w:szCs w:val="24"/>
        </w:rPr>
        <w:t xml:space="preserve">Ultraviolet spectrophotometer (1700 series and 1800 series Shimadzu) with 1 cm matched quartz cells were used for the measurement of absorbance of samples. Shimadzu-Ax-200 electronic balance was used for weighing. </w:t>
      </w:r>
      <w:proofErr w:type="spellStart"/>
      <w:r w:rsidRPr="006631D1">
        <w:rPr>
          <w:rFonts w:ascii="Times New Roman" w:hAnsi="Times New Roman" w:cs="Times New Roman"/>
          <w:szCs w:val="24"/>
        </w:rPr>
        <w:t>Modafinil</w:t>
      </w:r>
      <w:proofErr w:type="spellEnd"/>
      <w:r w:rsidRPr="006631D1">
        <w:rPr>
          <w:rFonts w:ascii="Times New Roman" w:hAnsi="Times New Roman" w:cs="Times New Roman"/>
          <w:szCs w:val="24"/>
        </w:rPr>
        <w:t xml:space="preserve"> </w:t>
      </w:r>
      <w:r w:rsidRPr="006631D1">
        <w:rPr>
          <w:rFonts w:ascii="Times New Roman" w:hAnsi="Times New Roman" w:cs="Times New Roman"/>
          <w:iCs/>
          <w:szCs w:val="24"/>
        </w:rPr>
        <w:t xml:space="preserve">WS (working standard) </w:t>
      </w:r>
      <w:r w:rsidRPr="006631D1">
        <w:rPr>
          <w:rFonts w:ascii="Times New Roman" w:hAnsi="Times New Roman" w:cs="Times New Roman"/>
          <w:szCs w:val="24"/>
        </w:rPr>
        <w:t xml:space="preserve">was procured from APL Research Centre (A Division of </w:t>
      </w:r>
      <w:proofErr w:type="spellStart"/>
      <w:r w:rsidRPr="006631D1">
        <w:rPr>
          <w:rFonts w:ascii="Times New Roman" w:hAnsi="Times New Roman" w:cs="Times New Roman"/>
          <w:szCs w:val="24"/>
        </w:rPr>
        <w:t>Aurobindo</w:t>
      </w:r>
      <w:proofErr w:type="spellEnd"/>
      <w:r w:rsidRPr="006631D1">
        <w:rPr>
          <w:rFonts w:ascii="Times New Roman" w:hAnsi="Times New Roman" w:cs="Times New Roman"/>
          <w:szCs w:val="24"/>
        </w:rPr>
        <w:t xml:space="preserve"> </w:t>
      </w:r>
      <w:proofErr w:type="spellStart"/>
      <w:r w:rsidRPr="006631D1">
        <w:rPr>
          <w:rFonts w:ascii="Times New Roman" w:hAnsi="Times New Roman" w:cs="Times New Roman"/>
          <w:szCs w:val="24"/>
        </w:rPr>
        <w:t>Pharma</w:t>
      </w:r>
      <w:proofErr w:type="spellEnd"/>
      <w:r w:rsidRPr="006631D1">
        <w:rPr>
          <w:rFonts w:ascii="Times New Roman" w:hAnsi="Times New Roman" w:cs="Times New Roman"/>
          <w:szCs w:val="24"/>
        </w:rPr>
        <w:t xml:space="preserve"> Limited) Hyderabad, </w:t>
      </w:r>
      <w:r w:rsidR="00E30741" w:rsidRPr="006631D1">
        <w:rPr>
          <w:rFonts w:ascii="Times New Roman" w:hAnsi="Times New Roman" w:cs="Times New Roman"/>
          <w:szCs w:val="24"/>
        </w:rPr>
        <w:t xml:space="preserve">India, </w:t>
      </w:r>
      <w:r w:rsidRPr="006631D1">
        <w:rPr>
          <w:rFonts w:ascii="Times New Roman" w:hAnsi="Times New Roman" w:cs="Times New Roman"/>
          <w:szCs w:val="24"/>
        </w:rPr>
        <w:t xml:space="preserve">as a gift sample. Analytical grade of methanol was procured from Merck </w:t>
      </w:r>
      <w:proofErr w:type="spellStart"/>
      <w:r w:rsidRPr="006631D1">
        <w:rPr>
          <w:rFonts w:ascii="Times New Roman" w:hAnsi="Times New Roman" w:cs="Times New Roman"/>
          <w:szCs w:val="24"/>
        </w:rPr>
        <w:t>Specialities</w:t>
      </w:r>
      <w:proofErr w:type="spellEnd"/>
      <w:r w:rsidRPr="006631D1">
        <w:rPr>
          <w:rFonts w:ascii="Times New Roman" w:hAnsi="Times New Roman" w:cs="Times New Roman"/>
          <w:szCs w:val="24"/>
        </w:rPr>
        <w:t xml:space="preserve">, Private Limited, India and Distilled water was prepared in-house by distillation assembly. </w:t>
      </w:r>
      <w:proofErr w:type="spellStart"/>
      <w:r w:rsidRPr="006631D1">
        <w:rPr>
          <w:rFonts w:ascii="Times New Roman" w:eastAsia="Times New Roman" w:hAnsi="Times New Roman" w:cs="Times New Roman"/>
          <w:szCs w:val="24"/>
        </w:rPr>
        <w:t>Modafinil</w:t>
      </w:r>
      <w:proofErr w:type="spellEnd"/>
      <w:r w:rsidRPr="006631D1">
        <w:rPr>
          <w:rFonts w:ascii="Times New Roman" w:eastAsia="Times New Roman" w:hAnsi="Times New Roman" w:cs="Times New Roman"/>
          <w:szCs w:val="24"/>
        </w:rPr>
        <w:t xml:space="preserve"> (</w:t>
      </w:r>
      <w:r w:rsidR="00E30741" w:rsidRPr="006631D1">
        <w:rPr>
          <w:rFonts w:ascii="Times New Roman" w:eastAsia="Times New Roman" w:hAnsi="Times New Roman" w:cs="Times New Roman"/>
          <w:szCs w:val="24"/>
        </w:rPr>
        <w:t>AMD</w:t>
      </w:r>
      <w:r w:rsidRPr="006631D1">
        <w:rPr>
          <w:rFonts w:ascii="Times New Roman" w:eastAsia="Times New Roman" w:hAnsi="Times New Roman" w:cs="Times New Roman"/>
          <w:szCs w:val="24"/>
        </w:rPr>
        <w:t>)</w:t>
      </w:r>
      <w:r w:rsidRPr="006631D1">
        <w:rPr>
          <w:rFonts w:ascii="Times New Roman" w:hAnsi="Times New Roman" w:cs="Times New Roman"/>
          <w:szCs w:val="24"/>
        </w:rPr>
        <w:t xml:space="preserve"> tablets (Armod-50, </w:t>
      </w:r>
      <w:proofErr w:type="spellStart"/>
      <w:r w:rsidRPr="006631D1">
        <w:rPr>
          <w:rFonts w:ascii="Times New Roman" w:hAnsi="Times New Roman" w:cs="Times New Roman"/>
          <w:szCs w:val="24"/>
        </w:rPr>
        <w:t>Emcure</w:t>
      </w:r>
      <w:proofErr w:type="spellEnd"/>
      <w:r w:rsidRPr="006631D1">
        <w:rPr>
          <w:rFonts w:ascii="Times New Roman" w:hAnsi="Times New Roman" w:cs="Times New Roman"/>
          <w:szCs w:val="24"/>
        </w:rPr>
        <w:t xml:space="preserve"> Pharmaceutical Ltd., Jammu, India) we</w:t>
      </w:r>
      <w:r w:rsidR="006631D1">
        <w:rPr>
          <w:rFonts w:ascii="Times New Roman" w:hAnsi="Times New Roman" w:cs="Times New Roman"/>
          <w:szCs w:val="24"/>
        </w:rPr>
        <w:t>re purchased from local market.</w:t>
      </w:r>
    </w:p>
    <w:p w:rsidR="006631D1" w:rsidRDefault="006631D1" w:rsidP="006631D1">
      <w:pPr>
        <w:wordWrap/>
        <w:rPr>
          <w:rFonts w:ascii="Times New Roman" w:hAnsi="Times New Roman" w:cs="Times New Roman"/>
          <w:szCs w:val="24"/>
        </w:rPr>
      </w:pPr>
    </w:p>
    <w:p w:rsidR="006631D1" w:rsidRDefault="00F30430" w:rsidP="006631D1">
      <w:pPr>
        <w:wordWrap/>
        <w:rPr>
          <w:rFonts w:ascii="Times New Roman" w:hAnsi="Times New Roman" w:cs="Times New Roman"/>
          <w:szCs w:val="24"/>
        </w:rPr>
      </w:pPr>
      <w:r w:rsidRPr="006631D1">
        <w:rPr>
          <w:rFonts w:ascii="Times New Roman" w:hAnsi="Times New Roman" w:cs="Times New Roman"/>
          <w:b/>
          <w:szCs w:val="24"/>
        </w:rPr>
        <w:t>Linear regression equation (LRE) method</w:t>
      </w:r>
    </w:p>
    <w:p w:rsidR="006631D1" w:rsidRDefault="00F30430" w:rsidP="006631D1">
      <w:pPr>
        <w:wordWrap/>
        <w:rPr>
          <w:rFonts w:ascii="Times New Roman" w:hAnsi="Times New Roman" w:cs="Times New Roman"/>
          <w:szCs w:val="24"/>
        </w:rPr>
      </w:pPr>
      <w:r w:rsidRPr="006631D1">
        <w:rPr>
          <w:rFonts w:ascii="Times New Roman" w:eastAsia="Times New Roman" w:hAnsi="Times New Roman" w:cs="Times New Roman"/>
          <w:szCs w:val="24"/>
        </w:rPr>
        <w:t xml:space="preserve">About 10 mg of </w:t>
      </w:r>
      <w:proofErr w:type="spellStart"/>
      <w:r w:rsidRPr="006631D1">
        <w:rPr>
          <w:rFonts w:ascii="Times New Roman" w:eastAsia="Times New Roman" w:hAnsi="Times New Roman" w:cs="Times New Roman"/>
          <w:szCs w:val="24"/>
        </w:rPr>
        <w:t>modafinil</w:t>
      </w:r>
      <w:proofErr w:type="spellEnd"/>
      <w:r w:rsidRPr="006631D1">
        <w:rPr>
          <w:rFonts w:ascii="Times New Roman" w:eastAsia="Times New Roman" w:hAnsi="Times New Roman" w:cs="Times New Roman"/>
          <w:szCs w:val="24"/>
        </w:rPr>
        <w:t xml:space="preserve"> (AMD) was accurately weighed and dissolved in 1 m</w:t>
      </w:r>
      <w:r w:rsidR="00D844F0" w:rsidRPr="006631D1">
        <w:rPr>
          <w:rFonts w:ascii="Times New Roman" w:eastAsia="Times New Roman" w:hAnsi="Times New Roman" w:cs="Times New Roman"/>
          <w:szCs w:val="24"/>
        </w:rPr>
        <w:t>L</w:t>
      </w:r>
      <w:r w:rsidRPr="006631D1">
        <w:rPr>
          <w:rFonts w:ascii="Times New Roman" w:eastAsia="Times New Roman" w:hAnsi="Times New Roman" w:cs="Times New Roman"/>
          <w:szCs w:val="24"/>
        </w:rPr>
        <w:t xml:space="preserve"> of methanol and volume was made </w:t>
      </w:r>
      <w:proofErr w:type="spellStart"/>
      <w:r w:rsidRPr="006631D1">
        <w:rPr>
          <w:rFonts w:ascii="Times New Roman" w:eastAsia="Times New Roman" w:hAnsi="Times New Roman" w:cs="Times New Roman"/>
          <w:szCs w:val="24"/>
        </w:rPr>
        <w:t>upto</w:t>
      </w:r>
      <w:proofErr w:type="spellEnd"/>
      <w:r w:rsidRPr="006631D1">
        <w:rPr>
          <w:rFonts w:ascii="Times New Roman" w:eastAsia="Times New Roman" w:hAnsi="Times New Roman" w:cs="Times New Roman"/>
          <w:szCs w:val="24"/>
        </w:rPr>
        <w:t xml:space="preserve"> 10 m</w:t>
      </w:r>
      <w:r w:rsidR="00D844F0" w:rsidRPr="006631D1">
        <w:rPr>
          <w:rFonts w:ascii="Times New Roman" w:eastAsia="Times New Roman" w:hAnsi="Times New Roman" w:cs="Times New Roman"/>
          <w:szCs w:val="24"/>
        </w:rPr>
        <w:t>L</w:t>
      </w:r>
      <w:r w:rsidRPr="006631D1">
        <w:rPr>
          <w:rFonts w:ascii="Times New Roman" w:eastAsia="Times New Roman" w:hAnsi="Times New Roman" w:cs="Times New Roman"/>
          <w:szCs w:val="24"/>
        </w:rPr>
        <w:t xml:space="preserve"> by distilled water (1000 </w:t>
      </w:r>
      <w:proofErr w:type="spellStart"/>
      <w:r w:rsidRPr="006631D1">
        <w:rPr>
          <w:rFonts w:ascii="Times New Roman" w:hAnsi="Times New Roman" w:cs="Times New Roman"/>
          <w:bCs/>
          <w:szCs w:val="24"/>
        </w:rPr>
        <w:t>μg</w:t>
      </w:r>
      <w:proofErr w:type="spellEnd"/>
      <w:r w:rsidRPr="006631D1">
        <w:rPr>
          <w:rFonts w:ascii="Times New Roman" w:hAnsi="Times New Roman" w:cs="Times New Roman"/>
          <w:bCs/>
          <w:szCs w:val="24"/>
        </w:rPr>
        <w:t>/mL,</w:t>
      </w:r>
      <w:r w:rsidRPr="006631D1">
        <w:rPr>
          <w:rFonts w:ascii="Times New Roman" w:eastAsia="Times New Roman" w:hAnsi="Times New Roman" w:cs="Times New Roman"/>
          <w:szCs w:val="24"/>
        </w:rPr>
        <w:t xml:space="preserve"> Stock P). The aliquot of stock P was diluted by 10% aqueous methanol to get </w:t>
      </w:r>
      <w:r w:rsidRPr="006631D1">
        <w:rPr>
          <w:rFonts w:ascii="Times New Roman" w:hAnsi="Times New Roman" w:cs="Times New Roman"/>
          <w:bCs/>
          <w:szCs w:val="24"/>
        </w:rPr>
        <w:t>stock Q</w:t>
      </w:r>
      <w:r w:rsidRPr="006631D1">
        <w:rPr>
          <w:rFonts w:ascii="Times New Roman" w:eastAsia="Times New Roman" w:hAnsi="Times New Roman" w:cs="Times New Roman"/>
          <w:szCs w:val="24"/>
        </w:rPr>
        <w:t xml:space="preserve"> </w:t>
      </w:r>
      <w:proofErr w:type="gramStart"/>
      <w:r w:rsidRPr="006631D1">
        <w:rPr>
          <w:rFonts w:ascii="Times New Roman" w:eastAsia="Times New Roman" w:hAnsi="Times New Roman" w:cs="Times New Roman"/>
          <w:szCs w:val="24"/>
        </w:rPr>
        <w:t xml:space="preserve">of 100 </w:t>
      </w:r>
      <w:proofErr w:type="spellStart"/>
      <w:r w:rsidRPr="006631D1">
        <w:rPr>
          <w:rFonts w:ascii="Times New Roman" w:hAnsi="Times New Roman" w:cs="Times New Roman"/>
          <w:bCs/>
          <w:szCs w:val="24"/>
        </w:rPr>
        <w:t>μg</w:t>
      </w:r>
      <w:proofErr w:type="spellEnd"/>
      <w:r w:rsidRPr="006631D1">
        <w:rPr>
          <w:rFonts w:ascii="Times New Roman" w:hAnsi="Times New Roman" w:cs="Times New Roman"/>
          <w:bCs/>
          <w:szCs w:val="24"/>
        </w:rPr>
        <w:t>/</w:t>
      </w:r>
      <w:proofErr w:type="spellStart"/>
      <w:r w:rsidRPr="006631D1">
        <w:rPr>
          <w:rFonts w:ascii="Times New Roman" w:hAnsi="Times New Roman" w:cs="Times New Roman"/>
          <w:bCs/>
          <w:szCs w:val="24"/>
        </w:rPr>
        <w:t>mL</w:t>
      </w:r>
      <w:proofErr w:type="gramEnd"/>
      <w:r w:rsidRPr="006631D1">
        <w:rPr>
          <w:rFonts w:ascii="Times New Roman" w:hAnsi="Times New Roman" w:cs="Times New Roman"/>
          <w:bCs/>
          <w:szCs w:val="24"/>
        </w:rPr>
        <w:t>.</w:t>
      </w:r>
      <w:proofErr w:type="spellEnd"/>
      <w:r w:rsidRPr="006631D1">
        <w:rPr>
          <w:rFonts w:ascii="Times New Roman" w:hAnsi="Times New Roman" w:cs="Times New Roman"/>
          <w:bCs/>
          <w:szCs w:val="24"/>
        </w:rPr>
        <w:t xml:space="preserve"> Aliquots of stock Q were further diluted to get concentration of 10, 20, 30, 40, and 50 </w:t>
      </w:r>
      <w:proofErr w:type="spellStart"/>
      <w:r w:rsidRPr="006631D1">
        <w:rPr>
          <w:rFonts w:ascii="Times New Roman" w:hAnsi="Times New Roman" w:cs="Times New Roman"/>
          <w:bCs/>
          <w:szCs w:val="24"/>
        </w:rPr>
        <w:t>μg</w:t>
      </w:r>
      <w:proofErr w:type="spellEnd"/>
      <w:r w:rsidRPr="006631D1">
        <w:rPr>
          <w:rFonts w:ascii="Times New Roman" w:hAnsi="Times New Roman" w:cs="Times New Roman"/>
          <w:bCs/>
          <w:szCs w:val="24"/>
        </w:rPr>
        <w:t xml:space="preserve">/mL of AMD and these dilutions were scanned in the range of 400-200 nm against 10% aqueous methanol as blank. The </w:t>
      </w:r>
      <w:proofErr w:type="spellStart"/>
      <w:r w:rsidRPr="006631D1">
        <w:rPr>
          <w:rFonts w:ascii="Times New Roman" w:hAnsi="Times New Roman" w:cs="Times New Roman"/>
          <w:bCs/>
          <w:szCs w:val="24"/>
        </w:rPr>
        <w:t>absorbances</w:t>
      </w:r>
      <w:proofErr w:type="spellEnd"/>
      <w:r w:rsidRPr="006631D1">
        <w:rPr>
          <w:rFonts w:ascii="Times New Roman" w:hAnsi="Times New Roman" w:cs="Times New Roman"/>
          <w:bCs/>
          <w:szCs w:val="24"/>
        </w:rPr>
        <w:t xml:space="preserve"> of the dilutions were measured at its absorbance maxima 252 nm and linear regression equation was calculated. </w:t>
      </w:r>
    </w:p>
    <w:p w:rsidR="006631D1" w:rsidRDefault="006631D1" w:rsidP="006631D1">
      <w:pPr>
        <w:wordWrap/>
        <w:rPr>
          <w:rFonts w:ascii="Times New Roman" w:hAnsi="Times New Roman" w:cs="Times New Roman"/>
          <w:szCs w:val="24"/>
        </w:rPr>
      </w:pPr>
    </w:p>
    <w:p w:rsidR="006631D1" w:rsidRDefault="00F30430" w:rsidP="006631D1">
      <w:pPr>
        <w:wordWrap/>
        <w:rPr>
          <w:rFonts w:ascii="Times New Roman" w:hAnsi="Times New Roman" w:cs="Times New Roman"/>
          <w:szCs w:val="24"/>
        </w:rPr>
      </w:pPr>
      <w:r w:rsidRPr="006631D1">
        <w:rPr>
          <w:rFonts w:ascii="Times New Roman" w:hAnsi="Times New Roman" w:cs="Times New Roman"/>
          <w:b/>
          <w:szCs w:val="24"/>
        </w:rPr>
        <w:t>Standard absorptivity (SA) method</w:t>
      </w:r>
    </w:p>
    <w:p w:rsidR="006631D1" w:rsidRDefault="00F30430" w:rsidP="006631D1">
      <w:pPr>
        <w:wordWrap/>
        <w:rPr>
          <w:rFonts w:ascii="Times New Roman" w:hAnsi="Times New Roman" w:cs="Times New Roman"/>
          <w:bCs/>
          <w:szCs w:val="24"/>
        </w:rPr>
      </w:pPr>
      <w:r w:rsidRPr="006631D1">
        <w:rPr>
          <w:rFonts w:ascii="Times New Roman" w:hAnsi="Times New Roman" w:cs="Times New Roman"/>
          <w:bCs/>
          <w:szCs w:val="24"/>
        </w:rPr>
        <w:t xml:space="preserve">As per LRE method, five standard dilutions were prepared in triplicates and their </w:t>
      </w:r>
      <w:proofErr w:type="spellStart"/>
      <w:r w:rsidRPr="006631D1">
        <w:rPr>
          <w:rFonts w:ascii="Times New Roman" w:hAnsi="Times New Roman" w:cs="Times New Roman"/>
          <w:bCs/>
          <w:szCs w:val="24"/>
        </w:rPr>
        <w:t>absorbance</w:t>
      </w:r>
      <w:r w:rsidR="007B4989" w:rsidRPr="006631D1">
        <w:rPr>
          <w:rFonts w:ascii="Times New Roman" w:hAnsi="Times New Roman" w:cs="Times New Roman"/>
          <w:bCs/>
          <w:szCs w:val="24"/>
        </w:rPr>
        <w:t>s</w:t>
      </w:r>
      <w:proofErr w:type="spellEnd"/>
      <w:r w:rsidRPr="006631D1">
        <w:rPr>
          <w:rFonts w:ascii="Times New Roman" w:hAnsi="Times New Roman" w:cs="Times New Roman"/>
          <w:bCs/>
          <w:szCs w:val="24"/>
        </w:rPr>
        <w:t xml:space="preserve"> w</w:t>
      </w:r>
      <w:r w:rsidR="007B4989" w:rsidRPr="006631D1">
        <w:rPr>
          <w:rFonts w:ascii="Times New Roman" w:hAnsi="Times New Roman" w:cs="Times New Roman"/>
          <w:bCs/>
          <w:szCs w:val="24"/>
        </w:rPr>
        <w:t>ere</w:t>
      </w:r>
      <w:r w:rsidRPr="006631D1">
        <w:rPr>
          <w:rFonts w:ascii="Times New Roman" w:hAnsi="Times New Roman" w:cs="Times New Roman"/>
          <w:bCs/>
          <w:szCs w:val="24"/>
        </w:rPr>
        <w:t xml:space="preserve"> measured against 10% aqueous methanol as blank. These observations of the absorbance were used to determine standard absorptivity A (1%, 1cm) and molar extinction coefficient ε; which would be used to determine the AMD content of dosage forms. </w:t>
      </w:r>
    </w:p>
    <w:p w:rsidR="00295CB4" w:rsidRDefault="00295CB4" w:rsidP="006631D1">
      <w:pPr>
        <w:wordWrap/>
        <w:rPr>
          <w:b/>
          <w:bCs/>
        </w:rPr>
      </w:pPr>
    </w:p>
    <w:p w:rsidR="00295CB4" w:rsidRDefault="00F30430" w:rsidP="00295CB4">
      <w:pPr>
        <w:wordWrap/>
        <w:rPr>
          <w:rFonts w:ascii="Times New Roman" w:hAnsi="Times New Roman" w:cs="Times New Roman"/>
          <w:b/>
          <w:bCs/>
        </w:rPr>
      </w:pPr>
      <w:r w:rsidRPr="00295CB4">
        <w:rPr>
          <w:rFonts w:ascii="Times New Roman" w:hAnsi="Times New Roman" w:cs="Times New Roman"/>
          <w:b/>
          <w:bCs/>
        </w:rPr>
        <w:t>First order derivative (FOD) method</w:t>
      </w:r>
    </w:p>
    <w:p w:rsidR="00295CB4" w:rsidRDefault="00F30430" w:rsidP="00295CB4">
      <w:pPr>
        <w:wordWrap/>
        <w:rPr>
          <w:rFonts w:ascii="Times New Roman" w:hAnsi="Times New Roman" w:cs="Times New Roman"/>
        </w:rPr>
      </w:pPr>
      <w:r w:rsidRPr="00295CB4">
        <w:rPr>
          <w:rFonts w:ascii="Times New Roman" w:hAnsi="Times New Roman" w:cs="Times New Roman"/>
          <w:bCs/>
        </w:rPr>
        <w:t xml:space="preserve">As per LRE method, five standard dilutions were prepared and their absorbance was measured in </w:t>
      </w:r>
      <w:r w:rsidRPr="00295CB4">
        <w:rPr>
          <w:rFonts w:ascii="Times New Roman" w:hAnsi="Times New Roman" w:cs="Times New Roman"/>
        </w:rPr>
        <w:t xml:space="preserve">first order derivative mode of Gaussian spectra </w:t>
      </w:r>
      <w:r w:rsidRPr="00295CB4">
        <w:rPr>
          <w:rFonts w:ascii="Times New Roman" w:hAnsi="Times New Roman" w:cs="Times New Roman"/>
          <w:bCs/>
        </w:rPr>
        <w:t>against 10% aqueous methanol as blank</w:t>
      </w:r>
      <w:r w:rsidRPr="00295CB4">
        <w:rPr>
          <w:rFonts w:ascii="Times New Roman" w:hAnsi="Times New Roman" w:cs="Times New Roman"/>
        </w:rPr>
        <w:t xml:space="preserve">. The </w:t>
      </w:r>
      <w:proofErr w:type="spellStart"/>
      <w:r w:rsidRPr="00295CB4">
        <w:rPr>
          <w:rFonts w:ascii="Times New Roman" w:hAnsi="Times New Roman" w:cs="Times New Roman"/>
        </w:rPr>
        <w:t>absorbances</w:t>
      </w:r>
      <w:proofErr w:type="spellEnd"/>
      <w:r w:rsidRPr="00295CB4">
        <w:rPr>
          <w:rFonts w:ascii="Times New Roman" w:hAnsi="Times New Roman" w:cs="Times New Roman"/>
        </w:rPr>
        <w:t xml:space="preserve"> were measured at 234 nm and linear regression equation for the FOD method was calculated.</w:t>
      </w:r>
    </w:p>
    <w:p w:rsidR="00295CB4" w:rsidRDefault="00295CB4" w:rsidP="00295CB4">
      <w:pPr>
        <w:wordWrap/>
        <w:rPr>
          <w:rFonts w:ascii="Times New Roman" w:hAnsi="Times New Roman" w:cs="Times New Roman"/>
        </w:rPr>
      </w:pPr>
    </w:p>
    <w:p w:rsidR="00295CB4" w:rsidRDefault="00F30430" w:rsidP="00295CB4">
      <w:pPr>
        <w:wordWrap/>
        <w:rPr>
          <w:rFonts w:ascii="Times New Roman" w:hAnsi="Times New Roman" w:cs="Times New Roman"/>
          <w:b/>
          <w:bCs/>
        </w:rPr>
      </w:pPr>
      <w:r w:rsidRPr="00295CB4">
        <w:rPr>
          <w:rFonts w:ascii="Times New Roman" w:hAnsi="Times New Roman" w:cs="Times New Roman"/>
          <w:b/>
          <w:bCs/>
        </w:rPr>
        <w:t>Validation of methods</w:t>
      </w:r>
    </w:p>
    <w:p w:rsidR="00295CB4" w:rsidRDefault="00F30430" w:rsidP="00295CB4">
      <w:pPr>
        <w:wordWrap/>
        <w:rPr>
          <w:rFonts w:ascii="Times New Roman" w:hAnsi="Times New Roman" w:cs="Times New Roman"/>
        </w:rPr>
      </w:pPr>
      <w:r w:rsidRPr="00295CB4">
        <w:rPr>
          <w:rFonts w:ascii="Times New Roman" w:hAnsi="Times New Roman" w:cs="Times New Roman"/>
        </w:rPr>
        <w:t xml:space="preserve">As per ICH guidelines, </w:t>
      </w:r>
      <w:r w:rsidRPr="00450164">
        <w:rPr>
          <w:rFonts w:ascii="Times New Roman" w:hAnsi="Times New Roman" w:cs="Times New Roman"/>
        </w:rPr>
        <w:t>[</w:t>
      </w:r>
      <w:r w:rsidRPr="00450164">
        <w:rPr>
          <w:rFonts w:ascii="Times New Roman" w:hAnsi="Times New Roman" w:cs="Times New Roman"/>
          <w:bCs/>
        </w:rPr>
        <w:t>10-11</w:t>
      </w:r>
      <w:r w:rsidRPr="00450164">
        <w:rPr>
          <w:rFonts w:ascii="Times New Roman" w:hAnsi="Times New Roman" w:cs="Times New Roman"/>
        </w:rPr>
        <w:t>]</w:t>
      </w:r>
      <w:r w:rsidRPr="00295CB4">
        <w:rPr>
          <w:rFonts w:ascii="Times New Roman" w:hAnsi="Times New Roman" w:cs="Times New Roman"/>
        </w:rPr>
        <w:t xml:space="preserve"> the developed all three methods were validated. </w:t>
      </w:r>
      <w:r w:rsidR="0016781F" w:rsidRPr="00295CB4">
        <w:rPr>
          <w:rFonts w:ascii="Times New Roman" w:hAnsi="Times New Roman" w:cs="Times New Roman"/>
          <w:bCs/>
        </w:rPr>
        <w:t>F</w:t>
      </w:r>
      <w:r w:rsidRPr="00295CB4">
        <w:rPr>
          <w:rFonts w:ascii="Times New Roman" w:hAnsi="Times New Roman" w:cs="Times New Roman"/>
          <w:bCs/>
        </w:rPr>
        <w:t xml:space="preserve">ive standard </w:t>
      </w:r>
      <w:r w:rsidR="0016781F" w:rsidRPr="00295CB4">
        <w:rPr>
          <w:rFonts w:ascii="Times New Roman" w:hAnsi="Times New Roman" w:cs="Times New Roman"/>
          <w:bCs/>
        </w:rPr>
        <w:t xml:space="preserve">serial </w:t>
      </w:r>
      <w:r w:rsidRPr="00295CB4">
        <w:rPr>
          <w:rFonts w:ascii="Times New Roman" w:hAnsi="Times New Roman" w:cs="Times New Roman"/>
          <w:bCs/>
        </w:rPr>
        <w:t xml:space="preserve">dilutions were prepared in triplicate </w:t>
      </w:r>
      <w:r w:rsidRPr="00295CB4">
        <w:rPr>
          <w:rFonts w:ascii="Times New Roman" w:hAnsi="Times New Roman" w:cs="Times New Roman"/>
        </w:rPr>
        <w:t>linearity and repeatability (within day). The accuracy of the methods was assured by recovery method (standard addition to pre-</w:t>
      </w:r>
      <w:proofErr w:type="spellStart"/>
      <w:r w:rsidRPr="00295CB4">
        <w:rPr>
          <w:rFonts w:ascii="Times New Roman" w:hAnsi="Times New Roman" w:cs="Times New Roman"/>
        </w:rPr>
        <w:t>analysed</w:t>
      </w:r>
      <w:proofErr w:type="spellEnd"/>
      <w:r w:rsidRPr="00295CB4">
        <w:rPr>
          <w:rFonts w:ascii="Times New Roman" w:hAnsi="Times New Roman" w:cs="Times New Roman"/>
        </w:rPr>
        <w:t xml:space="preserve"> samples); intermediate precision was determined by three variables viz. days, analyst and instrument variation; methanol variation in solvent system was studied for t</w:t>
      </w:r>
      <w:r w:rsidR="00295CB4">
        <w:rPr>
          <w:rFonts w:ascii="Times New Roman" w:hAnsi="Times New Roman" w:cs="Times New Roman"/>
        </w:rPr>
        <w:t>he robustness (9, 10 and 11 %).</w:t>
      </w:r>
    </w:p>
    <w:p w:rsidR="00295CB4" w:rsidRDefault="00295CB4" w:rsidP="00295CB4">
      <w:pPr>
        <w:wordWrap/>
        <w:rPr>
          <w:rFonts w:ascii="Times New Roman" w:hAnsi="Times New Roman" w:cs="Times New Roman"/>
        </w:rPr>
      </w:pPr>
    </w:p>
    <w:p w:rsidR="00295CB4" w:rsidRDefault="00F30430" w:rsidP="00295CB4">
      <w:pPr>
        <w:wordWrap/>
        <w:rPr>
          <w:rFonts w:ascii="Times New Roman" w:hAnsi="Times New Roman" w:cs="Times New Roman"/>
        </w:rPr>
      </w:pPr>
      <w:r w:rsidRPr="006631D1">
        <w:rPr>
          <w:rFonts w:ascii="Times New Roman" w:hAnsi="Times New Roman" w:cs="Times New Roman"/>
          <w:b/>
          <w:bCs/>
          <w:iCs/>
          <w:szCs w:val="24"/>
        </w:rPr>
        <w:t>Dosage form</w:t>
      </w:r>
      <w:r w:rsidR="00644827" w:rsidRPr="006631D1">
        <w:rPr>
          <w:rFonts w:ascii="Times New Roman" w:hAnsi="Times New Roman" w:cs="Times New Roman"/>
          <w:b/>
          <w:bCs/>
          <w:iCs/>
          <w:szCs w:val="24"/>
        </w:rPr>
        <w:t>ulation</w:t>
      </w:r>
      <w:r w:rsidRPr="006631D1">
        <w:rPr>
          <w:rFonts w:ascii="Times New Roman" w:hAnsi="Times New Roman" w:cs="Times New Roman"/>
          <w:b/>
          <w:bCs/>
          <w:iCs/>
          <w:szCs w:val="24"/>
        </w:rPr>
        <w:t xml:space="preserve"> analysis</w:t>
      </w:r>
    </w:p>
    <w:p w:rsidR="00F30430" w:rsidRDefault="00F30430" w:rsidP="00295CB4">
      <w:pPr>
        <w:wordWrap/>
        <w:rPr>
          <w:rFonts w:ascii="Times New Roman" w:eastAsia="Times New Roman" w:hAnsi="Times New Roman" w:cs="Times New Roman"/>
          <w:szCs w:val="24"/>
        </w:rPr>
      </w:pPr>
      <w:r w:rsidRPr="006631D1">
        <w:rPr>
          <w:rFonts w:ascii="Times New Roman" w:eastAsia="Times New Roman" w:hAnsi="Times New Roman" w:cs="Times New Roman"/>
          <w:szCs w:val="24"/>
        </w:rPr>
        <w:t>Twenty AMD</w:t>
      </w:r>
      <w:r w:rsidRPr="006631D1">
        <w:rPr>
          <w:rFonts w:ascii="Times New Roman" w:hAnsi="Times New Roman" w:cs="Times New Roman"/>
          <w:szCs w:val="24"/>
        </w:rPr>
        <w:t xml:space="preserve"> tablets (Armod-50, </w:t>
      </w:r>
      <w:proofErr w:type="spellStart"/>
      <w:r w:rsidRPr="006631D1">
        <w:rPr>
          <w:rFonts w:ascii="Times New Roman" w:hAnsi="Times New Roman" w:cs="Times New Roman"/>
          <w:szCs w:val="24"/>
        </w:rPr>
        <w:t>Emcure</w:t>
      </w:r>
      <w:proofErr w:type="spellEnd"/>
      <w:r w:rsidRPr="006631D1">
        <w:rPr>
          <w:rFonts w:ascii="Times New Roman" w:hAnsi="Times New Roman" w:cs="Times New Roman"/>
          <w:szCs w:val="24"/>
        </w:rPr>
        <w:t xml:space="preserve"> Pharmaceutical Ltd., Jammu, India)</w:t>
      </w:r>
      <w:r w:rsidRPr="006631D1">
        <w:rPr>
          <w:rFonts w:ascii="Times New Roman" w:eastAsia="Times New Roman" w:hAnsi="Times New Roman" w:cs="Times New Roman"/>
          <w:szCs w:val="24"/>
        </w:rPr>
        <w:t xml:space="preserve"> were weighed and finely powdered; a quantity equivalent to 50 mg of AMD was </w:t>
      </w:r>
      <w:proofErr w:type="spellStart"/>
      <w:r w:rsidRPr="006631D1">
        <w:rPr>
          <w:rFonts w:ascii="Times New Roman" w:eastAsia="Times New Roman" w:hAnsi="Times New Roman" w:cs="Times New Roman"/>
          <w:szCs w:val="24"/>
        </w:rPr>
        <w:t>sonicated</w:t>
      </w:r>
      <w:proofErr w:type="spellEnd"/>
      <w:r w:rsidRPr="006631D1">
        <w:rPr>
          <w:rFonts w:ascii="Times New Roman" w:eastAsia="Times New Roman" w:hAnsi="Times New Roman" w:cs="Times New Roman"/>
          <w:szCs w:val="24"/>
        </w:rPr>
        <w:t xml:space="preserve"> to dissolve in 10 mL of methanol. The solution was filtered through </w:t>
      </w:r>
      <w:proofErr w:type="spellStart"/>
      <w:r w:rsidRPr="006631D1">
        <w:rPr>
          <w:rFonts w:ascii="Times New Roman" w:eastAsia="Times New Roman" w:hAnsi="Times New Roman" w:cs="Times New Roman"/>
          <w:szCs w:val="24"/>
        </w:rPr>
        <w:t>Whatman</w:t>
      </w:r>
      <w:proofErr w:type="spellEnd"/>
      <w:r w:rsidRPr="006631D1">
        <w:rPr>
          <w:rFonts w:ascii="Times New Roman" w:eastAsia="Times New Roman" w:hAnsi="Times New Roman" w:cs="Times New Roman"/>
          <w:szCs w:val="24"/>
        </w:rPr>
        <w:t xml:space="preserve"> filter paper No. 41 and volume was made </w:t>
      </w:r>
      <w:proofErr w:type="spellStart"/>
      <w:r w:rsidRPr="006631D1">
        <w:rPr>
          <w:rFonts w:ascii="Times New Roman" w:eastAsia="Times New Roman" w:hAnsi="Times New Roman" w:cs="Times New Roman"/>
          <w:szCs w:val="24"/>
        </w:rPr>
        <w:t>upto</w:t>
      </w:r>
      <w:proofErr w:type="spellEnd"/>
      <w:r w:rsidRPr="006631D1">
        <w:rPr>
          <w:rFonts w:ascii="Times New Roman" w:eastAsia="Times New Roman" w:hAnsi="Times New Roman" w:cs="Times New Roman"/>
          <w:szCs w:val="24"/>
        </w:rPr>
        <w:t xml:space="preserve"> 100 mL by distilled water to give Stock I. Aliquots of stock I were diluted to obtain sample concentrations (20, 30 and 40  </w:t>
      </w:r>
      <w:proofErr w:type="spellStart"/>
      <w:r w:rsidRPr="006631D1">
        <w:rPr>
          <w:rFonts w:ascii="Times New Roman" w:eastAsia="Times New Roman" w:hAnsi="Times New Roman" w:cs="Times New Roman"/>
          <w:szCs w:val="24"/>
        </w:rPr>
        <w:t>μg</w:t>
      </w:r>
      <w:proofErr w:type="spellEnd"/>
      <w:r w:rsidRPr="006631D1">
        <w:rPr>
          <w:rFonts w:ascii="Times New Roman" w:eastAsia="Times New Roman" w:hAnsi="Times New Roman" w:cs="Times New Roman"/>
          <w:szCs w:val="24"/>
        </w:rPr>
        <w:t xml:space="preserve">/mL) in the range of linearity. The absorbance values of these sample solutions were observed in Gaussian and derivative mode of spectra. The </w:t>
      </w:r>
      <w:proofErr w:type="spellStart"/>
      <w:r w:rsidRPr="006631D1">
        <w:rPr>
          <w:rFonts w:ascii="Times New Roman" w:eastAsia="Times New Roman" w:hAnsi="Times New Roman" w:cs="Times New Roman"/>
          <w:szCs w:val="24"/>
        </w:rPr>
        <w:t>absorbances</w:t>
      </w:r>
      <w:proofErr w:type="spellEnd"/>
      <w:r w:rsidRPr="006631D1">
        <w:rPr>
          <w:rFonts w:ascii="Times New Roman" w:eastAsia="Times New Roman" w:hAnsi="Times New Roman" w:cs="Times New Roman"/>
          <w:szCs w:val="24"/>
        </w:rPr>
        <w:t xml:space="preserve"> were used to determine drug content by the respective validated method. </w:t>
      </w:r>
    </w:p>
    <w:p w:rsidR="00295CB4" w:rsidRPr="00295CB4" w:rsidRDefault="00295CB4" w:rsidP="00295CB4">
      <w:pPr>
        <w:wordWrap/>
        <w:rPr>
          <w:rFonts w:ascii="Times New Roman" w:hAnsi="Times New Roman" w:cs="Times New Roman"/>
        </w:rPr>
      </w:pPr>
    </w:p>
    <w:p w:rsidR="00785CA6" w:rsidRPr="006631D1" w:rsidRDefault="00785CA6" w:rsidP="00122BDA">
      <w:pPr>
        <w:wordWrap/>
        <w:spacing w:before="120" w:after="120" w:line="360" w:lineRule="auto"/>
        <w:jc w:val="center"/>
        <w:outlineLvl w:val="0"/>
        <w:rPr>
          <w:rFonts w:ascii="Times New Roman" w:hAnsi="Times New Roman" w:cs="Times New Roman"/>
          <w:b/>
          <w:szCs w:val="20"/>
        </w:rPr>
      </w:pPr>
      <w:r w:rsidRPr="006631D1">
        <w:rPr>
          <w:rFonts w:ascii="Times New Roman" w:hAnsi="Times New Roman" w:cs="Times New Roman"/>
          <w:b/>
          <w:szCs w:val="20"/>
        </w:rPr>
        <w:t>Result and Discussion</w:t>
      </w:r>
    </w:p>
    <w:p w:rsidR="00F30430" w:rsidRPr="00295CB4" w:rsidRDefault="00F30430" w:rsidP="00295CB4">
      <w:pPr>
        <w:wordWrap/>
        <w:rPr>
          <w:rFonts w:ascii="Times New Roman" w:hAnsi="Times New Roman" w:cs="Times New Roman"/>
          <w:b/>
          <w:iCs/>
          <w:szCs w:val="24"/>
        </w:rPr>
      </w:pPr>
      <w:r w:rsidRPr="00295CB4">
        <w:rPr>
          <w:rFonts w:ascii="Times New Roman" w:hAnsi="Times New Roman" w:cs="Times New Roman"/>
          <w:b/>
          <w:iCs/>
          <w:szCs w:val="24"/>
        </w:rPr>
        <w:t>Linear regression equation (LRE) method</w:t>
      </w:r>
    </w:p>
    <w:p w:rsidR="00122BDA" w:rsidRDefault="00F30430" w:rsidP="00295CB4">
      <w:pPr>
        <w:wordWrap/>
        <w:rPr>
          <w:rFonts w:ascii="Times New Roman" w:hAnsi="Times New Roman" w:cs="Times New Roman"/>
          <w:bCs/>
          <w:szCs w:val="24"/>
        </w:rPr>
      </w:pPr>
      <w:r w:rsidRPr="006631D1">
        <w:rPr>
          <w:rFonts w:ascii="Times New Roman" w:eastAsia="Times New Roman" w:hAnsi="Times New Roman" w:cs="Times New Roman"/>
          <w:szCs w:val="24"/>
        </w:rPr>
        <w:t>AMD drug is soluble in methanol and acetone and insoluble in water. Different percentages of methanol as solvent for spectrop</w:t>
      </w:r>
      <w:r w:rsidR="00295CB4">
        <w:rPr>
          <w:rFonts w:ascii="Times New Roman" w:eastAsia="Times New Roman" w:hAnsi="Times New Roman" w:cs="Times New Roman"/>
          <w:szCs w:val="24"/>
        </w:rPr>
        <w:t>hotometric analysis were</w:t>
      </w:r>
      <w:r w:rsidRPr="006631D1">
        <w:rPr>
          <w:rFonts w:ascii="Times New Roman" w:eastAsia="Times New Roman" w:hAnsi="Times New Roman" w:cs="Times New Roman"/>
          <w:szCs w:val="24"/>
        </w:rPr>
        <w:t xml:space="preserve"> tr</w:t>
      </w:r>
      <w:r w:rsidR="00295CB4">
        <w:rPr>
          <w:rFonts w:ascii="Times New Roman" w:eastAsia="Times New Roman" w:hAnsi="Times New Roman" w:cs="Times New Roman"/>
          <w:szCs w:val="24"/>
        </w:rPr>
        <w:t>ied to make the method more eco-</w:t>
      </w:r>
      <w:r w:rsidR="00295CB4" w:rsidRPr="006631D1">
        <w:rPr>
          <w:rFonts w:ascii="Times New Roman" w:eastAsia="Times New Roman" w:hAnsi="Times New Roman" w:cs="Times New Roman"/>
          <w:szCs w:val="24"/>
        </w:rPr>
        <w:t>friendly</w:t>
      </w:r>
      <w:r w:rsidRPr="006631D1">
        <w:rPr>
          <w:rFonts w:ascii="Times New Roman" w:eastAsia="Times New Roman" w:hAnsi="Times New Roman" w:cs="Times New Roman"/>
          <w:szCs w:val="24"/>
        </w:rPr>
        <w:t xml:space="preserve"> and cost-effective for routine analysis. The minimum concentration of methanol was 10%; in which drug was soluble and give </w:t>
      </w:r>
      <w:r w:rsidRPr="006631D1">
        <w:rPr>
          <w:rFonts w:ascii="Times New Roman" w:eastAsia="Times New Roman" w:hAnsi="Times New Roman" w:cs="Times New Roman"/>
          <w:szCs w:val="24"/>
        </w:rPr>
        <w:lastRenderedPageBreak/>
        <w:t>characteristic Gaussian spectra (Figure 2).</w:t>
      </w:r>
      <w:r w:rsidR="00122BDA" w:rsidRPr="006631D1">
        <w:rPr>
          <w:rFonts w:ascii="Times New Roman" w:eastAsia="Times New Roman" w:hAnsi="Times New Roman" w:cs="Times New Roman"/>
          <w:szCs w:val="24"/>
        </w:rPr>
        <w:t xml:space="preserve"> Acetone was not preferred due to its cut-off wavelength is higher than methanol. </w:t>
      </w:r>
      <w:r w:rsidR="00122BDA" w:rsidRPr="006631D1">
        <w:rPr>
          <w:rFonts w:ascii="Times New Roman" w:hAnsi="Times New Roman" w:cs="Times New Roman"/>
          <w:bCs/>
          <w:szCs w:val="24"/>
        </w:rPr>
        <w:t>The drug AMD was found to be stable in the aqueous solution as there was no deviation from Gaussian spectrum after one week storage of the stock solutions. The six replicates of all dilutions were processed for the linear regression method and the linear regression equation was found to be Y = 0.003 x + 0.002 with correlation coefficient R</w:t>
      </w:r>
      <w:r w:rsidR="00122BDA" w:rsidRPr="006631D1">
        <w:rPr>
          <w:rFonts w:ascii="Times New Roman" w:hAnsi="Times New Roman" w:cs="Times New Roman"/>
          <w:bCs/>
          <w:szCs w:val="24"/>
          <w:vertAlign w:val="superscript"/>
        </w:rPr>
        <w:t>2</w:t>
      </w:r>
      <w:r w:rsidR="00122BDA" w:rsidRPr="006631D1">
        <w:rPr>
          <w:rFonts w:ascii="Times New Roman" w:hAnsi="Times New Roman" w:cs="Times New Roman"/>
          <w:bCs/>
          <w:szCs w:val="24"/>
        </w:rPr>
        <w:t xml:space="preserve"> = 0.999 </w:t>
      </w:r>
      <w:r w:rsidR="00295CB4">
        <w:rPr>
          <w:rFonts w:ascii="Times New Roman" w:eastAsia="Times New Roman" w:hAnsi="Times New Roman" w:cs="Times New Roman"/>
          <w:szCs w:val="24"/>
        </w:rPr>
        <w:t>as shown in Figure 3</w:t>
      </w:r>
      <w:r w:rsidR="00122BDA" w:rsidRPr="006631D1">
        <w:rPr>
          <w:rFonts w:ascii="Times New Roman" w:hAnsi="Times New Roman" w:cs="Times New Roman"/>
          <w:bCs/>
          <w:szCs w:val="24"/>
        </w:rPr>
        <w:t>.</w:t>
      </w:r>
    </w:p>
    <w:p w:rsidR="00295CB4" w:rsidRPr="006631D1" w:rsidRDefault="00295CB4" w:rsidP="00295CB4">
      <w:pPr>
        <w:wordWrap/>
        <w:rPr>
          <w:rFonts w:ascii="Times New Roman" w:hAnsi="Times New Roman" w:cs="Times New Roman"/>
          <w:bCs/>
          <w:szCs w:val="24"/>
        </w:rPr>
      </w:pPr>
    </w:p>
    <w:p w:rsidR="001E31C8" w:rsidRPr="006631D1" w:rsidRDefault="001E31C8" w:rsidP="00122BDA">
      <w:pPr>
        <w:wordWrap/>
        <w:spacing w:before="120" w:after="120" w:line="360" w:lineRule="auto"/>
        <w:jc w:val="center"/>
        <w:rPr>
          <w:rStyle w:val="Heading2Char"/>
          <w:rFonts w:eastAsia="Calibri"/>
          <w:b w:val="0"/>
          <w:bCs w:val="0"/>
        </w:rPr>
      </w:pPr>
      <w:r w:rsidRPr="006631D1">
        <w:rPr>
          <w:rFonts w:ascii="Times New Roman" w:eastAsia="Calibri" w:hAnsi="Times New Roman" w:cs="Times New Roman"/>
          <w:noProof/>
          <w:sz w:val="26"/>
          <w:szCs w:val="24"/>
          <w:lang w:eastAsia="en-US"/>
        </w:rPr>
        <w:drawing>
          <wp:inline distT="0" distB="0" distL="0" distR="0" wp14:anchorId="527934AF" wp14:editId="0EE6FADD">
            <wp:extent cx="4734827" cy="2787655"/>
            <wp:effectExtent l="19050" t="19050" r="27673" b="12695"/>
            <wp:docPr id="4" name="Picture 4" descr="Figur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_2"/>
                    <pic:cNvPicPr>
                      <a:picLocks noChangeAspect="1" noChangeArrowheads="1"/>
                    </pic:cNvPicPr>
                  </pic:nvPicPr>
                  <pic:blipFill>
                    <a:blip r:embed="rId9"/>
                    <a:srcRect l="888" b="1657"/>
                    <a:stretch>
                      <a:fillRect/>
                    </a:stretch>
                  </pic:blipFill>
                  <pic:spPr bwMode="auto">
                    <a:xfrm>
                      <a:off x="0" y="0"/>
                      <a:ext cx="4734827" cy="2787655"/>
                    </a:xfrm>
                    <a:prstGeom prst="rect">
                      <a:avLst/>
                    </a:prstGeom>
                    <a:noFill/>
                    <a:ln w="19050" cmpd="sng">
                      <a:solidFill>
                        <a:schemeClr val="bg1"/>
                      </a:solidFill>
                      <a:miter lim="800000"/>
                      <a:headEnd/>
                      <a:tailEnd/>
                    </a:ln>
                    <a:effectLst/>
                  </pic:spPr>
                </pic:pic>
              </a:graphicData>
            </a:graphic>
          </wp:inline>
        </w:drawing>
      </w:r>
    </w:p>
    <w:p w:rsidR="001E31C8" w:rsidRPr="006631D1" w:rsidRDefault="001E31C8" w:rsidP="00122BDA">
      <w:pPr>
        <w:wordWrap/>
        <w:spacing w:before="120" w:after="120" w:line="360" w:lineRule="auto"/>
        <w:jc w:val="center"/>
        <w:rPr>
          <w:rFonts w:ascii="Times New Roman" w:hAnsi="Times New Roman" w:cs="Times New Roman"/>
          <w:szCs w:val="20"/>
        </w:rPr>
      </w:pPr>
      <w:proofErr w:type="gramStart"/>
      <w:r w:rsidRPr="006631D1">
        <w:rPr>
          <w:rStyle w:val="Heading2Char"/>
          <w:rFonts w:eastAsia="Calibri"/>
          <w:b w:val="0"/>
          <w:bCs w:val="0"/>
          <w:sz w:val="20"/>
          <w:szCs w:val="20"/>
        </w:rPr>
        <w:t>Figure</w:t>
      </w:r>
      <w:r w:rsidR="00295CB4">
        <w:rPr>
          <w:rFonts w:ascii="Times New Roman" w:hAnsi="Times New Roman" w:cs="Times New Roman"/>
          <w:szCs w:val="20"/>
        </w:rPr>
        <w:t xml:space="preserve"> 2.</w:t>
      </w:r>
      <w:proofErr w:type="gramEnd"/>
      <w:r w:rsidRPr="006631D1">
        <w:rPr>
          <w:rFonts w:ascii="Times New Roman" w:hAnsi="Times New Roman" w:cs="Times New Roman"/>
          <w:szCs w:val="20"/>
        </w:rPr>
        <w:t xml:space="preserve"> </w:t>
      </w:r>
      <w:proofErr w:type="gramStart"/>
      <w:r w:rsidRPr="006631D1">
        <w:rPr>
          <w:rFonts w:ascii="Times New Roman" w:hAnsi="Times New Roman" w:cs="Times New Roman"/>
          <w:szCs w:val="20"/>
        </w:rPr>
        <w:t>Gaussian spectrum of AMD in 10% methanol.</w:t>
      </w:r>
      <w:proofErr w:type="gramEnd"/>
    </w:p>
    <w:p w:rsidR="00976BF3" w:rsidRPr="006631D1" w:rsidRDefault="00976BF3" w:rsidP="00122BDA">
      <w:pPr>
        <w:wordWrap/>
        <w:spacing w:before="120" w:after="120" w:line="360" w:lineRule="auto"/>
        <w:jc w:val="center"/>
        <w:rPr>
          <w:rFonts w:ascii="Times New Roman" w:hAnsi="Times New Roman" w:cs="Times New Roman"/>
          <w:szCs w:val="20"/>
        </w:rPr>
      </w:pPr>
    </w:p>
    <w:p w:rsidR="00597679" w:rsidRPr="006631D1" w:rsidRDefault="00597679" w:rsidP="00122BDA">
      <w:pPr>
        <w:wordWrap/>
        <w:spacing w:before="120" w:after="120" w:line="360" w:lineRule="auto"/>
        <w:jc w:val="center"/>
        <w:rPr>
          <w:rFonts w:ascii="Times New Roman" w:hAnsi="Times New Roman" w:cs="Times New Roman"/>
          <w:szCs w:val="24"/>
        </w:rPr>
      </w:pPr>
      <w:r w:rsidRPr="006631D1">
        <w:rPr>
          <w:rFonts w:ascii="Times New Roman" w:hAnsi="Times New Roman" w:cs="Times New Roman"/>
          <w:noProof/>
          <w:szCs w:val="24"/>
          <w:lang w:eastAsia="en-US"/>
        </w:rPr>
        <w:drawing>
          <wp:inline distT="0" distB="0" distL="0" distR="0" wp14:anchorId="4E32A93B" wp14:editId="08931813">
            <wp:extent cx="4979254" cy="2712464"/>
            <wp:effectExtent l="19050" t="0" r="0" b="0"/>
            <wp:docPr id="6" name="Picture 6" descr="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_4"/>
                    <pic:cNvPicPr>
                      <a:picLocks noChangeAspect="1" noChangeArrowheads="1"/>
                    </pic:cNvPicPr>
                  </pic:nvPicPr>
                  <pic:blipFill>
                    <a:blip r:embed="rId10"/>
                    <a:srcRect l="986" t="1648" r="996" b="1374"/>
                    <a:stretch>
                      <a:fillRect/>
                    </a:stretch>
                  </pic:blipFill>
                  <pic:spPr bwMode="auto">
                    <a:xfrm>
                      <a:off x="0" y="0"/>
                      <a:ext cx="4979254" cy="2712464"/>
                    </a:xfrm>
                    <a:prstGeom prst="rect">
                      <a:avLst/>
                    </a:prstGeom>
                    <a:noFill/>
                    <a:ln w="9525">
                      <a:noFill/>
                      <a:miter lim="800000"/>
                      <a:headEnd/>
                      <a:tailEnd/>
                    </a:ln>
                  </pic:spPr>
                </pic:pic>
              </a:graphicData>
            </a:graphic>
          </wp:inline>
        </w:drawing>
      </w:r>
    </w:p>
    <w:p w:rsidR="00597679" w:rsidRPr="006631D1" w:rsidRDefault="00295CB4" w:rsidP="00122BDA">
      <w:pPr>
        <w:wordWrap/>
        <w:spacing w:before="120" w:after="120" w:line="360" w:lineRule="auto"/>
        <w:jc w:val="center"/>
        <w:rPr>
          <w:rFonts w:ascii="Times New Roman" w:hAnsi="Times New Roman" w:cs="Times New Roman"/>
          <w:noProof/>
          <w:sz w:val="24"/>
          <w:szCs w:val="24"/>
        </w:rPr>
      </w:pPr>
      <w:r>
        <w:rPr>
          <w:rFonts w:ascii="Times New Roman" w:hAnsi="Times New Roman" w:cs="Times New Roman"/>
          <w:noProof/>
          <w:szCs w:val="24"/>
        </w:rPr>
        <w:t>Figure 3.</w:t>
      </w:r>
      <w:r w:rsidR="00597679" w:rsidRPr="006631D1">
        <w:rPr>
          <w:rFonts w:ascii="Times New Roman" w:hAnsi="Times New Roman" w:cs="Times New Roman"/>
          <w:noProof/>
          <w:szCs w:val="24"/>
        </w:rPr>
        <w:t xml:space="preserve"> Linear regression line for LRE method.</w:t>
      </w:r>
    </w:p>
    <w:p w:rsidR="00295CB4" w:rsidRPr="00295CB4" w:rsidRDefault="00703F1B" w:rsidP="00295CB4">
      <w:pPr>
        <w:wordWrap/>
        <w:rPr>
          <w:rFonts w:ascii="Times New Roman" w:hAnsi="Times New Roman" w:cs="Times New Roman"/>
          <w:b/>
          <w:iCs/>
          <w:szCs w:val="24"/>
        </w:rPr>
      </w:pPr>
      <w:r w:rsidRPr="006631D1">
        <w:rPr>
          <w:rFonts w:ascii="Times New Roman" w:hAnsi="Times New Roman" w:cs="Times New Roman"/>
          <w:bCs/>
          <w:szCs w:val="24"/>
        </w:rPr>
        <w:br w:type="page"/>
      </w:r>
      <w:r w:rsidR="00295CB4" w:rsidRPr="00295CB4">
        <w:rPr>
          <w:rFonts w:ascii="Times New Roman" w:hAnsi="Times New Roman" w:cs="Times New Roman"/>
          <w:b/>
          <w:iCs/>
          <w:szCs w:val="24"/>
        </w:rPr>
        <w:lastRenderedPageBreak/>
        <w:t>Standard absorptivity (SA) method</w:t>
      </w:r>
    </w:p>
    <w:p w:rsidR="00703F1B" w:rsidRPr="00295CB4" w:rsidRDefault="00295CB4" w:rsidP="00295CB4">
      <w:pPr>
        <w:wordWrap/>
        <w:rPr>
          <w:rFonts w:ascii="Times New Roman" w:hAnsi="Times New Roman" w:cs="Times New Roman"/>
          <w:b/>
          <w:iCs/>
          <w:szCs w:val="24"/>
        </w:rPr>
      </w:pPr>
      <w:r w:rsidRPr="00295CB4">
        <w:rPr>
          <w:rFonts w:ascii="Times New Roman" w:hAnsi="Times New Roman" w:cs="Times New Roman"/>
        </w:rPr>
        <w:t xml:space="preserve">The </w:t>
      </w:r>
      <w:r w:rsidRPr="00295CB4">
        <w:rPr>
          <w:rFonts w:ascii="Times New Roman" w:hAnsi="Times New Roman" w:cs="Times New Roman"/>
          <w:bCs/>
        </w:rPr>
        <w:t xml:space="preserve">standard absorptivity A (1%, 1cm) and molar extinction coefficient </w:t>
      </w:r>
      <w:r>
        <w:rPr>
          <w:rFonts w:ascii="Times New Roman" w:hAnsi="Times New Roman" w:cs="Times New Roman"/>
          <w:bCs/>
        </w:rPr>
        <w:t>(</w:t>
      </w:r>
      <w:r w:rsidRPr="00295CB4">
        <w:rPr>
          <w:rFonts w:ascii="Times New Roman" w:hAnsi="Times New Roman" w:cs="Times New Roman"/>
          <w:bCs/>
        </w:rPr>
        <w:t>ε</w:t>
      </w:r>
      <w:r>
        <w:rPr>
          <w:rFonts w:ascii="Times New Roman" w:hAnsi="Times New Roman" w:cs="Times New Roman"/>
          <w:bCs/>
        </w:rPr>
        <w:t>)</w:t>
      </w:r>
      <w:r w:rsidRPr="00295CB4">
        <w:rPr>
          <w:rFonts w:ascii="Times New Roman" w:hAnsi="Times New Roman" w:cs="Times New Roman"/>
          <w:bCs/>
        </w:rPr>
        <w:t xml:space="preserve"> were determined from </w:t>
      </w:r>
      <w:proofErr w:type="spellStart"/>
      <w:r w:rsidRPr="00295CB4">
        <w:rPr>
          <w:rFonts w:ascii="Times New Roman" w:hAnsi="Times New Roman" w:cs="Times New Roman"/>
          <w:bCs/>
        </w:rPr>
        <w:t>absorbances</w:t>
      </w:r>
      <w:proofErr w:type="spellEnd"/>
      <w:r w:rsidRPr="00295CB4">
        <w:rPr>
          <w:rFonts w:ascii="Times New Roman" w:hAnsi="Times New Roman" w:cs="Times New Roman"/>
          <w:bCs/>
        </w:rPr>
        <w:t xml:space="preserve"> of serial dilutions (10, 20, 30, 40 and 50 µg/mL) in three replicates, which were found to be </w:t>
      </w:r>
      <w:r w:rsidRPr="00295CB4">
        <w:rPr>
          <w:rFonts w:ascii="Times New Roman" w:hAnsi="Times New Roman" w:cs="Times New Roman"/>
        </w:rPr>
        <w:t>41.017</w:t>
      </w:r>
      <w:r w:rsidRPr="00295CB4">
        <w:rPr>
          <w:rFonts w:ascii="Times New Roman" w:hAnsi="Times New Roman" w:cs="Times New Roman"/>
          <w:bCs/>
        </w:rPr>
        <w:t xml:space="preserve"> </w:t>
      </w:r>
      <w:r w:rsidRPr="00295CB4">
        <w:rPr>
          <w:rFonts w:ascii="Times New Roman" w:hAnsi="Times New Roman" w:cs="Times New Roman"/>
        </w:rPr>
        <w:t>dl/g/cm</w:t>
      </w:r>
      <w:r w:rsidRPr="00295CB4">
        <w:rPr>
          <w:rFonts w:ascii="Times New Roman" w:hAnsi="Times New Roman" w:cs="Times New Roman"/>
          <w:vertAlign w:val="superscript"/>
        </w:rPr>
        <w:t xml:space="preserve"> </w:t>
      </w:r>
      <w:r w:rsidRPr="00295CB4">
        <w:rPr>
          <w:rFonts w:ascii="Times New Roman" w:hAnsi="Times New Roman" w:cs="Times New Roman"/>
          <w:bCs/>
        </w:rPr>
        <w:t xml:space="preserve">and </w:t>
      </w:r>
      <w:r w:rsidRPr="00295CB4">
        <w:rPr>
          <w:rFonts w:ascii="Times New Roman" w:hAnsi="Times New Roman" w:cs="Times New Roman"/>
        </w:rPr>
        <w:t>1121.191</w:t>
      </w:r>
      <w:r w:rsidRPr="00295CB4">
        <w:rPr>
          <w:rFonts w:ascii="Times New Roman" w:hAnsi="Times New Roman" w:cs="Times New Roman"/>
          <w:bCs/>
        </w:rPr>
        <w:t xml:space="preserve"> </w:t>
      </w:r>
      <w:r w:rsidRPr="00295CB4">
        <w:rPr>
          <w:rFonts w:ascii="Times New Roman" w:hAnsi="Times New Roman" w:cs="Times New Roman"/>
        </w:rPr>
        <w:t>Mol</w:t>
      </w:r>
      <w:r w:rsidRPr="00295CB4">
        <w:rPr>
          <w:rFonts w:ascii="Times New Roman" w:hAnsi="Times New Roman" w:cs="Times New Roman"/>
          <w:vertAlign w:val="superscript"/>
        </w:rPr>
        <w:t xml:space="preserve">-1 </w:t>
      </w:r>
      <w:r w:rsidRPr="00295CB4">
        <w:rPr>
          <w:rFonts w:ascii="Times New Roman" w:hAnsi="Times New Roman" w:cs="Times New Roman"/>
        </w:rPr>
        <w:t>cm</w:t>
      </w:r>
      <w:r w:rsidRPr="00295CB4">
        <w:rPr>
          <w:rFonts w:ascii="Times New Roman" w:hAnsi="Times New Roman" w:cs="Times New Roman"/>
          <w:vertAlign w:val="superscript"/>
        </w:rPr>
        <w:t>-1</w:t>
      </w:r>
      <w:r w:rsidRPr="00295CB4">
        <w:rPr>
          <w:rFonts w:ascii="Times New Roman" w:hAnsi="Times New Roman" w:cs="Times New Roman"/>
        </w:rPr>
        <w:t>,</w:t>
      </w:r>
      <w:r w:rsidRPr="00295CB4">
        <w:rPr>
          <w:rFonts w:ascii="Times New Roman" w:hAnsi="Times New Roman" w:cs="Times New Roman"/>
          <w:vertAlign w:val="superscript"/>
        </w:rPr>
        <w:t xml:space="preserve"> </w:t>
      </w:r>
      <w:r w:rsidRPr="00295CB4">
        <w:rPr>
          <w:rFonts w:ascii="Times New Roman" w:hAnsi="Times New Roman" w:cs="Times New Roman"/>
          <w:bCs/>
        </w:rPr>
        <w:t>respectively (Table 1). This standard absorptivity A (1%, 1cm) of AMD may be used for direct determination of drug content in tablet formulation in single step using single UV observation of drug sample.</w:t>
      </w:r>
      <w:r>
        <w:rPr>
          <w:rFonts w:ascii="Times New Roman" w:hAnsi="Times New Roman" w:cs="Times New Roman"/>
          <w:bCs/>
        </w:rPr>
        <w:t xml:space="preserve"> </w:t>
      </w:r>
    </w:p>
    <w:p w:rsidR="00AC2CBA" w:rsidRPr="006631D1" w:rsidRDefault="00AC2CBA" w:rsidP="00122BDA">
      <w:pPr>
        <w:pStyle w:val="BodyTextIndent"/>
        <w:spacing w:before="120" w:line="360" w:lineRule="auto"/>
        <w:ind w:left="0" w:firstLine="720"/>
        <w:jc w:val="center"/>
        <w:rPr>
          <w:bCs/>
          <w:sz w:val="20"/>
          <w:szCs w:val="20"/>
        </w:rPr>
      </w:pPr>
      <w:proofErr w:type="gramStart"/>
      <w:r w:rsidRPr="006631D1">
        <w:rPr>
          <w:bCs/>
          <w:sz w:val="20"/>
          <w:szCs w:val="20"/>
        </w:rPr>
        <w:t>Table 1</w:t>
      </w:r>
      <w:r w:rsidR="00295CB4">
        <w:rPr>
          <w:bCs/>
          <w:sz w:val="20"/>
          <w:szCs w:val="20"/>
        </w:rPr>
        <w:t>.</w:t>
      </w:r>
      <w:proofErr w:type="gramEnd"/>
      <w:r w:rsidRPr="006631D1">
        <w:rPr>
          <w:bCs/>
          <w:sz w:val="20"/>
          <w:szCs w:val="20"/>
        </w:rPr>
        <w:t xml:space="preserve"> Standard absorptivity A (1%, 1cm) and molar extinction coefficient (</w:t>
      </w:r>
      <w:r w:rsidRPr="006631D1">
        <w:rPr>
          <w:bCs/>
          <w:sz w:val="20"/>
          <w:szCs w:val="20"/>
        </w:rPr>
        <w:sym w:font="Symbol" w:char="0065"/>
      </w:r>
      <w:r w:rsidRPr="006631D1">
        <w:rPr>
          <w:bCs/>
          <w:sz w:val="20"/>
          <w:szCs w:val="20"/>
        </w:rPr>
        <w:t>)</w:t>
      </w:r>
    </w:p>
    <w:tbl>
      <w:tblPr>
        <w:tblW w:w="7635" w:type="dxa"/>
        <w:jc w:val="center"/>
        <w:tblLook w:val="04A0" w:firstRow="1" w:lastRow="0" w:firstColumn="1" w:lastColumn="0" w:noHBand="0" w:noVBand="1"/>
      </w:tblPr>
      <w:tblGrid>
        <w:gridCol w:w="1067"/>
        <w:gridCol w:w="1058"/>
        <w:gridCol w:w="1058"/>
        <w:gridCol w:w="1058"/>
        <w:gridCol w:w="1102"/>
        <w:gridCol w:w="1234"/>
        <w:gridCol w:w="1058"/>
      </w:tblGrid>
      <w:tr w:rsidR="006631D1" w:rsidRPr="006631D1" w:rsidTr="00295CB4">
        <w:trPr>
          <w:trHeight w:val="316"/>
          <w:jc w:val="center"/>
        </w:trPr>
        <w:tc>
          <w:tcPr>
            <w:tcW w:w="1067" w:type="dxa"/>
            <w:vMerge w:val="restart"/>
            <w:tcBorders>
              <w:top w:val="single" w:sz="4" w:space="0" w:color="auto"/>
            </w:tcBorders>
            <w:vAlign w:val="center"/>
            <w:hideMark/>
          </w:tcPr>
          <w:p w:rsidR="00AC2CBA" w:rsidRPr="00295CB4" w:rsidRDefault="00AC2CBA" w:rsidP="005C5F47">
            <w:pPr>
              <w:wordWrap/>
              <w:spacing w:before="120" w:after="120"/>
              <w:jc w:val="center"/>
              <w:rPr>
                <w:rFonts w:ascii="Times New Roman" w:hAnsi="Times New Roman" w:cs="Times New Roman"/>
                <w:b/>
                <w:szCs w:val="20"/>
              </w:rPr>
            </w:pPr>
            <w:r w:rsidRPr="00295CB4">
              <w:rPr>
                <w:rFonts w:ascii="Times New Roman" w:hAnsi="Times New Roman" w:cs="Times New Roman"/>
                <w:b/>
                <w:szCs w:val="20"/>
              </w:rPr>
              <w:t>Conc. (µg/m</w:t>
            </w:r>
            <w:r w:rsidR="005C5F47" w:rsidRPr="00295CB4">
              <w:rPr>
                <w:rFonts w:ascii="Times New Roman" w:hAnsi="Times New Roman" w:cs="Times New Roman"/>
                <w:b/>
                <w:szCs w:val="20"/>
              </w:rPr>
              <w:t>L</w:t>
            </w:r>
            <w:r w:rsidRPr="00295CB4">
              <w:rPr>
                <w:rFonts w:ascii="Times New Roman" w:hAnsi="Times New Roman" w:cs="Times New Roman"/>
                <w:b/>
                <w:szCs w:val="20"/>
              </w:rPr>
              <w:t>)</w:t>
            </w:r>
          </w:p>
        </w:tc>
        <w:tc>
          <w:tcPr>
            <w:tcW w:w="3174" w:type="dxa"/>
            <w:gridSpan w:val="3"/>
            <w:vMerge w:val="restart"/>
            <w:tcBorders>
              <w:top w:val="single" w:sz="4" w:space="0" w:color="auto"/>
            </w:tcBorders>
            <w:vAlign w:val="center"/>
            <w:hideMark/>
          </w:tcPr>
          <w:p w:rsidR="00AC2CBA" w:rsidRPr="00295CB4" w:rsidRDefault="00AC2CBA" w:rsidP="00703F1B">
            <w:pPr>
              <w:wordWrap/>
              <w:spacing w:before="120" w:after="120"/>
              <w:jc w:val="center"/>
              <w:rPr>
                <w:rFonts w:ascii="Times New Roman" w:hAnsi="Times New Roman" w:cs="Times New Roman"/>
                <w:b/>
                <w:szCs w:val="20"/>
              </w:rPr>
            </w:pPr>
            <w:r w:rsidRPr="00295CB4">
              <w:rPr>
                <w:rFonts w:ascii="Times New Roman" w:hAnsi="Times New Roman" w:cs="Times New Roman"/>
                <w:b/>
                <w:szCs w:val="20"/>
              </w:rPr>
              <w:t>Absorbance at 252 nm</w:t>
            </w:r>
          </w:p>
        </w:tc>
        <w:tc>
          <w:tcPr>
            <w:tcW w:w="3394" w:type="dxa"/>
            <w:gridSpan w:val="3"/>
            <w:tcBorders>
              <w:top w:val="single" w:sz="4" w:space="0" w:color="auto"/>
            </w:tcBorders>
            <w:vAlign w:val="center"/>
            <w:hideMark/>
          </w:tcPr>
          <w:p w:rsidR="00AC2CBA" w:rsidRPr="00295CB4" w:rsidRDefault="00AC2CBA" w:rsidP="00703F1B">
            <w:pPr>
              <w:wordWrap/>
              <w:spacing w:before="120" w:after="120"/>
              <w:jc w:val="center"/>
              <w:rPr>
                <w:rFonts w:ascii="Times New Roman" w:hAnsi="Times New Roman" w:cs="Times New Roman"/>
                <w:b/>
                <w:szCs w:val="20"/>
              </w:rPr>
            </w:pPr>
            <w:r w:rsidRPr="00295CB4">
              <w:rPr>
                <w:rFonts w:ascii="Times New Roman" w:hAnsi="Times New Roman" w:cs="Times New Roman"/>
                <w:b/>
                <w:szCs w:val="20"/>
              </w:rPr>
              <w:t>Standard Absorptivity</w:t>
            </w:r>
          </w:p>
        </w:tc>
      </w:tr>
      <w:tr w:rsidR="006631D1" w:rsidRPr="006631D1" w:rsidTr="00295CB4">
        <w:trPr>
          <w:trHeight w:val="316"/>
          <w:jc w:val="center"/>
        </w:trPr>
        <w:tc>
          <w:tcPr>
            <w:tcW w:w="0" w:type="auto"/>
            <w:vMerge/>
            <w:tcBorders>
              <w:bottom w:val="single" w:sz="4" w:space="0" w:color="auto"/>
            </w:tcBorders>
            <w:vAlign w:val="center"/>
            <w:hideMark/>
          </w:tcPr>
          <w:p w:rsidR="00AC2CBA" w:rsidRPr="00295CB4" w:rsidRDefault="00AC2CBA" w:rsidP="00703F1B">
            <w:pPr>
              <w:wordWrap/>
              <w:spacing w:before="120" w:after="120"/>
              <w:rPr>
                <w:rFonts w:ascii="Times New Roman" w:hAnsi="Times New Roman" w:cs="Times New Roman"/>
                <w:b/>
                <w:szCs w:val="20"/>
              </w:rPr>
            </w:pPr>
          </w:p>
        </w:tc>
        <w:tc>
          <w:tcPr>
            <w:tcW w:w="0" w:type="auto"/>
            <w:gridSpan w:val="3"/>
            <w:vMerge/>
            <w:tcBorders>
              <w:bottom w:val="single" w:sz="4" w:space="0" w:color="auto"/>
            </w:tcBorders>
            <w:vAlign w:val="center"/>
            <w:hideMark/>
          </w:tcPr>
          <w:p w:rsidR="00AC2CBA" w:rsidRPr="00295CB4" w:rsidRDefault="00AC2CBA" w:rsidP="00703F1B">
            <w:pPr>
              <w:wordWrap/>
              <w:spacing w:before="120" w:after="120"/>
              <w:rPr>
                <w:rFonts w:ascii="Times New Roman" w:hAnsi="Times New Roman" w:cs="Times New Roman"/>
                <w:b/>
                <w:szCs w:val="20"/>
              </w:rPr>
            </w:pPr>
          </w:p>
        </w:tc>
        <w:tc>
          <w:tcPr>
            <w:tcW w:w="3394" w:type="dxa"/>
            <w:gridSpan w:val="3"/>
            <w:tcBorders>
              <w:bottom w:val="single" w:sz="4" w:space="0" w:color="auto"/>
            </w:tcBorders>
            <w:vAlign w:val="center"/>
            <w:hideMark/>
          </w:tcPr>
          <w:p w:rsidR="00AC2CBA" w:rsidRPr="00295CB4" w:rsidRDefault="00AC2CBA" w:rsidP="00703F1B">
            <w:pPr>
              <w:wordWrap/>
              <w:spacing w:before="120" w:after="120"/>
              <w:jc w:val="center"/>
              <w:rPr>
                <w:rFonts w:ascii="Times New Roman" w:hAnsi="Times New Roman" w:cs="Times New Roman"/>
                <w:b/>
                <w:szCs w:val="20"/>
              </w:rPr>
            </w:pPr>
            <w:r w:rsidRPr="00295CB4">
              <w:rPr>
                <w:rFonts w:ascii="Times New Roman" w:hAnsi="Times New Roman" w:cs="Times New Roman"/>
                <w:b/>
                <w:szCs w:val="20"/>
              </w:rPr>
              <w:t>[A (1%, 1cm) = A/</w:t>
            </w:r>
            <w:proofErr w:type="spellStart"/>
            <w:r w:rsidRPr="00295CB4">
              <w:rPr>
                <w:rFonts w:ascii="Times New Roman" w:hAnsi="Times New Roman" w:cs="Times New Roman"/>
                <w:b/>
                <w:szCs w:val="20"/>
              </w:rPr>
              <w:t>bc</w:t>
            </w:r>
            <w:proofErr w:type="spellEnd"/>
            <w:r w:rsidRPr="00295CB4">
              <w:rPr>
                <w:rFonts w:ascii="Times New Roman" w:hAnsi="Times New Roman" w:cs="Times New Roman"/>
                <w:b/>
                <w:szCs w:val="20"/>
              </w:rPr>
              <w:t>]</w:t>
            </w:r>
          </w:p>
        </w:tc>
      </w:tr>
      <w:tr w:rsidR="006631D1" w:rsidRPr="006631D1" w:rsidTr="00295CB4">
        <w:trPr>
          <w:trHeight w:val="316"/>
          <w:jc w:val="center"/>
        </w:trPr>
        <w:tc>
          <w:tcPr>
            <w:tcW w:w="0" w:type="auto"/>
            <w:vMerge/>
            <w:tcBorders>
              <w:top w:val="single" w:sz="4" w:space="0" w:color="auto"/>
              <w:bottom w:val="single" w:sz="4" w:space="0" w:color="auto"/>
            </w:tcBorders>
            <w:vAlign w:val="center"/>
            <w:hideMark/>
          </w:tcPr>
          <w:p w:rsidR="00AC2CBA" w:rsidRPr="00295CB4" w:rsidRDefault="00AC2CBA" w:rsidP="00703F1B">
            <w:pPr>
              <w:wordWrap/>
              <w:spacing w:before="120" w:after="120"/>
              <w:rPr>
                <w:rFonts w:ascii="Times New Roman" w:hAnsi="Times New Roman" w:cs="Times New Roman"/>
                <w:b/>
                <w:szCs w:val="20"/>
              </w:rPr>
            </w:pPr>
          </w:p>
        </w:tc>
        <w:tc>
          <w:tcPr>
            <w:tcW w:w="1058" w:type="dxa"/>
            <w:tcBorders>
              <w:top w:val="single" w:sz="4" w:space="0" w:color="auto"/>
              <w:bottom w:val="single" w:sz="4" w:space="0" w:color="auto"/>
            </w:tcBorders>
            <w:vAlign w:val="center"/>
            <w:hideMark/>
          </w:tcPr>
          <w:p w:rsidR="00AC2CBA" w:rsidRPr="00295CB4" w:rsidRDefault="00AC2CBA" w:rsidP="00703F1B">
            <w:pPr>
              <w:wordWrap/>
              <w:spacing w:before="120" w:after="120"/>
              <w:jc w:val="center"/>
              <w:rPr>
                <w:rFonts w:ascii="Times New Roman" w:hAnsi="Times New Roman" w:cs="Times New Roman"/>
                <w:b/>
                <w:szCs w:val="20"/>
              </w:rPr>
            </w:pPr>
            <w:r w:rsidRPr="00295CB4">
              <w:rPr>
                <w:rFonts w:ascii="Times New Roman" w:hAnsi="Times New Roman" w:cs="Times New Roman"/>
                <w:b/>
                <w:szCs w:val="20"/>
              </w:rPr>
              <w:t>I</w:t>
            </w:r>
          </w:p>
        </w:tc>
        <w:tc>
          <w:tcPr>
            <w:tcW w:w="1058" w:type="dxa"/>
            <w:tcBorders>
              <w:top w:val="single" w:sz="4" w:space="0" w:color="auto"/>
              <w:bottom w:val="single" w:sz="4" w:space="0" w:color="auto"/>
            </w:tcBorders>
            <w:vAlign w:val="center"/>
            <w:hideMark/>
          </w:tcPr>
          <w:p w:rsidR="00AC2CBA" w:rsidRPr="00295CB4" w:rsidRDefault="00AC2CBA" w:rsidP="00703F1B">
            <w:pPr>
              <w:wordWrap/>
              <w:spacing w:before="120" w:after="120"/>
              <w:jc w:val="center"/>
              <w:rPr>
                <w:rFonts w:ascii="Times New Roman" w:hAnsi="Times New Roman" w:cs="Times New Roman"/>
                <w:b/>
                <w:szCs w:val="20"/>
              </w:rPr>
            </w:pPr>
            <w:r w:rsidRPr="00295CB4">
              <w:rPr>
                <w:rFonts w:ascii="Times New Roman" w:hAnsi="Times New Roman" w:cs="Times New Roman"/>
                <w:b/>
                <w:szCs w:val="20"/>
              </w:rPr>
              <w:t>II</w:t>
            </w:r>
          </w:p>
        </w:tc>
        <w:tc>
          <w:tcPr>
            <w:tcW w:w="1058" w:type="dxa"/>
            <w:tcBorders>
              <w:top w:val="single" w:sz="4" w:space="0" w:color="auto"/>
              <w:bottom w:val="single" w:sz="4" w:space="0" w:color="auto"/>
            </w:tcBorders>
            <w:vAlign w:val="center"/>
            <w:hideMark/>
          </w:tcPr>
          <w:p w:rsidR="00AC2CBA" w:rsidRPr="00295CB4" w:rsidRDefault="00AC2CBA" w:rsidP="00703F1B">
            <w:pPr>
              <w:wordWrap/>
              <w:spacing w:before="120" w:after="120"/>
              <w:jc w:val="center"/>
              <w:rPr>
                <w:rFonts w:ascii="Times New Roman" w:hAnsi="Times New Roman" w:cs="Times New Roman"/>
                <w:b/>
                <w:szCs w:val="20"/>
              </w:rPr>
            </w:pPr>
            <w:r w:rsidRPr="00295CB4">
              <w:rPr>
                <w:rFonts w:ascii="Times New Roman" w:hAnsi="Times New Roman" w:cs="Times New Roman"/>
                <w:b/>
                <w:szCs w:val="20"/>
              </w:rPr>
              <w:t>III</w:t>
            </w:r>
          </w:p>
        </w:tc>
        <w:tc>
          <w:tcPr>
            <w:tcW w:w="1102" w:type="dxa"/>
            <w:tcBorders>
              <w:top w:val="single" w:sz="4" w:space="0" w:color="auto"/>
              <w:bottom w:val="single" w:sz="4" w:space="0" w:color="auto"/>
            </w:tcBorders>
            <w:vAlign w:val="center"/>
            <w:hideMark/>
          </w:tcPr>
          <w:p w:rsidR="00AC2CBA" w:rsidRPr="00295CB4" w:rsidRDefault="00AC2CBA" w:rsidP="00703F1B">
            <w:pPr>
              <w:wordWrap/>
              <w:spacing w:before="120" w:after="120"/>
              <w:jc w:val="center"/>
              <w:rPr>
                <w:rFonts w:ascii="Times New Roman" w:hAnsi="Times New Roman" w:cs="Times New Roman"/>
                <w:b/>
                <w:szCs w:val="20"/>
              </w:rPr>
            </w:pPr>
            <w:r w:rsidRPr="00295CB4">
              <w:rPr>
                <w:rFonts w:ascii="Times New Roman" w:hAnsi="Times New Roman" w:cs="Times New Roman"/>
                <w:b/>
                <w:szCs w:val="20"/>
              </w:rPr>
              <w:t>I</w:t>
            </w:r>
          </w:p>
        </w:tc>
        <w:tc>
          <w:tcPr>
            <w:tcW w:w="1234" w:type="dxa"/>
            <w:tcBorders>
              <w:top w:val="single" w:sz="4" w:space="0" w:color="auto"/>
              <w:bottom w:val="single" w:sz="4" w:space="0" w:color="auto"/>
            </w:tcBorders>
            <w:vAlign w:val="center"/>
            <w:hideMark/>
          </w:tcPr>
          <w:p w:rsidR="00AC2CBA" w:rsidRPr="00295CB4" w:rsidRDefault="00AC2CBA" w:rsidP="00703F1B">
            <w:pPr>
              <w:wordWrap/>
              <w:spacing w:before="120" w:after="120"/>
              <w:jc w:val="center"/>
              <w:rPr>
                <w:rFonts w:ascii="Times New Roman" w:hAnsi="Times New Roman" w:cs="Times New Roman"/>
                <w:b/>
                <w:szCs w:val="20"/>
              </w:rPr>
            </w:pPr>
            <w:r w:rsidRPr="00295CB4">
              <w:rPr>
                <w:rFonts w:ascii="Times New Roman" w:hAnsi="Times New Roman" w:cs="Times New Roman"/>
                <w:b/>
                <w:szCs w:val="20"/>
              </w:rPr>
              <w:t>II</w:t>
            </w:r>
          </w:p>
        </w:tc>
        <w:tc>
          <w:tcPr>
            <w:tcW w:w="1058" w:type="dxa"/>
            <w:tcBorders>
              <w:top w:val="single" w:sz="4" w:space="0" w:color="auto"/>
              <w:bottom w:val="single" w:sz="4" w:space="0" w:color="auto"/>
            </w:tcBorders>
            <w:vAlign w:val="center"/>
            <w:hideMark/>
          </w:tcPr>
          <w:p w:rsidR="00AC2CBA" w:rsidRPr="00295CB4" w:rsidRDefault="00AC2CBA" w:rsidP="00703F1B">
            <w:pPr>
              <w:wordWrap/>
              <w:spacing w:before="120" w:after="120"/>
              <w:jc w:val="center"/>
              <w:rPr>
                <w:rFonts w:ascii="Times New Roman" w:hAnsi="Times New Roman" w:cs="Times New Roman"/>
                <w:b/>
                <w:szCs w:val="20"/>
              </w:rPr>
            </w:pPr>
            <w:r w:rsidRPr="00295CB4">
              <w:rPr>
                <w:rFonts w:ascii="Times New Roman" w:hAnsi="Times New Roman" w:cs="Times New Roman"/>
                <w:b/>
                <w:szCs w:val="20"/>
              </w:rPr>
              <w:t>III</w:t>
            </w:r>
          </w:p>
        </w:tc>
      </w:tr>
      <w:tr w:rsidR="006631D1" w:rsidRPr="006631D1" w:rsidTr="00295CB4">
        <w:trPr>
          <w:trHeight w:val="316"/>
          <w:jc w:val="center"/>
        </w:trPr>
        <w:tc>
          <w:tcPr>
            <w:tcW w:w="1067" w:type="dxa"/>
            <w:tcBorders>
              <w:top w:val="single" w:sz="4" w:space="0" w:color="auto"/>
            </w:tcBorders>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10</w:t>
            </w:r>
          </w:p>
        </w:tc>
        <w:tc>
          <w:tcPr>
            <w:tcW w:w="1058" w:type="dxa"/>
            <w:tcBorders>
              <w:top w:val="single" w:sz="4" w:space="0" w:color="auto"/>
            </w:tcBorders>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0.035</w:t>
            </w:r>
          </w:p>
        </w:tc>
        <w:tc>
          <w:tcPr>
            <w:tcW w:w="1058" w:type="dxa"/>
            <w:tcBorders>
              <w:top w:val="single" w:sz="4" w:space="0" w:color="auto"/>
            </w:tcBorders>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0.048</w:t>
            </w:r>
          </w:p>
        </w:tc>
        <w:tc>
          <w:tcPr>
            <w:tcW w:w="1058" w:type="dxa"/>
            <w:tcBorders>
              <w:top w:val="single" w:sz="4" w:space="0" w:color="auto"/>
            </w:tcBorders>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0.045</w:t>
            </w:r>
          </w:p>
        </w:tc>
        <w:tc>
          <w:tcPr>
            <w:tcW w:w="1102" w:type="dxa"/>
            <w:tcBorders>
              <w:top w:val="single" w:sz="4" w:space="0" w:color="auto"/>
            </w:tcBorders>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35.0</w:t>
            </w:r>
          </w:p>
        </w:tc>
        <w:tc>
          <w:tcPr>
            <w:tcW w:w="1234" w:type="dxa"/>
            <w:tcBorders>
              <w:top w:val="single" w:sz="4" w:space="0" w:color="auto"/>
            </w:tcBorders>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48.0</w:t>
            </w:r>
          </w:p>
        </w:tc>
        <w:tc>
          <w:tcPr>
            <w:tcW w:w="1058" w:type="dxa"/>
            <w:tcBorders>
              <w:top w:val="single" w:sz="4" w:space="0" w:color="auto"/>
            </w:tcBorders>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45.0</w:t>
            </w:r>
          </w:p>
        </w:tc>
      </w:tr>
      <w:tr w:rsidR="006631D1" w:rsidRPr="006631D1" w:rsidTr="00295CB4">
        <w:trPr>
          <w:trHeight w:val="316"/>
          <w:jc w:val="center"/>
        </w:trPr>
        <w:tc>
          <w:tcPr>
            <w:tcW w:w="1067"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20</w:t>
            </w:r>
          </w:p>
        </w:tc>
        <w:tc>
          <w:tcPr>
            <w:tcW w:w="1058" w:type="dxa"/>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0.067</w:t>
            </w:r>
          </w:p>
        </w:tc>
        <w:tc>
          <w:tcPr>
            <w:tcW w:w="1058" w:type="dxa"/>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0.091</w:t>
            </w:r>
          </w:p>
        </w:tc>
        <w:tc>
          <w:tcPr>
            <w:tcW w:w="1058" w:type="dxa"/>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0.090</w:t>
            </w:r>
          </w:p>
        </w:tc>
        <w:tc>
          <w:tcPr>
            <w:tcW w:w="1102"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33.5</w:t>
            </w:r>
          </w:p>
        </w:tc>
        <w:tc>
          <w:tcPr>
            <w:tcW w:w="1234"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45.5</w:t>
            </w:r>
          </w:p>
        </w:tc>
        <w:tc>
          <w:tcPr>
            <w:tcW w:w="1058"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45.0</w:t>
            </w:r>
          </w:p>
        </w:tc>
      </w:tr>
      <w:tr w:rsidR="006631D1" w:rsidRPr="006631D1" w:rsidTr="00295CB4">
        <w:trPr>
          <w:trHeight w:val="316"/>
          <w:jc w:val="center"/>
        </w:trPr>
        <w:tc>
          <w:tcPr>
            <w:tcW w:w="1067"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30</w:t>
            </w:r>
          </w:p>
        </w:tc>
        <w:tc>
          <w:tcPr>
            <w:tcW w:w="1058" w:type="dxa"/>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0.098</w:t>
            </w:r>
          </w:p>
        </w:tc>
        <w:tc>
          <w:tcPr>
            <w:tcW w:w="1058" w:type="dxa"/>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0.135</w:t>
            </w:r>
          </w:p>
        </w:tc>
        <w:tc>
          <w:tcPr>
            <w:tcW w:w="1058" w:type="dxa"/>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0.136</w:t>
            </w:r>
          </w:p>
        </w:tc>
        <w:tc>
          <w:tcPr>
            <w:tcW w:w="1102"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32.7</w:t>
            </w:r>
          </w:p>
        </w:tc>
        <w:tc>
          <w:tcPr>
            <w:tcW w:w="1234"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45.0</w:t>
            </w:r>
          </w:p>
        </w:tc>
        <w:tc>
          <w:tcPr>
            <w:tcW w:w="1058"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45.3</w:t>
            </w:r>
          </w:p>
        </w:tc>
      </w:tr>
      <w:tr w:rsidR="006631D1" w:rsidRPr="006631D1" w:rsidTr="00295CB4">
        <w:trPr>
          <w:trHeight w:val="346"/>
          <w:jc w:val="center"/>
        </w:trPr>
        <w:tc>
          <w:tcPr>
            <w:tcW w:w="1067"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40</w:t>
            </w:r>
          </w:p>
        </w:tc>
        <w:tc>
          <w:tcPr>
            <w:tcW w:w="1058" w:type="dxa"/>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0.129</w:t>
            </w:r>
          </w:p>
        </w:tc>
        <w:tc>
          <w:tcPr>
            <w:tcW w:w="1058" w:type="dxa"/>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0.175</w:t>
            </w:r>
          </w:p>
        </w:tc>
        <w:tc>
          <w:tcPr>
            <w:tcW w:w="1058" w:type="dxa"/>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0.177</w:t>
            </w:r>
          </w:p>
        </w:tc>
        <w:tc>
          <w:tcPr>
            <w:tcW w:w="1102"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32.3</w:t>
            </w:r>
          </w:p>
        </w:tc>
        <w:tc>
          <w:tcPr>
            <w:tcW w:w="1234"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43.8</w:t>
            </w:r>
          </w:p>
        </w:tc>
        <w:tc>
          <w:tcPr>
            <w:tcW w:w="1058"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44.3</w:t>
            </w:r>
          </w:p>
        </w:tc>
      </w:tr>
      <w:tr w:rsidR="006631D1" w:rsidRPr="006631D1" w:rsidTr="00295CB4">
        <w:trPr>
          <w:trHeight w:val="316"/>
          <w:jc w:val="center"/>
        </w:trPr>
        <w:tc>
          <w:tcPr>
            <w:tcW w:w="1067"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50</w:t>
            </w:r>
          </w:p>
        </w:tc>
        <w:tc>
          <w:tcPr>
            <w:tcW w:w="1058" w:type="dxa"/>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0.159</w:t>
            </w:r>
          </w:p>
        </w:tc>
        <w:tc>
          <w:tcPr>
            <w:tcW w:w="1058" w:type="dxa"/>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0.222</w:t>
            </w:r>
          </w:p>
        </w:tc>
        <w:tc>
          <w:tcPr>
            <w:tcW w:w="1058" w:type="dxa"/>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0.219</w:t>
            </w:r>
          </w:p>
        </w:tc>
        <w:tc>
          <w:tcPr>
            <w:tcW w:w="1102"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31.8</w:t>
            </w:r>
          </w:p>
        </w:tc>
        <w:tc>
          <w:tcPr>
            <w:tcW w:w="1234"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44.4</w:t>
            </w:r>
          </w:p>
        </w:tc>
        <w:tc>
          <w:tcPr>
            <w:tcW w:w="1058" w:type="dxa"/>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43.8</w:t>
            </w:r>
          </w:p>
        </w:tc>
      </w:tr>
      <w:tr w:rsidR="006631D1" w:rsidRPr="006631D1" w:rsidTr="00295CB4">
        <w:trPr>
          <w:trHeight w:val="316"/>
          <w:jc w:val="center"/>
        </w:trPr>
        <w:tc>
          <w:tcPr>
            <w:tcW w:w="5342" w:type="dxa"/>
            <w:gridSpan w:val="5"/>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A (1%, 1 cm)*         dl/g/cm</w:t>
            </w:r>
          </w:p>
        </w:tc>
        <w:tc>
          <w:tcPr>
            <w:tcW w:w="2292" w:type="dxa"/>
            <w:gridSpan w:val="2"/>
            <w:noWrap/>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41.017</w:t>
            </w:r>
          </w:p>
        </w:tc>
      </w:tr>
      <w:tr w:rsidR="006631D1" w:rsidRPr="006631D1" w:rsidTr="00295CB4">
        <w:trPr>
          <w:trHeight w:val="376"/>
          <w:jc w:val="center"/>
        </w:trPr>
        <w:tc>
          <w:tcPr>
            <w:tcW w:w="5342" w:type="dxa"/>
            <w:gridSpan w:val="5"/>
            <w:tcBorders>
              <w:bottom w:val="single" w:sz="4" w:space="0" w:color="auto"/>
            </w:tcBorders>
            <w:noWrap/>
            <w:vAlign w:val="center"/>
            <w:hideMark/>
          </w:tcPr>
          <w:p w:rsidR="00AC2CBA" w:rsidRPr="006631D1" w:rsidRDefault="005C5F47" w:rsidP="005C5F47">
            <w:pPr>
              <w:wordWrap/>
              <w:spacing w:before="120" w:after="120"/>
              <w:jc w:val="center"/>
              <w:rPr>
                <w:rFonts w:ascii="Times New Roman" w:hAnsi="Times New Roman" w:cs="Times New Roman"/>
                <w:szCs w:val="20"/>
              </w:rPr>
            </w:pPr>
            <w:r w:rsidRPr="006631D1">
              <w:rPr>
                <w:rFonts w:ascii="Times New Roman" w:hAnsi="Times New Roman" w:cs="Times New Roman"/>
                <w:szCs w:val="20"/>
              </w:rPr>
              <w:t xml:space="preserve">       </w:t>
            </w:r>
            <w:r w:rsidR="00AC2CBA" w:rsidRPr="006631D1">
              <w:rPr>
                <w:rFonts w:ascii="Times New Roman" w:hAnsi="Times New Roman" w:cs="Times New Roman"/>
                <w:szCs w:val="20"/>
              </w:rPr>
              <w:sym w:font="Symbol" w:char="0065"/>
            </w:r>
            <w:r w:rsidR="00AC2CBA" w:rsidRPr="006631D1">
              <w:rPr>
                <w:rFonts w:ascii="Times New Roman" w:hAnsi="Times New Roman" w:cs="Times New Roman"/>
                <w:szCs w:val="20"/>
              </w:rPr>
              <w:t xml:space="preserve"> **            </w:t>
            </w:r>
            <w:r w:rsidRPr="006631D1">
              <w:rPr>
                <w:rFonts w:ascii="Times New Roman" w:hAnsi="Times New Roman" w:cs="Times New Roman"/>
                <w:szCs w:val="20"/>
              </w:rPr>
              <w:t xml:space="preserve">             </w:t>
            </w:r>
            <w:r w:rsidR="00AC2CBA" w:rsidRPr="006631D1">
              <w:rPr>
                <w:rFonts w:ascii="Times New Roman" w:hAnsi="Times New Roman" w:cs="Times New Roman"/>
                <w:szCs w:val="20"/>
              </w:rPr>
              <w:t>Mol</w:t>
            </w:r>
            <w:r w:rsidRPr="006631D1">
              <w:rPr>
                <w:rFonts w:ascii="Times New Roman" w:hAnsi="Times New Roman" w:cs="Times New Roman"/>
                <w:szCs w:val="20"/>
                <w:vertAlign w:val="superscript"/>
              </w:rPr>
              <w:t>-1</w:t>
            </w:r>
            <w:r w:rsidR="00AC2CBA" w:rsidRPr="006631D1">
              <w:rPr>
                <w:rFonts w:ascii="Times New Roman" w:hAnsi="Times New Roman" w:cs="Times New Roman"/>
                <w:szCs w:val="20"/>
              </w:rPr>
              <w:t>cm</w:t>
            </w:r>
            <w:r w:rsidRPr="006631D1">
              <w:rPr>
                <w:rFonts w:ascii="Times New Roman" w:hAnsi="Times New Roman" w:cs="Times New Roman"/>
                <w:szCs w:val="20"/>
                <w:vertAlign w:val="superscript"/>
              </w:rPr>
              <w:t>-1</w:t>
            </w:r>
          </w:p>
        </w:tc>
        <w:tc>
          <w:tcPr>
            <w:tcW w:w="2292" w:type="dxa"/>
            <w:gridSpan w:val="2"/>
            <w:tcBorders>
              <w:bottom w:val="single" w:sz="4" w:space="0" w:color="auto"/>
            </w:tcBorders>
            <w:vAlign w:val="center"/>
            <w:hideMark/>
          </w:tcPr>
          <w:p w:rsidR="00AC2CBA" w:rsidRPr="006631D1" w:rsidRDefault="00AC2CBA" w:rsidP="00703F1B">
            <w:pPr>
              <w:wordWrap/>
              <w:spacing w:before="120" w:after="120"/>
              <w:jc w:val="center"/>
              <w:rPr>
                <w:rFonts w:ascii="Times New Roman" w:hAnsi="Times New Roman" w:cs="Times New Roman"/>
                <w:szCs w:val="20"/>
              </w:rPr>
            </w:pPr>
            <w:r w:rsidRPr="006631D1">
              <w:rPr>
                <w:rFonts w:ascii="Times New Roman" w:hAnsi="Times New Roman" w:cs="Times New Roman"/>
                <w:szCs w:val="20"/>
              </w:rPr>
              <w:t>1121.191</w:t>
            </w:r>
          </w:p>
        </w:tc>
      </w:tr>
    </w:tbl>
    <w:p w:rsidR="00AC2CBA" w:rsidRDefault="00AC2CBA" w:rsidP="00295CB4">
      <w:pPr>
        <w:wordWrap/>
        <w:rPr>
          <w:rFonts w:ascii="Times New Roman" w:hAnsi="Times New Roman" w:cs="Times New Roman"/>
          <w:sz w:val="18"/>
          <w:szCs w:val="20"/>
        </w:rPr>
      </w:pPr>
      <w:r w:rsidRPr="00295CB4">
        <w:rPr>
          <w:rFonts w:ascii="Times New Roman" w:hAnsi="Times New Roman" w:cs="Times New Roman"/>
          <w:sz w:val="18"/>
          <w:szCs w:val="20"/>
        </w:rPr>
        <w:t>* Mean of 15 above standa</w:t>
      </w:r>
      <w:r w:rsidR="008C21BE" w:rsidRPr="00295CB4">
        <w:rPr>
          <w:rFonts w:ascii="Times New Roman" w:hAnsi="Times New Roman" w:cs="Times New Roman"/>
          <w:sz w:val="18"/>
          <w:szCs w:val="20"/>
        </w:rPr>
        <w:t xml:space="preserve">rd </w:t>
      </w:r>
      <w:proofErr w:type="spellStart"/>
      <w:r w:rsidR="008C21BE" w:rsidRPr="00295CB4">
        <w:rPr>
          <w:rFonts w:ascii="Times New Roman" w:hAnsi="Times New Roman" w:cs="Times New Roman"/>
          <w:sz w:val="18"/>
          <w:szCs w:val="20"/>
        </w:rPr>
        <w:t>absorptivities</w:t>
      </w:r>
      <w:proofErr w:type="spellEnd"/>
      <w:r w:rsidR="008C21BE" w:rsidRPr="00295CB4">
        <w:rPr>
          <w:rFonts w:ascii="Times New Roman" w:hAnsi="Times New Roman" w:cs="Times New Roman"/>
          <w:sz w:val="18"/>
          <w:szCs w:val="20"/>
        </w:rPr>
        <w:t xml:space="preserve"> determination; </w:t>
      </w:r>
      <w:r w:rsidRPr="00295CB4">
        <w:rPr>
          <w:rFonts w:ascii="Times New Roman" w:hAnsi="Times New Roman" w:cs="Times New Roman"/>
          <w:sz w:val="18"/>
          <w:szCs w:val="20"/>
        </w:rPr>
        <w:t xml:space="preserve">**Molar extinction coefficient </w:t>
      </w:r>
      <w:r w:rsidRPr="00295CB4">
        <w:rPr>
          <w:rFonts w:ascii="Times New Roman" w:hAnsi="Times New Roman" w:cs="Times New Roman"/>
          <w:sz w:val="18"/>
          <w:szCs w:val="20"/>
        </w:rPr>
        <w:sym w:font="Symbol" w:char="0065"/>
      </w:r>
      <w:r w:rsidRPr="00295CB4">
        <w:rPr>
          <w:rFonts w:ascii="Times New Roman" w:hAnsi="Times New Roman" w:cs="Times New Roman"/>
          <w:sz w:val="18"/>
          <w:szCs w:val="20"/>
        </w:rPr>
        <w:t xml:space="preserve"> = A (1%, 1cm) x Molecular weight/10.</w:t>
      </w:r>
    </w:p>
    <w:p w:rsidR="00295CB4" w:rsidRPr="00295CB4" w:rsidRDefault="00295CB4" w:rsidP="00295CB4">
      <w:pPr>
        <w:wordWrap/>
        <w:rPr>
          <w:rFonts w:ascii="Times New Roman" w:hAnsi="Times New Roman" w:cs="Times New Roman"/>
          <w:bCs/>
          <w:sz w:val="18"/>
          <w:szCs w:val="20"/>
        </w:rPr>
      </w:pPr>
    </w:p>
    <w:p w:rsidR="00F30430" w:rsidRPr="00295CB4" w:rsidRDefault="00F30430" w:rsidP="00295CB4">
      <w:pPr>
        <w:pStyle w:val="BodyTextIndent"/>
        <w:spacing w:after="0"/>
        <w:ind w:left="0"/>
        <w:jc w:val="both"/>
        <w:rPr>
          <w:b/>
          <w:bCs/>
          <w:iCs/>
          <w:sz w:val="20"/>
        </w:rPr>
      </w:pPr>
      <w:r w:rsidRPr="00295CB4">
        <w:rPr>
          <w:b/>
          <w:bCs/>
          <w:iCs/>
          <w:sz w:val="20"/>
        </w:rPr>
        <w:t>First order derivative (FOD) method</w:t>
      </w:r>
    </w:p>
    <w:p w:rsidR="005D20CF" w:rsidRPr="006631D1" w:rsidRDefault="00F30430" w:rsidP="00295CB4">
      <w:pPr>
        <w:wordWrap/>
        <w:rPr>
          <w:rFonts w:ascii="Times New Roman" w:hAnsi="Times New Roman" w:cs="Times New Roman"/>
          <w:bCs/>
          <w:szCs w:val="24"/>
        </w:rPr>
      </w:pPr>
      <w:r w:rsidRPr="006631D1">
        <w:rPr>
          <w:rFonts w:ascii="Times New Roman" w:hAnsi="Times New Roman" w:cs="Times New Roman"/>
          <w:bCs/>
          <w:szCs w:val="24"/>
        </w:rPr>
        <w:t xml:space="preserve">The first order derivative mode of Gaussian spectra was used to nullify the effect of other </w:t>
      </w:r>
      <w:proofErr w:type="spellStart"/>
      <w:r w:rsidRPr="006631D1">
        <w:rPr>
          <w:rFonts w:ascii="Times New Roman" w:hAnsi="Times New Roman" w:cs="Times New Roman"/>
          <w:bCs/>
          <w:szCs w:val="24"/>
        </w:rPr>
        <w:t>analytes</w:t>
      </w:r>
      <w:proofErr w:type="spellEnd"/>
      <w:r w:rsidRPr="006631D1">
        <w:rPr>
          <w:rFonts w:ascii="Times New Roman" w:hAnsi="Times New Roman" w:cs="Times New Roman"/>
          <w:bCs/>
          <w:szCs w:val="24"/>
        </w:rPr>
        <w:t xml:space="preserve"> in determination of AMD </w:t>
      </w:r>
      <w:r w:rsidRPr="006631D1">
        <w:rPr>
          <w:rFonts w:ascii="Times New Roman" w:eastAsia="Times New Roman" w:hAnsi="Times New Roman" w:cs="Times New Roman"/>
          <w:szCs w:val="24"/>
        </w:rPr>
        <w:t>(Figure 4)</w:t>
      </w:r>
      <w:r w:rsidRPr="006631D1">
        <w:rPr>
          <w:rFonts w:ascii="Times New Roman" w:hAnsi="Times New Roman" w:cs="Times New Roman"/>
          <w:bCs/>
          <w:szCs w:val="24"/>
        </w:rPr>
        <w:t xml:space="preserve">. </w:t>
      </w:r>
      <w:r w:rsidR="00703F1B" w:rsidRPr="006631D1">
        <w:rPr>
          <w:rFonts w:ascii="Times New Roman" w:hAnsi="Times New Roman" w:cs="Times New Roman"/>
          <w:bCs/>
          <w:szCs w:val="24"/>
        </w:rPr>
        <w:t xml:space="preserve">FOD technique is very useful in spectrophotometry, which is additional tool and resolve various analytical problems where chances of interference in absorbance by other </w:t>
      </w:r>
      <w:proofErr w:type="spellStart"/>
      <w:r w:rsidR="00703F1B" w:rsidRPr="006631D1">
        <w:rPr>
          <w:rFonts w:ascii="Times New Roman" w:hAnsi="Times New Roman" w:cs="Times New Roman"/>
          <w:bCs/>
          <w:szCs w:val="24"/>
        </w:rPr>
        <w:t>analyte</w:t>
      </w:r>
      <w:proofErr w:type="spellEnd"/>
      <w:r w:rsidR="00703F1B" w:rsidRPr="006631D1">
        <w:rPr>
          <w:rFonts w:ascii="Times New Roman" w:hAnsi="Times New Roman" w:cs="Times New Roman"/>
          <w:bCs/>
          <w:szCs w:val="24"/>
        </w:rPr>
        <w:t>.</w:t>
      </w:r>
      <w:r w:rsidR="00703F1B" w:rsidRPr="006631D1">
        <w:rPr>
          <w:rFonts w:ascii="Times New Roman" w:hAnsi="Times New Roman" w:cs="Times New Roman"/>
          <w:szCs w:val="24"/>
        </w:rPr>
        <w:t xml:space="preserve"> </w:t>
      </w:r>
      <w:r w:rsidR="00703F1B" w:rsidRPr="006631D1">
        <w:rPr>
          <w:rFonts w:ascii="Times New Roman" w:hAnsi="Times New Roman" w:cs="Times New Roman"/>
          <w:bCs/>
          <w:szCs w:val="24"/>
        </w:rPr>
        <w:t xml:space="preserve">The </w:t>
      </w:r>
      <w:proofErr w:type="spellStart"/>
      <w:r w:rsidR="00703F1B" w:rsidRPr="006631D1">
        <w:rPr>
          <w:rFonts w:ascii="Times New Roman" w:hAnsi="Times New Roman" w:cs="Times New Roman"/>
          <w:bCs/>
          <w:szCs w:val="24"/>
        </w:rPr>
        <w:t>absorbances</w:t>
      </w:r>
      <w:proofErr w:type="spellEnd"/>
      <w:r w:rsidR="00703F1B" w:rsidRPr="006631D1">
        <w:rPr>
          <w:rFonts w:ascii="Times New Roman" w:hAnsi="Times New Roman" w:cs="Times New Roman"/>
          <w:bCs/>
          <w:szCs w:val="24"/>
        </w:rPr>
        <w:t xml:space="preserve"> in derivative mode of six replicates of all standard serial dilutions were processed for the linear regression method and the linear regression equation was found to be Y = 0.03 x - 0.000 with correlation coefficient R</w:t>
      </w:r>
      <w:r w:rsidR="00703F1B" w:rsidRPr="006631D1">
        <w:rPr>
          <w:rFonts w:ascii="Times New Roman" w:hAnsi="Times New Roman" w:cs="Times New Roman"/>
          <w:bCs/>
          <w:szCs w:val="24"/>
          <w:vertAlign w:val="superscript"/>
        </w:rPr>
        <w:t>2</w:t>
      </w:r>
      <w:r w:rsidR="00703F1B" w:rsidRPr="006631D1">
        <w:rPr>
          <w:rFonts w:ascii="Times New Roman" w:hAnsi="Times New Roman" w:cs="Times New Roman"/>
          <w:bCs/>
          <w:szCs w:val="24"/>
        </w:rPr>
        <w:t xml:space="preserve"> = 0.999 (Figure 5).</w:t>
      </w:r>
    </w:p>
    <w:p w:rsidR="005D20CF" w:rsidRPr="006631D1" w:rsidRDefault="005D20CF" w:rsidP="00122BDA">
      <w:pPr>
        <w:wordWrap/>
        <w:spacing w:before="120" w:after="120" w:line="360" w:lineRule="auto"/>
        <w:jc w:val="center"/>
        <w:rPr>
          <w:rFonts w:ascii="Times New Roman" w:hAnsi="Times New Roman" w:cs="Times New Roman"/>
          <w:szCs w:val="24"/>
        </w:rPr>
      </w:pPr>
      <w:r w:rsidRPr="006631D1">
        <w:rPr>
          <w:rFonts w:ascii="Times New Roman" w:hAnsi="Times New Roman" w:cs="Times New Roman"/>
          <w:noProof/>
          <w:szCs w:val="24"/>
          <w:lang w:eastAsia="en-US"/>
        </w:rPr>
        <w:drawing>
          <wp:inline distT="0" distB="0" distL="0" distR="0" wp14:anchorId="0E0F4A00" wp14:editId="7B96A535">
            <wp:extent cx="4953000" cy="2638425"/>
            <wp:effectExtent l="19050" t="19050" r="0" b="9525"/>
            <wp:docPr id="9" name="Picture 9" descr="Figur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_3"/>
                    <pic:cNvPicPr>
                      <a:picLocks noChangeAspect="1" noChangeArrowheads="1"/>
                    </pic:cNvPicPr>
                  </pic:nvPicPr>
                  <pic:blipFill>
                    <a:blip r:embed="rId11"/>
                    <a:srcRect r="996" b="1726"/>
                    <a:stretch>
                      <a:fillRect/>
                    </a:stretch>
                  </pic:blipFill>
                  <pic:spPr bwMode="auto">
                    <a:xfrm>
                      <a:off x="0" y="0"/>
                      <a:ext cx="4953341" cy="2638607"/>
                    </a:xfrm>
                    <a:prstGeom prst="rect">
                      <a:avLst/>
                    </a:prstGeom>
                    <a:noFill/>
                    <a:ln w="19050" cmpd="sng">
                      <a:solidFill>
                        <a:schemeClr val="bg1"/>
                      </a:solidFill>
                      <a:miter lim="800000"/>
                      <a:headEnd/>
                      <a:tailEnd/>
                    </a:ln>
                    <a:effectLst/>
                  </pic:spPr>
                </pic:pic>
              </a:graphicData>
            </a:graphic>
          </wp:inline>
        </w:drawing>
      </w:r>
    </w:p>
    <w:p w:rsidR="005D20CF" w:rsidRPr="006631D1" w:rsidRDefault="005D20CF" w:rsidP="00122BDA">
      <w:pPr>
        <w:wordWrap/>
        <w:spacing w:before="120" w:after="120" w:line="360" w:lineRule="auto"/>
        <w:jc w:val="center"/>
        <w:rPr>
          <w:rFonts w:ascii="Times New Roman" w:hAnsi="Times New Roman" w:cs="Times New Roman"/>
          <w:szCs w:val="20"/>
        </w:rPr>
      </w:pPr>
      <w:proofErr w:type="gramStart"/>
      <w:r w:rsidRPr="006631D1">
        <w:rPr>
          <w:rStyle w:val="Heading2Char"/>
          <w:rFonts w:eastAsia="Calibri"/>
          <w:b w:val="0"/>
          <w:bCs w:val="0"/>
          <w:sz w:val="20"/>
          <w:szCs w:val="20"/>
        </w:rPr>
        <w:t>Figure 4</w:t>
      </w:r>
      <w:r w:rsidR="00295CB4">
        <w:rPr>
          <w:rFonts w:ascii="Times New Roman" w:hAnsi="Times New Roman" w:cs="Times New Roman"/>
          <w:iCs/>
          <w:szCs w:val="20"/>
        </w:rPr>
        <w:t>.</w:t>
      </w:r>
      <w:proofErr w:type="gramEnd"/>
      <w:r w:rsidRPr="006631D1">
        <w:rPr>
          <w:rFonts w:ascii="Times New Roman" w:hAnsi="Times New Roman" w:cs="Times New Roman"/>
          <w:iCs/>
          <w:szCs w:val="20"/>
        </w:rPr>
        <w:t xml:space="preserve"> First order derivative of </w:t>
      </w:r>
      <w:r w:rsidRPr="006631D1">
        <w:rPr>
          <w:rFonts w:ascii="Times New Roman" w:hAnsi="Times New Roman" w:cs="Times New Roman"/>
          <w:szCs w:val="20"/>
        </w:rPr>
        <w:t>Gaussian spectrum of AMD in 10% methanol.</w:t>
      </w:r>
    </w:p>
    <w:p w:rsidR="00F30430" w:rsidRPr="006631D1" w:rsidRDefault="00F30430" w:rsidP="00122BDA">
      <w:pPr>
        <w:wordWrap/>
        <w:spacing w:before="120" w:after="120" w:line="360" w:lineRule="auto"/>
        <w:rPr>
          <w:rFonts w:ascii="Times New Roman" w:hAnsi="Times New Roman" w:cs="Times New Roman"/>
          <w:bCs/>
          <w:szCs w:val="24"/>
        </w:rPr>
      </w:pPr>
    </w:p>
    <w:p w:rsidR="00997A3D" w:rsidRPr="006631D1" w:rsidRDefault="00997A3D" w:rsidP="00122BDA">
      <w:pPr>
        <w:wordWrap/>
        <w:spacing w:before="120" w:after="120" w:line="360" w:lineRule="auto"/>
        <w:jc w:val="center"/>
        <w:rPr>
          <w:rFonts w:ascii="Times New Roman" w:hAnsi="Times New Roman" w:cs="Times New Roman"/>
          <w:szCs w:val="24"/>
        </w:rPr>
      </w:pPr>
      <w:r w:rsidRPr="006631D1">
        <w:rPr>
          <w:rFonts w:ascii="Times New Roman" w:hAnsi="Times New Roman" w:cs="Times New Roman"/>
          <w:noProof/>
          <w:szCs w:val="24"/>
          <w:lang w:eastAsia="en-US"/>
        </w:rPr>
        <w:drawing>
          <wp:inline distT="0" distB="0" distL="0" distR="0" wp14:anchorId="5D4CDFD5" wp14:editId="6933D8B3">
            <wp:extent cx="4952519" cy="2706818"/>
            <wp:effectExtent l="19050" t="0" r="481" b="0"/>
            <wp:docPr id="11" name="Picture 11" descr="Figur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_5"/>
                    <pic:cNvPicPr>
                      <a:picLocks noChangeAspect="1" noChangeArrowheads="1"/>
                    </pic:cNvPicPr>
                  </pic:nvPicPr>
                  <pic:blipFill>
                    <a:blip r:embed="rId12"/>
                    <a:srcRect l="1138" t="1653" r="1231" b="1304"/>
                    <a:stretch>
                      <a:fillRect/>
                    </a:stretch>
                  </pic:blipFill>
                  <pic:spPr bwMode="auto">
                    <a:xfrm>
                      <a:off x="0" y="0"/>
                      <a:ext cx="4952519" cy="2706818"/>
                    </a:xfrm>
                    <a:prstGeom prst="rect">
                      <a:avLst/>
                    </a:prstGeom>
                    <a:noFill/>
                    <a:ln w="9525">
                      <a:noFill/>
                      <a:miter lim="800000"/>
                      <a:headEnd/>
                      <a:tailEnd/>
                    </a:ln>
                  </pic:spPr>
                </pic:pic>
              </a:graphicData>
            </a:graphic>
          </wp:inline>
        </w:drawing>
      </w:r>
    </w:p>
    <w:p w:rsidR="002261CB" w:rsidRPr="006631D1" w:rsidRDefault="00295CB4" w:rsidP="00122BDA">
      <w:pPr>
        <w:wordWrap/>
        <w:spacing w:before="120" w:after="120" w:line="360" w:lineRule="auto"/>
        <w:jc w:val="center"/>
        <w:rPr>
          <w:rFonts w:ascii="Times New Roman" w:hAnsi="Times New Roman" w:cs="Times New Roman"/>
          <w:sz w:val="16"/>
          <w:szCs w:val="24"/>
        </w:rPr>
      </w:pPr>
      <w:r>
        <w:rPr>
          <w:rFonts w:ascii="Times New Roman" w:hAnsi="Times New Roman" w:cs="Times New Roman"/>
          <w:noProof/>
          <w:szCs w:val="24"/>
        </w:rPr>
        <w:t>Figure 5.</w:t>
      </w:r>
      <w:r w:rsidR="00997A3D" w:rsidRPr="006631D1">
        <w:rPr>
          <w:rFonts w:ascii="Times New Roman" w:hAnsi="Times New Roman" w:cs="Times New Roman"/>
          <w:noProof/>
          <w:szCs w:val="24"/>
        </w:rPr>
        <w:t xml:space="preserve"> Linear regression line for FOD method.</w:t>
      </w:r>
    </w:p>
    <w:p w:rsidR="00F30430" w:rsidRPr="006631D1" w:rsidRDefault="00F30430" w:rsidP="00295CB4">
      <w:pPr>
        <w:wordWrap/>
        <w:rPr>
          <w:rFonts w:ascii="Times New Roman" w:eastAsia="Times New Roman" w:hAnsi="Times New Roman" w:cs="Times New Roman"/>
          <w:b/>
          <w:bCs/>
          <w:szCs w:val="24"/>
        </w:rPr>
      </w:pPr>
      <w:r w:rsidRPr="006631D1">
        <w:rPr>
          <w:rFonts w:ascii="Times New Roman" w:eastAsia="Times New Roman" w:hAnsi="Times New Roman" w:cs="Times New Roman"/>
          <w:b/>
          <w:bCs/>
          <w:szCs w:val="24"/>
        </w:rPr>
        <w:t>Validation of the methods</w:t>
      </w:r>
    </w:p>
    <w:p w:rsidR="00245D7C" w:rsidRDefault="00F30430" w:rsidP="00295CB4">
      <w:pPr>
        <w:pStyle w:val="BodyTextIndent"/>
        <w:spacing w:after="0"/>
        <w:ind w:left="0"/>
        <w:jc w:val="both"/>
        <w:rPr>
          <w:sz w:val="20"/>
        </w:rPr>
      </w:pPr>
      <w:r w:rsidRPr="006631D1">
        <w:rPr>
          <w:sz w:val="20"/>
        </w:rPr>
        <w:t xml:space="preserve">All three methods were validated as per ICH guidelines to assure the reliability and applicability of the methods. </w:t>
      </w:r>
      <w:r w:rsidR="00295CB4" w:rsidRPr="006631D1">
        <w:rPr>
          <w:sz w:val="20"/>
          <w:szCs w:val="20"/>
        </w:rPr>
        <w:t>Results of validation parameters for all three methods</w:t>
      </w:r>
      <w:r w:rsidR="00A6493A">
        <w:rPr>
          <w:sz w:val="20"/>
          <w:szCs w:val="20"/>
        </w:rPr>
        <w:t xml:space="preserve"> were</w:t>
      </w:r>
      <w:r w:rsidR="00295CB4">
        <w:rPr>
          <w:sz w:val="20"/>
          <w:szCs w:val="20"/>
        </w:rPr>
        <w:t xml:space="preserve"> summarized in Table 2.</w:t>
      </w:r>
    </w:p>
    <w:p w:rsidR="00295CB4" w:rsidRPr="006631D1" w:rsidRDefault="00295CB4" w:rsidP="00295CB4">
      <w:pPr>
        <w:pStyle w:val="BodyTextIndent"/>
        <w:spacing w:after="0"/>
        <w:ind w:left="0"/>
        <w:jc w:val="both"/>
        <w:rPr>
          <w:sz w:val="20"/>
        </w:rPr>
      </w:pPr>
    </w:p>
    <w:p w:rsidR="00245D7C" w:rsidRPr="006631D1" w:rsidRDefault="00295CB4" w:rsidP="00122BDA">
      <w:pPr>
        <w:pStyle w:val="BodyTextIndent"/>
        <w:tabs>
          <w:tab w:val="left" w:pos="2340"/>
        </w:tabs>
        <w:spacing w:before="120" w:line="360" w:lineRule="auto"/>
        <w:ind w:left="0"/>
        <w:jc w:val="center"/>
        <w:rPr>
          <w:sz w:val="20"/>
          <w:szCs w:val="20"/>
        </w:rPr>
      </w:pPr>
      <w:proofErr w:type="gramStart"/>
      <w:r>
        <w:rPr>
          <w:sz w:val="20"/>
          <w:szCs w:val="20"/>
        </w:rPr>
        <w:t>Table 2.</w:t>
      </w:r>
      <w:proofErr w:type="gramEnd"/>
      <w:r w:rsidR="00245D7C" w:rsidRPr="006631D1">
        <w:rPr>
          <w:sz w:val="20"/>
          <w:szCs w:val="20"/>
        </w:rPr>
        <w:t xml:space="preserve"> Results of validation p</w:t>
      </w:r>
      <w:r w:rsidR="00A6493A">
        <w:rPr>
          <w:sz w:val="20"/>
          <w:szCs w:val="20"/>
        </w:rPr>
        <w:t>arameters for all three methods</w:t>
      </w:r>
    </w:p>
    <w:tbl>
      <w:tblPr>
        <w:tblW w:w="8801" w:type="dxa"/>
        <w:tblLook w:val="04A0" w:firstRow="1" w:lastRow="0" w:firstColumn="1" w:lastColumn="0" w:noHBand="0" w:noVBand="1"/>
      </w:tblPr>
      <w:tblGrid>
        <w:gridCol w:w="2460"/>
        <w:gridCol w:w="2137"/>
        <w:gridCol w:w="2137"/>
        <w:gridCol w:w="2067"/>
      </w:tblGrid>
      <w:tr w:rsidR="006631D1" w:rsidRPr="006631D1" w:rsidTr="00245D7C">
        <w:tc>
          <w:tcPr>
            <w:tcW w:w="2460" w:type="dxa"/>
            <w:vMerge w:val="restart"/>
            <w:tcBorders>
              <w:top w:val="single" w:sz="4" w:space="0" w:color="auto"/>
              <w:bottom w:val="single" w:sz="4" w:space="0" w:color="auto"/>
            </w:tcBorders>
            <w:vAlign w:val="center"/>
            <w:hideMark/>
          </w:tcPr>
          <w:p w:rsidR="00245D7C" w:rsidRPr="00A6493A" w:rsidRDefault="00245D7C" w:rsidP="006B2BEB">
            <w:pPr>
              <w:pStyle w:val="BodyTextIndent"/>
              <w:spacing w:before="60"/>
              <w:ind w:left="0"/>
              <w:rPr>
                <w:b/>
                <w:sz w:val="20"/>
                <w:szCs w:val="20"/>
              </w:rPr>
            </w:pPr>
            <w:r w:rsidRPr="00A6493A">
              <w:rPr>
                <w:b/>
                <w:sz w:val="20"/>
                <w:szCs w:val="20"/>
              </w:rPr>
              <w:t>Validation parameter</w:t>
            </w:r>
          </w:p>
        </w:tc>
        <w:tc>
          <w:tcPr>
            <w:tcW w:w="6341" w:type="dxa"/>
            <w:gridSpan w:val="3"/>
            <w:tcBorders>
              <w:top w:val="single" w:sz="4" w:space="0" w:color="auto"/>
              <w:bottom w:val="single" w:sz="4" w:space="0" w:color="auto"/>
            </w:tcBorders>
            <w:vAlign w:val="center"/>
            <w:hideMark/>
          </w:tcPr>
          <w:p w:rsidR="00245D7C" w:rsidRPr="00A6493A" w:rsidRDefault="00A6493A" w:rsidP="006B2BEB">
            <w:pPr>
              <w:pStyle w:val="BodyTextIndent"/>
              <w:tabs>
                <w:tab w:val="left" w:pos="2340"/>
              </w:tabs>
              <w:spacing w:before="60"/>
              <w:ind w:left="0"/>
              <w:jc w:val="center"/>
              <w:rPr>
                <w:b/>
                <w:sz w:val="20"/>
                <w:szCs w:val="20"/>
              </w:rPr>
            </w:pPr>
            <w:r>
              <w:rPr>
                <w:b/>
                <w:sz w:val="20"/>
                <w:szCs w:val="20"/>
              </w:rPr>
              <w:t>% Result Obtained</w:t>
            </w:r>
            <w:r w:rsidR="00245D7C" w:rsidRPr="00A6493A">
              <w:rPr>
                <w:b/>
                <w:sz w:val="20"/>
                <w:szCs w:val="20"/>
              </w:rPr>
              <w:t xml:space="preserve"> (mean)* ± SD</w:t>
            </w:r>
          </w:p>
        </w:tc>
      </w:tr>
      <w:tr w:rsidR="006631D1" w:rsidRPr="006631D1" w:rsidTr="00245D7C">
        <w:tc>
          <w:tcPr>
            <w:tcW w:w="0" w:type="auto"/>
            <w:vMerge/>
            <w:tcBorders>
              <w:top w:val="single" w:sz="4" w:space="0" w:color="auto"/>
              <w:bottom w:val="single" w:sz="4" w:space="0" w:color="auto"/>
            </w:tcBorders>
            <w:vAlign w:val="center"/>
            <w:hideMark/>
          </w:tcPr>
          <w:p w:rsidR="00245D7C" w:rsidRPr="00A6493A" w:rsidRDefault="00245D7C" w:rsidP="006B2BEB">
            <w:pPr>
              <w:wordWrap/>
              <w:spacing w:before="60" w:after="120"/>
              <w:rPr>
                <w:rFonts w:ascii="Times New Roman" w:eastAsia="Times New Roman" w:hAnsi="Times New Roman" w:cs="Times New Roman"/>
                <w:b/>
                <w:szCs w:val="20"/>
              </w:rPr>
            </w:pPr>
          </w:p>
        </w:tc>
        <w:tc>
          <w:tcPr>
            <w:tcW w:w="2137" w:type="dxa"/>
            <w:tcBorders>
              <w:top w:val="single" w:sz="4" w:space="0" w:color="auto"/>
              <w:bottom w:val="single" w:sz="4" w:space="0" w:color="auto"/>
            </w:tcBorders>
            <w:vAlign w:val="center"/>
            <w:hideMark/>
          </w:tcPr>
          <w:p w:rsidR="00245D7C" w:rsidRPr="00A6493A" w:rsidRDefault="00245D7C" w:rsidP="006B2BEB">
            <w:pPr>
              <w:wordWrap/>
              <w:spacing w:before="60" w:after="120"/>
              <w:jc w:val="center"/>
              <w:rPr>
                <w:rFonts w:ascii="Times New Roman" w:hAnsi="Times New Roman" w:cs="Times New Roman"/>
                <w:b/>
                <w:iCs/>
                <w:szCs w:val="20"/>
              </w:rPr>
            </w:pPr>
            <w:r w:rsidRPr="00A6493A">
              <w:rPr>
                <w:rFonts w:ascii="Times New Roman" w:hAnsi="Times New Roman" w:cs="Times New Roman"/>
                <w:b/>
                <w:iCs/>
                <w:szCs w:val="20"/>
              </w:rPr>
              <w:t>LRE method</w:t>
            </w:r>
          </w:p>
        </w:tc>
        <w:tc>
          <w:tcPr>
            <w:tcW w:w="2137" w:type="dxa"/>
            <w:tcBorders>
              <w:top w:val="single" w:sz="4" w:space="0" w:color="auto"/>
              <w:bottom w:val="single" w:sz="4" w:space="0" w:color="auto"/>
            </w:tcBorders>
            <w:vAlign w:val="center"/>
            <w:hideMark/>
          </w:tcPr>
          <w:p w:rsidR="00245D7C" w:rsidRPr="00A6493A" w:rsidRDefault="00245D7C" w:rsidP="006B2BEB">
            <w:pPr>
              <w:wordWrap/>
              <w:spacing w:before="60" w:after="120"/>
              <w:jc w:val="center"/>
              <w:rPr>
                <w:rFonts w:ascii="Times New Roman" w:hAnsi="Times New Roman" w:cs="Times New Roman"/>
                <w:b/>
                <w:iCs/>
                <w:szCs w:val="20"/>
              </w:rPr>
            </w:pPr>
            <w:r w:rsidRPr="00A6493A">
              <w:rPr>
                <w:rFonts w:ascii="Times New Roman" w:hAnsi="Times New Roman" w:cs="Times New Roman"/>
                <w:b/>
                <w:iCs/>
                <w:szCs w:val="20"/>
              </w:rPr>
              <w:t>SA method</w:t>
            </w:r>
          </w:p>
        </w:tc>
        <w:tc>
          <w:tcPr>
            <w:tcW w:w="2067" w:type="dxa"/>
            <w:tcBorders>
              <w:top w:val="single" w:sz="4" w:space="0" w:color="auto"/>
              <w:bottom w:val="single" w:sz="4" w:space="0" w:color="auto"/>
            </w:tcBorders>
            <w:vAlign w:val="center"/>
            <w:hideMark/>
          </w:tcPr>
          <w:p w:rsidR="00245D7C" w:rsidRPr="00A6493A" w:rsidRDefault="00245D7C" w:rsidP="006B2BEB">
            <w:pPr>
              <w:pStyle w:val="BodyTextIndent"/>
              <w:tabs>
                <w:tab w:val="left" w:pos="2340"/>
              </w:tabs>
              <w:spacing w:before="60"/>
              <w:ind w:left="0"/>
              <w:jc w:val="center"/>
              <w:rPr>
                <w:b/>
                <w:sz w:val="20"/>
                <w:szCs w:val="20"/>
              </w:rPr>
            </w:pPr>
            <w:r w:rsidRPr="00A6493A">
              <w:rPr>
                <w:b/>
                <w:sz w:val="20"/>
                <w:szCs w:val="20"/>
              </w:rPr>
              <w:t>FOD method</w:t>
            </w:r>
          </w:p>
        </w:tc>
      </w:tr>
      <w:tr w:rsidR="006631D1" w:rsidRPr="006631D1" w:rsidTr="00245D7C">
        <w:tc>
          <w:tcPr>
            <w:tcW w:w="2460" w:type="dxa"/>
            <w:tcBorders>
              <w:top w:val="single" w:sz="4" w:space="0" w:color="auto"/>
            </w:tcBorders>
            <w:vAlign w:val="center"/>
            <w:hideMark/>
          </w:tcPr>
          <w:p w:rsidR="00245D7C" w:rsidRPr="006631D1" w:rsidRDefault="00245D7C" w:rsidP="006B2BEB">
            <w:pPr>
              <w:pStyle w:val="BodyTextIndent"/>
              <w:spacing w:before="60"/>
              <w:ind w:left="0"/>
              <w:rPr>
                <w:sz w:val="20"/>
                <w:szCs w:val="20"/>
              </w:rPr>
            </w:pPr>
            <w:r w:rsidRPr="006631D1">
              <w:rPr>
                <w:sz w:val="20"/>
                <w:szCs w:val="20"/>
              </w:rPr>
              <w:t>Linearity</w:t>
            </w:r>
          </w:p>
        </w:tc>
        <w:tc>
          <w:tcPr>
            <w:tcW w:w="2137" w:type="dxa"/>
            <w:tcBorders>
              <w:top w:val="single" w:sz="4" w:space="0" w:color="auto"/>
            </w:tcBorders>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99.89 ± 0.081</w:t>
            </w:r>
          </w:p>
        </w:tc>
        <w:tc>
          <w:tcPr>
            <w:tcW w:w="2137" w:type="dxa"/>
            <w:tcBorders>
              <w:top w:val="single" w:sz="4" w:space="0" w:color="auto"/>
            </w:tcBorders>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100.93 ± 0.087</w:t>
            </w:r>
          </w:p>
        </w:tc>
        <w:tc>
          <w:tcPr>
            <w:tcW w:w="2067" w:type="dxa"/>
            <w:tcBorders>
              <w:top w:val="single" w:sz="4" w:space="0" w:color="auto"/>
            </w:tcBorders>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100.12 ± 0.057</w:t>
            </w:r>
          </w:p>
        </w:tc>
      </w:tr>
      <w:tr w:rsidR="006631D1" w:rsidRPr="006631D1" w:rsidTr="00245D7C">
        <w:tc>
          <w:tcPr>
            <w:tcW w:w="2460" w:type="dxa"/>
            <w:vAlign w:val="center"/>
            <w:hideMark/>
          </w:tcPr>
          <w:p w:rsidR="00245D7C" w:rsidRPr="006631D1" w:rsidRDefault="00245D7C" w:rsidP="006B2BEB">
            <w:pPr>
              <w:pStyle w:val="BodyTextIndent"/>
              <w:spacing w:before="60"/>
              <w:ind w:left="0"/>
              <w:rPr>
                <w:sz w:val="20"/>
                <w:szCs w:val="20"/>
              </w:rPr>
            </w:pPr>
            <w:r w:rsidRPr="006631D1">
              <w:rPr>
                <w:sz w:val="20"/>
                <w:szCs w:val="20"/>
              </w:rPr>
              <w:t>Accuracy</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100.63 ± 0.092</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100.83 ± 0.092</w:t>
            </w:r>
          </w:p>
        </w:tc>
        <w:tc>
          <w:tcPr>
            <w:tcW w:w="206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100.12 ± 0.082</w:t>
            </w:r>
          </w:p>
        </w:tc>
      </w:tr>
      <w:tr w:rsidR="006631D1" w:rsidRPr="006631D1" w:rsidTr="00245D7C">
        <w:tc>
          <w:tcPr>
            <w:tcW w:w="2460" w:type="dxa"/>
            <w:vAlign w:val="center"/>
            <w:hideMark/>
          </w:tcPr>
          <w:p w:rsidR="00245D7C" w:rsidRPr="006631D1" w:rsidRDefault="00245D7C" w:rsidP="006B2BEB">
            <w:pPr>
              <w:pStyle w:val="BodyTextIndent"/>
              <w:spacing w:before="60"/>
              <w:ind w:left="0"/>
              <w:rPr>
                <w:sz w:val="20"/>
                <w:szCs w:val="20"/>
              </w:rPr>
            </w:pPr>
            <w:r w:rsidRPr="006631D1">
              <w:rPr>
                <w:sz w:val="20"/>
                <w:szCs w:val="20"/>
              </w:rPr>
              <w:t>Precision</w:t>
            </w:r>
          </w:p>
        </w:tc>
        <w:tc>
          <w:tcPr>
            <w:tcW w:w="2137" w:type="dxa"/>
            <w:vAlign w:val="center"/>
            <w:hideMark/>
          </w:tcPr>
          <w:p w:rsidR="00245D7C" w:rsidRPr="006631D1" w:rsidRDefault="00245D7C" w:rsidP="006B2BEB">
            <w:pPr>
              <w:wordWrap/>
              <w:spacing w:before="60" w:after="120"/>
              <w:rPr>
                <w:rFonts w:ascii="Times New Roman" w:hAnsi="Times New Roman" w:cs="Times New Roman"/>
                <w:szCs w:val="20"/>
              </w:rPr>
            </w:pPr>
          </w:p>
        </w:tc>
        <w:tc>
          <w:tcPr>
            <w:tcW w:w="2137" w:type="dxa"/>
            <w:vAlign w:val="center"/>
            <w:hideMark/>
          </w:tcPr>
          <w:p w:rsidR="00245D7C" w:rsidRPr="006631D1" w:rsidRDefault="00245D7C" w:rsidP="006B2BEB">
            <w:pPr>
              <w:wordWrap/>
              <w:spacing w:before="60" w:after="120"/>
              <w:rPr>
                <w:rFonts w:ascii="Times New Roman" w:hAnsi="Times New Roman" w:cs="Times New Roman"/>
                <w:szCs w:val="20"/>
              </w:rPr>
            </w:pPr>
          </w:p>
        </w:tc>
        <w:tc>
          <w:tcPr>
            <w:tcW w:w="2067" w:type="dxa"/>
            <w:vAlign w:val="center"/>
            <w:hideMark/>
          </w:tcPr>
          <w:p w:rsidR="00245D7C" w:rsidRPr="006631D1" w:rsidRDefault="00245D7C" w:rsidP="006B2BEB">
            <w:pPr>
              <w:wordWrap/>
              <w:spacing w:before="60" w:after="120"/>
              <w:rPr>
                <w:rFonts w:ascii="Times New Roman" w:hAnsi="Times New Roman" w:cs="Times New Roman"/>
                <w:szCs w:val="20"/>
              </w:rPr>
            </w:pPr>
          </w:p>
        </w:tc>
      </w:tr>
      <w:tr w:rsidR="006631D1" w:rsidRPr="006631D1" w:rsidTr="00245D7C">
        <w:tc>
          <w:tcPr>
            <w:tcW w:w="2460" w:type="dxa"/>
            <w:vAlign w:val="center"/>
            <w:hideMark/>
          </w:tcPr>
          <w:p w:rsidR="00245D7C" w:rsidRPr="006631D1" w:rsidRDefault="00245D7C" w:rsidP="006B2BEB">
            <w:pPr>
              <w:pStyle w:val="BodyTextIndent"/>
              <w:spacing w:before="60"/>
              <w:ind w:left="75"/>
              <w:rPr>
                <w:sz w:val="20"/>
                <w:szCs w:val="20"/>
              </w:rPr>
            </w:pPr>
            <w:r w:rsidRPr="006631D1">
              <w:rPr>
                <w:sz w:val="20"/>
                <w:szCs w:val="20"/>
              </w:rPr>
              <w:t>I. Repeatability</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99.79 ± 0.086</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101.06 ± 0.063</w:t>
            </w:r>
          </w:p>
        </w:tc>
        <w:tc>
          <w:tcPr>
            <w:tcW w:w="206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99.85 ± 0.043</w:t>
            </w:r>
          </w:p>
        </w:tc>
      </w:tr>
      <w:tr w:rsidR="006631D1" w:rsidRPr="006631D1" w:rsidTr="00245D7C">
        <w:tc>
          <w:tcPr>
            <w:tcW w:w="2460" w:type="dxa"/>
            <w:vAlign w:val="center"/>
            <w:hideMark/>
          </w:tcPr>
          <w:p w:rsidR="00245D7C" w:rsidRPr="006631D1" w:rsidRDefault="00245D7C" w:rsidP="003443CC">
            <w:pPr>
              <w:pStyle w:val="BodyTextIndent"/>
              <w:spacing w:before="60"/>
              <w:ind w:left="358" w:hanging="284"/>
              <w:rPr>
                <w:sz w:val="20"/>
                <w:szCs w:val="20"/>
              </w:rPr>
            </w:pPr>
            <w:r w:rsidRPr="006631D1">
              <w:rPr>
                <w:sz w:val="20"/>
                <w:szCs w:val="20"/>
              </w:rPr>
              <w:t>II. Intermediate</w:t>
            </w:r>
            <w:r w:rsidR="003443CC" w:rsidRPr="006631D1">
              <w:rPr>
                <w:sz w:val="20"/>
                <w:szCs w:val="20"/>
              </w:rPr>
              <w:t xml:space="preserve"> p</w:t>
            </w:r>
            <w:r w:rsidRPr="006631D1">
              <w:rPr>
                <w:sz w:val="20"/>
                <w:szCs w:val="20"/>
              </w:rPr>
              <w:t>recision</w:t>
            </w:r>
          </w:p>
        </w:tc>
        <w:tc>
          <w:tcPr>
            <w:tcW w:w="2137" w:type="dxa"/>
            <w:vAlign w:val="center"/>
          </w:tcPr>
          <w:p w:rsidR="00245D7C" w:rsidRPr="006631D1" w:rsidRDefault="00245D7C" w:rsidP="006B2BEB">
            <w:pPr>
              <w:pStyle w:val="BodyTextIndent"/>
              <w:tabs>
                <w:tab w:val="left" w:pos="2340"/>
              </w:tabs>
              <w:spacing w:before="60"/>
              <w:ind w:left="0"/>
              <w:jc w:val="center"/>
              <w:rPr>
                <w:sz w:val="20"/>
                <w:szCs w:val="20"/>
              </w:rPr>
            </w:pPr>
          </w:p>
        </w:tc>
        <w:tc>
          <w:tcPr>
            <w:tcW w:w="2137" w:type="dxa"/>
            <w:vAlign w:val="center"/>
          </w:tcPr>
          <w:p w:rsidR="00245D7C" w:rsidRPr="006631D1" w:rsidRDefault="00245D7C" w:rsidP="006B2BEB">
            <w:pPr>
              <w:pStyle w:val="BodyTextIndent"/>
              <w:tabs>
                <w:tab w:val="left" w:pos="2340"/>
              </w:tabs>
              <w:spacing w:before="60"/>
              <w:ind w:left="0"/>
              <w:jc w:val="center"/>
              <w:rPr>
                <w:sz w:val="20"/>
                <w:szCs w:val="20"/>
              </w:rPr>
            </w:pPr>
          </w:p>
        </w:tc>
        <w:tc>
          <w:tcPr>
            <w:tcW w:w="2067" w:type="dxa"/>
            <w:vAlign w:val="center"/>
          </w:tcPr>
          <w:p w:rsidR="00245D7C" w:rsidRPr="006631D1" w:rsidRDefault="00245D7C" w:rsidP="006B2BEB">
            <w:pPr>
              <w:pStyle w:val="BodyTextIndent"/>
              <w:tabs>
                <w:tab w:val="left" w:pos="2340"/>
              </w:tabs>
              <w:spacing w:before="60"/>
              <w:ind w:left="0"/>
              <w:jc w:val="center"/>
              <w:rPr>
                <w:sz w:val="20"/>
                <w:szCs w:val="20"/>
              </w:rPr>
            </w:pPr>
          </w:p>
        </w:tc>
      </w:tr>
      <w:tr w:rsidR="006631D1" w:rsidRPr="006631D1" w:rsidTr="00245D7C">
        <w:tc>
          <w:tcPr>
            <w:tcW w:w="2460" w:type="dxa"/>
            <w:vAlign w:val="center"/>
            <w:hideMark/>
          </w:tcPr>
          <w:p w:rsidR="00245D7C" w:rsidRPr="006631D1" w:rsidRDefault="00245D7C" w:rsidP="006B2BEB">
            <w:pPr>
              <w:pStyle w:val="BodyTextIndent"/>
              <w:numPr>
                <w:ilvl w:val="0"/>
                <w:numId w:val="1"/>
              </w:numPr>
              <w:spacing w:before="60"/>
              <w:ind w:left="731" w:hanging="357"/>
              <w:rPr>
                <w:sz w:val="20"/>
                <w:szCs w:val="20"/>
              </w:rPr>
            </w:pPr>
            <w:r w:rsidRPr="006631D1">
              <w:rPr>
                <w:sz w:val="20"/>
                <w:szCs w:val="20"/>
              </w:rPr>
              <w:t>Days</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100.94 ± 0.031</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99.98 ± 0.073</w:t>
            </w:r>
          </w:p>
        </w:tc>
        <w:tc>
          <w:tcPr>
            <w:tcW w:w="206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100.04 ± 0.059</w:t>
            </w:r>
          </w:p>
        </w:tc>
      </w:tr>
      <w:tr w:rsidR="006631D1" w:rsidRPr="006631D1" w:rsidTr="00245D7C">
        <w:tc>
          <w:tcPr>
            <w:tcW w:w="2460" w:type="dxa"/>
            <w:vAlign w:val="center"/>
            <w:hideMark/>
          </w:tcPr>
          <w:p w:rsidR="00245D7C" w:rsidRPr="006631D1" w:rsidRDefault="00245D7C" w:rsidP="006B2BEB">
            <w:pPr>
              <w:pStyle w:val="BodyTextIndent"/>
              <w:numPr>
                <w:ilvl w:val="0"/>
                <w:numId w:val="1"/>
              </w:numPr>
              <w:spacing w:before="60"/>
              <w:rPr>
                <w:sz w:val="20"/>
                <w:szCs w:val="20"/>
              </w:rPr>
            </w:pPr>
            <w:r w:rsidRPr="006631D1">
              <w:rPr>
                <w:sz w:val="20"/>
                <w:szCs w:val="20"/>
              </w:rPr>
              <w:t>Analysts</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99.98 ± 0.099</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100.45 ± 0.089</w:t>
            </w:r>
          </w:p>
        </w:tc>
        <w:tc>
          <w:tcPr>
            <w:tcW w:w="206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100.86 ± 0.042</w:t>
            </w:r>
          </w:p>
        </w:tc>
      </w:tr>
      <w:tr w:rsidR="006631D1" w:rsidRPr="006631D1" w:rsidTr="00245D7C">
        <w:tc>
          <w:tcPr>
            <w:tcW w:w="2460" w:type="dxa"/>
            <w:vAlign w:val="center"/>
            <w:hideMark/>
          </w:tcPr>
          <w:p w:rsidR="00245D7C" w:rsidRPr="006631D1" w:rsidRDefault="00245D7C" w:rsidP="006B2BEB">
            <w:pPr>
              <w:pStyle w:val="BodyTextIndent"/>
              <w:numPr>
                <w:ilvl w:val="0"/>
                <w:numId w:val="1"/>
              </w:numPr>
              <w:spacing w:before="60"/>
              <w:rPr>
                <w:sz w:val="20"/>
                <w:szCs w:val="20"/>
              </w:rPr>
            </w:pPr>
            <w:r w:rsidRPr="006631D1">
              <w:rPr>
                <w:sz w:val="20"/>
                <w:szCs w:val="20"/>
              </w:rPr>
              <w:t>Instruments</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100.75 ± 0.071</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99.79 ± 0.062</w:t>
            </w:r>
          </w:p>
        </w:tc>
        <w:tc>
          <w:tcPr>
            <w:tcW w:w="206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99.96 ± 0.084</w:t>
            </w:r>
          </w:p>
        </w:tc>
      </w:tr>
      <w:tr w:rsidR="006631D1" w:rsidRPr="006631D1" w:rsidTr="00245D7C">
        <w:tc>
          <w:tcPr>
            <w:tcW w:w="2460" w:type="dxa"/>
            <w:vAlign w:val="center"/>
            <w:hideMark/>
          </w:tcPr>
          <w:p w:rsidR="00245D7C" w:rsidRPr="006631D1" w:rsidRDefault="00245D7C" w:rsidP="006B2BEB">
            <w:pPr>
              <w:pStyle w:val="BodyTextIndent"/>
              <w:spacing w:before="60"/>
              <w:ind w:left="0"/>
              <w:rPr>
                <w:sz w:val="20"/>
                <w:szCs w:val="20"/>
              </w:rPr>
            </w:pPr>
            <w:r w:rsidRPr="006631D1">
              <w:rPr>
                <w:sz w:val="20"/>
                <w:szCs w:val="20"/>
              </w:rPr>
              <w:t>Robustness</w:t>
            </w:r>
          </w:p>
        </w:tc>
        <w:tc>
          <w:tcPr>
            <w:tcW w:w="2137" w:type="dxa"/>
            <w:vAlign w:val="center"/>
            <w:hideMark/>
          </w:tcPr>
          <w:p w:rsidR="00245D7C" w:rsidRPr="006631D1" w:rsidRDefault="00245D7C" w:rsidP="006B2BEB">
            <w:pPr>
              <w:wordWrap/>
              <w:spacing w:before="60" w:after="120"/>
              <w:rPr>
                <w:rFonts w:ascii="Times New Roman" w:hAnsi="Times New Roman" w:cs="Times New Roman"/>
                <w:szCs w:val="20"/>
              </w:rPr>
            </w:pPr>
          </w:p>
        </w:tc>
        <w:tc>
          <w:tcPr>
            <w:tcW w:w="2137" w:type="dxa"/>
            <w:vAlign w:val="center"/>
            <w:hideMark/>
          </w:tcPr>
          <w:p w:rsidR="00245D7C" w:rsidRPr="006631D1" w:rsidRDefault="00245D7C" w:rsidP="006B2BEB">
            <w:pPr>
              <w:wordWrap/>
              <w:spacing w:before="60" w:after="120"/>
              <w:rPr>
                <w:rFonts w:ascii="Times New Roman" w:hAnsi="Times New Roman" w:cs="Times New Roman"/>
                <w:szCs w:val="20"/>
              </w:rPr>
            </w:pPr>
          </w:p>
        </w:tc>
        <w:tc>
          <w:tcPr>
            <w:tcW w:w="2067" w:type="dxa"/>
            <w:vAlign w:val="center"/>
            <w:hideMark/>
          </w:tcPr>
          <w:p w:rsidR="00245D7C" w:rsidRPr="006631D1" w:rsidRDefault="00245D7C" w:rsidP="006B2BEB">
            <w:pPr>
              <w:wordWrap/>
              <w:spacing w:before="60" w:after="120"/>
              <w:rPr>
                <w:rFonts w:ascii="Times New Roman" w:hAnsi="Times New Roman" w:cs="Times New Roman"/>
                <w:szCs w:val="20"/>
              </w:rPr>
            </w:pPr>
          </w:p>
        </w:tc>
      </w:tr>
      <w:tr w:rsidR="006631D1" w:rsidRPr="006631D1" w:rsidTr="00245D7C">
        <w:tc>
          <w:tcPr>
            <w:tcW w:w="2460" w:type="dxa"/>
            <w:vAlign w:val="center"/>
            <w:hideMark/>
          </w:tcPr>
          <w:p w:rsidR="00245D7C" w:rsidRPr="006631D1" w:rsidRDefault="00245D7C" w:rsidP="006B2BEB">
            <w:pPr>
              <w:pStyle w:val="BodyTextIndent"/>
              <w:spacing w:before="60"/>
              <w:ind w:left="423"/>
              <w:rPr>
                <w:sz w:val="20"/>
                <w:szCs w:val="20"/>
              </w:rPr>
            </w:pPr>
            <w:r w:rsidRPr="006631D1">
              <w:rPr>
                <w:sz w:val="20"/>
                <w:szCs w:val="20"/>
              </w:rPr>
              <w:t>35° C</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100.42 ± 0.059</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100.05 ± 0.079</w:t>
            </w:r>
          </w:p>
        </w:tc>
        <w:tc>
          <w:tcPr>
            <w:tcW w:w="206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101.01 ± 0.076</w:t>
            </w:r>
          </w:p>
        </w:tc>
      </w:tr>
      <w:tr w:rsidR="006631D1" w:rsidRPr="006631D1" w:rsidTr="00245D7C">
        <w:tc>
          <w:tcPr>
            <w:tcW w:w="2460" w:type="dxa"/>
            <w:vAlign w:val="center"/>
            <w:hideMark/>
          </w:tcPr>
          <w:p w:rsidR="00245D7C" w:rsidRPr="006631D1" w:rsidRDefault="00245D7C" w:rsidP="006B2BEB">
            <w:pPr>
              <w:pStyle w:val="BodyTextIndent"/>
              <w:spacing w:before="60"/>
              <w:ind w:left="423"/>
              <w:rPr>
                <w:sz w:val="20"/>
                <w:szCs w:val="20"/>
              </w:rPr>
            </w:pPr>
            <w:r w:rsidRPr="006631D1">
              <w:rPr>
                <w:sz w:val="20"/>
                <w:szCs w:val="20"/>
              </w:rPr>
              <w:t>30° C</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100.08 ± 0.094</w:t>
            </w:r>
          </w:p>
        </w:tc>
        <w:tc>
          <w:tcPr>
            <w:tcW w:w="213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99.79 ± 0.083</w:t>
            </w:r>
          </w:p>
        </w:tc>
        <w:tc>
          <w:tcPr>
            <w:tcW w:w="2067" w:type="dxa"/>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99.86 ± 0.065</w:t>
            </w:r>
          </w:p>
        </w:tc>
      </w:tr>
      <w:tr w:rsidR="006631D1" w:rsidRPr="006631D1" w:rsidTr="00245D7C">
        <w:tc>
          <w:tcPr>
            <w:tcW w:w="2460" w:type="dxa"/>
            <w:tcBorders>
              <w:bottom w:val="single" w:sz="4" w:space="0" w:color="auto"/>
            </w:tcBorders>
            <w:vAlign w:val="center"/>
            <w:hideMark/>
          </w:tcPr>
          <w:p w:rsidR="00245D7C" w:rsidRPr="006631D1" w:rsidRDefault="00245D7C" w:rsidP="006B2BEB">
            <w:pPr>
              <w:pStyle w:val="BodyTextIndent"/>
              <w:spacing w:before="60"/>
              <w:ind w:left="423"/>
              <w:rPr>
                <w:sz w:val="20"/>
                <w:szCs w:val="20"/>
              </w:rPr>
            </w:pPr>
            <w:r w:rsidRPr="006631D1">
              <w:rPr>
                <w:sz w:val="20"/>
                <w:szCs w:val="20"/>
              </w:rPr>
              <w:t>25° C</w:t>
            </w:r>
          </w:p>
        </w:tc>
        <w:tc>
          <w:tcPr>
            <w:tcW w:w="2137" w:type="dxa"/>
            <w:tcBorders>
              <w:bottom w:val="single" w:sz="4" w:space="0" w:color="auto"/>
            </w:tcBorders>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99.88 ± 0.069</w:t>
            </w:r>
          </w:p>
        </w:tc>
        <w:tc>
          <w:tcPr>
            <w:tcW w:w="2137" w:type="dxa"/>
            <w:tcBorders>
              <w:bottom w:val="single" w:sz="4" w:space="0" w:color="auto"/>
            </w:tcBorders>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100.32 ± 0.049</w:t>
            </w:r>
          </w:p>
        </w:tc>
        <w:tc>
          <w:tcPr>
            <w:tcW w:w="2067" w:type="dxa"/>
            <w:tcBorders>
              <w:bottom w:val="single" w:sz="4" w:space="0" w:color="auto"/>
            </w:tcBorders>
            <w:vAlign w:val="center"/>
            <w:hideMark/>
          </w:tcPr>
          <w:p w:rsidR="00245D7C" w:rsidRPr="006631D1" w:rsidRDefault="00245D7C" w:rsidP="006B2BEB">
            <w:pPr>
              <w:pStyle w:val="BodyTextIndent"/>
              <w:tabs>
                <w:tab w:val="left" w:pos="2340"/>
              </w:tabs>
              <w:spacing w:before="60"/>
              <w:ind w:left="0"/>
              <w:jc w:val="center"/>
              <w:rPr>
                <w:sz w:val="20"/>
                <w:szCs w:val="20"/>
              </w:rPr>
            </w:pPr>
            <w:r w:rsidRPr="006631D1">
              <w:rPr>
                <w:sz w:val="20"/>
                <w:szCs w:val="20"/>
              </w:rPr>
              <w:t>99.93 ± 0.082</w:t>
            </w:r>
          </w:p>
        </w:tc>
      </w:tr>
    </w:tbl>
    <w:p w:rsidR="00245D7C" w:rsidRPr="006631D1" w:rsidRDefault="00245D7C" w:rsidP="00122BDA">
      <w:pPr>
        <w:pStyle w:val="BodyTextIndent"/>
        <w:spacing w:before="120" w:line="360" w:lineRule="auto"/>
        <w:ind w:left="0"/>
        <w:jc w:val="both"/>
        <w:rPr>
          <w:sz w:val="20"/>
          <w:szCs w:val="20"/>
        </w:rPr>
      </w:pPr>
      <w:r w:rsidRPr="006631D1">
        <w:rPr>
          <w:sz w:val="20"/>
          <w:szCs w:val="20"/>
        </w:rPr>
        <w:t>* mean of six dilutions in three replicates. SD = standard deviation.</w:t>
      </w:r>
    </w:p>
    <w:p w:rsidR="00A6493A" w:rsidRDefault="006B2BEB" w:rsidP="00A6493A">
      <w:pPr>
        <w:pStyle w:val="BodyTextIndent"/>
        <w:spacing w:after="0"/>
        <w:ind w:left="0"/>
        <w:jc w:val="both"/>
        <w:rPr>
          <w:sz w:val="20"/>
        </w:rPr>
      </w:pPr>
      <w:r w:rsidRPr="006631D1">
        <w:rPr>
          <w:sz w:val="20"/>
        </w:rPr>
        <w:t>The Beer-</w:t>
      </w:r>
      <w:proofErr w:type="spellStart"/>
      <w:r w:rsidRPr="006631D1">
        <w:rPr>
          <w:sz w:val="20"/>
        </w:rPr>
        <w:t>Lambart’s</w:t>
      </w:r>
      <w:proofErr w:type="spellEnd"/>
      <w:r w:rsidRPr="006631D1">
        <w:rPr>
          <w:sz w:val="20"/>
        </w:rPr>
        <w:t xml:space="preserve"> law was obeyed at the concentration of 10-50 µg/mL and the linearity for the all the methods (LRE, SA and FOD method) were determined as 99.89 %, 100.93% and 100.12% respectively (Table </w:t>
      </w:r>
      <w:r w:rsidRPr="006631D1">
        <w:rPr>
          <w:sz w:val="20"/>
        </w:rPr>
        <w:lastRenderedPageBreak/>
        <w:t>2), which were acceptable as standard deviation was within limit (0.057-0.087). Recovery method was adopted to assure the accuracy of the methods which was found to be in between 100.12-100.83% by all the methods with far less than one unit of standard deviation. The repeatability and intermediate precision were studied to assure the precision of the methods. The repeatability of the methods was found in between 99.79-101.06%. The intermediate precision was studied for variation in day of analysis, analyst-to-analyst and instrument-to-instrument. The results for all variations were within 99.79-100.94% limit for all methods. Robustness study was performed to assure the reliability of the methods over the temperature variation (25-35° C) during analysis of the drug and the variation results were in between 99.86-101.01% with l</w:t>
      </w:r>
      <w:r w:rsidR="000311FD" w:rsidRPr="006631D1">
        <w:rPr>
          <w:sz w:val="20"/>
        </w:rPr>
        <w:t>ow</w:t>
      </w:r>
      <w:r w:rsidRPr="006631D1">
        <w:rPr>
          <w:sz w:val="20"/>
        </w:rPr>
        <w:t xml:space="preserve"> standard deviation. </w:t>
      </w:r>
      <w:r w:rsidR="000311FD" w:rsidRPr="006631D1">
        <w:rPr>
          <w:sz w:val="20"/>
        </w:rPr>
        <w:t xml:space="preserve">Therefore, </w:t>
      </w:r>
      <w:r w:rsidRPr="006631D1">
        <w:rPr>
          <w:sz w:val="20"/>
        </w:rPr>
        <w:t xml:space="preserve">results of the validation parameters </w:t>
      </w:r>
      <w:r w:rsidR="009A06DF" w:rsidRPr="006631D1">
        <w:rPr>
          <w:sz w:val="20"/>
        </w:rPr>
        <w:t>were</w:t>
      </w:r>
      <w:r w:rsidRPr="006631D1">
        <w:rPr>
          <w:sz w:val="20"/>
        </w:rPr>
        <w:t xml:space="preserve"> proved that all methods may be equally applicable.</w:t>
      </w:r>
    </w:p>
    <w:p w:rsidR="00A6493A" w:rsidRDefault="00A6493A" w:rsidP="00A6493A">
      <w:pPr>
        <w:pStyle w:val="BodyTextIndent"/>
        <w:spacing w:after="0"/>
        <w:ind w:left="0"/>
        <w:jc w:val="both"/>
        <w:rPr>
          <w:sz w:val="20"/>
        </w:rPr>
      </w:pPr>
    </w:p>
    <w:p w:rsidR="00A6493A" w:rsidRPr="00A6493A" w:rsidRDefault="00F30430" w:rsidP="00A6493A">
      <w:pPr>
        <w:pStyle w:val="BodyTextIndent"/>
        <w:spacing w:after="0"/>
        <w:ind w:left="0"/>
        <w:jc w:val="both"/>
        <w:rPr>
          <w:b/>
          <w:bCs/>
          <w:sz w:val="20"/>
        </w:rPr>
      </w:pPr>
      <w:r w:rsidRPr="00A6493A">
        <w:rPr>
          <w:b/>
          <w:bCs/>
          <w:sz w:val="20"/>
        </w:rPr>
        <w:t>Dosage form</w:t>
      </w:r>
      <w:r w:rsidR="00C33D1B" w:rsidRPr="00A6493A">
        <w:rPr>
          <w:b/>
          <w:bCs/>
          <w:sz w:val="20"/>
        </w:rPr>
        <w:t>ulation a</w:t>
      </w:r>
      <w:r w:rsidRPr="00A6493A">
        <w:rPr>
          <w:b/>
          <w:bCs/>
          <w:sz w:val="20"/>
        </w:rPr>
        <w:t>nalysis</w:t>
      </w:r>
    </w:p>
    <w:p w:rsidR="00F30430" w:rsidRDefault="00F30430" w:rsidP="00A6493A">
      <w:pPr>
        <w:pStyle w:val="BodyTextIndent"/>
        <w:spacing w:after="0"/>
        <w:ind w:left="0"/>
        <w:jc w:val="both"/>
        <w:rPr>
          <w:sz w:val="20"/>
        </w:rPr>
      </w:pPr>
      <w:r w:rsidRPr="00A6493A">
        <w:rPr>
          <w:bCs/>
          <w:sz w:val="20"/>
        </w:rPr>
        <w:t xml:space="preserve">The AMD drug was freely soluble in methanol; the drug powder of tablets was </w:t>
      </w:r>
      <w:proofErr w:type="spellStart"/>
      <w:r w:rsidRPr="00A6493A">
        <w:rPr>
          <w:bCs/>
          <w:sz w:val="20"/>
        </w:rPr>
        <w:t>sonicated</w:t>
      </w:r>
      <w:proofErr w:type="spellEnd"/>
      <w:r w:rsidRPr="00A6493A">
        <w:rPr>
          <w:bCs/>
          <w:sz w:val="20"/>
        </w:rPr>
        <w:t xml:space="preserve"> in methanol to extract the drug content (AMD) from the tablet powder and finally the stock was prepared in 10% aqueous methanol. All the three methods were applied to determine th</w:t>
      </w:r>
      <w:r w:rsidR="00C10B91" w:rsidRPr="00A6493A">
        <w:rPr>
          <w:bCs/>
          <w:sz w:val="20"/>
        </w:rPr>
        <w:t xml:space="preserve">e drug content in tablet </w:t>
      </w:r>
      <w:r w:rsidRPr="00A6493A">
        <w:rPr>
          <w:bCs/>
          <w:sz w:val="20"/>
        </w:rPr>
        <w:t>form</w:t>
      </w:r>
      <w:r w:rsidR="00C10B91" w:rsidRPr="00A6493A">
        <w:rPr>
          <w:bCs/>
          <w:sz w:val="20"/>
        </w:rPr>
        <w:t>ulation</w:t>
      </w:r>
      <w:r w:rsidRPr="00A6493A">
        <w:rPr>
          <w:bCs/>
          <w:sz w:val="20"/>
        </w:rPr>
        <w:t xml:space="preserve"> which was found to be in the range of </w:t>
      </w:r>
      <w:r w:rsidRPr="00A6493A">
        <w:rPr>
          <w:sz w:val="20"/>
        </w:rPr>
        <w:t xml:space="preserve">99.36-101.28%, 99.48-101.09% and 99.78-101.05%, respectively (Table 3). The standard deviation was found in the range of 0.42-0.69, which was acceptability of the all method. </w:t>
      </w:r>
    </w:p>
    <w:p w:rsidR="00A6493A" w:rsidRDefault="00A6493A" w:rsidP="00A6493A">
      <w:pPr>
        <w:pStyle w:val="BodyTextIndent"/>
        <w:spacing w:after="0"/>
        <w:ind w:left="0"/>
        <w:jc w:val="both"/>
        <w:rPr>
          <w:sz w:val="20"/>
        </w:rPr>
      </w:pPr>
    </w:p>
    <w:p w:rsidR="00A6493A" w:rsidRDefault="00A6493A" w:rsidP="00A6493A">
      <w:pPr>
        <w:wordWrap/>
        <w:rPr>
          <w:rFonts w:ascii="Times New Roman" w:hAnsi="Times New Roman" w:cs="Times New Roman"/>
          <w:szCs w:val="24"/>
        </w:rPr>
      </w:pPr>
      <w:r w:rsidRPr="006631D1">
        <w:rPr>
          <w:rFonts w:ascii="Times New Roman" w:eastAsia="Times New Roman" w:hAnsi="Times New Roman" w:cs="Times New Roman"/>
          <w:szCs w:val="24"/>
        </w:rPr>
        <w:t xml:space="preserve">At 95% confidence interval, P value less than 0.05 is considered significant. Results showed P value for tablet analysis using validated methods at all concentration levels was found to be, non-significant as: 0.904, 0.647 and 0.428 respectively. Even different concentration levels </w:t>
      </w:r>
      <w:r w:rsidRPr="006631D1">
        <w:rPr>
          <w:rFonts w:ascii="Times New Roman" w:hAnsi="Times New Roman" w:cs="Times New Roman"/>
          <w:szCs w:val="24"/>
        </w:rPr>
        <w:t xml:space="preserve">(20, 30 and 40 </w:t>
      </w:r>
      <w:r w:rsidRPr="006631D1">
        <w:rPr>
          <w:rFonts w:ascii="Times New Roman" w:hAnsi="Times New Roman" w:cs="Times New Roman"/>
          <w:bCs/>
          <w:szCs w:val="24"/>
        </w:rPr>
        <w:t>µg/mL</w:t>
      </w:r>
      <w:r w:rsidRPr="006631D1">
        <w:rPr>
          <w:rFonts w:ascii="Times New Roman" w:hAnsi="Times New Roman" w:cs="Times New Roman"/>
          <w:szCs w:val="24"/>
        </w:rPr>
        <w:t>)</w:t>
      </w:r>
      <w:r w:rsidRPr="006631D1">
        <w:rPr>
          <w:rFonts w:ascii="Times New Roman" w:eastAsia="Times New Roman" w:hAnsi="Times New Roman" w:cs="Times New Roman"/>
          <w:szCs w:val="24"/>
        </w:rPr>
        <w:t xml:space="preserve"> in individual method was also not significant </w:t>
      </w:r>
      <w:r w:rsidRPr="006631D1">
        <w:rPr>
          <w:rFonts w:ascii="Times New Roman" w:hAnsi="Times New Roman" w:cs="Times New Roman"/>
          <w:szCs w:val="24"/>
        </w:rPr>
        <w:t xml:space="preserve">with P value </w:t>
      </w:r>
      <w:r w:rsidRPr="006631D1">
        <w:rPr>
          <w:rFonts w:ascii="Times New Roman" w:eastAsia="Times New Roman" w:hAnsi="Times New Roman" w:cs="Times New Roman"/>
          <w:szCs w:val="24"/>
        </w:rPr>
        <w:t>0.774</w:t>
      </w:r>
      <w:r w:rsidRPr="006631D1">
        <w:rPr>
          <w:rFonts w:ascii="Times New Roman" w:hAnsi="Times New Roman" w:cs="Times New Roman"/>
          <w:szCs w:val="24"/>
        </w:rPr>
        <w:t xml:space="preserve">, </w:t>
      </w:r>
      <w:r w:rsidRPr="006631D1">
        <w:rPr>
          <w:rFonts w:ascii="Times New Roman" w:eastAsia="Times New Roman" w:hAnsi="Times New Roman" w:cs="Times New Roman"/>
          <w:szCs w:val="24"/>
        </w:rPr>
        <w:t>0.282</w:t>
      </w:r>
      <w:r w:rsidRPr="006631D1">
        <w:rPr>
          <w:rFonts w:ascii="Times New Roman" w:hAnsi="Times New Roman" w:cs="Times New Roman"/>
          <w:szCs w:val="24"/>
        </w:rPr>
        <w:t xml:space="preserve"> and </w:t>
      </w:r>
      <w:r w:rsidRPr="006631D1">
        <w:rPr>
          <w:rFonts w:ascii="Times New Roman" w:eastAsia="Times New Roman" w:hAnsi="Times New Roman" w:cs="Times New Roman"/>
          <w:szCs w:val="24"/>
        </w:rPr>
        <w:t>0.949</w:t>
      </w:r>
      <w:r w:rsidRPr="006631D1">
        <w:rPr>
          <w:rFonts w:ascii="Times New Roman" w:hAnsi="Times New Roman" w:cs="Times New Roman"/>
          <w:szCs w:val="24"/>
        </w:rPr>
        <w:t xml:space="preserve"> (Table 3). </w:t>
      </w:r>
    </w:p>
    <w:p w:rsidR="00A6493A" w:rsidRPr="00A6493A" w:rsidRDefault="00A6493A" w:rsidP="00A6493A">
      <w:pPr>
        <w:wordWrap/>
        <w:rPr>
          <w:rFonts w:ascii="Times New Roman" w:hAnsi="Times New Roman" w:cs="Times New Roman"/>
          <w:szCs w:val="24"/>
        </w:rPr>
      </w:pPr>
    </w:p>
    <w:p w:rsidR="00694724" w:rsidRPr="006631D1" w:rsidRDefault="00694724" w:rsidP="00122BDA">
      <w:pPr>
        <w:wordWrap/>
        <w:spacing w:before="120" w:after="120" w:line="360" w:lineRule="auto"/>
        <w:jc w:val="center"/>
        <w:rPr>
          <w:rFonts w:ascii="Times New Roman" w:hAnsi="Times New Roman" w:cs="Times New Roman"/>
          <w:bCs/>
          <w:szCs w:val="20"/>
        </w:rPr>
      </w:pPr>
      <w:proofErr w:type="gramStart"/>
      <w:r w:rsidRPr="006631D1">
        <w:rPr>
          <w:rFonts w:ascii="Times New Roman" w:hAnsi="Times New Roman" w:cs="Times New Roman"/>
          <w:bCs/>
          <w:szCs w:val="20"/>
        </w:rPr>
        <w:t>Table 3</w:t>
      </w:r>
      <w:r w:rsidR="00A6493A">
        <w:rPr>
          <w:rFonts w:ascii="Times New Roman" w:hAnsi="Times New Roman" w:cs="Times New Roman"/>
          <w:bCs/>
          <w:szCs w:val="20"/>
        </w:rPr>
        <w:t>.</w:t>
      </w:r>
      <w:proofErr w:type="gramEnd"/>
      <w:r w:rsidR="00A6493A">
        <w:rPr>
          <w:rFonts w:ascii="Times New Roman" w:hAnsi="Times New Roman" w:cs="Times New Roman"/>
          <w:bCs/>
          <w:szCs w:val="20"/>
        </w:rPr>
        <w:t xml:space="preserve"> </w:t>
      </w:r>
      <w:proofErr w:type="gramStart"/>
      <w:r w:rsidRPr="006631D1">
        <w:rPr>
          <w:rFonts w:ascii="Times New Roman" w:hAnsi="Times New Roman" w:cs="Times New Roman"/>
          <w:bCs/>
          <w:szCs w:val="20"/>
        </w:rPr>
        <w:t>Analysis of AMD tablets</w:t>
      </w:r>
      <w:r w:rsidR="00FF1D09" w:rsidRPr="006631D1">
        <w:rPr>
          <w:rFonts w:ascii="Times New Roman" w:hAnsi="Times New Roman" w:cs="Times New Roman"/>
          <w:bCs/>
          <w:szCs w:val="20"/>
        </w:rPr>
        <w:t>.</w:t>
      </w:r>
      <w:proofErr w:type="gramEnd"/>
    </w:p>
    <w:tbl>
      <w:tblPr>
        <w:tblW w:w="9880" w:type="dxa"/>
        <w:tblBorders>
          <w:bottom w:val="single" w:sz="4" w:space="0" w:color="auto"/>
        </w:tblBorders>
        <w:tblLook w:val="04A0" w:firstRow="1" w:lastRow="0" w:firstColumn="1" w:lastColumn="0" w:noHBand="0" w:noVBand="1"/>
      </w:tblPr>
      <w:tblGrid>
        <w:gridCol w:w="1080"/>
        <w:gridCol w:w="900"/>
        <w:gridCol w:w="960"/>
        <w:gridCol w:w="960"/>
        <w:gridCol w:w="1040"/>
        <w:gridCol w:w="940"/>
        <w:gridCol w:w="960"/>
        <w:gridCol w:w="980"/>
        <w:gridCol w:w="940"/>
        <w:gridCol w:w="1120"/>
      </w:tblGrid>
      <w:tr w:rsidR="006631D1" w:rsidRPr="006631D1" w:rsidTr="00694724">
        <w:trPr>
          <w:trHeight w:val="315"/>
        </w:trPr>
        <w:tc>
          <w:tcPr>
            <w:tcW w:w="1080" w:type="dxa"/>
            <w:vMerge w:val="restart"/>
            <w:tcBorders>
              <w:top w:val="single" w:sz="4" w:space="0" w:color="auto"/>
              <w:bottom w:val="single" w:sz="4" w:space="0" w:color="auto"/>
            </w:tcBorders>
            <w:vAlign w:val="center"/>
            <w:hideMark/>
          </w:tcPr>
          <w:p w:rsidR="00694724" w:rsidRPr="00A6493A" w:rsidRDefault="00694724" w:rsidP="00EE57AB">
            <w:pPr>
              <w:wordWrap/>
              <w:spacing w:before="60" w:after="60"/>
              <w:rPr>
                <w:rFonts w:ascii="Times New Roman" w:eastAsia="Times New Roman" w:hAnsi="Times New Roman" w:cs="Times New Roman"/>
                <w:b/>
                <w:bCs/>
                <w:szCs w:val="20"/>
              </w:rPr>
            </w:pPr>
            <w:r w:rsidRPr="00A6493A">
              <w:rPr>
                <w:rFonts w:ascii="Times New Roman" w:eastAsia="Times New Roman" w:hAnsi="Times New Roman" w:cs="Times New Roman"/>
                <w:b/>
                <w:bCs/>
                <w:szCs w:val="20"/>
              </w:rPr>
              <w:t>Batch ↓</w:t>
            </w:r>
          </w:p>
        </w:tc>
        <w:tc>
          <w:tcPr>
            <w:tcW w:w="8800" w:type="dxa"/>
            <w:gridSpan w:val="9"/>
            <w:tcBorders>
              <w:top w:val="single" w:sz="4" w:space="0" w:color="auto"/>
              <w:bottom w:val="single" w:sz="4" w:space="0" w:color="auto"/>
            </w:tcBorders>
            <w:vAlign w:val="center"/>
            <w:hideMark/>
          </w:tcPr>
          <w:p w:rsidR="00694724" w:rsidRPr="00A6493A" w:rsidRDefault="00694724" w:rsidP="00EE57AB">
            <w:pPr>
              <w:wordWrap/>
              <w:spacing w:before="60" w:after="60"/>
              <w:jc w:val="center"/>
              <w:rPr>
                <w:rFonts w:ascii="Times New Roman" w:eastAsia="Times New Roman" w:hAnsi="Times New Roman" w:cs="Times New Roman"/>
                <w:b/>
                <w:bCs/>
                <w:szCs w:val="20"/>
              </w:rPr>
            </w:pPr>
            <w:r w:rsidRPr="00A6493A">
              <w:rPr>
                <w:rFonts w:ascii="Times New Roman" w:eastAsia="Times New Roman" w:hAnsi="Times New Roman" w:cs="Times New Roman"/>
                <w:b/>
                <w:bCs/>
                <w:szCs w:val="20"/>
              </w:rPr>
              <w:t xml:space="preserve">AMD % found in </w:t>
            </w:r>
            <w:proofErr w:type="spellStart"/>
            <w:r w:rsidRPr="00A6493A">
              <w:rPr>
                <w:rFonts w:ascii="Times New Roman" w:eastAsia="Times New Roman" w:hAnsi="Times New Roman" w:cs="Times New Roman"/>
                <w:b/>
                <w:bCs/>
                <w:szCs w:val="20"/>
              </w:rPr>
              <w:t>modafinil</w:t>
            </w:r>
            <w:proofErr w:type="spellEnd"/>
            <w:r w:rsidRPr="00A6493A">
              <w:rPr>
                <w:rFonts w:ascii="Times New Roman" w:eastAsia="Times New Roman" w:hAnsi="Times New Roman" w:cs="Times New Roman"/>
                <w:b/>
                <w:bCs/>
                <w:szCs w:val="20"/>
              </w:rPr>
              <w:t xml:space="preserve"> tablets</w:t>
            </w:r>
          </w:p>
        </w:tc>
      </w:tr>
      <w:tr w:rsidR="006631D1" w:rsidRPr="006631D1" w:rsidTr="00694724">
        <w:trPr>
          <w:trHeight w:val="315"/>
        </w:trPr>
        <w:tc>
          <w:tcPr>
            <w:tcW w:w="0" w:type="auto"/>
            <w:vMerge/>
            <w:tcBorders>
              <w:top w:val="single" w:sz="4" w:space="0" w:color="auto"/>
              <w:bottom w:val="single" w:sz="4" w:space="0" w:color="auto"/>
            </w:tcBorders>
            <w:vAlign w:val="center"/>
            <w:hideMark/>
          </w:tcPr>
          <w:p w:rsidR="00694724" w:rsidRPr="00A6493A" w:rsidRDefault="00694724" w:rsidP="00EE57AB">
            <w:pPr>
              <w:wordWrap/>
              <w:spacing w:before="60" w:after="60"/>
              <w:rPr>
                <w:rFonts w:ascii="Times New Roman" w:eastAsia="Times New Roman" w:hAnsi="Times New Roman" w:cs="Times New Roman"/>
                <w:b/>
                <w:bCs/>
                <w:szCs w:val="20"/>
              </w:rPr>
            </w:pPr>
          </w:p>
        </w:tc>
        <w:tc>
          <w:tcPr>
            <w:tcW w:w="2820" w:type="dxa"/>
            <w:gridSpan w:val="3"/>
            <w:tcBorders>
              <w:top w:val="single" w:sz="4" w:space="0" w:color="auto"/>
              <w:bottom w:val="single" w:sz="4" w:space="0" w:color="auto"/>
            </w:tcBorders>
            <w:vAlign w:val="center"/>
            <w:hideMark/>
          </w:tcPr>
          <w:p w:rsidR="00694724" w:rsidRPr="00A6493A" w:rsidRDefault="00694724" w:rsidP="00EE57AB">
            <w:pPr>
              <w:wordWrap/>
              <w:spacing w:before="60" w:after="60"/>
              <w:jc w:val="center"/>
              <w:rPr>
                <w:rFonts w:ascii="Times New Roman" w:eastAsia="Times New Roman" w:hAnsi="Times New Roman" w:cs="Times New Roman"/>
                <w:b/>
                <w:bCs/>
                <w:szCs w:val="20"/>
              </w:rPr>
            </w:pPr>
            <w:r w:rsidRPr="00A6493A">
              <w:rPr>
                <w:rFonts w:ascii="Times New Roman" w:eastAsia="Times New Roman" w:hAnsi="Times New Roman" w:cs="Times New Roman"/>
                <w:b/>
                <w:bCs/>
                <w:szCs w:val="20"/>
              </w:rPr>
              <w:t>LRE method</w:t>
            </w:r>
          </w:p>
        </w:tc>
        <w:tc>
          <w:tcPr>
            <w:tcW w:w="2940" w:type="dxa"/>
            <w:gridSpan w:val="3"/>
            <w:tcBorders>
              <w:top w:val="single" w:sz="4" w:space="0" w:color="auto"/>
              <w:bottom w:val="single" w:sz="4" w:space="0" w:color="auto"/>
            </w:tcBorders>
            <w:vAlign w:val="center"/>
            <w:hideMark/>
          </w:tcPr>
          <w:p w:rsidR="00694724" w:rsidRPr="00A6493A" w:rsidRDefault="00694724" w:rsidP="00EE57AB">
            <w:pPr>
              <w:wordWrap/>
              <w:spacing w:before="60" w:after="60"/>
              <w:jc w:val="center"/>
              <w:rPr>
                <w:rFonts w:ascii="Times New Roman" w:eastAsia="Times New Roman" w:hAnsi="Times New Roman" w:cs="Times New Roman"/>
                <w:b/>
                <w:bCs/>
                <w:szCs w:val="20"/>
              </w:rPr>
            </w:pPr>
            <w:r w:rsidRPr="00A6493A">
              <w:rPr>
                <w:rFonts w:ascii="Times New Roman" w:eastAsia="Times New Roman" w:hAnsi="Times New Roman" w:cs="Times New Roman"/>
                <w:b/>
                <w:bCs/>
                <w:szCs w:val="20"/>
              </w:rPr>
              <w:t>SA method</w:t>
            </w:r>
          </w:p>
        </w:tc>
        <w:tc>
          <w:tcPr>
            <w:tcW w:w="3040" w:type="dxa"/>
            <w:gridSpan w:val="3"/>
            <w:tcBorders>
              <w:top w:val="single" w:sz="4" w:space="0" w:color="auto"/>
              <w:bottom w:val="single" w:sz="4" w:space="0" w:color="auto"/>
            </w:tcBorders>
            <w:vAlign w:val="center"/>
            <w:hideMark/>
          </w:tcPr>
          <w:p w:rsidR="00694724" w:rsidRPr="00A6493A" w:rsidRDefault="00694724" w:rsidP="00EE57AB">
            <w:pPr>
              <w:wordWrap/>
              <w:spacing w:before="60" w:after="60"/>
              <w:jc w:val="center"/>
              <w:rPr>
                <w:rFonts w:ascii="Times New Roman" w:eastAsia="Times New Roman" w:hAnsi="Times New Roman" w:cs="Times New Roman"/>
                <w:b/>
                <w:bCs/>
                <w:szCs w:val="20"/>
              </w:rPr>
            </w:pPr>
            <w:r w:rsidRPr="00A6493A">
              <w:rPr>
                <w:rFonts w:ascii="Times New Roman" w:eastAsia="Times New Roman" w:hAnsi="Times New Roman" w:cs="Times New Roman"/>
                <w:b/>
                <w:bCs/>
                <w:szCs w:val="20"/>
              </w:rPr>
              <w:t>FOD method</w:t>
            </w:r>
          </w:p>
        </w:tc>
      </w:tr>
      <w:tr w:rsidR="006631D1" w:rsidRPr="006631D1" w:rsidTr="00694724">
        <w:trPr>
          <w:trHeight w:val="945"/>
        </w:trPr>
        <w:tc>
          <w:tcPr>
            <w:tcW w:w="1080" w:type="dxa"/>
            <w:tcBorders>
              <w:top w:val="single" w:sz="4" w:space="0" w:color="auto"/>
            </w:tcBorders>
            <w:vAlign w:val="center"/>
            <w:hideMark/>
          </w:tcPr>
          <w:p w:rsidR="00694724" w:rsidRPr="006631D1" w:rsidRDefault="00694724" w:rsidP="009A06DF">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Conc. (</w:t>
            </w:r>
            <w:r w:rsidR="0000476E" w:rsidRPr="006631D1">
              <w:t>µ</w:t>
            </w:r>
            <w:r w:rsidRPr="006631D1">
              <w:rPr>
                <w:rFonts w:ascii="Times New Roman" w:eastAsia="Times New Roman" w:hAnsi="Times New Roman" w:cs="Times New Roman"/>
                <w:bCs/>
                <w:szCs w:val="20"/>
              </w:rPr>
              <w:t>g/m</w:t>
            </w:r>
            <w:r w:rsidR="009A06DF" w:rsidRPr="006631D1">
              <w:rPr>
                <w:rFonts w:ascii="Times New Roman" w:eastAsia="Times New Roman" w:hAnsi="Times New Roman" w:cs="Times New Roman"/>
                <w:bCs/>
                <w:szCs w:val="20"/>
              </w:rPr>
              <w:t>L</w:t>
            </w:r>
            <w:r w:rsidRPr="006631D1">
              <w:rPr>
                <w:rFonts w:ascii="Times New Roman" w:eastAsia="Times New Roman" w:hAnsi="Times New Roman" w:cs="Times New Roman"/>
                <w:bCs/>
                <w:szCs w:val="20"/>
              </w:rPr>
              <w:t>) →</w:t>
            </w:r>
          </w:p>
        </w:tc>
        <w:tc>
          <w:tcPr>
            <w:tcW w:w="900" w:type="dxa"/>
            <w:tcBorders>
              <w:top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20</w:t>
            </w:r>
          </w:p>
        </w:tc>
        <w:tc>
          <w:tcPr>
            <w:tcW w:w="960" w:type="dxa"/>
            <w:tcBorders>
              <w:top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30</w:t>
            </w:r>
          </w:p>
        </w:tc>
        <w:tc>
          <w:tcPr>
            <w:tcW w:w="960" w:type="dxa"/>
            <w:tcBorders>
              <w:top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40</w:t>
            </w:r>
          </w:p>
        </w:tc>
        <w:tc>
          <w:tcPr>
            <w:tcW w:w="1040" w:type="dxa"/>
            <w:tcBorders>
              <w:top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20</w:t>
            </w:r>
          </w:p>
        </w:tc>
        <w:tc>
          <w:tcPr>
            <w:tcW w:w="940" w:type="dxa"/>
            <w:tcBorders>
              <w:top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30</w:t>
            </w:r>
          </w:p>
        </w:tc>
        <w:tc>
          <w:tcPr>
            <w:tcW w:w="960" w:type="dxa"/>
            <w:tcBorders>
              <w:top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40</w:t>
            </w:r>
          </w:p>
        </w:tc>
        <w:tc>
          <w:tcPr>
            <w:tcW w:w="980" w:type="dxa"/>
            <w:tcBorders>
              <w:top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20</w:t>
            </w:r>
          </w:p>
        </w:tc>
        <w:tc>
          <w:tcPr>
            <w:tcW w:w="940" w:type="dxa"/>
            <w:tcBorders>
              <w:top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30</w:t>
            </w:r>
          </w:p>
        </w:tc>
        <w:tc>
          <w:tcPr>
            <w:tcW w:w="1120" w:type="dxa"/>
            <w:tcBorders>
              <w:top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40</w:t>
            </w:r>
          </w:p>
        </w:tc>
      </w:tr>
      <w:tr w:rsidR="006631D1" w:rsidRPr="006631D1" w:rsidTr="00694724">
        <w:trPr>
          <w:trHeight w:val="315"/>
        </w:trPr>
        <w:tc>
          <w:tcPr>
            <w:tcW w:w="108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I</w:t>
            </w:r>
          </w:p>
        </w:tc>
        <w:tc>
          <w:tcPr>
            <w:tcW w:w="90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100.76</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99.85</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100.34</w:t>
            </w:r>
          </w:p>
        </w:tc>
        <w:tc>
          <w:tcPr>
            <w:tcW w:w="10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100.63</w:t>
            </w:r>
          </w:p>
        </w:tc>
        <w:tc>
          <w:tcPr>
            <w:tcW w:w="9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101.09</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100.84</w:t>
            </w:r>
          </w:p>
        </w:tc>
        <w:tc>
          <w:tcPr>
            <w:tcW w:w="98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99.96</w:t>
            </w:r>
          </w:p>
        </w:tc>
        <w:tc>
          <w:tcPr>
            <w:tcW w:w="9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100.93</w:t>
            </w:r>
          </w:p>
        </w:tc>
        <w:tc>
          <w:tcPr>
            <w:tcW w:w="112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100.01</w:t>
            </w:r>
          </w:p>
        </w:tc>
      </w:tr>
      <w:tr w:rsidR="006631D1" w:rsidRPr="006631D1" w:rsidTr="00694724">
        <w:trPr>
          <w:trHeight w:val="315"/>
        </w:trPr>
        <w:tc>
          <w:tcPr>
            <w:tcW w:w="108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II</w:t>
            </w:r>
          </w:p>
        </w:tc>
        <w:tc>
          <w:tcPr>
            <w:tcW w:w="90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99.92</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100.67</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101.12</w:t>
            </w:r>
          </w:p>
        </w:tc>
        <w:tc>
          <w:tcPr>
            <w:tcW w:w="10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100.92</w:t>
            </w:r>
          </w:p>
        </w:tc>
        <w:tc>
          <w:tcPr>
            <w:tcW w:w="9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100.02</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100.06</w:t>
            </w:r>
          </w:p>
        </w:tc>
        <w:tc>
          <w:tcPr>
            <w:tcW w:w="98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101.05</w:t>
            </w:r>
          </w:p>
        </w:tc>
        <w:tc>
          <w:tcPr>
            <w:tcW w:w="9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99.87</w:t>
            </w:r>
          </w:p>
        </w:tc>
        <w:tc>
          <w:tcPr>
            <w:tcW w:w="112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99.93</w:t>
            </w:r>
          </w:p>
        </w:tc>
      </w:tr>
      <w:tr w:rsidR="006631D1" w:rsidRPr="006631D1" w:rsidTr="00694724">
        <w:trPr>
          <w:trHeight w:val="315"/>
        </w:trPr>
        <w:tc>
          <w:tcPr>
            <w:tcW w:w="108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III</w:t>
            </w:r>
          </w:p>
        </w:tc>
        <w:tc>
          <w:tcPr>
            <w:tcW w:w="90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101.28</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99.79</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99.75</w:t>
            </w:r>
          </w:p>
        </w:tc>
        <w:tc>
          <w:tcPr>
            <w:tcW w:w="10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99.92</w:t>
            </w:r>
          </w:p>
        </w:tc>
        <w:tc>
          <w:tcPr>
            <w:tcW w:w="9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100.13</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99.79</w:t>
            </w:r>
          </w:p>
        </w:tc>
        <w:tc>
          <w:tcPr>
            <w:tcW w:w="98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99.78</w:t>
            </w:r>
          </w:p>
        </w:tc>
        <w:tc>
          <w:tcPr>
            <w:tcW w:w="9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100.16</w:t>
            </w:r>
          </w:p>
        </w:tc>
        <w:tc>
          <w:tcPr>
            <w:tcW w:w="112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101.02</w:t>
            </w:r>
          </w:p>
        </w:tc>
      </w:tr>
      <w:tr w:rsidR="006631D1" w:rsidRPr="006631D1" w:rsidTr="00694724">
        <w:trPr>
          <w:trHeight w:val="315"/>
        </w:trPr>
        <w:tc>
          <w:tcPr>
            <w:tcW w:w="108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IV</w:t>
            </w:r>
          </w:p>
        </w:tc>
        <w:tc>
          <w:tcPr>
            <w:tcW w:w="90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100.39</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100.73</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99.68</w:t>
            </w:r>
          </w:p>
        </w:tc>
        <w:tc>
          <w:tcPr>
            <w:tcW w:w="10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100.06</w:t>
            </w:r>
          </w:p>
        </w:tc>
        <w:tc>
          <w:tcPr>
            <w:tcW w:w="9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99.48</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101.07</w:t>
            </w:r>
          </w:p>
        </w:tc>
        <w:tc>
          <w:tcPr>
            <w:tcW w:w="98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100.76</w:t>
            </w:r>
          </w:p>
        </w:tc>
        <w:tc>
          <w:tcPr>
            <w:tcW w:w="9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100.73</w:t>
            </w:r>
          </w:p>
        </w:tc>
        <w:tc>
          <w:tcPr>
            <w:tcW w:w="112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99.97</w:t>
            </w:r>
          </w:p>
        </w:tc>
      </w:tr>
      <w:tr w:rsidR="006631D1" w:rsidRPr="006631D1" w:rsidTr="00694724">
        <w:trPr>
          <w:trHeight w:val="315"/>
        </w:trPr>
        <w:tc>
          <w:tcPr>
            <w:tcW w:w="108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V</w:t>
            </w:r>
          </w:p>
        </w:tc>
        <w:tc>
          <w:tcPr>
            <w:tcW w:w="90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100.82</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100.75</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100.29</w:t>
            </w:r>
          </w:p>
        </w:tc>
        <w:tc>
          <w:tcPr>
            <w:tcW w:w="10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100.26</w:t>
            </w:r>
          </w:p>
        </w:tc>
        <w:tc>
          <w:tcPr>
            <w:tcW w:w="9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100.16</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101.01</w:t>
            </w:r>
          </w:p>
        </w:tc>
        <w:tc>
          <w:tcPr>
            <w:tcW w:w="98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100.47</w:t>
            </w:r>
          </w:p>
        </w:tc>
        <w:tc>
          <w:tcPr>
            <w:tcW w:w="9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99.85</w:t>
            </w:r>
          </w:p>
        </w:tc>
        <w:tc>
          <w:tcPr>
            <w:tcW w:w="112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100.06</w:t>
            </w:r>
          </w:p>
        </w:tc>
      </w:tr>
      <w:tr w:rsidR="006631D1" w:rsidRPr="006631D1" w:rsidTr="00694724">
        <w:trPr>
          <w:trHeight w:val="315"/>
        </w:trPr>
        <w:tc>
          <w:tcPr>
            <w:tcW w:w="108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VI</w:t>
            </w:r>
          </w:p>
        </w:tc>
        <w:tc>
          <w:tcPr>
            <w:tcW w:w="90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99.36</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100.47</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100.02</w:t>
            </w:r>
          </w:p>
        </w:tc>
        <w:tc>
          <w:tcPr>
            <w:tcW w:w="10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99.89</w:t>
            </w:r>
          </w:p>
        </w:tc>
        <w:tc>
          <w:tcPr>
            <w:tcW w:w="9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99.78</w:t>
            </w:r>
          </w:p>
        </w:tc>
        <w:tc>
          <w:tcPr>
            <w:tcW w:w="96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100.73</w:t>
            </w:r>
          </w:p>
        </w:tc>
        <w:tc>
          <w:tcPr>
            <w:tcW w:w="98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99.99</w:t>
            </w:r>
          </w:p>
        </w:tc>
        <w:tc>
          <w:tcPr>
            <w:tcW w:w="94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99.93</w:t>
            </w:r>
          </w:p>
        </w:tc>
        <w:tc>
          <w:tcPr>
            <w:tcW w:w="1120" w:type="dxa"/>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100.81</w:t>
            </w:r>
          </w:p>
        </w:tc>
      </w:tr>
      <w:tr w:rsidR="006631D1" w:rsidRPr="006631D1" w:rsidTr="00694724">
        <w:trPr>
          <w:trHeight w:val="315"/>
        </w:trPr>
        <w:tc>
          <w:tcPr>
            <w:tcW w:w="1080" w:type="dxa"/>
            <w:tcBorders>
              <w:bottom w:val="nil"/>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Mean</w:t>
            </w:r>
          </w:p>
        </w:tc>
        <w:tc>
          <w:tcPr>
            <w:tcW w:w="900" w:type="dxa"/>
            <w:tcBorders>
              <w:bottom w:val="nil"/>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100.42</w:t>
            </w:r>
          </w:p>
        </w:tc>
        <w:tc>
          <w:tcPr>
            <w:tcW w:w="960" w:type="dxa"/>
            <w:tcBorders>
              <w:bottom w:val="nil"/>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100.38</w:t>
            </w:r>
          </w:p>
        </w:tc>
        <w:tc>
          <w:tcPr>
            <w:tcW w:w="960" w:type="dxa"/>
            <w:tcBorders>
              <w:bottom w:val="nil"/>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100.20</w:t>
            </w:r>
          </w:p>
        </w:tc>
        <w:tc>
          <w:tcPr>
            <w:tcW w:w="1040" w:type="dxa"/>
            <w:tcBorders>
              <w:bottom w:val="nil"/>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100.28</w:t>
            </w:r>
          </w:p>
        </w:tc>
        <w:tc>
          <w:tcPr>
            <w:tcW w:w="940" w:type="dxa"/>
            <w:tcBorders>
              <w:bottom w:val="nil"/>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100.11</w:t>
            </w:r>
          </w:p>
        </w:tc>
        <w:tc>
          <w:tcPr>
            <w:tcW w:w="960" w:type="dxa"/>
            <w:tcBorders>
              <w:bottom w:val="nil"/>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100.58</w:t>
            </w:r>
          </w:p>
        </w:tc>
        <w:tc>
          <w:tcPr>
            <w:tcW w:w="980" w:type="dxa"/>
            <w:tcBorders>
              <w:bottom w:val="nil"/>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100.34</w:t>
            </w:r>
          </w:p>
        </w:tc>
        <w:tc>
          <w:tcPr>
            <w:tcW w:w="940" w:type="dxa"/>
            <w:tcBorders>
              <w:bottom w:val="nil"/>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100.25</w:t>
            </w:r>
          </w:p>
        </w:tc>
        <w:tc>
          <w:tcPr>
            <w:tcW w:w="1120" w:type="dxa"/>
            <w:tcBorders>
              <w:bottom w:val="nil"/>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100.30</w:t>
            </w:r>
          </w:p>
        </w:tc>
      </w:tr>
      <w:tr w:rsidR="006631D1" w:rsidRPr="006631D1" w:rsidTr="00694724">
        <w:trPr>
          <w:trHeight w:val="315"/>
        </w:trPr>
        <w:tc>
          <w:tcPr>
            <w:tcW w:w="1080" w:type="dxa"/>
            <w:tcBorders>
              <w:bottom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SD</w:t>
            </w:r>
          </w:p>
        </w:tc>
        <w:tc>
          <w:tcPr>
            <w:tcW w:w="900" w:type="dxa"/>
            <w:tcBorders>
              <w:bottom w:val="single" w:sz="4" w:space="0" w:color="auto"/>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0.69</w:t>
            </w:r>
          </w:p>
        </w:tc>
        <w:tc>
          <w:tcPr>
            <w:tcW w:w="960" w:type="dxa"/>
            <w:tcBorders>
              <w:bottom w:val="single" w:sz="4" w:space="0" w:color="auto"/>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0.44</w:t>
            </w:r>
          </w:p>
        </w:tc>
        <w:tc>
          <w:tcPr>
            <w:tcW w:w="960" w:type="dxa"/>
            <w:tcBorders>
              <w:bottom w:val="single" w:sz="4" w:space="0" w:color="auto"/>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0.53</w:t>
            </w:r>
          </w:p>
        </w:tc>
        <w:tc>
          <w:tcPr>
            <w:tcW w:w="1040" w:type="dxa"/>
            <w:tcBorders>
              <w:bottom w:val="single" w:sz="4" w:space="0" w:color="auto"/>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0.42</w:t>
            </w:r>
          </w:p>
        </w:tc>
        <w:tc>
          <w:tcPr>
            <w:tcW w:w="940" w:type="dxa"/>
            <w:tcBorders>
              <w:bottom w:val="single" w:sz="4" w:space="0" w:color="auto"/>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0.54</w:t>
            </w:r>
          </w:p>
        </w:tc>
        <w:tc>
          <w:tcPr>
            <w:tcW w:w="960" w:type="dxa"/>
            <w:tcBorders>
              <w:bottom w:val="single" w:sz="4" w:space="0" w:color="auto"/>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0.53</w:t>
            </w:r>
          </w:p>
        </w:tc>
        <w:tc>
          <w:tcPr>
            <w:tcW w:w="980" w:type="dxa"/>
            <w:tcBorders>
              <w:bottom w:val="single" w:sz="4" w:space="0" w:color="auto"/>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0.51</w:t>
            </w:r>
          </w:p>
        </w:tc>
        <w:tc>
          <w:tcPr>
            <w:tcW w:w="940" w:type="dxa"/>
            <w:tcBorders>
              <w:bottom w:val="single" w:sz="4" w:space="0" w:color="auto"/>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0.47</w:t>
            </w:r>
          </w:p>
        </w:tc>
        <w:tc>
          <w:tcPr>
            <w:tcW w:w="1120" w:type="dxa"/>
            <w:tcBorders>
              <w:bottom w:val="single" w:sz="4" w:space="0" w:color="auto"/>
            </w:tcBorders>
            <w:noWrap/>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0.48</w:t>
            </w:r>
          </w:p>
        </w:tc>
      </w:tr>
      <w:tr w:rsidR="006631D1" w:rsidRPr="006631D1" w:rsidTr="00694724">
        <w:trPr>
          <w:trHeight w:val="315"/>
        </w:trPr>
        <w:tc>
          <w:tcPr>
            <w:tcW w:w="1080" w:type="dxa"/>
            <w:tcBorders>
              <w:top w:val="single" w:sz="4" w:space="0" w:color="auto"/>
              <w:bottom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P value*</w:t>
            </w:r>
          </w:p>
        </w:tc>
        <w:tc>
          <w:tcPr>
            <w:tcW w:w="2820" w:type="dxa"/>
            <w:gridSpan w:val="3"/>
            <w:tcBorders>
              <w:top w:val="single" w:sz="4" w:space="0" w:color="auto"/>
              <w:bottom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 0.774</w:t>
            </w:r>
          </w:p>
        </w:tc>
        <w:tc>
          <w:tcPr>
            <w:tcW w:w="2940" w:type="dxa"/>
            <w:gridSpan w:val="3"/>
            <w:tcBorders>
              <w:top w:val="single" w:sz="4" w:space="0" w:color="auto"/>
              <w:bottom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0.282 </w:t>
            </w:r>
          </w:p>
        </w:tc>
        <w:tc>
          <w:tcPr>
            <w:tcW w:w="3040" w:type="dxa"/>
            <w:gridSpan w:val="3"/>
            <w:tcBorders>
              <w:top w:val="single" w:sz="4" w:space="0" w:color="auto"/>
              <w:bottom w:val="single" w:sz="4" w:space="0" w:color="auto"/>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0.949</w:t>
            </w:r>
          </w:p>
        </w:tc>
      </w:tr>
      <w:tr w:rsidR="006631D1" w:rsidRPr="006631D1" w:rsidTr="00694724">
        <w:trPr>
          <w:trHeight w:val="555"/>
        </w:trPr>
        <w:tc>
          <w:tcPr>
            <w:tcW w:w="1080" w:type="dxa"/>
            <w:tcBorders>
              <w:top w:val="single" w:sz="4" w:space="0" w:color="auto"/>
              <w:bottom w:val="nil"/>
            </w:tcBorders>
            <w:vAlign w:val="center"/>
            <w:hideMark/>
          </w:tcPr>
          <w:p w:rsidR="00694724" w:rsidRPr="006631D1" w:rsidRDefault="00694724" w:rsidP="009A06DF">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Conc. (</w:t>
            </w:r>
            <w:r w:rsidR="0000476E" w:rsidRPr="006631D1">
              <w:t>µ</w:t>
            </w:r>
            <w:r w:rsidRPr="006631D1">
              <w:rPr>
                <w:rFonts w:ascii="Times New Roman" w:eastAsia="Times New Roman" w:hAnsi="Times New Roman" w:cs="Times New Roman"/>
                <w:bCs/>
                <w:szCs w:val="20"/>
              </w:rPr>
              <w:t>g/m</w:t>
            </w:r>
            <w:r w:rsidR="009A06DF" w:rsidRPr="006631D1">
              <w:rPr>
                <w:rFonts w:ascii="Times New Roman" w:eastAsia="Times New Roman" w:hAnsi="Times New Roman" w:cs="Times New Roman"/>
                <w:bCs/>
                <w:szCs w:val="20"/>
              </w:rPr>
              <w:t>L</w:t>
            </w:r>
            <w:r w:rsidRPr="006631D1">
              <w:rPr>
                <w:rFonts w:ascii="Times New Roman" w:eastAsia="Times New Roman" w:hAnsi="Times New Roman" w:cs="Times New Roman"/>
                <w:bCs/>
                <w:szCs w:val="20"/>
              </w:rPr>
              <w:t>) →</w:t>
            </w:r>
          </w:p>
        </w:tc>
        <w:tc>
          <w:tcPr>
            <w:tcW w:w="2820" w:type="dxa"/>
            <w:gridSpan w:val="3"/>
            <w:tcBorders>
              <w:top w:val="single" w:sz="4" w:space="0" w:color="auto"/>
              <w:bottom w:val="nil"/>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20</w:t>
            </w:r>
          </w:p>
        </w:tc>
        <w:tc>
          <w:tcPr>
            <w:tcW w:w="2940" w:type="dxa"/>
            <w:gridSpan w:val="3"/>
            <w:tcBorders>
              <w:top w:val="single" w:sz="4" w:space="0" w:color="auto"/>
              <w:bottom w:val="nil"/>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30</w:t>
            </w:r>
          </w:p>
        </w:tc>
        <w:tc>
          <w:tcPr>
            <w:tcW w:w="3040" w:type="dxa"/>
            <w:gridSpan w:val="3"/>
            <w:tcBorders>
              <w:top w:val="single" w:sz="4" w:space="0" w:color="auto"/>
              <w:bottom w:val="nil"/>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40</w:t>
            </w:r>
          </w:p>
        </w:tc>
      </w:tr>
      <w:tr w:rsidR="006631D1" w:rsidRPr="006631D1" w:rsidTr="00694724">
        <w:trPr>
          <w:trHeight w:val="375"/>
        </w:trPr>
        <w:tc>
          <w:tcPr>
            <w:tcW w:w="1080" w:type="dxa"/>
            <w:tcBorders>
              <w:top w:val="nil"/>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P value**</w:t>
            </w:r>
          </w:p>
        </w:tc>
        <w:tc>
          <w:tcPr>
            <w:tcW w:w="2820" w:type="dxa"/>
            <w:gridSpan w:val="3"/>
            <w:tcBorders>
              <w:top w:val="nil"/>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 0.904</w:t>
            </w:r>
          </w:p>
        </w:tc>
        <w:tc>
          <w:tcPr>
            <w:tcW w:w="2940" w:type="dxa"/>
            <w:gridSpan w:val="3"/>
            <w:tcBorders>
              <w:top w:val="nil"/>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0.647 </w:t>
            </w:r>
          </w:p>
        </w:tc>
        <w:tc>
          <w:tcPr>
            <w:tcW w:w="3040" w:type="dxa"/>
            <w:gridSpan w:val="3"/>
            <w:tcBorders>
              <w:top w:val="nil"/>
            </w:tcBorders>
            <w:vAlign w:val="center"/>
            <w:hideMark/>
          </w:tcPr>
          <w:p w:rsidR="00694724" w:rsidRPr="006631D1" w:rsidRDefault="00694724" w:rsidP="00EE57AB">
            <w:pPr>
              <w:wordWrap/>
              <w:spacing w:before="60" w:after="60"/>
              <w:jc w:val="center"/>
              <w:rPr>
                <w:rFonts w:ascii="Times New Roman" w:eastAsia="Times New Roman" w:hAnsi="Times New Roman" w:cs="Times New Roman"/>
                <w:bCs/>
                <w:szCs w:val="20"/>
              </w:rPr>
            </w:pPr>
            <w:r w:rsidRPr="006631D1">
              <w:rPr>
                <w:rFonts w:ascii="Times New Roman" w:eastAsia="Times New Roman" w:hAnsi="Times New Roman" w:cs="Times New Roman"/>
                <w:bCs/>
                <w:szCs w:val="20"/>
              </w:rPr>
              <w:t>0.428 </w:t>
            </w:r>
          </w:p>
        </w:tc>
      </w:tr>
    </w:tbl>
    <w:p w:rsidR="00751731" w:rsidRPr="00A6493A" w:rsidRDefault="00694724" w:rsidP="00A6493A">
      <w:pPr>
        <w:wordWrap/>
        <w:spacing w:before="120" w:after="120"/>
        <w:rPr>
          <w:rFonts w:ascii="Times New Roman" w:eastAsia="Times New Roman" w:hAnsi="Times New Roman" w:cs="Times New Roman"/>
          <w:bCs/>
          <w:sz w:val="18"/>
          <w:szCs w:val="20"/>
        </w:rPr>
      </w:pPr>
      <w:r w:rsidRPr="00A6493A">
        <w:rPr>
          <w:rFonts w:ascii="Times New Roman" w:hAnsi="Times New Roman" w:cs="Times New Roman"/>
          <w:bCs/>
          <w:sz w:val="18"/>
          <w:szCs w:val="20"/>
        </w:rPr>
        <w:t>* P value (P trend) of all three concentration levels for the method. ** P value (Pearson Chi Square) of all three methods for the concentration</w:t>
      </w:r>
    </w:p>
    <w:p w:rsidR="00785CA6" w:rsidRPr="006631D1" w:rsidRDefault="00785CA6" w:rsidP="00A6493A">
      <w:pPr>
        <w:wordWrap/>
        <w:jc w:val="center"/>
        <w:outlineLvl w:val="0"/>
        <w:rPr>
          <w:rFonts w:ascii="Times New Roman" w:hAnsi="Times New Roman" w:cs="Times New Roman"/>
          <w:b/>
          <w:szCs w:val="20"/>
        </w:rPr>
      </w:pPr>
      <w:r w:rsidRPr="006631D1">
        <w:rPr>
          <w:rFonts w:ascii="Times New Roman" w:hAnsi="Times New Roman" w:cs="Times New Roman"/>
          <w:b/>
          <w:szCs w:val="20"/>
        </w:rPr>
        <w:t>Conclusion</w:t>
      </w:r>
    </w:p>
    <w:p w:rsidR="00785CA6" w:rsidRDefault="00C8114D" w:rsidP="00A6493A">
      <w:pPr>
        <w:wordWrap/>
        <w:outlineLvl w:val="0"/>
        <w:rPr>
          <w:rFonts w:ascii="Times New Roman" w:eastAsia="Times New Roman" w:hAnsi="Times New Roman" w:cs="Times New Roman"/>
          <w:szCs w:val="24"/>
        </w:rPr>
      </w:pPr>
      <w:r w:rsidRPr="006631D1">
        <w:rPr>
          <w:rFonts w:ascii="Times New Roman" w:eastAsia="Times New Roman" w:hAnsi="Times New Roman" w:cs="Times New Roman"/>
          <w:szCs w:val="24"/>
        </w:rPr>
        <w:t>Three new spectrophotometric methods were developed and validated as per ICH guidelines and these were</w:t>
      </w:r>
      <w:r w:rsidR="002840B9" w:rsidRPr="006631D1">
        <w:rPr>
          <w:rFonts w:ascii="Times New Roman" w:eastAsia="Times New Roman" w:hAnsi="Times New Roman" w:cs="Times New Roman"/>
          <w:szCs w:val="24"/>
        </w:rPr>
        <w:t xml:space="preserve"> successfully applied for deter</w:t>
      </w:r>
      <w:r w:rsidRPr="006631D1">
        <w:rPr>
          <w:rFonts w:ascii="Times New Roman" w:eastAsia="Times New Roman" w:hAnsi="Times New Roman" w:cs="Times New Roman"/>
          <w:szCs w:val="24"/>
        </w:rPr>
        <w:t xml:space="preserve">mination of </w:t>
      </w:r>
      <w:proofErr w:type="spellStart"/>
      <w:r w:rsidRPr="006631D1">
        <w:rPr>
          <w:rFonts w:ascii="Times New Roman" w:eastAsia="Times New Roman" w:hAnsi="Times New Roman" w:cs="Times New Roman"/>
          <w:szCs w:val="24"/>
        </w:rPr>
        <w:t>modafinil</w:t>
      </w:r>
      <w:proofErr w:type="spellEnd"/>
      <w:r w:rsidRPr="006631D1">
        <w:rPr>
          <w:rFonts w:ascii="Times New Roman" w:eastAsia="Times New Roman" w:hAnsi="Times New Roman" w:cs="Times New Roman"/>
          <w:szCs w:val="24"/>
        </w:rPr>
        <w:t xml:space="preserve"> in tablet form</w:t>
      </w:r>
      <w:r w:rsidR="00751731" w:rsidRPr="006631D1">
        <w:rPr>
          <w:rFonts w:ascii="Times New Roman" w:eastAsia="Times New Roman" w:hAnsi="Times New Roman" w:cs="Times New Roman"/>
          <w:szCs w:val="24"/>
        </w:rPr>
        <w:t>ulation</w:t>
      </w:r>
      <w:r w:rsidRPr="006631D1">
        <w:rPr>
          <w:rFonts w:ascii="Times New Roman" w:eastAsia="Times New Roman" w:hAnsi="Times New Roman" w:cs="Times New Roman"/>
          <w:szCs w:val="24"/>
        </w:rPr>
        <w:t>. All the methods were equally applicable for the assay of AMD and these may be applied for assay, dissolution studies, bio-equivalence studies as well as routine analysis in pharmaceutical industries.</w:t>
      </w:r>
    </w:p>
    <w:p w:rsidR="00A6493A" w:rsidRDefault="00A6493A" w:rsidP="00A6493A">
      <w:pPr>
        <w:wordWrap/>
        <w:outlineLvl w:val="0"/>
        <w:rPr>
          <w:rFonts w:ascii="Times New Roman" w:hAnsi="Times New Roman" w:cs="Times New Roman"/>
          <w:sz w:val="16"/>
          <w:szCs w:val="20"/>
        </w:rPr>
      </w:pPr>
    </w:p>
    <w:p w:rsidR="00450164" w:rsidRPr="006631D1" w:rsidRDefault="00450164" w:rsidP="00A6493A">
      <w:pPr>
        <w:wordWrap/>
        <w:outlineLvl w:val="0"/>
        <w:rPr>
          <w:rFonts w:ascii="Times New Roman" w:hAnsi="Times New Roman" w:cs="Times New Roman"/>
          <w:sz w:val="16"/>
          <w:szCs w:val="20"/>
        </w:rPr>
      </w:pPr>
    </w:p>
    <w:p w:rsidR="00785CA6" w:rsidRPr="006631D1" w:rsidRDefault="00785CA6" w:rsidP="00450164">
      <w:pPr>
        <w:wordWrap/>
        <w:jc w:val="center"/>
        <w:outlineLvl w:val="0"/>
        <w:rPr>
          <w:rFonts w:ascii="Times New Roman" w:hAnsi="Times New Roman" w:cs="Times New Roman"/>
          <w:b/>
          <w:szCs w:val="20"/>
        </w:rPr>
      </w:pPr>
      <w:r w:rsidRPr="006631D1">
        <w:rPr>
          <w:rFonts w:ascii="Times New Roman" w:hAnsi="Times New Roman" w:cs="Times New Roman"/>
          <w:b/>
          <w:szCs w:val="20"/>
        </w:rPr>
        <w:lastRenderedPageBreak/>
        <w:t>Acknowledgement</w:t>
      </w:r>
    </w:p>
    <w:p w:rsidR="00785CA6" w:rsidRPr="006631D1" w:rsidRDefault="004558BA" w:rsidP="00450164">
      <w:pPr>
        <w:wordWrap/>
        <w:outlineLvl w:val="0"/>
        <w:rPr>
          <w:rFonts w:ascii="Times New Roman" w:hAnsi="Times New Roman" w:cs="Times New Roman"/>
          <w:sz w:val="16"/>
          <w:szCs w:val="20"/>
        </w:rPr>
      </w:pPr>
      <w:r w:rsidRPr="006631D1">
        <w:rPr>
          <w:rFonts w:ascii="Times New Roman" w:hAnsi="Times New Roman" w:cs="Times New Roman"/>
          <w:szCs w:val="24"/>
        </w:rPr>
        <w:t xml:space="preserve">One of the authors, </w:t>
      </w:r>
      <w:proofErr w:type="spellStart"/>
      <w:r w:rsidRPr="006631D1">
        <w:rPr>
          <w:rFonts w:ascii="Times New Roman" w:hAnsi="Times New Roman" w:cs="Times New Roman"/>
          <w:szCs w:val="24"/>
        </w:rPr>
        <w:t>Pawan</w:t>
      </w:r>
      <w:proofErr w:type="spellEnd"/>
      <w:r w:rsidRPr="006631D1">
        <w:rPr>
          <w:rFonts w:ascii="Times New Roman" w:hAnsi="Times New Roman" w:cs="Times New Roman"/>
          <w:szCs w:val="24"/>
        </w:rPr>
        <w:t xml:space="preserve"> Kumar </w:t>
      </w:r>
      <w:proofErr w:type="spellStart"/>
      <w:r w:rsidRPr="006631D1">
        <w:rPr>
          <w:rFonts w:ascii="Times New Roman" w:hAnsi="Times New Roman" w:cs="Times New Roman"/>
          <w:szCs w:val="24"/>
        </w:rPr>
        <w:t>Basniwal</w:t>
      </w:r>
      <w:proofErr w:type="spellEnd"/>
      <w:r w:rsidRPr="006631D1">
        <w:rPr>
          <w:rFonts w:ascii="Times New Roman" w:hAnsi="Times New Roman" w:cs="Times New Roman"/>
          <w:szCs w:val="24"/>
        </w:rPr>
        <w:t xml:space="preserve"> is earnestly indebted to Science and Engineering Research Board (SERB), DST, New Delhi, for the financial support for this research work under Fast Track Scheme for Young Scientists. Authors are highly thankful to Head, School of Pharmaceutical Sciences, RGPV, Bhopal and Principal, LBS College of Pharmacy, Jaipur for providing the experimental facilities for this research work.</w:t>
      </w:r>
    </w:p>
    <w:p w:rsidR="00450164" w:rsidRDefault="00785CA6" w:rsidP="00450164">
      <w:pPr>
        <w:wordWrap/>
        <w:spacing w:before="60" w:after="60" w:line="360" w:lineRule="auto"/>
        <w:jc w:val="center"/>
        <w:outlineLvl w:val="0"/>
        <w:rPr>
          <w:rFonts w:ascii="Times New Roman" w:hAnsi="Times New Roman" w:cs="Times New Roman"/>
          <w:b/>
          <w:szCs w:val="18"/>
        </w:rPr>
      </w:pPr>
      <w:r w:rsidRPr="006631D1">
        <w:rPr>
          <w:rFonts w:ascii="Times New Roman" w:hAnsi="Times New Roman" w:cs="Times New Roman"/>
          <w:b/>
          <w:szCs w:val="18"/>
        </w:rPr>
        <w:t>References</w:t>
      </w:r>
    </w:p>
    <w:p w:rsidR="00450164" w:rsidRPr="00450164" w:rsidRDefault="00C65C28" w:rsidP="00450164">
      <w:pPr>
        <w:pStyle w:val="ListParagraph"/>
        <w:numPr>
          <w:ilvl w:val="0"/>
          <w:numId w:val="5"/>
        </w:numPr>
        <w:spacing w:before="60" w:after="60" w:line="360" w:lineRule="auto"/>
        <w:ind w:hanging="720"/>
        <w:jc w:val="both"/>
        <w:outlineLvl w:val="0"/>
        <w:rPr>
          <w:rFonts w:ascii="Times New Roman" w:eastAsiaTheme="minorEastAsia" w:hAnsi="Times New Roman" w:cs="Times New Roman"/>
          <w:sz w:val="20"/>
          <w:szCs w:val="18"/>
        </w:rPr>
      </w:pPr>
      <w:r w:rsidRPr="00450164">
        <w:rPr>
          <w:rFonts w:ascii="Times New Roman" w:eastAsia="Times New Roman" w:hAnsi="Times New Roman" w:cs="Times New Roman"/>
          <w:sz w:val="18"/>
          <w:szCs w:val="18"/>
        </w:rPr>
        <w:t>Keating, G.M.</w:t>
      </w:r>
      <w:r w:rsidR="00864791"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w:t>
      </w:r>
      <w:proofErr w:type="spellStart"/>
      <w:r w:rsidRPr="00450164">
        <w:rPr>
          <w:rFonts w:ascii="Times New Roman" w:eastAsia="Times New Roman" w:hAnsi="Times New Roman" w:cs="Times New Roman"/>
          <w:sz w:val="18"/>
          <w:szCs w:val="18"/>
        </w:rPr>
        <w:t>Raffin</w:t>
      </w:r>
      <w:proofErr w:type="spellEnd"/>
      <w:r w:rsidRPr="00450164">
        <w:rPr>
          <w:rFonts w:ascii="Times New Roman" w:eastAsia="Times New Roman" w:hAnsi="Times New Roman" w:cs="Times New Roman"/>
          <w:sz w:val="18"/>
          <w:szCs w:val="18"/>
        </w:rPr>
        <w:t xml:space="preserve">, </w:t>
      </w:r>
      <w:proofErr w:type="gramStart"/>
      <w:r w:rsidRPr="00450164">
        <w:rPr>
          <w:rFonts w:ascii="Times New Roman" w:eastAsia="Times New Roman" w:hAnsi="Times New Roman" w:cs="Times New Roman"/>
          <w:sz w:val="18"/>
          <w:szCs w:val="18"/>
        </w:rPr>
        <w:t>M.J</w:t>
      </w:r>
      <w:proofErr w:type="gramEnd"/>
      <w:r w:rsidR="00DF6112" w:rsidRPr="00450164">
        <w:rPr>
          <w:rFonts w:ascii="Times New Roman" w:eastAsia="Times New Roman" w:hAnsi="Times New Roman" w:cs="Times New Roman"/>
          <w:kern w:val="36"/>
          <w:sz w:val="18"/>
          <w:szCs w:val="18"/>
        </w:rPr>
        <w:t>. (2005)</w:t>
      </w:r>
      <w:r w:rsidRPr="00450164">
        <w:rPr>
          <w:rFonts w:ascii="Times New Roman" w:eastAsia="Times New Roman" w:hAnsi="Times New Roman" w:cs="Times New Roman"/>
          <w:kern w:val="36"/>
          <w:sz w:val="18"/>
          <w:szCs w:val="18"/>
        </w:rPr>
        <w:t xml:space="preserve"> </w:t>
      </w:r>
      <w:proofErr w:type="spellStart"/>
      <w:r w:rsidR="000B4F4C" w:rsidRPr="00450164">
        <w:rPr>
          <w:rFonts w:ascii="Times New Roman" w:eastAsia="Times New Roman" w:hAnsi="Times New Roman" w:cs="Times New Roman"/>
          <w:kern w:val="36"/>
          <w:sz w:val="18"/>
          <w:szCs w:val="18"/>
        </w:rPr>
        <w:t>Modafinil</w:t>
      </w:r>
      <w:proofErr w:type="spellEnd"/>
      <w:r w:rsidR="000B4F4C" w:rsidRPr="00450164">
        <w:rPr>
          <w:rFonts w:ascii="Times New Roman" w:eastAsia="Times New Roman" w:hAnsi="Times New Roman" w:cs="Times New Roman"/>
          <w:kern w:val="36"/>
          <w:sz w:val="18"/>
          <w:szCs w:val="18"/>
        </w:rPr>
        <w:t xml:space="preserve">: a review of its use in excessive sleepiness associated with obstructive sleep </w:t>
      </w:r>
      <w:proofErr w:type="spellStart"/>
      <w:r w:rsidR="000B4F4C" w:rsidRPr="00450164">
        <w:rPr>
          <w:rFonts w:ascii="Times New Roman" w:eastAsia="Times New Roman" w:hAnsi="Times New Roman" w:cs="Times New Roman"/>
          <w:kern w:val="36"/>
          <w:sz w:val="18"/>
          <w:szCs w:val="18"/>
        </w:rPr>
        <w:t>apnoea</w:t>
      </w:r>
      <w:proofErr w:type="spellEnd"/>
      <w:r w:rsidR="000B4F4C" w:rsidRPr="00450164">
        <w:rPr>
          <w:rFonts w:ascii="Times New Roman" w:eastAsia="Times New Roman" w:hAnsi="Times New Roman" w:cs="Times New Roman"/>
          <w:kern w:val="36"/>
          <w:sz w:val="18"/>
          <w:szCs w:val="18"/>
        </w:rPr>
        <w:t>/</w:t>
      </w:r>
      <w:proofErr w:type="spellStart"/>
      <w:r w:rsidR="000B4F4C" w:rsidRPr="00450164">
        <w:rPr>
          <w:rFonts w:ascii="Times New Roman" w:eastAsia="Times New Roman" w:hAnsi="Times New Roman" w:cs="Times New Roman"/>
          <w:kern w:val="36"/>
          <w:sz w:val="18"/>
          <w:szCs w:val="18"/>
        </w:rPr>
        <w:t>hypopnoea</w:t>
      </w:r>
      <w:proofErr w:type="spellEnd"/>
      <w:r w:rsidR="000B4F4C" w:rsidRPr="00450164">
        <w:rPr>
          <w:rFonts w:ascii="Times New Roman" w:eastAsia="Times New Roman" w:hAnsi="Times New Roman" w:cs="Times New Roman"/>
          <w:kern w:val="36"/>
          <w:sz w:val="18"/>
          <w:szCs w:val="18"/>
        </w:rPr>
        <w:t xml:space="preserve"> syndrome and shift work sleep disorder. </w:t>
      </w:r>
      <w:r w:rsidRPr="00450164">
        <w:rPr>
          <w:rFonts w:ascii="Times New Roman" w:eastAsia="Times New Roman" w:hAnsi="Times New Roman" w:cs="Times New Roman"/>
          <w:i/>
          <w:iCs/>
          <w:sz w:val="18"/>
          <w:szCs w:val="18"/>
        </w:rPr>
        <w:t>CNS Drugs</w:t>
      </w:r>
      <w:r w:rsidR="00265566" w:rsidRPr="00450164">
        <w:rPr>
          <w:rFonts w:ascii="Times New Roman" w:eastAsia="Times New Roman" w:hAnsi="Times New Roman" w:cs="Times New Roman"/>
          <w:i/>
          <w:iCs/>
          <w:sz w:val="18"/>
          <w:szCs w:val="18"/>
        </w:rPr>
        <w:t>,</w:t>
      </w:r>
      <w:r w:rsidRPr="00450164">
        <w:rPr>
          <w:rFonts w:ascii="Times New Roman" w:eastAsia="Times New Roman" w:hAnsi="Times New Roman" w:cs="Times New Roman"/>
          <w:sz w:val="18"/>
          <w:szCs w:val="18"/>
        </w:rPr>
        <w:t> 19(9)</w:t>
      </w:r>
      <w:r w:rsidR="00265566"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785-803.</w:t>
      </w:r>
    </w:p>
    <w:p w:rsidR="00450164" w:rsidRPr="00450164" w:rsidRDefault="00C65C28" w:rsidP="00450164">
      <w:pPr>
        <w:pStyle w:val="ListParagraph"/>
        <w:numPr>
          <w:ilvl w:val="0"/>
          <w:numId w:val="5"/>
        </w:numPr>
        <w:spacing w:before="60" w:after="60" w:line="360" w:lineRule="auto"/>
        <w:ind w:hanging="720"/>
        <w:jc w:val="both"/>
        <w:outlineLvl w:val="0"/>
        <w:rPr>
          <w:rFonts w:ascii="Times New Roman" w:eastAsiaTheme="minorEastAsia" w:hAnsi="Times New Roman" w:cs="Times New Roman"/>
          <w:sz w:val="20"/>
          <w:szCs w:val="18"/>
        </w:rPr>
      </w:pPr>
      <w:proofErr w:type="spellStart"/>
      <w:r w:rsidRPr="00450164">
        <w:rPr>
          <w:rFonts w:ascii="Times New Roman" w:eastAsia="Times New Roman" w:hAnsi="Times New Roman" w:cs="Times New Roman"/>
          <w:sz w:val="18"/>
          <w:szCs w:val="18"/>
        </w:rPr>
        <w:t>Rao</w:t>
      </w:r>
      <w:proofErr w:type="spellEnd"/>
      <w:r w:rsidRPr="00450164">
        <w:rPr>
          <w:rFonts w:ascii="Times New Roman" w:eastAsia="Times New Roman" w:hAnsi="Times New Roman" w:cs="Times New Roman"/>
          <w:sz w:val="18"/>
          <w:szCs w:val="18"/>
        </w:rPr>
        <w:t>, N.R.</w:t>
      </w:r>
      <w:r w:rsidR="00864791"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w:t>
      </w:r>
      <w:proofErr w:type="spellStart"/>
      <w:r w:rsidRPr="00450164">
        <w:rPr>
          <w:rFonts w:ascii="Times New Roman" w:eastAsia="Times New Roman" w:hAnsi="Times New Roman" w:cs="Times New Roman"/>
          <w:sz w:val="18"/>
          <w:szCs w:val="18"/>
        </w:rPr>
        <w:t>Shinde</w:t>
      </w:r>
      <w:proofErr w:type="spellEnd"/>
      <w:r w:rsidRPr="00450164">
        <w:rPr>
          <w:rFonts w:ascii="Times New Roman" w:eastAsia="Times New Roman" w:hAnsi="Times New Roman" w:cs="Times New Roman"/>
          <w:sz w:val="18"/>
          <w:szCs w:val="18"/>
        </w:rPr>
        <w:t>, D.D.</w:t>
      </w:r>
      <w:r w:rsidR="00864791" w:rsidRPr="00450164">
        <w:rPr>
          <w:rFonts w:ascii="Times New Roman" w:eastAsia="Times New Roman" w:hAnsi="Times New Roman" w:cs="Times New Roman"/>
          <w:sz w:val="18"/>
          <w:szCs w:val="18"/>
        </w:rPr>
        <w:t xml:space="preserve">, </w:t>
      </w:r>
      <w:proofErr w:type="spellStart"/>
      <w:r w:rsidRPr="00450164">
        <w:rPr>
          <w:rFonts w:ascii="Times New Roman" w:eastAsia="Times New Roman" w:hAnsi="Times New Roman" w:cs="Times New Roman"/>
          <w:sz w:val="18"/>
          <w:szCs w:val="18"/>
        </w:rPr>
        <w:t>Talluri</w:t>
      </w:r>
      <w:proofErr w:type="spellEnd"/>
      <w:r w:rsidRPr="00450164">
        <w:rPr>
          <w:rFonts w:ascii="Times New Roman" w:eastAsia="Times New Roman" w:hAnsi="Times New Roman" w:cs="Times New Roman"/>
          <w:sz w:val="18"/>
          <w:szCs w:val="18"/>
        </w:rPr>
        <w:t>, M.V.N.</w:t>
      </w:r>
      <w:r w:rsidR="00864791"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w:t>
      </w:r>
      <w:proofErr w:type="spellStart"/>
      <w:r w:rsidRPr="00450164">
        <w:rPr>
          <w:rFonts w:ascii="Times New Roman" w:eastAsia="Times New Roman" w:hAnsi="Times New Roman" w:cs="Times New Roman"/>
          <w:sz w:val="18"/>
          <w:szCs w:val="18"/>
        </w:rPr>
        <w:t>Agawane</w:t>
      </w:r>
      <w:proofErr w:type="spellEnd"/>
      <w:r w:rsidRPr="00450164">
        <w:rPr>
          <w:rFonts w:ascii="Times New Roman" w:eastAsia="Times New Roman" w:hAnsi="Times New Roman" w:cs="Times New Roman"/>
          <w:sz w:val="18"/>
          <w:szCs w:val="18"/>
        </w:rPr>
        <w:t>, S.B.</w:t>
      </w:r>
      <w:r w:rsidR="00864791" w:rsidRPr="00450164">
        <w:rPr>
          <w:rFonts w:ascii="Times New Roman" w:eastAsia="Times New Roman" w:hAnsi="Times New Roman" w:cs="Times New Roman"/>
          <w:sz w:val="18"/>
          <w:szCs w:val="18"/>
        </w:rPr>
        <w:t>, (2008).</w:t>
      </w:r>
      <w:r w:rsidRPr="00450164">
        <w:rPr>
          <w:rFonts w:ascii="Times New Roman" w:eastAsia="Times New Roman" w:hAnsi="Times New Roman" w:cs="Times New Roman"/>
          <w:sz w:val="18"/>
          <w:szCs w:val="18"/>
        </w:rPr>
        <w:t xml:space="preserve"> </w:t>
      </w:r>
      <w:proofErr w:type="gramStart"/>
      <w:r w:rsidR="000B4F4C" w:rsidRPr="00450164">
        <w:rPr>
          <w:rFonts w:ascii="Times New Roman" w:eastAsia="Times New Roman" w:hAnsi="Times New Roman" w:cs="Times New Roman"/>
          <w:sz w:val="18"/>
          <w:szCs w:val="18"/>
        </w:rPr>
        <w:t xml:space="preserve">LC–ESI-MS determination and pharmacokinetics of </w:t>
      </w:r>
      <w:proofErr w:type="spellStart"/>
      <w:r w:rsidR="000B4F4C" w:rsidRPr="00450164">
        <w:rPr>
          <w:rFonts w:ascii="Times New Roman" w:eastAsia="Times New Roman" w:hAnsi="Times New Roman" w:cs="Times New Roman"/>
          <w:sz w:val="18"/>
          <w:szCs w:val="18"/>
        </w:rPr>
        <w:t>adrafinil</w:t>
      </w:r>
      <w:proofErr w:type="spellEnd"/>
      <w:r w:rsidR="000B4F4C" w:rsidRPr="00450164">
        <w:rPr>
          <w:rFonts w:ascii="Times New Roman" w:eastAsia="Times New Roman" w:hAnsi="Times New Roman" w:cs="Times New Roman"/>
          <w:sz w:val="18"/>
          <w:szCs w:val="18"/>
        </w:rPr>
        <w:t xml:space="preserve"> in rats.</w:t>
      </w:r>
      <w:proofErr w:type="gramEnd"/>
      <w:r w:rsidR="000B4F4C" w:rsidRPr="00450164">
        <w:rPr>
          <w:rFonts w:ascii="Times New Roman" w:eastAsia="Times New Roman" w:hAnsi="Times New Roman" w:cs="Times New Roman"/>
          <w:sz w:val="18"/>
          <w:szCs w:val="18"/>
        </w:rPr>
        <w:t xml:space="preserve"> </w:t>
      </w:r>
      <w:r w:rsidRPr="00450164">
        <w:rPr>
          <w:rFonts w:ascii="Times New Roman" w:eastAsia="Times New Roman" w:hAnsi="Times New Roman" w:cs="Times New Roman"/>
          <w:i/>
          <w:iCs/>
          <w:sz w:val="18"/>
          <w:szCs w:val="18"/>
        </w:rPr>
        <w:t>J</w:t>
      </w:r>
      <w:r w:rsidR="00864791" w:rsidRPr="00450164">
        <w:rPr>
          <w:rFonts w:ascii="Times New Roman" w:eastAsia="Times New Roman" w:hAnsi="Times New Roman" w:cs="Times New Roman"/>
          <w:i/>
          <w:iCs/>
          <w:sz w:val="18"/>
          <w:szCs w:val="18"/>
        </w:rPr>
        <w:t xml:space="preserve">ournal of </w:t>
      </w:r>
      <w:r w:rsidRPr="00450164">
        <w:rPr>
          <w:rFonts w:ascii="Times New Roman" w:eastAsia="Times New Roman" w:hAnsi="Times New Roman" w:cs="Times New Roman"/>
          <w:i/>
          <w:iCs/>
          <w:sz w:val="18"/>
          <w:szCs w:val="18"/>
        </w:rPr>
        <w:t>Chromatogr</w:t>
      </w:r>
      <w:r w:rsidR="00864791" w:rsidRPr="00450164">
        <w:rPr>
          <w:rFonts w:ascii="Times New Roman" w:eastAsia="Times New Roman" w:hAnsi="Times New Roman" w:cs="Times New Roman"/>
          <w:i/>
          <w:iCs/>
          <w:sz w:val="18"/>
          <w:szCs w:val="18"/>
        </w:rPr>
        <w:t>aphy</w:t>
      </w:r>
      <w:r w:rsidRPr="00450164">
        <w:rPr>
          <w:rFonts w:ascii="Times New Roman" w:eastAsia="Times New Roman" w:hAnsi="Times New Roman" w:cs="Times New Roman"/>
          <w:i/>
          <w:iCs/>
          <w:sz w:val="18"/>
          <w:szCs w:val="18"/>
        </w:rPr>
        <w:t xml:space="preserve"> B</w:t>
      </w:r>
      <w:r w:rsidR="00864791"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873</w:t>
      </w:r>
      <w:r w:rsidR="00864791"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119–123.</w:t>
      </w:r>
    </w:p>
    <w:p w:rsidR="00450164" w:rsidRPr="00450164" w:rsidRDefault="00C65C28" w:rsidP="00450164">
      <w:pPr>
        <w:pStyle w:val="ListParagraph"/>
        <w:numPr>
          <w:ilvl w:val="0"/>
          <w:numId w:val="5"/>
        </w:numPr>
        <w:spacing w:before="60" w:after="60" w:line="360" w:lineRule="auto"/>
        <w:ind w:hanging="720"/>
        <w:jc w:val="both"/>
        <w:outlineLvl w:val="0"/>
        <w:rPr>
          <w:rFonts w:ascii="Times New Roman" w:eastAsiaTheme="minorEastAsia" w:hAnsi="Times New Roman" w:cs="Times New Roman"/>
          <w:sz w:val="20"/>
          <w:szCs w:val="18"/>
        </w:rPr>
      </w:pPr>
      <w:proofErr w:type="spellStart"/>
      <w:r w:rsidRPr="00450164">
        <w:rPr>
          <w:rFonts w:ascii="Times New Roman" w:eastAsia="Times New Roman" w:hAnsi="Times New Roman" w:cs="Times New Roman"/>
          <w:sz w:val="18"/>
          <w:szCs w:val="18"/>
        </w:rPr>
        <w:t>Devadiga</w:t>
      </w:r>
      <w:proofErr w:type="spellEnd"/>
      <w:r w:rsidRPr="00450164">
        <w:rPr>
          <w:rFonts w:ascii="Times New Roman" w:eastAsia="Times New Roman" w:hAnsi="Times New Roman" w:cs="Times New Roman"/>
          <w:sz w:val="18"/>
          <w:szCs w:val="18"/>
        </w:rPr>
        <w:t>, M. P.</w:t>
      </w:r>
      <w:r w:rsidR="002D633B"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w:t>
      </w:r>
      <w:proofErr w:type="spellStart"/>
      <w:r w:rsidRPr="00450164">
        <w:rPr>
          <w:rFonts w:ascii="Times New Roman" w:eastAsia="Times New Roman" w:hAnsi="Times New Roman" w:cs="Times New Roman"/>
          <w:sz w:val="18"/>
          <w:szCs w:val="18"/>
        </w:rPr>
        <w:t>Anandan</w:t>
      </w:r>
      <w:proofErr w:type="spellEnd"/>
      <w:r w:rsidRPr="00450164">
        <w:rPr>
          <w:rFonts w:ascii="Times New Roman" w:eastAsia="Times New Roman" w:hAnsi="Times New Roman" w:cs="Times New Roman"/>
          <w:sz w:val="18"/>
          <w:szCs w:val="18"/>
        </w:rPr>
        <w:t>, P.</w:t>
      </w:r>
      <w:r w:rsidR="002D633B"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w:t>
      </w:r>
      <w:proofErr w:type="spellStart"/>
      <w:r w:rsidRPr="00450164">
        <w:rPr>
          <w:rFonts w:ascii="Times New Roman" w:eastAsia="Times New Roman" w:hAnsi="Times New Roman" w:cs="Times New Roman"/>
          <w:sz w:val="18"/>
          <w:szCs w:val="18"/>
        </w:rPr>
        <w:t>Mukhopadhyay</w:t>
      </w:r>
      <w:proofErr w:type="spellEnd"/>
      <w:r w:rsidRPr="00450164">
        <w:rPr>
          <w:rFonts w:ascii="Times New Roman" w:eastAsia="Times New Roman" w:hAnsi="Times New Roman" w:cs="Times New Roman"/>
          <w:sz w:val="18"/>
          <w:szCs w:val="18"/>
        </w:rPr>
        <w:t>, A</w:t>
      </w:r>
      <w:r w:rsidR="002D633B" w:rsidRPr="00450164">
        <w:rPr>
          <w:rFonts w:ascii="Times New Roman" w:eastAsia="Times New Roman" w:hAnsi="Times New Roman" w:cs="Times New Roman"/>
          <w:sz w:val="18"/>
          <w:szCs w:val="18"/>
        </w:rPr>
        <w:t>. (2011).</w:t>
      </w:r>
      <w:r w:rsidRPr="00450164">
        <w:rPr>
          <w:rFonts w:ascii="Times New Roman" w:eastAsia="Times New Roman" w:hAnsi="Times New Roman" w:cs="Times New Roman"/>
          <w:sz w:val="18"/>
          <w:szCs w:val="18"/>
        </w:rPr>
        <w:t xml:space="preserve"> </w:t>
      </w:r>
      <w:r w:rsidR="000B4F4C" w:rsidRPr="00450164">
        <w:rPr>
          <w:rFonts w:ascii="Times New Roman" w:eastAsia="Times New Roman" w:hAnsi="Times New Roman" w:cs="Times New Roman"/>
          <w:sz w:val="18"/>
          <w:szCs w:val="18"/>
        </w:rPr>
        <w:t xml:space="preserve">Development of a rapid and sensitive method for estimation of </w:t>
      </w:r>
      <w:proofErr w:type="spellStart"/>
      <w:r w:rsidR="000B4F4C" w:rsidRPr="00450164">
        <w:rPr>
          <w:rFonts w:ascii="Times New Roman" w:eastAsia="Times New Roman" w:hAnsi="Times New Roman" w:cs="Times New Roman"/>
          <w:sz w:val="18"/>
          <w:szCs w:val="18"/>
        </w:rPr>
        <w:t>armodafinil</w:t>
      </w:r>
      <w:proofErr w:type="spellEnd"/>
      <w:r w:rsidR="000B4F4C" w:rsidRPr="00450164">
        <w:rPr>
          <w:rFonts w:ascii="Times New Roman" w:eastAsia="Times New Roman" w:hAnsi="Times New Roman" w:cs="Times New Roman"/>
          <w:sz w:val="18"/>
          <w:szCs w:val="18"/>
        </w:rPr>
        <w:t xml:space="preserve"> in human plasma by </w:t>
      </w:r>
      <w:r w:rsidR="000B4F4C" w:rsidRPr="00450164">
        <w:rPr>
          <w:rFonts w:ascii="Times New Roman" w:eastAsia="Times New Roman" w:hAnsi="Times New Roman" w:cs="Times New Roman"/>
          <w:i/>
          <w:iCs/>
          <w:sz w:val="18"/>
          <w:szCs w:val="18"/>
        </w:rPr>
        <w:t xml:space="preserve">LCMS/MS. </w:t>
      </w:r>
      <w:r w:rsidR="001D1BDC" w:rsidRPr="00450164">
        <w:rPr>
          <w:rFonts w:ascii="Times New Roman" w:eastAsia="Times New Roman" w:hAnsi="Times New Roman" w:cs="Times New Roman"/>
          <w:i/>
          <w:iCs/>
          <w:sz w:val="18"/>
          <w:szCs w:val="18"/>
        </w:rPr>
        <w:t xml:space="preserve">International Journal of Applied Biology and Pharmaceutical Technology, </w:t>
      </w:r>
      <w:r w:rsidRPr="00450164">
        <w:rPr>
          <w:rFonts w:ascii="Times New Roman" w:eastAsia="Times New Roman" w:hAnsi="Times New Roman" w:cs="Times New Roman"/>
          <w:sz w:val="18"/>
          <w:szCs w:val="18"/>
        </w:rPr>
        <w:t>2(1)</w:t>
      </w:r>
      <w:r w:rsidR="001D1BDC"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323-327.</w:t>
      </w:r>
    </w:p>
    <w:p w:rsidR="00450164" w:rsidRPr="00450164" w:rsidRDefault="00C65C28" w:rsidP="00450164">
      <w:pPr>
        <w:pStyle w:val="ListParagraph"/>
        <w:numPr>
          <w:ilvl w:val="0"/>
          <w:numId w:val="5"/>
        </w:numPr>
        <w:spacing w:before="60" w:after="60" w:line="360" w:lineRule="auto"/>
        <w:ind w:hanging="720"/>
        <w:jc w:val="both"/>
        <w:outlineLvl w:val="0"/>
        <w:rPr>
          <w:rFonts w:ascii="Times New Roman" w:eastAsiaTheme="minorEastAsia" w:hAnsi="Times New Roman" w:cs="Times New Roman"/>
          <w:sz w:val="20"/>
          <w:szCs w:val="18"/>
        </w:rPr>
      </w:pPr>
      <w:proofErr w:type="spellStart"/>
      <w:r w:rsidRPr="00450164">
        <w:rPr>
          <w:rFonts w:ascii="Times New Roman" w:eastAsia="Times New Roman" w:hAnsi="Times New Roman" w:cs="Times New Roman"/>
          <w:sz w:val="18"/>
          <w:szCs w:val="18"/>
        </w:rPr>
        <w:t>Schwertnera</w:t>
      </w:r>
      <w:proofErr w:type="spellEnd"/>
      <w:r w:rsidRPr="00450164">
        <w:rPr>
          <w:rFonts w:ascii="Times New Roman" w:eastAsia="Times New Roman" w:hAnsi="Times New Roman" w:cs="Times New Roman"/>
          <w:sz w:val="18"/>
          <w:szCs w:val="18"/>
        </w:rPr>
        <w:t>, H. A.</w:t>
      </w:r>
      <w:r w:rsidR="001D1BDC"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Kong, S. B.</w:t>
      </w:r>
      <w:r w:rsidR="001D1BDC" w:rsidRPr="00450164">
        <w:rPr>
          <w:rFonts w:ascii="Times New Roman" w:eastAsia="Times New Roman" w:hAnsi="Times New Roman" w:cs="Times New Roman"/>
          <w:sz w:val="18"/>
          <w:szCs w:val="18"/>
        </w:rPr>
        <w:t xml:space="preserve"> (2005).</w:t>
      </w:r>
      <w:r w:rsidR="000B4F4C" w:rsidRPr="00450164">
        <w:rPr>
          <w:rFonts w:ascii="Times New Roman" w:eastAsia="Times New Roman" w:hAnsi="Times New Roman" w:cs="Times New Roman"/>
          <w:sz w:val="18"/>
          <w:szCs w:val="18"/>
        </w:rPr>
        <w:t xml:space="preserve"> </w:t>
      </w:r>
      <w:proofErr w:type="gramStart"/>
      <w:r w:rsidR="000B4F4C" w:rsidRPr="00450164">
        <w:rPr>
          <w:rFonts w:ascii="Times New Roman" w:eastAsia="Times New Roman" w:hAnsi="Times New Roman" w:cs="Times New Roman"/>
          <w:sz w:val="18"/>
          <w:szCs w:val="18"/>
        </w:rPr>
        <w:t xml:space="preserve">Determination of </w:t>
      </w:r>
      <w:proofErr w:type="spellStart"/>
      <w:r w:rsidR="000B4F4C" w:rsidRPr="00450164">
        <w:rPr>
          <w:rFonts w:ascii="Times New Roman" w:eastAsia="Times New Roman" w:hAnsi="Times New Roman" w:cs="Times New Roman"/>
          <w:sz w:val="18"/>
          <w:szCs w:val="18"/>
        </w:rPr>
        <w:t>modafinil</w:t>
      </w:r>
      <w:proofErr w:type="spellEnd"/>
      <w:r w:rsidR="000B4F4C" w:rsidRPr="00450164">
        <w:rPr>
          <w:rFonts w:ascii="Times New Roman" w:eastAsia="Times New Roman" w:hAnsi="Times New Roman" w:cs="Times New Roman"/>
          <w:sz w:val="18"/>
          <w:szCs w:val="18"/>
        </w:rPr>
        <w:t xml:space="preserve"> in plasma and urine by reversed phase high-performance liquid-chromatography.</w:t>
      </w:r>
      <w:proofErr w:type="gramEnd"/>
      <w:r w:rsidR="000B4F4C" w:rsidRPr="00450164">
        <w:rPr>
          <w:rFonts w:ascii="Times New Roman" w:eastAsia="Times New Roman" w:hAnsi="Times New Roman" w:cs="Times New Roman"/>
          <w:sz w:val="18"/>
          <w:szCs w:val="18"/>
        </w:rPr>
        <w:t xml:space="preserve"> </w:t>
      </w:r>
      <w:r w:rsidRPr="00450164">
        <w:rPr>
          <w:rFonts w:ascii="Times New Roman" w:eastAsia="Times New Roman" w:hAnsi="Times New Roman" w:cs="Times New Roman"/>
          <w:i/>
          <w:iCs/>
          <w:sz w:val="18"/>
          <w:szCs w:val="18"/>
        </w:rPr>
        <w:t>J</w:t>
      </w:r>
      <w:r w:rsidR="001D1BDC" w:rsidRPr="00450164">
        <w:rPr>
          <w:rFonts w:ascii="Times New Roman" w:eastAsia="Times New Roman" w:hAnsi="Times New Roman" w:cs="Times New Roman"/>
          <w:i/>
          <w:iCs/>
          <w:sz w:val="18"/>
          <w:szCs w:val="18"/>
        </w:rPr>
        <w:t xml:space="preserve">ournal of </w:t>
      </w:r>
      <w:r w:rsidRPr="00450164">
        <w:rPr>
          <w:rFonts w:ascii="Times New Roman" w:eastAsia="Times New Roman" w:hAnsi="Times New Roman" w:cs="Times New Roman"/>
          <w:i/>
          <w:iCs/>
          <w:sz w:val="18"/>
          <w:szCs w:val="18"/>
        </w:rPr>
        <w:t>Pharm</w:t>
      </w:r>
      <w:r w:rsidR="001D1BDC" w:rsidRPr="00450164">
        <w:rPr>
          <w:rFonts w:ascii="Times New Roman" w:eastAsia="Times New Roman" w:hAnsi="Times New Roman" w:cs="Times New Roman"/>
          <w:i/>
          <w:iCs/>
          <w:sz w:val="18"/>
          <w:szCs w:val="18"/>
        </w:rPr>
        <w:t xml:space="preserve">aceutical and </w:t>
      </w:r>
      <w:r w:rsidRPr="00450164">
        <w:rPr>
          <w:rFonts w:ascii="Times New Roman" w:eastAsia="Times New Roman" w:hAnsi="Times New Roman" w:cs="Times New Roman"/>
          <w:i/>
          <w:iCs/>
          <w:sz w:val="18"/>
          <w:szCs w:val="18"/>
        </w:rPr>
        <w:t>Biomed</w:t>
      </w:r>
      <w:r w:rsidR="001D1BDC" w:rsidRPr="00450164">
        <w:rPr>
          <w:rFonts w:ascii="Times New Roman" w:eastAsia="Times New Roman" w:hAnsi="Times New Roman" w:cs="Times New Roman"/>
          <w:i/>
          <w:iCs/>
          <w:sz w:val="18"/>
          <w:szCs w:val="18"/>
        </w:rPr>
        <w:t>ical</w:t>
      </w:r>
      <w:r w:rsidRPr="00450164">
        <w:rPr>
          <w:rFonts w:ascii="Times New Roman" w:eastAsia="Times New Roman" w:hAnsi="Times New Roman" w:cs="Times New Roman"/>
          <w:i/>
          <w:iCs/>
          <w:sz w:val="18"/>
          <w:szCs w:val="18"/>
        </w:rPr>
        <w:t xml:space="preserve"> Ana</w:t>
      </w:r>
      <w:r w:rsidR="001D1BDC" w:rsidRPr="00450164">
        <w:rPr>
          <w:rFonts w:ascii="Times New Roman" w:eastAsia="Times New Roman" w:hAnsi="Times New Roman" w:cs="Times New Roman"/>
          <w:i/>
          <w:iCs/>
          <w:sz w:val="18"/>
          <w:szCs w:val="18"/>
        </w:rPr>
        <w:t>lysis,</w:t>
      </w:r>
      <w:r w:rsidRPr="00450164">
        <w:rPr>
          <w:rFonts w:ascii="Times New Roman" w:eastAsia="Times New Roman" w:hAnsi="Times New Roman" w:cs="Times New Roman"/>
          <w:sz w:val="18"/>
          <w:szCs w:val="18"/>
        </w:rPr>
        <w:t xml:space="preserve"> 2005; 37, 475–479.</w:t>
      </w:r>
    </w:p>
    <w:p w:rsidR="00450164" w:rsidRPr="00450164" w:rsidRDefault="00C65C28" w:rsidP="00450164">
      <w:pPr>
        <w:pStyle w:val="ListParagraph"/>
        <w:numPr>
          <w:ilvl w:val="0"/>
          <w:numId w:val="5"/>
        </w:numPr>
        <w:spacing w:before="60" w:after="60" w:line="360" w:lineRule="auto"/>
        <w:ind w:hanging="720"/>
        <w:jc w:val="both"/>
        <w:outlineLvl w:val="0"/>
        <w:rPr>
          <w:rFonts w:ascii="Times New Roman" w:eastAsiaTheme="minorEastAsia" w:hAnsi="Times New Roman" w:cs="Times New Roman"/>
          <w:sz w:val="20"/>
          <w:szCs w:val="18"/>
        </w:rPr>
      </w:pPr>
      <w:proofErr w:type="spellStart"/>
      <w:r w:rsidRPr="00450164">
        <w:rPr>
          <w:rFonts w:ascii="Times New Roman" w:eastAsia="Times New Roman" w:hAnsi="Times New Roman" w:cs="Times New Roman"/>
          <w:sz w:val="18"/>
          <w:szCs w:val="18"/>
        </w:rPr>
        <w:t>Rao</w:t>
      </w:r>
      <w:proofErr w:type="spellEnd"/>
      <w:r w:rsidRPr="00450164">
        <w:rPr>
          <w:rFonts w:ascii="Times New Roman" w:eastAsia="Times New Roman" w:hAnsi="Times New Roman" w:cs="Times New Roman"/>
          <w:sz w:val="18"/>
          <w:szCs w:val="18"/>
        </w:rPr>
        <w:t xml:space="preserve">, </w:t>
      </w:r>
      <w:hyperlink r:id="rId13" w:history="1">
        <w:r w:rsidRPr="00450164">
          <w:rPr>
            <w:rFonts w:ascii="Times New Roman" w:hAnsi="Times New Roman" w:cs="Times New Roman"/>
            <w:sz w:val="18"/>
            <w:szCs w:val="18"/>
          </w:rPr>
          <w:t>N. R</w:t>
        </w:r>
      </w:hyperlink>
      <w:r w:rsidRPr="00450164">
        <w:rPr>
          <w:rFonts w:ascii="Times New Roman" w:eastAsia="Times New Roman" w:hAnsi="Times New Roman" w:cs="Times New Roman"/>
          <w:sz w:val="18"/>
          <w:szCs w:val="18"/>
        </w:rPr>
        <w:t>.</w:t>
      </w:r>
      <w:r w:rsidR="00A435AC" w:rsidRPr="00450164">
        <w:rPr>
          <w:rFonts w:ascii="Times New Roman" w:eastAsia="Times New Roman" w:hAnsi="Times New Roman" w:cs="Times New Roman"/>
          <w:sz w:val="18"/>
          <w:szCs w:val="18"/>
        </w:rPr>
        <w:t xml:space="preserve">, </w:t>
      </w:r>
      <w:hyperlink r:id="rId14" w:history="1">
        <w:proofErr w:type="spellStart"/>
        <w:r w:rsidRPr="00450164">
          <w:rPr>
            <w:rFonts w:ascii="Times New Roman" w:hAnsi="Times New Roman" w:cs="Times New Roman"/>
            <w:sz w:val="18"/>
            <w:szCs w:val="18"/>
          </w:rPr>
          <w:t>Shinde</w:t>
        </w:r>
        <w:proofErr w:type="spellEnd"/>
        <w:r w:rsidRPr="00450164">
          <w:rPr>
            <w:rFonts w:ascii="Times New Roman" w:hAnsi="Times New Roman" w:cs="Times New Roman"/>
            <w:sz w:val="18"/>
            <w:szCs w:val="18"/>
          </w:rPr>
          <w:t>, D.D</w:t>
        </w:r>
      </w:hyperlink>
      <w:r w:rsidRPr="00450164">
        <w:rPr>
          <w:rFonts w:ascii="Times New Roman" w:eastAsia="Times New Roman" w:hAnsi="Times New Roman" w:cs="Times New Roman"/>
          <w:sz w:val="18"/>
          <w:szCs w:val="18"/>
        </w:rPr>
        <w:t>.</w:t>
      </w:r>
      <w:r w:rsidR="00A435AC" w:rsidRPr="00450164">
        <w:rPr>
          <w:rFonts w:ascii="Times New Roman" w:eastAsia="Times New Roman" w:hAnsi="Times New Roman" w:cs="Times New Roman"/>
          <w:sz w:val="18"/>
          <w:szCs w:val="18"/>
        </w:rPr>
        <w:t xml:space="preserve">, </w:t>
      </w:r>
      <w:hyperlink r:id="rId15" w:history="1">
        <w:r w:rsidRPr="00450164">
          <w:rPr>
            <w:rFonts w:ascii="Times New Roman" w:hAnsi="Times New Roman" w:cs="Times New Roman"/>
            <w:sz w:val="18"/>
            <w:szCs w:val="18"/>
          </w:rPr>
          <w:t>Kumar T.M.V</w:t>
        </w:r>
      </w:hyperlink>
      <w:r w:rsidRPr="00450164">
        <w:rPr>
          <w:rFonts w:ascii="Times New Roman" w:eastAsia="Times New Roman" w:hAnsi="Times New Roman" w:cs="Times New Roman"/>
          <w:sz w:val="18"/>
          <w:szCs w:val="18"/>
        </w:rPr>
        <w:t>.</w:t>
      </w:r>
      <w:r w:rsidR="00A435AC" w:rsidRPr="00450164">
        <w:rPr>
          <w:rFonts w:ascii="Times New Roman" w:eastAsia="Times New Roman" w:hAnsi="Times New Roman" w:cs="Times New Roman"/>
          <w:sz w:val="18"/>
          <w:szCs w:val="18"/>
        </w:rPr>
        <w:t xml:space="preserve"> </w:t>
      </w:r>
      <w:proofErr w:type="gramStart"/>
      <w:r w:rsidR="00A435AC" w:rsidRPr="00450164">
        <w:rPr>
          <w:rFonts w:ascii="Times New Roman" w:eastAsia="Times New Roman" w:hAnsi="Times New Roman" w:cs="Times New Roman"/>
          <w:sz w:val="18"/>
          <w:szCs w:val="18"/>
        </w:rPr>
        <w:t>(2008).</w:t>
      </w:r>
      <w:r w:rsidRPr="00450164">
        <w:rPr>
          <w:rFonts w:ascii="Times New Roman" w:eastAsia="Times New Roman" w:hAnsi="Times New Roman" w:cs="Times New Roman"/>
          <w:sz w:val="18"/>
          <w:szCs w:val="18"/>
        </w:rPr>
        <w:t xml:space="preserve"> </w:t>
      </w:r>
      <w:proofErr w:type="spellStart"/>
      <w:r w:rsidR="000B4F4C" w:rsidRPr="00450164">
        <w:rPr>
          <w:rFonts w:ascii="Times New Roman" w:eastAsia="Times New Roman" w:hAnsi="Times New Roman" w:cs="Times New Roman"/>
          <w:sz w:val="18"/>
          <w:szCs w:val="18"/>
        </w:rPr>
        <w:t>Enantioselective</w:t>
      </w:r>
      <w:proofErr w:type="spellEnd"/>
      <w:r w:rsidR="000B4F4C" w:rsidRPr="00450164">
        <w:rPr>
          <w:rFonts w:ascii="Times New Roman" w:eastAsia="Times New Roman" w:hAnsi="Times New Roman" w:cs="Times New Roman"/>
          <w:sz w:val="18"/>
          <w:szCs w:val="18"/>
        </w:rPr>
        <w:t xml:space="preserve"> HPLC resolution of synthetic intermediates of </w:t>
      </w:r>
      <w:proofErr w:type="spellStart"/>
      <w:r w:rsidR="000B4F4C" w:rsidRPr="00450164">
        <w:rPr>
          <w:rFonts w:ascii="Times New Roman" w:eastAsia="Times New Roman" w:hAnsi="Times New Roman" w:cs="Times New Roman"/>
          <w:sz w:val="18"/>
          <w:szCs w:val="18"/>
        </w:rPr>
        <w:t>armodafinil</w:t>
      </w:r>
      <w:proofErr w:type="spellEnd"/>
      <w:r w:rsidR="000B4F4C" w:rsidRPr="00450164">
        <w:rPr>
          <w:rFonts w:ascii="Times New Roman" w:eastAsia="Times New Roman" w:hAnsi="Times New Roman" w:cs="Times New Roman"/>
          <w:sz w:val="18"/>
          <w:szCs w:val="18"/>
        </w:rPr>
        <w:t xml:space="preserve"> and related substances.</w:t>
      </w:r>
      <w:proofErr w:type="gramEnd"/>
      <w:r w:rsidR="000B4F4C" w:rsidRPr="00450164">
        <w:rPr>
          <w:rFonts w:ascii="Times New Roman" w:eastAsia="Times New Roman" w:hAnsi="Times New Roman" w:cs="Times New Roman"/>
          <w:sz w:val="18"/>
          <w:szCs w:val="18"/>
        </w:rPr>
        <w:t xml:space="preserve"> </w:t>
      </w:r>
      <w:hyperlink r:id="rId16" w:tooltip="Journal of separation science." w:history="1">
        <w:r w:rsidRPr="00450164">
          <w:rPr>
            <w:rFonts w:ascii="Times New Roman" w:hAnsi="Times New Roman" w:cs="Times New Roman"/>
            <w:i/>
            <w:iCs/>
            <w:sz w:val="18"/>
            <w:szCs w:val="18"/>
          </w:rPr>
          <w:t>J</w:t>
        </w:r>
        <w:r w:rsidR="00A435AC" w:rsidRPr="00450164">
          <w:rPr>
            <w:rFonts w:ascii="Times New Roman" w:hAnsi="Times New Roman" w:cs="Times New Roman"/>
            <w:i/>
            <w:iCs/>
            <w:sz w:val="18"/>
            <w:szCs w:val="18"/>
          </w:rPr>
          <w:t xml:space="preserve">ournal of </w:t>
        </w:r>
        <w:r w:rsidRPr="00450164">
          <w:rPr>
            <w:rFonts w:ascii="Times New Roman" w:hAnsi="Times New Roman" w:cs="Times New Roman"/>
            <w:i/>
            <w:iCs/>
            <w:sz w:val="18"/>
            <w:szCs w:val="18"/>
          </w:rPr>
          <w:t>Sep</w:t>
        </w:r>
        <w:r w:rsidR="00A435AC" w:rsidRPr="00450164">
          <w:rPr>
            <w:rFonts w:ascii="Times New Roman" w:hAnsi="Times New Roman" w:cs="Times New Roman"/>
            <w:i/>
            <w:iCs/>
            <w:sz w:val="18"/>
            <w:szCs w:val="18"/>
          </w:rPr>
          <w:t>aration</w:t>
        </w:r>
        <w:r w:rsidRPr="00450164">
          <w:rPr>
            <w:rFonts w:ascii="Times New Roman" w:hAnsi="Times New Roman" w:cs="Times New Roman"/>
            <w:i/>
            <w:iCs/>
            <w:sz w:val="18"/>
            <w:szCs w:val="18"/>
          </w:rPr>
          <w:t xml:space="preserve"> Sci</w:t>
        </w:r>
        <w:r w:rsidR="00A435AC" w:rsidRPr="00450164">
          <w:rPr>
            <w:rFonts w:ascii="Times New Roman" w:hAnsi="Times New Roman" w:cs="Times New Roman"/>
            <w:i/>
            <w:iCs/>
            <w:sz w:val="18"/>
            <w:szCs w:val="18"/>
          </w:rPr>
          <w:t>ence</w:t>
        </w:r>
      </w:hyperlink>
      <w:r w:rsidR="00A435AC" w:rsidRPr="00450164">
        <w:rPr>
          <w:rFonts w:ascii="Times New Roman" w:hAnsi="Times New Roman" w:cs="Times New Roman"/>
          <w:sz w:val="18"/>
          <w:szCs w:val="18"/>
        </w:rPr>
        <w:t>,</w:t>
      </w:r>
      <w:r w:rsidRPr="00450164">
        <w:rPr>
          <w:rFonts w:ascii="Times New Roman" w:eastAsia="Times New Roman" w:hAnsi="Times New Roman" w:cs="Times New Roman"/>
          <w:sz w:val="18"/>
          <w:szCs w:val="18"/>
        </w:rPr>
        <w:t xml:space="preserve"> 31(6-7)</w:t>
      </w:r>
      <w:r w:rsidR="009C438E"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981-989.</w:t>
      </w:r>
    </w:p>
    <w:p w:rsidR="00450164" w:rsidRPr="00450164" w:rsidRDefault="00C65C28" w:rsidP="00450164">
      <w:pPr>
        <w:pStyle w:val="ListParagraph"/>
        <w:numPr>
          <w:ilvl w:val="0"/>
          <w:numId w:val="5"/>
        </w:numPr>
        <w:spacing w:before="60" w:after="60" w:line="360" w:lineRule="auto"/>
        <w:ind w:hanging="720"/>
        <w:jc w:val="both"/>
        <w:outlineLvl w:val="0"/>
        <w:rPr>
          <w:rFonts w:ascii="Times New Roman" w:eastAsiaTheme="minorEastAsia" w:hAnsi="Times New Roman" w:cs="Times New Roman"/>
          <w:sz w:val="20"/>
          <w:szCs w:val="18"/>
        </w:rPr>
      </w:pPr>
      <w:proofErr w:type="spellStart"/>
      <w:r w:rsidRPr="00450164">
        <w:rPr>
          <w:rFonts w:ascii="Times New Roman" w:eastAsia="Times New Roman" w:hAnsi="Times New Roman" w:cs="Times New Roman"/>
          <w:sz w:val="18"/>
          <w:szCs w:val="18"/>
        </w:rPr>
        <w:t>Rao</w:t>
      </w:r>
      <w:proofErr w:type="spellEnd"/>
      <w:r w:rsidRPr="00450164">
        <w:rPr>
          <w:rFonts w:ascii="Times New Roman" w:eastAsia="Times New Roman" w:hAnsi="Times New Roman" w:cs="Times New Roman"/>
          <w:sz w:val="18"/>
          <w:szCs w:val="18"/>
        </w:rPr>
        <w:t>, N. R.</w:t>
      </w:r>
      <w:r w:rsidR="009C438E"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w:t>
      </w:r>
      <w:proofErr w:type="spellStart"/>
      <w:r w:rsidRPr="00450164">
        <w:rPr>
          <w:rFonts w:ascii="Times New Roman" w:eastAsia="Times New Roman" w:hAnsi="Times New Roman" w:cs="Times New Roman"/>
          <w:sz w:val="18"/>
          <w:szCs w:val="18"/>
        </w:rPr>
        <w:t>Shinde</w:t>
      </w:r>
      <w:proofErr w:type="spellEnd"/>
      <w:r w:rsidRPr="00450164">
        <w:rPr>
          <w:rFonts w:ascii="Times New Roman" w:eastAsia="Times New Roman" w:hAnsi="Times New Roman" w:cs="Times New Roman"/>
          <w:sz w:val="18"/>
          <w:szCs w:val="18"/>
        </w:rPr>
        <w:t>, D.D.</w:t>
      </w:r>
      <w:r w:rsidR="009C438E"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Ramesh, V.</w:t>
      </w:r>
      <w:r w:rsidR="009C438E"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w:t>
      </w:r>
      <w:proofErr w:type="spellStart"/>
      <w:r w:rsidRPr="00450164">
        <w:rPr>
          <w:rFonts w:ascii="Times New Roman" w:eastAsia="Times New Roman" w:hAnsi="Times New Roman" w:cs="Times New Roman"/>
          <w:sz w:val="18"/>
          <w:szCs w:val="18"/>
        </w:rPr>
        <w:t>Srinivas</w:t>
      </w:r>
      <w:proofErr w:type="spellEnd"/>
      <w:r w:rsidRPr="00450164">
        <w:rPr>
          <w:rFonts w:ascii="Times New Roman" w:eastAsia="Times New Roman" w:hAnsi="Times New Roman" w:cs="Times New Roman"/>
          <w:sz w:val="18"/>
          <w:szCs w:val="18"/>
        </w:rPr>
        <w:t>, R</w:t>
      </w:r>
      <w:r w:rsidR="009C438E" w:rsidRPr="00450164">
        <w:rPr>
          <w:rFonts w:ascii="Times New Roman" w:eastAsia="Times New Roman" w:hAnsi="Times New Roman" w:cs="Times New Roman"/>
          <w:sz w:val="18"/>
          <w:szCs w:val="18"/>
        </w:rPr>
        <w:t>. (2009).</w:t>
      </w:r>
      <w:r w:rsidRPr="00450164">
        <w:rPr>
          <w:rFonts w:ascii="Times New Roman" w:eastAsia="Times New Roman" w:hAnsi="Times New Roman" w:cs="Times New Roman"/>
          <w:sz w:val="18"/>
          <w:szCs w:val="18"/>
        </w:rPr>
        <w:t xml:space="preserve"> </w:t>
      </w:r>
      <w:proofErr w:type="gramStart"/>
      <w:r w:rsidR="000B4F4C" w:rsidRPr="00450164">
        <w:rPr>
          <w:rFonts w:ascii="Times New Roman" w:eastAsia="Times New Roman" w:hAnsi="Times New Roman" w:cs="Times New Roman"/>
          <w:sz w:val="18"/>
          <w:szCs w:val="18"/>
        </w:rPr>
        <w:t xml:space="preserve">LC-MS of novel </w:t>
      </w:r>
      <w:proofErr w:type="spellStart"/>
      <w:r w:rsidR="000B4F4C" w:rsidRPr="00450164">
        <w:rPr>
          <w:rFonts w:ascii="Times New Roman" w:eastAsia="Times New Roman" w:hAnsi="Times New Roman" w:cs="Times New Roman"/>
          <w:sz w:val="18"/>
          <w:szCs w:val="18"/>
        </w:rPr>
        <w:t>narcoepileptics</w:t>
      </w:r>
      <w:proofErr w:type="spellEnd"/>
      <w:r w:rsidR="000B4F4C" w:rsidRPr="00450164">
        <w:rPr>
          <w:rFonts w:ascii="Times New Roman" w:eastAsia="Times New Roman" w:hAnsi="Times New Roman" w:cs="Times New Roman"/>
          <w:sz w:val="18"/>
          <w:szCs w:val="18"/>
        </w:rPr>
        <w:t xml:space="preserve"> and related substances.</w:t>
      </w:r>
      <w:proofErr w:type="gramEnd"/>
      <w:r w:rsidR="000B4F4C" w:rsidRPr="00450164">
        <w:rPr>
          <w:rFonts w:ascii="Times New Roman" w:eastAsia="Times New Roman" w:hAnsi="Times New Roman" w:cs="Times New Roman"/>
          <w:sz w:val="18"/>
          <w:szCs w:val="18"/>
        </w:rPr>
        <w:t xml:space="preserve"> </w:t>
      </w:r>
      <w:r w:rsidRPr="00450164">
        <w:rPr>
          <w:rFonts w:ascii="Times New Roman" w:eastAsia="Times New Roman" w:hAnsi="Times New Roman" w:cs="Times New Roman"/>
          <w:i/>
          <w:iCs/>
          <w:sz w:val="18"/>
          <w:szCs w:val="18"/>
        </w:rPr>
        <w:t>J</w:t>
      </w:r>
      <w:r w:rsidR="009C438E" w:rsidRPr="00450164">
        <w:rPr>
          <w:rFonts w:ascii="Times New Roman" w:eastAsia="Times New Roman" w:hAnsi="Times New Roman" w:cs="Times New Roman"/>
          <w:i/>
          <w:iCs/>
          <w:sz w:val="18"/>
          <w:szCs w:val="18"/>
        </w:rPr>
        <w:t>ournal of</w:t>
      </w:r>
      <w:r w:rsidRPr="00450164">
        <w:rPr>
          <w:rFonts w:ascii="Times New Roman" w:eastAsia="Times New Roman" w:hAnsi="Times New Roman" w:cs="Times New Roman"/>
          <w:i/>
          <w:iCs/>
          <w:sz w:val="18"/>
          <w:szCs w:val="18"/>
        </w:rPr>
        <w:t xml:space="preserve"> Sep</w:t>
      </w:r>
      <w:r w:rsidR="009C438E" w:rsidRPr="00450164">
        <w:rPr>
          <w:rFonts w:ascii="Times New Roman" w:eastAsia="Times New Roman" w:hAnsi="Times New Roman" w:cs="Times New Roman"/>
          <w:i/>
          <w:iCs/>
          <w:sz w:val="18"/>
          <w:szCs w:val="18"/>
        </w:rPr>
        <w:t>aration</w:t>
      </w:r>
      <w:r w:rsidRPr="00450164">
        <w:rPr>
          <w:rFonts w:ascii="Times New Roman" w:eastAsia="Times New Roman" w:hAnsi="Times New Roman" w:cs="Times New Roman"/>
          <w:i/>
          <w:iCs/>
          <w:sz w:val="18"/>
          <w:szCs w:val="18"/>
        </w:rPr>
        <w:t xml:space="preserve"> Sci</w:t>
      </w:r>
      <w:r w:rsidR="009C438E" w:rsidRPr="00450164">
        <w:rPr>
          <w:rFonts w:ascii="Times New Roman" w:eastAsia="Times New Roman" w:hAnsi="Times New Roman" w:cs="Times New Roman"/>
          <w:i/>
          <w:iCs/>
          <w:sz w:val="18"/>
          <w:szCs w:val="18"/>
        </w:rPr>
        <w:t>ence</w:t>
      </w:r>
      <w:r w:rsidR="009C438E"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32</w:t>
      </w:r>
      <w:r w:rsidR="009C438E"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1312–1322.</w:t>
      </w:r>
    </w:p>
    <w:p w:rsidR="00450164" w:rsidRPr="00450164" w:rsidRDefault="00C65C28" w:rsidP="00450164">
      <w:pPr>
        <w:pStyle w:val="ListParagraph"/>
        <w:numPr>
          <w:ilvl w:val="0"/>
          <w:numId w:val="5"/>
        </w:numPr>
        <w:spacing w:before="60" w:after="60" w:line="360" w:lineRule="auto"/>
        <w:ind w:hanging="720"/>
        <w:jc w:val="both"/>
        <w:outlineLvl w:val="0"/>
        <w:rPr>
          <w:rFonts w:ascii="Times New Roman" w:eastAsiaTheme="minorEastAsia" w:hAnsi="Times New Roman" w:cs="Times New Roman"/>
          <w:sz w:val="20"/>
          <w:szCs w:val="18"/>
        </w:rPr>
      </w:pPr>
      <w:r w:rsidRPr="00450164">
        <w:rPr>
          <w:rFonts w:ascii="Times New Roman" w:eastAsia="Times New Roman" w:hAnsi="Times New Roman" w:cs="Times New Roman"/>
          <w:sz w:val="18"/>
          <w:szCs w:val="18"/>
        </w:rPr>
        <w:t>Wang, W.</w:t>
      </w:r>
      <w:r w:rsidR="00A20E10"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Xiang, S.</w:t>
      </w:r>
      <w:r w:rsidR="00A20E10"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Zhou, X.</w:t>
      </w:r>
      <w:r w:rsidR="00A20E10"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w:t>
      </w:r>
      <w:proofErr w:type="spellStart"/>
      <w:r w:rsidRPr="00450164">
        <w:rPr>
          <w:rFonts w:ascii="Times New Roman" w:eastAsia="Times New Roman" w:hAnsi="Times New Roman" w:cs="Times New Roman"/>
          <w:sz w:val="18"/>
          <w:szCs w:val="18"/>
        </w:rPr>
        <w:t>Ji</w:t>
      </w:r>
      <w:proofErr w:type="spellEnd"/>
      <w:r w:rsidRPr="00450164">
        <w:rPr>
          <w:rFonts w:ascii="Times New Roman" w:eastAsia="Times New Roman" w:hAnsi="Times New Roman" w:cs="Times New Roman"/>
          <w:sz w:val="18"/>
          <w:szCs w:val="18"/>
        </w:rPr>
        <w:t>, Y.</w:t>
      </w:r>
      <w:r w:rsidR="00A20E10"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Xiang, B.</w:t>
      </w:r>
      <w:r w:rsidR="00A20E10" w:rsidRPr="00450164">
        <w:rPr>
          <w:rFonts w:ascii="Times New Roman" w:eastAsia="Times New Roman" w:hAnsi="Times New Roman" w:cs="Times New Roman"/>
          <w:sz w:val="18"/>
          <w:szCs w:val="18"/>
        </w:rPr>
        <w:t xml:space="preserve"> (2012).</w:t>
      </w:r>
      <w:r w:rsidRPr="00450164">
        <w:rPr>
          <w:rFonts w:ascii="Times New Roman" w:eastAsia="Times New Roman" w:hAnsi="Times New Roman" w:cs="Times New Roman"/>
          <w:sz w:val="18"/>
          <w:szCs w:val="18"/>
        </w:rPr>
        <w:t xml:space="preserve"> </w:t>
      </w:r>
      <w:proofErr w:type="spellStart"/>
      <w:proofErr w:type="gramStart"/>
      <w:r w:rsidR="000B4F4C" w:rsidRPr="00450164">
        <w:rPr>
          <w:rFonts w:ascii="Times New Roman" w:eastAsia="Times New Roman" w:hAnsi="Times New Roman" w:cs="Times New Roman"/>
          <w:sz w:val="18"/>
          <w:szCs w:val="18"/>
        </w:rPr>
        <w:t>Enantiomeric</w:t>
      </w:r>
      <w:proofErr w:type="spellEnd"/>
      <w:r w:rsidR="000B4F4C" w:rsidRPr="00450164">
        <w:rPr>
          <w:rFonts w:ascii="Times New Roman" w:eastAsia="Times New Roman" w:hAnsi="Times New Roman" w:cs="Times New Roman"/>
          <w:sz w:val="18"/>
          <w:szCs w:val="18"/>
        </w:rPr>
        <w:t xml:space="preserve"> separation and determination of the </w:t>
      </w:r>
      <w:proofErr w:type="spellStart"/>
      <w:r w:rsidR="000B4F4C" w:rsidRPr="00450164">
        <w:rPr>
          <w:rFonts w:ascii="Times New Roman" w:eastAsia="Times New Roman" w:hAnsi="Times New Roman" w:cs="Times New Roman"/>
          <w:sz w:val="18"/>
          <w:szCs w:val="18"/>
        </w:rPr>
        <w:t>enantiomeric</w:t>
      </w:r>
      <w:proofErr w:type="spellEnd"/>
      <w:r w:rsidR="000B4F4C" w:rsidRPr="00450164">
        <w:rPr>
          <w:rFonts w:ascii="Times New Roman" w:eastAsia="Times New Roman" w:hAnsi="Times New Roman" w:cs="Times New Roman"/>
          <w:sz w:val="18"/>
          <w:szCs w:val="18"/>
        </w:rPr>
        <w:t xml:space="preserve"> impurity of </w:t>
      </w:r>
      <w:proofErr w:type="spellStart"/>
      <w:r w:rsidR="000B4F4C" w:rsidRPr="00450164">
        <w:rPr>
          <w:rFonts w:ascii="Times New Roman" w:eastAsia="Times New Roman" w:hAnsi="Times New Roman" w:cs="Times New Roman"/>
          <w:sz w:val="18"/>
          <w:szCs w:val="18"/>
        </w:rPr>
        <w:t>armodafinil</w:t>
      </w:r>
      <w:proofErr w:type="spellEnd"/>
      <w:r w:rsidR="000B4F4C" w:rsidRPr="00450164">
        <w:rPr>
          <w:rFonts w:ascii="Times New Roman" w:eastAsia="Times New Roman" w:hAnsi="Times New Roman" w:cs="Times New Roman"/>
          <w:sz w:val="18"/>
          <w:szCs w:val="18"/>
        </w:rPr>
        <w:t xml:space="preserve"> by </w:t>
      </w:r>
      <w:r w:rsidR="00A20E10" w:rsidRPr="00450164">
        <w:rPr>
          <w:rFonts w:ascii="Times New Roman" w:eastAsia="Times New Roman" w:hAnsi="Times New Roman" w:cs="Times New Roman"/>
          <w:sz w:val="18"/>
          <w:szCs w:val="18"/>
        </w:rPr>
        <w:t>capillary electrophoresis</w:t>
      </w:r>
      <w:r w:rsidR="000B4F4C" w:rsidRPr="00450164">
        <w:rPr>
          <w:rFonts w:ascii="Times New Roman" w:eastAsia="Times New Roman" w:hAnsi="Times New Roman" w:cs="Times New Roman"/>
          <w:sz w:val="18"/>
          <w:szCs w:val="18"/>
        </w:rPr>
        <w:t xml:space="preserve"> with </w:t>
      </w:r>
      <w:proofErr w:type="spellStart"/>
      <w:r w:rsidR="000B4F4C" w:rsidRPr="00450164">
        <w:rPr>
          <w:rFonts w:ascii="Times New Roman" w:eastAsia="Times New Roman" w:hAnsi="Times New Roman" w:cs="Times New Roman"/>
          <w:sz w:val="18"/>
          <w:szCs w:val="18"/>
        </w:rPr>
        <w:t>sulfobutyl</w:t>
      </w:r>
      <w:proofErr w:type="spellEnd"/>
      <w:r w:rsidR="000B4F4C" w:rsidRPr="00450164">
        <w:rPr>
          <w:rFonts w:ascii="Times New Roman" w:eastAsia="Times New Roman" w:hAnsi="Times New Roman" w:cs="Times New Roman"/>
          <w:sz w:val="18"/>
          <w:szCs w:val="18"/>
        </w:rPr>
        <w:t xml:space="preserve"> ether-</w:t>
      </w:r>
      <w:r w:rsidR="000B4F4C" w:rsidRPr="00450164">
        <w:rPr>
          <w:rFonts w:ascii="Times New Roman" w:eastAsia="Times New Roman" w:hAnsi="Times New Roman" w:cs="Times New Roman"/>
          <w:sz w:val="18"/>
          <w:szCs w:val="18"/>
        </w:rPr>
        <w:t>-</w:t>
      </w:r>
      <w:proofErr w:type="spellStart"/>
      <w:r w:rsidR="000B4F4C" w:rsidRPr="00450164">
        <w:rPr>
          <w:rFonts w:ascii="Times New Roman" w:eastAsia="Times New Roman" w:hAnsi="Times New Roman" w:cs="Times New Roman"/>
          <w:sz w:val="18"/>
          <w:szCs w:val="18"/>
        </w:rPr>
        <w:t>cyclodextrin</w:t>
      </w:r>
      <w:proofErr w:type="spellEnd"/>
      <w:r w:rsidR="000B4F4C" w:rsidRPr="00450164">
        <w:rPr>
          <w:rFonts w:ascii="Times New Roman" w:eastAsia="Times New Roman" w:hAnsi="Times New Roman" w:cs="Times New Roman"/>
          <w:sz w:val="18"/>
          <w:szCs w:val="18"/>
        </w:rPr>
        <w:t xml:space="preserve"> as chiral selector.</w:t>
      </w:r>
      <w:proofErr w:type="gramEnd"/>
      <w:r w:rsidR="000B4F4C" w:rsidRPr="00450164">
        <w:rPr>
          <w:rFonts w:ascii="Times New Roman" w:eastAsia="Times New Roman" w:hAnsi="Times New Roman" w:cs="Times New Roman"/>
          <w:sz w:val="18"/>
          <w:szCs w:val="18"/>
        </w:rPr>
        <w:t xml:space="preserve"> </w:t>
      </w:r>
      <w:r w:rsidRPr="00450164">
        <w:rPr>
          <w:rFonts w:ascii="Times New Roman" w:eastAsia="Times New Roman" w:hAnsi="Times New Roman" w:cs="Times New Roman"/>
          <w:i/>
          <w:iCs/>
          <w:sz w:val="18"/>
          <w:szCs w:val="18"/>
        </w:rPr>
        <w:t>Molecules</w:t>
      </w:r>
      <w:r w:rsidR="00A20E10" w:rsidRPr="00450164">
        <w:rPr>
          <w:rFonts w:ascii="Times New Roman" w:eastAsia="Times New Roman" w:hAnsi="Times New Roman" w:cs="Times New Roman"/>
          <w:i/>
          <w:iCs/>
          <w:sz w:val="18"/>
          <w:szCs w:val="18"/>
        </w:rPr>
        <w:t>,</w:t>
      </w:r>
      <w:r w:rsidRPr="00450164">
        <w:rPr>
          <w:rFonts w:ascii="Times New Roman" w:eastAsia="Times New Roman" w:hAnsi="Times New Roman" w:cs="Times New Roman"/>
          <w:sz w:val="18"/>
          <w:szCs w:val="18"/>
        </w:rPr>
        <w:t xml:space="preserve"> 17</w:t>
      </w:r>
      <w:r w:rsidR="00A20E10"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303-314.</w:t>
      </w:r>
    </w:p>
    <w:p w:rsidR="00450164" w:rsidRPr="00450164" w:rsidRDefault="00C65C28" w:rsidP="00450164">
      <w:pPr>
        <w:pStyle w:val="ListParagraph"/>
        <w:numPr>
          <w:ilvl w:val="0"/>
          <w:numId w:val="5"/>
        </w:numPr>
        <w:spacing w:before="60" w:after="60" w:line="360" w:lineRule="auto"/>
        <w:ind w:hanging="720"/>
        <w:jc w:val="both"/>
        <w:outlineLvl w:val="0"/>
        <w:rPr>
          <w:rFonts w:ascii="Times New Roman" w:eastAsiaTheme="minorEastAsia" w:hAnsi="Times New Roman" w:cs="Times New Roman"/>
          <w:sz w:val="20"/>
          <w:szCs w:val="18"/>
        </w:rPr>
      </w:pPr>
      <w:proofErr w:type="spellStart"/>
      <w:r w:rsidRPr="00450164">
        <w:rPr>
          <w:rFonts w:ascii="Times New Roman" w:eastAsia="Times New Roman" w:hAnsi="Times New Roman" w:cs="Times New Roman"/>
          <w:sz w:val="18"/>
          <w:szCs w:val="18"/>
        </w:rPr>
        <w:t>Basniwal</w:t>
      </w:r>
      <w:proofErr w:type="spellEnd"/>
      <w:r w:rsidRPr="00450164">
        <w:rPr>
          <w:rFonts w:ascii="Times New Roman" w:eastAsia="Times New Roman" w:hAnsi="Times New Roman" w:cs="Times New Roman"/>
          <w:sz w:val="18"/>
          <w:szCs w:val="18"/>
        </w:rPr>
        <w:t>, P. K.</w:t>
      </w:r>
      <w:r w:rsidR="00A20E10"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Kumar, V.</w:t>
      </w:r>
      <w:r w:rsidR="00A20E10"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w:t>
      </w:r>
      <w:proofErr w:type="spellStart"/>
      <w:r w:rsidRPr="00450164">
        <w:rPr>
          <w:rFonts w:ascii="Times New Roman" w:eastAsia="Times New Roman" w:hAnsi="Times New Roman" w:cs="Times New Roman"/>
          <w:sz w:val="18"/>
          <w:szCs w:val="18"/>
        </w:rPr>
        <w:t>Shrivastava</w:t>
      </w:r>
      <w:proofErr w:type="spellEnd"/>
      <w:r w:rsidRPr="00450164">
        <w:rPr>
          <w:rFonts w:ascii="Times New Roman" w:eastAsia="Times New Roman" w:hAnsi="Times New Roman" w:cs="Times New Roman"/>
          <w:sz w:val="18"/>
          <w:szCs w:val="18"/>
        </w:rPr>
        <w:t>, P.K.</w:t>
      </w:r>
      <w:r w:rsidR="00A20E10"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Jain, D.</w:t>
      </w:r>
      <w:r w:rsidR="00A20E10" w:rsidRPr="00450164">
        <w:rPr>
          <w:rFonts w:ascii="Times New Roman" w:eastAsia="Times New Roman" w:hAnsi="Times New Roman" w:cs="Times New Roman"/>
          <w:sz w:val="18"/>
          <w:szCs w:val="18"/>
        </w:rPr>
        <w:t xml:space="preserve"> (2010).</w:t>
      </w:r>
      <w:r w:rsidR="000B4F4C" w:rsidRPr="00450164">
        <w:rPr>
          <w:rFonts w:ascii="Times New Roman" w:eastAsia="Times New Roman" w:hAnsi="Times New Roman" w:cs="Times New Roman"/>
          <w:sz w:val="18"/>
          <w:szCs w:val="18"/>
        </w:rPr>
        <w:t xml:space="preserve"> </w:t>
      </w:r>
      <w:proofErr w:type="gramStart"/>
      <w:r w:rsidR="000B4F4C" w:rsidRPr="00450164">
        <w:rPr>
          <w:rFonts w:ascii="Times New Roman" w:eastAsia="Times New Roman" w:hAnsi="Times New Roman" w:cs="Times New Roman"/>
          <w:sz w:val="18"/>
          <w:szCs w:val="18"/>
        </w:rPr>
        <w:t xml:space="preserve">Spectrophotometric determination of </w:t>
      </w:r>
      <w:proofErr w:type="spellStart"/>
      <w:r w:rsidR="000B4F4C" w:rsidRPr="00450164">
        <w:rPr>
          <w:rFonts w:ascii="Times New Roman" w:eastAsia="Times New Roman" w:hAnsi="Times New Roman" w:cs="Times New Roman"/>
          <w:sz w:val="18"/>
          <w:szCs w:val="18"/>
        </w:rPr>
        <w:t>cilostazol</w:t>
      </w:r>
      <w:proofErr w:type="spellEnd"/>
      <w:r w:rsidR="000B4F4C" w:rsidRPr="00450164">
        <w:rPr>
          <w:rFonts w:ascii="Times New Roman" w:eastAsia="Times New Roman" w:hAnsi="Times New Roman" w:cs="Times New Roman"/>
          <w:sz w:val="18"/>
          <w:szCs w:val="18"/>
        </w:rPr>
        <w:t xml:space="preserve"> in tablet dosage form.</w:t>
      </w:r>
      <w:proofErr w:type="gramEnd"/>
      <w:r w:rsidRPr="00450164">
        <w:rPr>
          <w:rFonts w:ascii="Times New Roman" w:eastAsia="Times New Roman" w:hAnsi="Times New Roman" w:cs="Times New Roman"/>
          <w:sz w:val="18"/>
          <w:szCs w:val="18"/>
        </w:rPr>
        <w:t xml:space="preserve"> </w:t>
      </w:r>
      <w:r w:rsidRPr="00450164">
        <w:rPr>
          <w:rFonts w:ascii="Times New Roman" w:eastAsia="Times New Roman" w:hAnsi="Times New Roman" w:cs="Times New Roman"/>
          <w:i/>
          <w:iCs/>
          <w:sz w:val="18"/>
          <w:szCs w:val="18"/>
        </w:rPr>
        <w:t>Trop</w:t>
      </w:r>
      <w:r w:rsidR="00A20E10" w:rsidRPr="00450164">
        <w:rPr>
          <w:rFonts w:ascii="Times New Roman" w:eastAsia="Times New Roman" w:hAnsi="Times New Roman" w:cs="Times New Roman"/>
          <w:i/>
          <w:iCs/>
          <w:sz w:val="18"/>
          <w:szCs w:val="18"/>
        </w:rPr>
        <w:t>ical</w:t>
      </w:r>
      <w:r w:rsidRPr="00450164">
        <w:rPr>
          <w:rFonts w:ascii="Times New Roman" w:eastAsia="Times New Roman" w:hAnsi="Times New Roman" w:cs="Times New Roman"/>
          <w:i/>
          <w:iCs/>
          <w:sz w:val="18"/>
          <w:szCs w:val="18"/>
        </w:rPr>
        <w:t xml:space="preserve"> J</w:t>
      </w:r>
      <w:r w:rsidR="00A20E10" w:rsidRPr="00450164">
        <w:rPr>
          <w:rFonts w:ascii="Times New Roman" w:eastAsia="Times New Roman" w:hAnsi="Times New Roman" w:cs="Times New Roman"/>
          <w:i/>
          <w:iCs/>
          <w:sz w:val="18"/>
          <w:szCs w:val="18"/>
        </w:rPr>
        <w:t>ournal of</w:t>
      </w:r>
      <w:r w:rsidRPr="00450164">
        <w:rPr>
          <w:rFonts w:ascii="Times New Roman" w:eastAsia="Times New Roman" w:hAnsi="Times New Roman" w:cs="Times New Roman"/>
          <w:i/>
          <w:iCs/>
          <w:sz w:val="18"/>
          <w:szCs w:val="18"/>
        </w:rPr>
        <w:t xml:space="preserve"> Pharm</w:t>
      </w:r>
      <w:r w:rsidR="00A20E10" w:rsidRPr="00450164">
        <w:rPr>
          <w:rFonts w:ascii="Times New Roman" w:eastAsia="Times New Roman" w:hAnsi="Times New Roman" w:cs="Times New Roman"/>
          <w:i/>
          <w:iCs/>
          <w:sz w:val="18"/>
          <w:szCs w:val="18"/>
        </w:rPr>
        <w:t>aceutical</w:t>
      </w:r>
      <w:r w:rsidRPr="00450164">
        <w:rPr>
          <w:rFonts w:ascii="Times New Roman" w:eastAsia="Times New Roman" w:hAnsi="Times New Roman" w:cs="Times New Roman"/>
          <w:i/>
          <w:iCs/>
          <w:sz w:val="18"/>
          <w:szCs w:val="18"/>
        </w:rPr>
        <w:t xml:space="preserve"> Res</w:t>
      </w:r>
      <w:r w:rsidR="00A20E10" w:rsidRPr="00450164">
        <w:rPr>
          <w:rFonts w:ascii="Times New Roman" w:eastAsia="Times New Roman" w:hAnsi="Times New Roman" w:cs="Times New Roman"/>
          <w:i/>
          <w:iCs/>
          <w:sz w:val="18"/>
          <w:szCs w:val="18"/>
        </w:rPr>
        <w:t>earch,</w:t>
      </w:r>
      <w:r w:rsidRPr="00450164">
        <w:rPr>
          <w:rFonts w:ascii="Times New Roman" w:eastAsia="Times New Roman" w:hAnsi="Times New Roman" w:cs="Times New Roman"/>
          <w:sz w:val="18"/>
          <w:szCs w:val="18"/>
        </w:rPr>
        <w:t xml:space="preserve"> </w:t>
      </w:r>
      <w:r w:rsidR="00A20E10" w:rsidRPr="00450164">
        <w:rPr>
          <w:rFonts w:ascii="Times New Roman" w:eastAsia="Times New Roman" w:hAnsi="Times New Roman" w:cs="Times New Roman"/>
          <w:sz w:val="18"/>
          <w:szCs w:val="18"/>
        </w:rPr>
        <w:t>9</w:t>
      </w:r>
      <w:r w:rsidRPr="00450164">
        <w:rPr>
          <w:rFonts w:ascii="Times New Roman" w:eastAsia="Times New Roman" w:hAnsi="Times New Roman" w:cs="Times New Roman"/>
          <w:sz w:val="18"/>
          <w:szCs w:val="18"/>
        </w:rPr>
        <w:t>(5)</w:t>
      </w:r>
      <w:r w:rsidR="00A20E10" w:rsidRPr="00450164">
        <w:rPr>
          <w:rFonts w:ascii="Times New Roman" w:eastAsia="Times New Roman" w:hAnsi="Times New Roman" w:cs="Times New Roman"/>
          <w:sz w:val="18"/>
          <w:szCs w:val="18"/>
        </w:rPr>
        <w:t>:</w:t>
      </w:r>
      <w:r w:rsidRPr="00450164">
        <w:rPr>
          <w:rFonts w:ascii="Times New Roman" w:eastAsia="Times New Roman" w:hAnsi="Times New Roman" w:cs="Times New Roman"/>
          <w:sz w:val="18"/>
          <w:szCs w:val="18"/>
        </w:rPr>
        <w:t xml:space="preserve"> 499-503.</w:t>
      </w:r>
    </w:p>
    <w:p w:rsidR="00450164" w:rsidRPr="00450164" w:rsidRDefault="005E3A86" w:rsidP="00450164">
      <w:pPr>
        <w:pStyle w:val="ListParagraph"/>
        <w:numPr>
          <w:ilvl w:val="0"/>
          <w:numId w:val="5"/>
        </w:numPr>
        <w:spacing w:before="60" w:after="60" w:line="360" w:lineRule="auto"/>
        <w:ind w:hanging="720"/>
        <w:jc w:val="both"/>
        <w:outlineLvl w:val="0"/>
        <w:rPr>
          <w:rFonts w:ascii="Times New Roman" w:eastAsiaTheme="minorEastAsia" w:hAnsi="Times New Roman" w:cs="Times New Roman"/>
          <w:sz w:val="20"/>
          <w:szCs w:val="18"/>
        </w:rPr>
      </w:pPr>
      <w:r w:rsidRPr="00450164">
        <w:rPr>
          <w:rFonts w:ascii="Times New Roman" w:eastAsia="Times New Roman" w:hAnsi="Times New Roman" w:cs="Times New Roman"/>
          <w:sz w:val="18"/>
          <w:szCs w:val="18"/>
        </w:rPr>
        <w:t>Jain, D.,</w:t>
      </w:r>
      <w:r w:rsidR="00C65C28" w:rsidRPr="00450164">
        <w:rPr>
          <w:rFonts w:ascii="Times New Roman" w:eastAsia="Times New Roman" w:hAnsi="Times New Roman" w:cs="Times New Roman"/>
          <w:sz w:val="18"/>
          <w:szCs w:val="18"/>
        </w:rPr>
        <w:t xml:space="preserve"> </w:t>
      </w:r>
      <w:proofErr w:type="spellStart"/>
      <w:r w:rsidR="00C65C28" w:rsidRPr="00450164">
        <w:rPr>
          <w:rFonts w:ascii="Times New Roman" w:eastAsia="Times New Roman" w:hAnsi="Times New Roman" w:cs="Times New Roman"/>
          <w:sz w:val="18"/>
          <w:szCs w:val="18"/>
        </w:rPr>
        <w:t>Basniwal</w:t>
      </w:r>
      <w:proofErr w:type="spellEnd"/>
      <w:r w:rsidR="00C65C28" w:rsidRPr="00450164">
        <w:rPr>
          <w:rFonts w:ascii="Times New Roman" w:eastAsia="Times New Roman" w:hAnsi="Times New Roman" w:cs="Times New Roman"/>
          <w:sz w:val="18"/>
          <w:szCs w:val="18"/>
        </w:rPr>
        <w:t>, P. K.</w:t>
      </w:r>
      <w:r w:rsidRPr="00450164">
        <w:rPr>
          <w:rFonts w:ascii="Times New Roman" w:eastAsia="Times New Roman" w:hAnsi="Times New Roman" w:cs="Times New Roman"/>
          <w:sz w:val="18"/>
          <w:szCs w:val="18"/>
        </w:rPr>
        <w:t xml:space="preserve"> (2013).</w:t>
      </w:r>
      <w:r w:rsidR="00C65C28" w:rsidRPr="00450164">
        <w:rPr>
          <w:rFonts w:ascii="Times New Roman" w:eastAsia="Times New Roman" w:hAnsi="Times New Roman" w:cs="Times New Roman"/>
          <w:sz w:val="18"/>
          <w:szCs w:val="18"/>
        </w:rPr>
        <w:t xml:space="preserve"> </w:t>
      </w:r>
      <w:r w:rsidR="0062254B" w:rsidRPr="00450164">
        <w:rPr>
          <w:rFonts w:ascii="Times New Roman" w:eastAsia="Times New Roman" w:hAnsi="Times New Roman" w:cs="Times New Roman"/>
          <w:sz w:val="18"/>
          <w:szCs w:val="18"/>
        </w:rPr>
        <w:t xml:space="preserve">Spectrophotometric determination of </w:t>
      </w:r>
      <w:proofErr w:type="spellStart"/>
      <w:r w:rsidR="0062254B" w:rsidRPr="00450164">
        <w:rPr>
          <w:rFonts w:ascii="Times New Roman" w:eastAsia="Times New Roman" w:hAnsi="Times New Roman" w:cs="Times New Roman"/>
          <w:sz w:val="18"/>
          <w:szCs w:val="18"/>
        </w:rPr>
        <w:t>olopatadine</w:t>
      </w:r>
      <w:proofErr w:type="spellEnd"/>
      <w:r w:rsidR="0062254B" w:rsidRPr="00450164">
        <w:rPr>
          <w:rFonts w:ascii="Times New Roman" w:eastAsia="Times New Roman" w:hAnsi="Times New Roman" w:cs="Times New Roman"/>
          <w:sz w:val="18"/>
          <w:szCs w:val="18"/>
        </w:rPr>
        <w:t xml:space="preserve"> hydrochloride in eye drops and tablets </w:t>
      </w:r>
      <w:r w:rsidR="00C65C28" w:rsidRPr="00450164">
        <w:rPr>
          <w:rFonts w:ascii="Times New Roman" w:eastAsia="Times New Roman" w:hAnsi="Times New Roman" w:cs="Times New Roman"/>
          <w:i/>
          <w:iCs/>
          <w:sz w:val="18"/>
          <w:szCs w:val="18"/>
        </w:rPr>
        <w:t>J</w:t>
      </w:r>
      <w:r w:rsidRPr="00450164">
        <w:rPr>
          <w:rFonts w:ascii="Times New Roman" w:eastAsia="Times New Roman" w:hAnsi="Times New Roman" w:cs="Times New Roman"/>
          <w:i/>
          <w:iCs/>
          <w:sz w:val="18"/>
          <w:szCs w:val="18"/>
        </w:rPr>
        <w:t xml:space="preserve">ournal of </w:t>
      </w:r>
      <w:r w:rsidR="00C65C28" w:rsidRPr="00450164">
        <w:rPr>
          <w:rFonts w:ascii="Times New Roman" w:eastAsia="Times New Roman" w:hAnsi="Times New Roman" w:cs="Times New Roman"/>
          <w:i/>
          <w:iCs/>
          <w:sz w:val="18"/>
          <w:szCs w:val="18"/>
        </w:rPr>
        <w:t>Pharm</w:t>
      </w:r>
      <w:r w:rsidRPr="00450164">
        <w:rPr>
          <w:rFonts w:ascii="Times New Roman" w:eastAsia="Times New Roman" w:hAnsi="Times New Roman" w:cs="Times New Roman"/>
          <w:i/>
          <w:iCs/>
          <w:sz w:val="18"/>
          <w:szCs w:val="18"/>
        </w:rPr>
        <w:t xml:space="preserve">aceutical </w:t>
      </w:r>
      <w:r w:rsidR="00C65C28" w:rsidRPr="00450164">
        <w:rPr>
          <w:rFonts w:ascii="Times New Roman" w:eastAsia="Times New Roman" w:hAnsi="Times New Roman" w:cs="Times New Roman"/>
          <w:i/>
          <w:iCs/>
          <w:sz w:val="18"/>
          <w:szCs w:val="18"/>
        </w:rPr>
        <w:t>Res</w:t>
      </w:r>
      <w:r w:rsidRPr="00450164">
        <w:rPr>
          <w:rFonts w:ascii="Times New Roman" w:eastAsia="Times New Roman" w:hAnsi="Times New Roman" w:cs="Times New Roman"/>
          <w:i/>
          <w:iCs/>
          <w:sz w:val="18"/>
          <w:szCs w:val="18"/>
        </w:rPr>
        <w:t>earch</w:t>
      </w:r>
      <w:proofErr w:type="gramStart"/>
      <w:r w:rsidRPr="00450164">
        <w:rPr>
          <w:rFonts w:ascii="Times New Roman" w:eastAsia="Times New Roman" w:hAnsi="Times New Roman" w:cs="Times New Roman"/>
          <w:i/>
          <w:iCs/>
          <w:sz w:val="18"/>
          <w:szCs w:val="18"/>
        </w:rPr>
        <w:t>,</w:t>
      </w:r>
      <w:r w:rsidR="00C65C28" w:rsidRPr="00450164">
        <w:rPr>
          <w:rFonts w:ascii="Times New Roman" w:eastAsia="Times New Roman" w:hAnsi="Times New Roman" w:cs="Times New Roman"/>
          <w:sz w:val="18"/>
          <w:szCs w:val="18"/>
        </w:rPr>
        <w:t>12</w:t>
      </w:r>
      <w:proofErr w:type="gramEnd"/>
      <w:r w:rsidR="00C65C28" w:rsidRPr="00450164">
        <w:rPr>
          <w:rFonts w:ascii="Times New Roman" w:eastAsia="Times New Roman" w:hAnsi="Times New Roman" w:cs="Times New Roman"/>
          <w:sz w:val="18"/>
          <w:szCs w:val="18"/>
        </w:rPr>
        <w:t>(2)</w:t>
      </w:r>
      <w:r w:rsidRPr="00450164">
        <w:rPr>
          <w:rFonts w:ascii="Times New Roman" w:eastAsia="Times New Roman" w:hAnsi="Times New Roman" w:cs="Times New Roman"/>
          <w:sz w:val="18"/>
          <w:szCs w:val="18"/>
        </w:rPr>
        <w:t>:</w:t>
      </w:r>
      <w:r w:rsidR="00C65C28" w:rsidRPr="00450164">
        <w:rPr>
          <w:rFonts w:ascii="Times New Roman" w:eastAsia="Times New Roman" w:hAnsi="Times New Roman" w:cs="Times New Roman"/>
          <w:sz w:val="18"/>
          <w:szCs w:val="18"/>
        </w:rPr>
        <w:t xml:space="preserve"> 48-52.</w:t>
      </w:r>
    </w:p>
    <w:p w:rsidR="00450164" w:rsidRPr="00450164" w:rsidRDefault="00C65C28" w:rsidP="00450164">
      <w:pPr>
        <w:pStyle w:val="ListParagraph"/>
        <w:numPr>
          <w:ilvl w:val="0"/>
          <w:numId w:val="5"/>
        </w:numPr>
        <w:spacing w:before="60" w:after="60" w:line="360" w:lineRule="auto"/>
        <w:ind w:hanging="720"/>
        <w:jc w:val="both"/>
        <w:outlineLvl w:val="0"/>
        <w:rPr>
          <w:rFonts w:ascii="Times New Roman" w:eastAsiaTheme="minorEastAsia" w:hAnsi="Times New Roman" w:cs="Times New Roman"/>
          <w:sz w:val="20"/>
          <w:szCs w:val="18"/>
        </w:rPr>
      </w:pPr>
      <w:r w:rsidRPr="00450164">
        <w:rPr>
          <w:rFonts w:ascii="Times New Roman" w:eastAsia="Times New Roman" w:hAnsi="Times New Roman" w:cs="Times New Roman"/>
          <w:sz w:val="18"/>
          <w:szCs w:val="18"/>
        </w:rPr>
        <w:t>Text on Validation of Analytical Procedures. International conference on harmonization of technical requirements for registration of pharmaceutical for human use; Geneva; 2000.</w:t>
      </w:r>
    </w:p>
    <w:p w:rsidR="0082319D" w:rsidRPr="00450164" w:rsidRDefault="00C65C28" w:rsidP="00450164">
      <w:pPr>
        <w:pStyle w:val="ListParagraph"/>
        <w:numPr>
          <w:ilvl w:val="0"/>
          <w:numId w:val="5"/>
        </w:numPr>
        <w:spacing w:before="60" w:after="60" w:line="360" w:lineRule="auto"/>
        <w:ind w:hanging="720"/>
        <w:jc w:val="both"/>
        <w:outlineLvl w:val="0"/>
        <w:rPr>
          <w:rFonts w:ascii="Times New Roman" w:eastAsiaTheme="minorEastAsia" w:hAnsi="Times New Roman" w:cs="Times New Roman"/>
          <w:sz w:val="20"/>
          <w:szCs w:val="18"/>
        </w:rPr>
      </w:pPr>
      <w:r w:rsidRPr="00450164">
        <w:rPr>
          <w:rFonts w:ascii="Times New Roman" w:eastAsia="Times New Roman" w:hAnsi="Times New Roman" w:cs="Times New Roman"/>
          <w:sz w:val="18"/>
          <w:szCs w:val="18"/>
        </w:rPr>
        <w:t xml:space="preserve">Validation of Analytical Procedure: Methodology; International conference on harmonization of technical </w:t>
      </w:r>
      <w:bookmarkStart w:id="0" w:name="_GoBack"/>
      <w:bookmarkEnd w:id="0"/>
      <w:r w:rsidRPr="00450164">
        <w:rPr>
          <w:rFonts w:ascii="Times New Roman" w:eastAsia="Times New Roman" w:hAnsi="Times New Roman" w:cs="Times New Roman"/>
          <w:sz w:val="18"/>
          <w:szCs w:val="18"/>
        </w:rPr>
        <w:t>requirements for registration of pharmaceutical for human Use; Geneva; 2000.</w:t>
      </w:r>
    </w:p>
    <w:sectPr w:rsidR="0082319D" w:rsidRPr="00450164" w:rsidSect="00122BDA">
      <w:pgSz w:w="11906" w:h="16838"/>
      <w:pgMar w:top="1440" w:right="1440" w:bottom="1440" w:left="1440" w:header="850" w:footer="9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C7" w:rsidRDefault="00FD44C7" w:rsidP="009B5AE3">
      <w:r>
        <w:separator/>
      </w:r>
    </w:p>
  </w:endnote>
  <w:endnote w:type="continuationSeparator" w:id="0">
    <w:p w:rsidR="00FD44C7" w:rsidRDefault="00FD44C7" w:rsidP="009B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C7" w:rsidRDefault="00FD44C7" w:rsidP="009B5AE3">
      <w:r>
        <w:separator/>
      </w:r>
    </w:p>
  </w:footnote>
  <w:footnote w:type="continuationSeparator" w:id="0">
    <w:p w:rsidR="00FD44C7" w:rsidRDefault="00FD44C7" w:rsidP="009B5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C27CB"/>
    <w:multiLevelType w:val="hybridMultilevel"/>
    <w:tmpl w:val="B9F6C590"/>
    <w:lvl w:ilvl="0" w:tplc="40F8F6CC">
      <w:start w:val="1"/>
      <w:numFmt w:val="lowerLetter"/>
      <w:lvlText w:val="%1."/>
      <w:lvlJc w:val="left"/>
      <w:pPr>
        <w:tabs>
          <w:tab w:val="num" w:pos="735"/>
        </w:tabs>
        <w:ind w:left="7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B857C8"/>
    <w:multiLevelType w:val="hybridMultilevel"/>
    <w:tmpl w:val="BF687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5C0235"/>
    <w:multiLevelType w:val="hybridMultilevel"/>
    <w:tmpl w:val="B5FC3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591FCB"/>
    <w:multiLevelType w:val="hybridMultilevel"/>
    <w:tmpl w:val="89DAE7AA"/>
    <w:lvl w:ilvl="0" w:tplc="5A0047F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5CA6"/>
    <w:rsid w:val="00001F09"/>
    <w:rsid w:val="0000476E"/>
    <w:rsid w:val="000311FD"/>
    <w:rsid w:val="00084FAB"/>
    <w:rsid w:val="00094884"/>
    <w:rsid w:val="000B4F4C"/>
    <w:rsid w:val="000C0176"/>
    <w:rsid w:val="00102763"/>
    <w:rsid w:val="00122BDA"/>
    <w:rsid w:val="0016781F"/>
    <w:rsid w:val="001D1BDC"/>
    <w:rsid w:val="001E31C8"/>
    <w:rsid w:val="002261CB"/>
    <w:rsid w:val="00233120"/>
    <w:rsid w:val="00245D7C"/>
    <w:rsid w:val="00252284"/>
    <w:rsid w:val="00265566"/>
    <w:rsid w:val="002840B9"/>
    <w:rsid w:val="00295CB4"/>
    <w:rsid w:val="002D1CEA"/>
    <w:rsid w:val="002D633B"/>
    <w:rsid w:val="00310818"/>
    <w:rsid w:val="00326FA2"/>
    <w:rsid w:val="003443CC"/>
    <w:rsid w:val="003529C1"/>
    <w:rsid w:val="003607A1"/>
    <w:rsid w:val="0036787B"/>
    <w:rsid w:val="00382A8F"/>
    <w:rsid w:val="003B1854"/>
    <w:rsid w:val="003C4E5F"/>
    <w:rsid w:val="00421028"/>
    <w:rsid w:val="00444C29"/>
    <w:rsid w:val="00450164"/>
    <w:rsid w:val="004544E2"/>
    <w:rsid w:val="004558BA"/>
    <w:rsid w:val="00466827"/>
    <w:rsid w:val="004764B9"/>
    <w:rsid w:val="00497D45"/>
    <w:rsid w:val="00535113"/>
    <w:rsid w:val="0055238C"/>
    <w:rsid w:val="00553BDA"/>
    <w:rsid w:val="005610A9"/>
    <w:rsid w:val="00597679"/>
    <w:rsid w:val="005C5AE6"/>
    <w:rsid w:val="005C5F47"/>
    <w:rsid w:val="005D20CF"/>
    <w:rsid w:val="005E0AB0"/>
    <w:rsid w:val="005E33D6"/>
    <w:rsid w:val="005E3A86"/>
    <w:rsid w:val="00604074"/>
    <w:rsid w:val="0062254B"/>
    <w:rsid w:val="00644827"/>
    <w:rsid w:val="006631D1"/>
    <w:rsid w:val="00664290"/>
    <w:rsid w:val="00666E40"/>
    <w:rsid w:val="006856C9"/>
    <w:rsid w:val="00685C81"/>
    <w:rsid w:val="00694724"/>
    <w:rsid w:val="006B2BEB"/>
    <w:rsid w:val="006C44C9"/>
    <w:rsid w:val="006F4D2B"/>
    <w:rsid w:val="00703F1B"/>
    <w:rsid w:val="00751731"/>
    <w:rsid w:val="00785CA6"/>
    <w:rsid w:val="00786C15"/>
    <w:rsid w:val="007B4989"/>
    <w:rsid w:val="0082319D"/>
    <w:rsid w:val="00864791"/>
    <w:rsid w:val="008C21BE"/>
    <w:rsid w:val="008E3F98"/>
    <w:rsid w:val="00903AE4"/>
    <w:rsid w:val="00976BF3"/>
    <w:rsid w:val="00997A3D"/>
    <w:rsid w:val="009A06DF"/>
    <w:rsid w:val="009B1AC3"/>
    <w:rsid w:val="009B5AE3"/>
    <w:rsid w:val="009C438E"/>
    <w:rsid w:val="009E4DC3"/>
    <w:rsid w:val="00A036E3"/>
    <w:rsid w:val="00A03BD5"/>
    <w:rsid w:val="00A20E10"/>
    <w:rsid w:val="00A415C1"/>
    <w:rsid w:val="00A435AC"/>
    <w:rsid w:val="00A56F66"/>
    <w:rsid w:val="00A6493A"/>
    <w:rsid w:val="00A7696B"/>
    <w:rsid w:val="00A77F9F"/>
    <w:rsid w:val="00AC2CBA"/>
    <w:rsid w:val="00B0777E"/>
    <w:rsid w:val="00B157E8"/>
    <w:rsid w:val="00B20F1D"/>
    <w:rsid w:val="00B422AE"/>
    <w:rsid w:val="00B935A6"/>
    <w:rsid w:val="00C10B91"/>
    <w:rsid w:val="00C11AEF"/>
    <w:rsid w:val="00C33D1B"/>
    <w:rsid w:val="00C36D19"/>
    <w:rsid w:val="00C55653"/>
    <w:rsid w:val="00C65C28"/>
    <w:rsid w:val="00C8114D"/>
    <w:rsid w:val="00CC3BBA"/>
    <w:rsid w:val="00D844F0"/>
    <w:rsid w:val="00DF6112"/>
    <w:rsid w:val="00E01512"/>
    <w:rsid w:val="00E30741"/>
    <w:rsid w:val="00E51AB0"/>
    <w:rsid w:val="00E55D5C"/>
    <w:rsid w:val="00EE03B8"/>
    <w:rsid w:val="00EE4567"/>
    <w:rsid w:val="00EE57AB"/>
    <w:rsid w:val="00F30430"/>
    <w:rsid w:val="00F8209E"/>
    <w:rsid w:val="00F91C94"/>
    <w:rsid w:val="00FA6AEC"/>
    <w:rsid w:val="00FD44C7"/>
    <w:rsid w:val="00FF1D0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2">
    <w:name w:val="heading 2"/>
    <w:basedOn w:val="Normal"/>
    <w:next w:val="Normal"/>
    <w:link w:val="Heading2Char"/>
    <w:semiHidden/>
    <w:unhideWhenUsed/>
    <w:qFormat/>
    <w:rsid w:val="001E31C8"/>
    <w:pPr>
      <w:keepNext/>
      <w:widowControl/>
      <w:wordWrap/>
      <w:autoSpaceDE/>
      <w:autoSpaceDN/>
      <w:jc w:val="center"/>
      <w:outlineLvl w:val="1"/>
    </w:pPr>
    <w:rPr>
      <w:rFonts w:ascii="Times New Roman" w:eastAsia="Times New Roman" w:hAnsi="Times New Roman" w:cs="Times New Roman"/>
      <w:b/>
      <w:bCs/>
      <w:kern w:val="0"/>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04074"/>
    <w:pPr>
      <w:widowControl/>
      <w:wordWrap/>
      <w:autoSpaceDE/>
      <w:autoSpaceDN/>
      <w:spacing w:after="200" w:line="276" w:lineRule="auto"/>
      <w:ind w:left="720"/>
      <w:contextualSpacing/>
      <w:jc w:val="left"/>
    </w:pPr>
    <w:rPr>
      <w:rFonts w:ascii="Calibri" w:eastAsia="Calibri" w:hAnsi="Calibri" w:cs="Mangal"/>
      <w:kern w:val="0"/>
      <w:sz w:val="22"/>
      <w:szCs w:val="20"/>
      <w:lang w:eastAsia="en-US" w:bidi="hi-IN"/>
    </w:rPr>
  </w:style>
  <w:style w:type="paragraph" w:styleId="BodyTextIndent">
    <w:name w:val="Body Text Indent"/>
    <w:basedOn w:val="Normal"/>
    <w:link w:val="BodyTextIndentChar"/>
    <w:unhideWhenUsed/>
    <w:rsid w:val="00F30430"/>
    <w:pPr>
      <w:widowControl/>
      <w:wordWrap/>
      <w:autoSpaceDE/>
      <w:autoSpaceDN/>
      <w:spacing w:after="120"/>
      <w:ind w:left="360"/>
      <w:jc w:val="left"/>
    </w:pPr>
    <w:rPr>
      <w:rFonts w:ascii="Times New Roman" w:eastAsia="Times New Roman" w:hAnsi="Times New Roman" w:cs="Times New Roman"/>
      <w:kern w:val="0"/>
      <w:sz w:val="24"/>
      <w:szCs w:val="24"/>
      <w:lang w:eastAsia="en-US"/>
    </w:rPr>
  </w:style>
  <w:style w:type="character" w:customStyle="1" w:styleId="BodyTextIndentChar">
    <w:name w:val="Body Text Indent Char"/>
    <w:basedOn w:val="DefaultParagraphFont"/>
    <w:link w:val="BodyTextIndent"/>
    <w:rsid w:val="00F30430"/>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1E31C8"/>
    <w:rPr>
      <w:rFonts w:ascii="Times New Roman" w:eastAsia="Times New Roman" w:hAnsi="Times New Roman" w:cs="Times New Roman"/>
      <w:b/>
      <w:bCs/>
      <w:sz w:val="26"/>
      <w:szCs w:val="24"/>
    </w:rPr>
  </w:style>
  <w:style w:type="paragraph" w:styleId="Header">
    <w:name w:val="header"/>
    <w:basedOn w:val="Normal"/>
    <w:link w:val="HeaderChar"/>
    <w:uiPriority w:val="99"/>
    <w:unhideWhenUsed/>
    <w:rsid w:val="009B5AE3"/>
    <w:pPr>
      <w:tabs>
        <w:tab w:val="center" w:pos="4680"/>
        <w:tab w:val="right" w:pos="9360"/>
      </w:tabs>
    </w:pPr>
  </w:style>
  <w:style w:type="character" w:customStyle="1" w:styleId="HeaderChar">
    <w:name w:val="Header Char"/>
    <w:basedOn w:val="DefaultParagraphFont"/>
    <w:link w:val="Header"/>
    <w:uiPriority w:val="99"/>
    <w:rsid w:val="009B5AE3"/>
    <w:rPr>
      <w:rFonts w:eastAsiaTheme="minorEastAsia"/>
      <w:kern w:val="2"/>
      <w:sz w:val="20"/>
      <w:lang w:eastAsia="ko-KR"/>
    </w:rPr>
  </w:style>
  <w:style w:type="paragraph" w:styleId="Footer">
    <w:name w:val="footer"/>
    <w:basedOn w:val="Normal"/>
    <w:link w:val="FooterChar"/>
    <w:uiPriority w:val="99"/>
    <w:unhideWhenUsed/>
    <w:rsid w:val="009B5AE3"/>
    <w:pPr>
      <w:tabs>
        <w:tab w:val="center" w:pos="4680"/>
        <w:tab w:val="right" w:pos="9360"/>
      </w:tabs>
    </w:pPr>
  </w:style>
  <w:style w:type="character" w:customStyle="1" w:styleId="FooterChar">
    <w:name w:val="Footer Char"/>
    <w:basedOn w:val="DefaultParagraphFont"/>
    <w:link w:val="Footer"/>
    <w:uiPriority w:val="99"/>
    <w:rsid w:val="009B5AE3"/>
    <w:rPr>
      <w:rFonts w:eastAsiaTheme="minorEastAsia"/>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94892">
      <w:bodyDiv w:val="1"/>
      <w:marLeft w:val="0"/>
      <w:marRight w:val="0"/>
      <w:marTop w:val="0"/>
      <w:marBottom w:val="0"/>
      <w:divBdr>
        <w:top w:val="none" w:sz="0" w:space="0" w:color="auto"/>
        <w:left w:val="none" w:sz="0" w:space="0" w:color="auto"/>
        <w:bottom w:val="none" w:sz="0" w:space="0" w:color="auto"/>
        <w:right w:val="none" w:sz="0" w:space="0" w:color="auto"/>
      </w:divBdr>
    </w:div>
    <w:div w:id="143343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i.nlm.nih.gov/pubmed?term=Nageswara%20Rao%20R%5BAuthor%5D&amp;cauthor=true&amp;cauthor_uid=1838170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1838170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ncbi.nlm.nih.gov/pubmed?term=Kumar%20Talluri%20MV%5BAuthor%5D&amp;cauthor=true&amp;cauthor_uid=18381701"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cbi.nlm.nih.gov/pubmed?term=Shinde%20DD%5BAuthor%5D&amp;cauthor=true&amp;cauthor_uid=18381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7</Pages>
  <Words>2605</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Khalik et al. </cp:lastModifiedBy>
  <cp:revision>94</cp:revision>
  <dcterms:created xsi:type="dcterms:W3CDTF">2013-02-04T11:00:00Z</dcterms:created>
  <dcterms:modified xsi:type="dcterms:W3CDTF">2014-07-04T14:08:00Z</dcterms:modified>
</cp:coreProperties>
</file>