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92" w:rsidRDefault="00EC5A3B" w:rsidP="00FF4F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EDITORIAL: CORAK PENGURUSAN DAN </w:t>
      </w:r>
      <w:r w:rsidR="00FF4F82" w:rsidRPr="00FF4F82">
        <w:rPr>
          <w:rFonts w:ascii="Times New Roman" w:hAnsi="Times New Roman" w:cs="Times New Roman"/>
          <w:b/>
          <w:sz w:val="28"/>
        </w:rPr>
        <w:t>PENERBITAN 2013</w:t>
      </w:r>
    </w:p>
    <w:p w:rsidR="00FF4F82" w:rsidRDefault="00E85468" w:rsidP="00FF4F82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85468" w:rsidRPr="00CA50CA" w:rsidRDefault="00087BA4" w:rsidP="008A5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A50CA">
        <w:rPr>
          <w:rFonts w:ascii="Times New Roman" w:hAnsi="Times New Roman" w:cs="Times New Roman"/>
          <w:b/>
          <w:sz w:val="24"/>
        </w:rPr>
        <w:t>Pengurusan Manuskrip</w:t>
      </w:r>
    </w:p>
    <w:p w:rsidR="00743C71" w:rsidRPr="00CA50CA" w:rsidRDefault="00FF4F82" w:rsidP="00D630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0CA">
        <w:rPr>
          <w:rFonts w:ascii="Times New Roman" w:hAnsi="Times New Roman" w:cs="Times New Roman"/>
          <w:sz w:val="24"/>
        </w:rPr>
        <w:t xml:space="preserve">Tahun 2013 memperlihatkan Malaysian Journal of Analytical Sciences (MJAS) terus menjadi </w:t>
      </w:r>
      <w:r w:rsidR="008A51B7" w:rsidRPr="00CA50CA">
        <w:rPr>
          <w:rFonts w:ascii="Times New Roman" w:hAnsi="Times New Roman" w:cs="Times New Roman"/>
          <w:sz w:val="24"/>
        </w:rPr>
        <w:t xml:space="preserve">pilihan penyelidik </w:t>
      </w:r>
      <w:r w:rsidRPr="00CA50CA">
        <w:rPr>
          <w:rFonts w:ascii="Times New Roman" w:hAnsi="Times New Roman" w:cs="Times New Roman"/>
          <w:sz w:val="24"/>
        </w:rPr>
        <w:t xml:space="preserve">sebagai medium penerbitan ilmiah bukan sahaja di Malaysia bahkan di rantau sekitarnya. Sepanjang tempoh 2013, pihak pengurusan MJAS telah menerima sejumlah 121 manuskrip melalui dua saluran utama iaitu </w:t>
      </w:r>
      <w:r w:rsidR="00D630B0">
        <w:rPr>
          <w:rFonts w:ascii="Times New Roman" w:hAnsi="Times New Roman" w:cs="Times New Roman"/>
          <w:sz w:val="24"/>
        </w:rPr>
        <w:t>S</w:t>
      </w:r>
      <w:r w:rsidR="008A51B7" w:rsidRPr="00CA50CA">
        <w:rPr>
          <w:rFonts w:ascii="Times New Roman" w:hAnsi="Times New Roman" w:cs="Times New Roman"/>
          <w:sz w:val="24"/>
        </w:rPr>
        <w:t>i</w:t>
      </w:r>
      <w:r w:rsidR="00D630B0">
        <w:rPr>
          <w:rFonts w:ascii="Times New Roman" w:hAnsi="Times New Roman" w:cs="Times New Roman"/>
          <w:sz w:val="24"/>
        </w:rPr>
        <w:t>mposium Kimia Analisis K</w:t>
      </w:r>
      <w:r w:rsidRPr="00CA50CA">
        <w:rPr>
          <w:rFonts w:ascii="Times New Roman" w:hAnsi="Times New Roman" w:cs="Times New Roman"/>
          <w:sz w:val="24"/>
        </w:rPr>
        <w:t xml:space="preserve">ebangsaan (SKAM) dan </w:t>
      </w:r>
      <w:r w:rsidR="0070435D">
        <w:rPr>
          <w:rFonts w:ascii="Times New Roman" w:hAnsi="Times New Roman" w:cs="Times New Roman"/>
          <w:sz w:val="24"/>
        </w:rPr>
        <w:t>penyerahan dalam</w:t>
      </w:r>
      <w:r w:rsidR="00037CE3" w:rsidRPr="00CA50CA">
        <w:rPr>
          <w:rFonts w:ascii="Times New Roman" w:hAnsi="Times New Roman" w:cs="Times New Roman"/>
          <w:sz w:val="24"/>
        </w:rPr>
        <w:t xml:space="preserve"> talian (PAT) </w:t>
      </w:r>
      <w:r w:rsidR="008A51B7" w:rsidRPr="00CA50CA">
        <w:rPr>
          <w:rFonts w:ascii="Times New Roman" w:hAnsi="Times New Roman" w:cs="Times New Roman"/>
          <w:sz w:val="24"/>
        </w:rPr>
        <w:t xml:space="preserve">laman sesawang MJAS. </w:t>
      </w:r>
      <w:r w:rsidR="009E70C2" w:rsidRPr="00CA50CA">
        <w:rPr>
          <w:rFonts w:ascii="Times New Roman" w:hAnsi="Times New Roman" w:cs="Times New Roman"/>
          <w:sz w:val="24"/>
        </w:rPr>
        <w:t xml:space="preserve">Setiap manuskrip yang direkodkan akan didaftarkan dengan kod pendaftaran pengkalan data MJAS. </w:t>
      </w:r>
      <w:r w:rsidR="00C557A6">
        <w:rPr>
          <w:rFonts w:ascii="Times New Roman" w:hAnsi="Times New Roman" w:cs="Times New Roman"/>
          <w:sz w:val="24"/>
        </w:rPr>
        <w:t>Penyerahan manuskrip melal</w:t>
      </w:r>
      <w:r w:rsidR="00D630B0">
        <w:rPr>
          <w:rFonts w:ascii="Times New Roman" w:hAnsi="Times New Roman" w:cs="Times New Roman"/>
          <w:sz w:val="24"/>
        </w:rPr>
        <w:t xml:space="preserve">ui SKAM </w:t>
      </w:r>
      <w:r w:rsidR="008A51B7" w:rsidRPr="00CA50CA">
        <w:rPr>
          <w:rFonts w:ascii="Times New Roman" w:hAnsi="Times New Roman" w:cs="Times New Roman"/>
          <w:sz w:val="24"/>
        </w:rPr>
        <w:t>25 menyumbang kepada 66.94 %, manakala pen</w:t>
      </w:r>
      <w:r w:rsidR="0070435D">
        <w:rPr>
          <w:rFonts w:ascii="Times New Roman" w:hAnsi="Times New Roman" w:cs="Times New Roman"/>
          <w:sz w:val="24"/>
        </w:rPr>
        <w:t>yerahan dalam</w:t>
      </w:r>
      <w:r w:rsidR="00D630B0">
        <w:rPr>
          <w:rFonts w:ascii="Times New Roman" w:hAnsi="Times New Roman" w:cs="Times New Roman"/>
          <w:sz w:val="24"/>
        </w:rPr>
        <w:t xml:space="preserve"> talian adalah 33.06</w:t>
      </w:r>
      <w:r w:rsidR="008A51B7" w:rsidRPr="00CA50CA">
        <w:rPr>
          <w:rFonts w:ascii="Times New Roman" w:hAnsi="Times New Roman" w:cs="Times New Roman"/>
          <w:sz w:val="24"/>
        </w:rPr>
        <w:t xml:space="preserve"> %. </w:t>
      </w:r>
      <w:r w:rsidR="00D630B0">
        <w:rPr>
          <w:rFonts w:ascii="Times New Roman" w:hAnsi="Times New Roman" w:cs="Times New Roman"/>
          <w:sz w:val="24"/>
        </w:rPr>
        <w:t>Seperti yang ditunjukkan dalam Rajah 1, p</w:t>
      </w:r>
      <w:r w:rsidR="008A51B7" w:rsidRPr="00CA50CA">
        <w:rPr>
          <w:rFonts w:ascii="Times New Roman" w:hAnsi="Times New Roman" w:cs="Times New Roman"/>
          <w:sz w:val="24"/>
        </w:rPr>
        <w:t xml:space="preserve">ecahan mengikut lokaliti menunjukkan </w:t>
      </w:r>
      <w:r w:rsidR="00037CE3" w:rsidRPr="00CA50CA">
        <w:rPr>
          <w:rFonts w:ascii="Times New Roman" w:hAnsi="Times New Roman" w:cs="Times New Roman"/>
          <w:sz w:val="24"/>
        </w:rPr>
        <w:t xml:space="preserve">penyerahan manuskrip di dalam negeri, Malaysia adalah </w:t>
      </w:r>
      <w:r w:rsidR="008A51B7" w:rsidRPr="00CA50CA">
        <w:rPr>
          <w:rFonts w:ascii="Times New Roman" w:hAnsi="Times New Roman" w:cs="Times New Roman"/>
          <w:sz w:val="24"/>
        </w:rPr>
        <w:t>60.49 %</w:t>
      </w:r>
      <w:r w:rsidR="00037CE3" w:rsidRPr="00CA50CA">
        <w:rPr>
          <w:rFonts w:ascii="Times New Roman" w:hAnsi="Times New Roman" w:cs="Times New Roman"/>
          <w:sz w:val="24"/>
        </w:rPr>
        <w:t xml:space="preserve"> dan 52.5</w:t>
      </w:r>
      <w:r w:rsidR="00D630B0">
        <w:rPr>
          <w:rFonts w:ascii="Times New Roman" w:hAnsi="Times New Roman" w:cs="Times New Roman"/>
          <w:sz w:val="24"/>
        </w:rPr>
        <w:t>0</w:t>
      </w:r>
      <w:r w:rsidR="00037CE3" w:rsidRPr="00CA50CA">
        <w:rPr>
          <w:rFonts w:ascii="Times New Roman" w:hAnsi="Times New Roman" w:cs="Times New Roman"/>
          <w:sz w:val="24"/>
        </w:rPr>
        <w:t xml:space="preserve"> % , masing – masing bagi SKAM dan PAT. Manakala sumbangan dari penyelidik luar </w:t>
      </w:r>
      <w:r w:rsidR="00CA50CA">
        <w:rPr>
          <w:rFonts w:ascii="Times New Roman" w:hAnsi="Times New Roman" w:cs="Times New Roman"/>
          <w:sz w:val="24"/>
        </w:rPr>
        <w:t>negeri</w:t>
      </w:r>
      <w:r w:rsidR="00037CE3" w:rsidRPr="00CA50CA">
        <w:rPr>
          <w:rFonts w:ascii="Times New Roman" w:hAnsi="Times New Roman" w:cs="Times New Roman"/>
          <w:sz w:val="24"/>
        </w:rPr>
        <w:t xml:space="preserve"> adalah 39.50 % dan 47.5</w:t>
      </w:r>
      <w:r w:rsidR="00D630B0">
        <w:rPr>
          <w:rFonts w:ascii="Times New Roman" w:hAnsi="Times New Roman" w:cs="Times New Roman"/>
          <w:sz w:val="24"/>
        </w:rPr>
        <w:t>0</w:t>
      </w:r>
      <w:r w:rsidR="00037CE3" w:rsidRPr="00CA50CA">
        <w:rPr>
          <w:rFonts w:ascii="Times New Roman" w:hAnsi="Times New Roman" w:cs="Times New Roman"/>
          <w:sz w:val="24"/>
        </w:rPr>
        <w:t xml:space="preserve"> %, masing – masing bagi SKAM dan PAT. </w:t>
      </w:r>
      <w:r w:rsidR="00D630B0">
        <w:rPr>
          <w:rFonts w:ascii="Times New Roman" w:hAnsi="Times New Roman" w:cs="Times New Roman"/>
          <w:sz w:val="24"/>
        </w:rPr>
        <w:t xml:space="preserve"> </w:t>
      </w:r>
    </w:p>
    <w:p w:rsidR="009E70C2" w:rsidRDefault="009E70C2" w:rsidP="008A51B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E70C2" w:rsidRPr="009E70C2" w:rsidRDefault="009E70C2" w:rsidP="008A51B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43C71" w:rsidRDefault="00233CAE" w:rsidP="00233CA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C0C14D3" wp14:editId="5400155C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3C71" w:rsidRPr="00C557A6" w:rsidRDefault="0070435D" w:rsidP="00233CA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Rajah 1: </w:t>
      </w:r>
      <w:r w:rsidR="00233CAE" w:rsidRPr="00C557A6">
        <w:rPr>
          <w:rFonts w:ascii="Times New Roman" w:hAnsi="Times New Roman" w:cs="Times New Roman"/>
          <w:sz w:val="24"/>
        </w:rPr>
        <w:t xml:space="preserve"> Penyerahan manuskrip mengikut lokaliti</w:t>
      </w:r>
    </w:p>
    <w:p w:rsidR="00743C71" w:rsidRPr="00EC5A3B" w:rsidRDefault="00743C71" w:rsidP="008A51B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630B0" w:rsidRDefault="00D630B0" w:rsidP="00D630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Walaupun MJAS merupakan </w:t>
      </w:r>
      <w:r w:rsidR="00C557A6" w:rsidRPr="00CA50CA">
        <w:rPr>
          <w:rFonts w:ascii="Times New Roman" w:hAnsi="Times New Roman" w:cs="Times New Roman"/>
          <w:sz w:val="24"/>
        </w:rPr>
        <w:t>sebuah jurnal yang menawarkan penerbitan di dalam medium Bahasa Malaysia</w:t>
      </w:r>
      <w:r>
        <w:rPr>
          <w:rFonts w:ascii="Times New Roman" w:hAnsi="Times New Roman" w:cs="Times New Roman"/>
          <w:sz w:val="24"/>
        </w:rPr>
        <w:t xml:space="preserve"> dan Bahasa Inggeris, hanya</w:t>
      </w:r>
      <w:r w:rsidR="00C557A6" w:rsidRPr="00CA5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7.40% sahaja makalah yang diterima ditulis dalam Bahasa Melayu </w:t>
      </w:r>
      <w:r w:rsidRPr="00CA50CA">
        <w:rPr>
          <w:rFonts w:ascii="Times New Roman" w:hAnsi="Times New Roman" w:cs="Times New Roman"/>
          <w:sz w:val="24"/>
        </w:rPr>
        <w:t xml:space="preserve">sepanjang tahun 2013. </w:t>
      </w:r>
      <w:r>
        <w:rPr>
          <w:rFonts w:ascii="Times New Roman" w:hAnsi="Times New Roman" w:cs="Times New Roman"/>
          <w:sz w:val="24"/>
        </w:rPr>
        <w:t>Insentif perlu dicari agar penulisan dalam Bahasa Melayu dapat ditingkatkan dalam tahun-tahun mendatang ini.</w:t>
      </w:r>
    </w:p>
    <w:p w:rsidR="00D630B0" w:rsidRDefault="00D630B0" w:rsidP="00D630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F4F82" w:rsidRPr="00CA50CA" w:rsidRDefault="00C557A6" w:rsidP="00D630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Setiap manuskrip yang diterima oleh pihak pengurusan, ia akan dikategorikan mengikut subjek kajian. </w:t>
      </w:r>
      <w:r w:rsidR="00743C71" w:rsidRPr="00CA50CA">
        <w:rPr>
          <w:rFonts w:ascii="Times New Roman" w:hAnsi="Times New Roman" w:cs="Times New Roman"/>
          <w:sz w:val="24"/>
        </w:rPr>
        <w:t>Subjek kajian merangkumi 12 pecahan utama iaitu polimer, bahan semulajadi, oleokimia, radiokimia, analisis n</w:t>
      </w:r>
      <w:r w:rsidR="00BD7178">
        <w:rPr>
          <w:rFonts w:ascii="Times New Roman" w:hAnsi="Times New Roman" w:cs="Times New Roman"/>
          <w:sz w:val="24"/>
        </w:rPr>
        <w:t>utrien</w:t>
      </w:r>
      <w:r w:rsidR="00743C71" w:rsidRPr="00CA50CA">
        <w:rPr>
          <w:rFonts w:ascii="Times New Roman" w:hAnsi="Times New Roman" w:cs="Times New Roman"/>
          <w:sz w:val="24"/>
        </w:rPr>
        <w:t xml:space="preserve"> </w:t>
      </w:r>
      <w:r w:rsidR="00BD7178">
        <w:rPr>
          <w:rFonts w:ascii="Times New Roman" w:hAnsi="Times New Roman" w:cs="Times New Roman"/>
          <w:sz w:val="24"/>
        </w:rPr>
        <w:t>dan pemakanan, analisis farmas</w:t>
      </w:r>
      <w:r w:rsidR="00743C71" w:rsidRPr="00CA50CA">
        <w:rPr>
          <w:rFonts w:ascii="Times New Roman" w:hAnsi="Times New Roman" w:cs="Times New Roman"/>
          <w:sz w:val="24"/>
        </w:rPr>
        <w:t xml:space="preserve">eutikal, katalisis, sains bahan dan nano termaju, sintesis organik dan tak organik, spektroskopi, kaedah pemisahan dan analisis persekitaran. </w:t>
      </w:r>
      <w:r w:rsidR="00FF1924" w:rsidRPr="00CA50CA">
        <w:rPr>
          <w:rFonts w:ascii="Times New Roman" w:hAnsi="Times New Roman" w:cs="Times New Roman"/>
          <w:sz w:val="24"/>
        </w:rPr>
        <w:t xml:space="preserve">Pecahan peratusan manuskrip mengikut kumpulan kajian </w:t>
      </w:r>
      <w:r w:rsidR="00D630B0">
        <w:rPr>
          <w:rFonts w:ascii="Times New Roman" w:hAnsi="Times New Roman" w:cs="Times New Roman"/>
          <w:sz w:val="24"/>
        </w:rPr>
        <w:t xml:space="preserve">(bagi tahun 2013) di tunjukkan dalam </w:t>
      </w:r>
      <w:r w:rsidR="00FF1924" w:rsidRPr="00CA50CA">
        <w:rPr>
          <w:rFonts w:ascii="Times New Roman" w:hAnsi="Times New Roman" w:cs="Times New Roman"/>
          <w:sz w:val="24"/>
        </w:rPr>
        <w:t>Rajah 2</w:t>
      </w:r>
      <w:r w:rsidR="00743C71" w:rsidRPr="00CA50CA">
        <w:rPr>
          <w:rFonts w:ascii="Times New Roman" w:hAnsi="Times New Roman" w:cs="Times New Roman"/>
          <w:sz w:val="24"/>
        </w:rPr>
        <w:t>.</w:t>
      </w:r>
    </w:p>
    <w:p w:rsidR="00FF1924" w:rsidRPr="00EC5A3B" w:rsidRDefault="00FF1924" w:rsidP="008A51B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43C71" w:rsidRDefault="00FF1924" w:rsidP="00ED56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B1299E3" wp14:editId="73A67E51">
            <wp:extent cx="5305425" cy="27908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3C71" w:rsidRPr="00CA50CA" w:rsidRDefault="0070435D" w:rsidP="00233CA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Rajah 2: </w:t>
      </w:r>
      <w:r w:rsidR="00233CAE" w:rsidRPr="00CA50CA">
        <w:rPr>
          <w:rFonts w:ascii="Times New Roman" w:hAnsi="Times New Roman" w:cs="Times New Roman"/>
          <w:sz w:val="24"/>
        </w:rPr>
        <w:t xml:space="preserve"> Pecahan manuskrip mengikut subjek kajian.</w:t>
      </w:r>
    </w:p>
    <w:p w:rsidR="00233CAE" w:rsidRPr="00CA50CA" w:rsidRDefault="00233CAE" w:rsidP="00EC5A3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3CAE" w:rsidRPr="00CA50CA" w:rsidRDefault="00233CAE" w:rsidP="00E73E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0CA">
        <w:rPr>
          <w:rFonts w:ascii="Times New Roman" w:hAnsi="Times New Roman" w:cs="Times New Roman"/>
          <w:sz w:val="24"/>
        </w:rPr>
        <w:t>Sepanjang tahun 2013, pihak</w:t>
      </w:r>
      <w:r w:rsidR="0070435D">
        <w:rPr>
          <w:rFonts w:ascii="Times New Roman" w:hAnsi="Times New Roman" w:cs="Times New Roman"/>
          <w:sz w:val="24"/>
        </w:rPr>
        <w:t xml:space="preserve"> pengurusan telah melantik kira–</w:t>
      </w:r>
      <w:r w:rsidRPr="00CA50CA">
        <w:rPr>
          <w:rFonts w:ascii="Times New Roman" w:hAnsi="Times New Roman" w:cs="Times New Roman"/>
          <w:sz w:val="24"/>
        </w:rPr>
        <w:t>kira 151 pewasit</w:t>
      </w:r>
      <w:r w:rsidR="00E73E89">
        <w:rPr>
          <w:rFonts w:ascii="Times New Roman" w:hAnsi="Times New Roman" w:cs="Times New Roman"/>
          <w:sz w:val="24"/>
        </w:rPr>
        <w:t xml:space="preserve"> dalam </w:t>
      </w:r>
      <w:r w:rsidRPr="00CA50CA">
        <w:rPr>
          <w:rFonts w:ascii="Times New Roman" w:hAnsi="Times New Roman" w:cs="Times New Roman"/>
          <w:sz w:val="24"/>
        </w:rPr>
        <w:t xml:space="preserve">pelbagai </w:t>
      </w:r>
      <w:r w:rsidR="00E73E89">
        <w:rPr>
          <w:rFonts w:ascii="Times New Roman" w:hAnsi="Times New Roman" w:cs="Times New Roman"/>
          <w:sz w:val="24"/>
        </w:rPr>
        <w:t xml:space="preserve"> bidang dan dari pelbagai institusi termasuklah</w:t>
      </w:r>
      <w:r w:rsidRPr="00CA50CA">
        <w:rPr>
          <w:rFonts w:ascii="Times New Roman" w:hAnsi="Times New Roman" w:cs="Times New Roman"/>
          <w:sz w:val="24"/>
        </w:rPr>
        <w:t xml:space="preserve"> Institusi Pengajian </w:t>
      </w:r>
      <w:r w:rsidR="00E73E89">
        <w:rPr>
          <w:rFonts w:ascii="Times New Roman" w:hAnsi="Times New Roman" w:cs="Times New Roman"/>
          <w:sz w:val="24"/>
        </w:rPr>
        <w:t xml:space="preserve">Tinggi </w:t>
      </w:r>
      <w:r w:rsidRPr="00CA50CA">
        <w:rPr>
          <w:rFonts w:ascii="Times New Roman" w:hAnsi="Times New Roman" w:cs="Times New Roman"/>
          <w:sz w:val="24"/>
        </w:rPr>
        <w:t xml:space="preserve">Awam (IPTA), </w:t>
      </w:r>
      <w:r w:rsidR="00E73E89" w:rsidRPr="00CA50CA">
        <w:rPr>
          <w:rFonts w:ascii="Times New Roman" w:hAnsi="Times New Roman" w:cs="Times New Roman"/>
          <w:sz w:val="24"/>
        </w:rPr>
        <w:t xml:space="preserve">Institusi Pengajian </w:t>
      </w:r>
      <w:r w:rsidR="00E73E89">
        <w:rPr>
          <w:rFonts w:ascii="Times New Roman" w:hAnsi="Times New Roman" w:cs="Times New Roman"/>
          <w:sz w:val="24"/>
        </w:rPr>
        <w:t xml:space="preserve">Tinggi </w:t>
      </w:r>
      <w:r w:rsidRPr="00CA50CA">
        <w:rPr>
          <w:rFonts w:ascii="Times New Roman" w:hAnsi="Times New Roman" w:cs="Times New Roman"/>
          <w:sz w:val="24"/>
        </w:rPr>
        <w:t xml:space="preserve">Swasta (IPTS) dan Institusi Penyelidikan Kerajaan. Pewasit dari IPTA menyumbang peratusan penilaian </w:t>
      </w:r>
      <w:r w:rsidR="0070435D">
        <w:rPr>
          <w:rFonts w:ascii="Times New Roman" w:hAnsi="Times New Roman" w:cs="Times New Roman"/>
          <w:sz w:val="24"/>
        </w:rPr>
        <w:t>sehingga 61.58 %, manakala lain–</w:t>
      </w:r>
      <w:r w:rsidRPr="00CA50CA">
        <w:rPr>
          <w:rFonts w:ascii="Times New Roman" w:hAnsi="Times New Roman" w:cs="Times New Roman"/>
          <w:sz w:val="24"/>
        </w:rPr>
        <w:t>lain institusi memberi perolehan sehingga 38.42 %.</w:t>
      </w:r>
      <w:r w:rsidR="00EC5A3B" w:rsidRPr="00CA50CA">
        <w:rPr>
          <w:rFonts w:ascii="Times New Roman" w:hAnsi="Times New Roman" w:cs="Times New Roman"/>
          <w:sz w:val="24"/>
        </w:rPr>
        <w:t xml:space="preserve"> </w:t>
      </w:r>
      <w:r w:rsidR="00E73E89">
        <w:rPr>
          <w:rFonts w:ascii="Times New Roman" w:hAnsi="Times New Roman" w:cs="Times New Roman"/>
          <w:sz w:val="24"/>
        </w:rPr>
        <w:t>Peratus penolakan man</w:t>
      </w:r>
      <w:r w:rsidR="002C372D">
        <w:rPr>
          <w:rFonts w:ascii="Times New Roman" w:hAnsi="Times New Roman" w:cs="Times New Roman"/>
          <w:sz w:val="24"/>
        </w:rPr>
        <w:t xml:space="preserve">uskrip (bagi tahun 2013) ialah </w:t>
      </w:r>
      <w:r w:rsidR="00EC5A3B" w:rsidRPr="00CA50CA">
        <w:rPr>
          <w:rFonts w:ascii="Times New Roman" w:hAnsi="Times New Roman" w:cs="Times New Roman"/>
          <w:sz w:val="24"/>
        </w:rPr>
        <w:t>14.</w:t>
      </w:r>
      <w:r w:rsidRPr="00CA50CA">
        <w:rPr>
          <w:rFonts w:ascii="Times New Roman" w:hAnsi="Times New Roman" w:cs="Times New Roman"/>
          <w:sz w:val="24"/>
        </w:rPr>
        <w:t xml:space="preserve">81 % (SKAM) dan </w:t>
      </w:r>
      <w:r w:rsidR="00EC5A3B" w:rsidRPr="00CA50CA">
        <w:rPr>
          <w:rFonts w:ascii="Times New Roman" w:hAnsi="Times New Roman" w:cs="Times New Roman"/>
          <w:sz w:val="24"/>
        </w:rPr>
        <w:t>10.03 % (PAT)</w:t>
      </w:r>
      <w:r w:rsidR="00E73E89">
        <w:rPr>
          <w:rFonts w:ascii="Times New Roman" w:hAnsi="Times New Roman" w:cs="Times New Roman"/>
          <w:sz w:val="24"/>
        </w:rPr>
        <w:t>. Asas penolak</w:t>
      </w:r>
      <w:r w:rsidR="00EC5A3B" w:rsidRPr="00CA50CA">
        <w:rPr>
          <w:rFonts w:ascii="Times New Roman" w:hAnsi="Times New Roman" w:cs="Times New Roman"/>
          <w:sz w:val="24"/>
        </w:rPr>
        <w:t xml:space="preserve">an manuskrip </w:t>
      </w:r>
      <w:r w:rsidR="00E73E89">
        <w:rPr>
          <w:rFonts w:ascii="Times New Roman" w:hAnsi="Times New Roman" w:cs="Times New Roman"/>
          <w:sz w:val="24"/>
        </w:rPr>
        <w:t>umumnya ialah</w:t>
      </w:r>
      <w:r w:rsidR="00EC5A3B" w:rsidRPr="00CA50CA">
        <w:rPr>
          <w:rFonts w:ascii="Times New Roman" w:hAnsi="Times New Roman" w:cs="Times New Roman"/>
          <w:sz w:val="24"/>
        </w:rPr>
        <w:t xml:space="preserve"> kelemahan dalam penyampaian Bahasa Inggeris, </w:t>
      </w:r>
      <w:r w:rsidR="00087BA4" w:rsidRPr="00CA50CA">
        <w:rPr>
          <w:rFonts w:ascii="Times New Roman" w:hAnsi="Times New Roman" w:cs="Times New Roman"/>
          <w:sz w:val="24"/>
        </w:rPr>
        <w:t>t</w:t>
      </w:r>
      <w:r w:rsidR="00E73E89">
        <w:rPr>
          <w:rFonts w:ascii="Times New Roman" w:hAnsi="Times New Roman" w:cs="Times New Roman"/>
          <w:sz w:val="24"/>
        </w:rPr>
        <w:t>idak memenuhi skop MJAS</w:t>
      </w:r>
      <w:r w:rsidR="00087BA4" w:rsidRPr="00CA50CA">
        <w:rPr>
          <w:rFonts w:ascii="Times New Roman" w:hAnsi="Times New Roman" w:cs="Times New Roman"/>
          <w:sz w:val="24"/>
        </w:rPr>
        <w:t xml:space="preserve">, </w:t>
      </w:r>
      <w:r w:rsidR="00EC5A3B" w:rsidRPr="00CA50CA">
        <w:rPr>
          <w:rFonts w:ascii="Times New Roman" w:hAnsi="Times New Roman" w:cs="Times New Roman"/>
          <w:sz w:val="24"/>
        </w:rPr>
        <w:t>kekurangan</w:t>
      </w:r>
      <w:r w:rsidR="00E73E89">
        <w:rPr>
          <w:rFonts w:ascii="Times New Roman" w:hAnsi="Times New Roman" w:cs="Times New Roman"/>
          <w:sz w:val="24"/>
        </w:rPr>
        <w:t>/ketiadaan data primer</w:t>
      </w:r>
      <w:r w:rsidR="00EC5A3B" w:rsidRPr="00CA50CA">
        <w:rPr>
          <w:rFonts w:ascii="Times New Roman" w:hAnsi="Times New Roman" w:cs="Times New Roman"/>
          <w:sz w:val="24"/>
        </w:rPr>
        <w:t xml:space="preserve"> dan </w:t>
      </w:r>
      <w:r w:rsidR="00EE0ED5">
        <w:rPr>
          <w:rFonts w:ascii="Times New Roman" w:hAnsi="Times New Roman" w:cs="Times New Roman"/>
          <w:sz w:val="24"/>
        </w:rPr>
        <w:t>penyerahan berulang (multiple journals submission).</w:t>
      </w:r>
    </w:p>
    <w:p w:rsidR="00EC5A3B" w:rsidRPr="00CA50CA" w:rsidRDefault="00EC5A3B" w:rsidP="00233C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0ED5" w:rsidRPr="00CA50CA" w:rsidRDefault="00087BA4" w:rsidP="00233CA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A50CA">
        <w:rPr>
          <w:rFonts w:ascii="Times New Roman" w:hAnsi="Times New Roman" w:cs="Times New Roman"/>
          <w:b/>
          <w:sz w:val="24"/>
        </w:rPr>
        <w:t>Penerbitan Manuskrip</w:t>
      </w:r>
    </w:p>
    <w:p w:rsidR="00087BA4" w:rsidRPr="00CA50CA" w:rsidRDefault="008567D7" w:rsidP="00EE0E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Sebelum tahun 2012, MJAS hanya diterbitkan sebanyak dua isu dalam satu Jilid (Volume). Bermula 2012, MJAS diterbitkan dalam tiga isu per Jilid. </w:t>
      </w:r>
      <w:r w:rsidR="00087BA4" w:rsidRPr="00CA50CA">
        <w:rPr>
          <w:rFonts w:ascii="Times New Roman" w:hAnsi="Times New Roman" w:cs="Times New Roman"/>
          <w:sz w:val="24"/>
        </w:rPr>
        <w:t>Tahun 2013 merekod</w:t>
      </w:r>
      <w:r w:rsidR="00462000" w:rsidRPr="00CA50CA">
        <w:rPr>
          <w:rFonts w:ascii="Times New Roman" w:hAnsi="Times New Roman" w:cs="Times New Roman"/>
          <w:sz w:val="24"/>
        </w:rPr>
        <w:t>kan peningkatan dari segi bilangan</w:t>
      </w:r>
      <w:r w:rsidR="00087BA4" w:rsidRPr="00CA50CA">
        <w:rPr>
          <w:rFonts w:ascii="Times New Roman" w:hAnsi="Times New Roman" w:cs="Times New Roman"/>
          <w:sz w:val="24"/>
        </w:rPr>
        <w:t xml:space="preserve"> manuskrip yang berjaya diterbitkan</w:t>
      </w:r>
      <w:r>
        <w:rPr>
          <w:rFonts w:ascii="Times New Roman" w:hAnsi="Times New Roman" w:cs="Times New Roman"/>
          <w:sz w:val="24"/>
        </w:rPr>
        <w:t xml:space="preserve"> iaitu </w:t>
      </w:r>
      <w:r w:rsidR="00EE0ED5">
        <w:rPr>
          <w:rFonts w:ascii="Times New Roman" w:hAnsi="Times New Roman" w:cs="Times New Roman"/>
          <w:sz w:val="24"/>
        </w:rPr>
        <w:t>MJAS Volume 17</w:t>
      </w:r>
      <w:r w:rsidR="00087BA4" w:rsidRPr="00CA50CA">
        <w:rPr>
          <w:rFonts w:ascii="Times New Roman" w:hAnsi="Times New Roman" w:cs="Times New Roman"/>
          <w:sz w:val="24"/>
        </w:rPr>
        <w:t>. Jumlah keseluruhan manuskrip adala</w:t>
      </w:r>
      <w:r w:rsidR="00ED562A">
        <w:rPr>
          <w:rFonts w:ascii="Times New Roman" w:hAnsi="Times New Roman" w:cs="Times New Roman"/>
          <w:sz w:val="24"/>
        </w:rPr>
        <w:t>h 59, iaitu masing–</w:t>
      </w:r>
      <w:r>
        <w:rPr>
          <w:rFonts w:ascii="Times New Roman" w:hAnsi="Times New Roman" w:cs="Times New Roman"/>
          <w:sz w:val="24"/>
        </w:rPr>
        <w:t>masing 24</w:t>
      </w:r>
      <w:r w:rsidR="00087BA4" w:rsidRPr="00CA5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dalam isu pertama, 17 dalam isu kedua dan 18 dalam </w:t>
      </w:r>
      <w:r w:rsidR="00087BA4" w:rsidRPr="00CA50CA">
        <w:rPr>
          <w:rFonts w:ascii="Times New Roman" w:hAnsi="Times New Roman" w:cs="Times New Roman"/>
          <w:sz w:val="24"/>
        </w:rPr>
        <w:t xml:space="preserve">isu ketiga. Peratusan jumlah manuskrip yang diterbitkan menokok </w:t>
      </w:r>
      <w:r w:rsidR="00EE0ED5">
        <w:rPr>
          <w:rFonts w:ascii="Times New Roman" w:hAnsi="Times New Roman" w:cs="Times New Roman"/>
          <w:sz w:val="24"/>
        </w:rPr>
        <w:t xml:space="preserve">secara </w:t>
      </w:r>
      <w:r w:rsidR="00087BA4" w:rsidRPr="00CA50CA">
        <w:rPr>
          <w:rFonts w:ascii="Times New Roman" w:hAnsi="Times New Roman" w:cs="Times New Roman"/>
          <w:sz w:val="24"/>
        </w:rPr>
        <w:t>positif 34.09 % berbanding 44 manuskrip bagi tahun 2012.</w:t>
      </w:r>
      <w:r w:rsidR="00462000" w:rsidRPr="00CA50CA">
        <w:rPr>
          <w:rFonts w:ascii="Times New Roman" w:hAnsi="Times New Roman" w:cs="Times New Roman"/>
          <w:sz w:val="24"/>
        </w:rPr>
        <w:t xml:space="preserve"> Ringkasan peningkatan bilangan</w:t>
      </w:r>
      <w:r w:rsidR="00087BA4" w:rsidRPr="00CA50CA">
        <w:rPr>
          <w:rFonts w:ascii="Times New Roman" w:hAnsi="Times New Roman" w:cs="Times New Roman"/>
          <w:sz w:val="24"/>
        </w:rPr>
        <w:t xml:space="preserve"> manuskrip sejak di indeks oleh SCOPUS </w:t>
      </w:r>
      <w:r w:rsidR="00EE0ED5">
        <w:rPr>
          <w:rFonts w:ascii="Times New Roman" w:hAnsi="Times New Roman" w:cs="Times New Roman"/>
          <w:sz w:val="24"/>
        </w:rPr>
        <w:t xml:space="preserve">(i.e. Oktober 2010) ditunjukkan dalam Rajah 3. </w:t>
      </w:r>
      <w:r>
        <w:rPr>
          <w:rFonts w:ascii="Times New Roman" w:hAnsi="Times New Roman" w:cs="Times New Roman"/>
          <w:sz w:val="24"/>
        </w:rPr>
        <w:t xml:space="preserve">Bagi tahun 2010 (MJAS Volume 14), SCOPUS hanya mula mengindeks isu kedua sahaja. </w:t>
      </w:r>
      <w:r w:rsidR="00EE0ED5">
        <w:rPr>
          <w:rFonts w:ascii="Times New Roman" w:hAnsi="Times New Roman" w:cs="Times New Roman"/>
          <w:sz w:val="24"/>
        </w:rPr>
        <w:t xml:space="preserve"> </w:t>
      </w:r>
    </w:p>
    <w:p w:rsidR="00087BA4" w:rsidRDefault="00087BA4" w:rsidP="00233CA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87BA4" w:rsidRDefault="00462000" w:rsidP="00ED562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noProof/>
        </w:rPr>
        <w:lastRenderedPageBreak/>
        <w:drawing>
          <wp:inline distT="0" distB="0" distL="0" distR="0" wp14:anchorId="6E2AB7AA" wp14:editId="77D4D8EF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2000" w:rsidRPr="00CA50CA" w:rsidRDefault="00462000" w:rsidP="0046200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A50CA">
        <w:rPr>
          <w:rFonts w:ascii="Times New Roman" w:hAnsi="Times New Roman" w:cs="Times New Roman"/>
          <w:sz w:val="24"/>
        </w:rPr>
        <w:t>Raj</w:t>
      </w:r>
      <w:r w:rsidR="00ED562A">
        <w:rPr>
          <w:rFonts w:ascii="Times New Roman" w:hAnsi="Times New Roman" w:cs="Times New Roman"/>
          <w:sz w:val="24"/>
        </w:rPr>
        <w:t xml:space="preserve">ah 3: </w:t>
      </w:r>
      <w:r w:rsidRPr="00CA50CA">
        <w:rPr>
          <w:rFonts w:ascii="Times New Roman" w:hAnsi="Times New Roman" w:cs="Times New Roman"/>
          <w:sz w:val="24"/>
        </w:rPr>
        <w:t xml:space="preserve"> Peningkatan Manuskrip yang diterbitkan sejak 2010 (Indeks SCOPUS)</w:t>
      </w:r>
    </w:p>
    <w:p w:rsidR="00462000" w:rsidRPr="00CA50CA" w:rsidRDefault="00462000" w:rsidP="0046200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567D7" w:rsidRDefault="008567D7" w:rsidP="00856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462000" w:rsidRPr="00CA50CA">
        <w:rPr>
          <w:rFonts w:ascii="Times New Roman" w:hAnsi="Times New Roman" w:cs="Times New Roman"/>
          <w:sz w:val="24"/>
        </w:rPr>
        <w:t xml:space="preserve">ilangan sitasi yang direkodkan pada tahun 2013 mengikut rujukan SCOPUS adalah 16, iaitu menokok positif sebanyak 77.77 % berbanding tempoh yang sama pada tahun 2012. </w:t>
      </w:r>
      <w:r w:rsidR="00573BEC" w:rsidRPr="00CA50CA">
        <w:rPr>
          <w:rFonts w:ascii="Times New Roman" w:hAnsi="Times New Roman" w:cs="Times New Roman"/>
          <w:sz w:val="24"/>
        </w:rPr>
        <w:t xml:space="preserve">Penerbitan di dalam medium Bahasa Melayu bagi tahun 2013 adalah 10.16 %, iaitu menokok positif berbanding hanya 2.27 % pada tahun 2012.  </w:t>
      </w:r>
    </w:p>
    <w:p w:rsidR="008567D7" w:rsidRDefault="008567D7" w:rsidP="00856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3BEC" w:rsidRPr="00CA50CA" w:rsidRDefault="00573BEC" w:rsidP="008567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0CA">
        <w:rPr>
          <w:rFonts w:ascii="Times New Roman" w:hAnsi="Times New Roman" w:cs="Times New Roman"/>
          <w:sz w:val="24"/>
        </w:rPr>
        <w:t>Sejumlah 10 manuskrip luar negeri berjaya diterbitkan bagi tempoh 2013, yakni menokok positif sehingga 60 % berbandin</w:t>
      </w:r>
      <w:r w:rsidR="008567D7">
        <w:rPr>
          <w:rFonts w:ascii="Times New Roman" w:hAnsi="Times New Roman" w:cs="Times New Roman"/>
          <w:sz w:val="24"/>
        </w:rPr>
        <w:t>g hanya 4 bagi tempoh sama 2012 (</w:t>
      </w:r>
      <w:r w:rsidR="009E70C2" w:rsidRPr="00CA50CA">
        <w:rPr>
          <w:rFonts w:ascii="Times New Roman" w:hAnsi="Times New Roman" w:cs="Times New Roman"/>
          <w:sz w:val="24"/>
        </w:rPr>
        <w:t>Rajah 4</w:t>
      </w:r>
      <w:r w:rsidR="008567D7">
        <w:rPr>
          <w:rFonts w:ascii="Times New Roman" w:hAnsi="Times New Roman" w:cs="Times New Roman"/>
          <w:sz w:val="24"/>
        </w:rPr>
        <w:t>)</w:t>
      </w:r>
      <w:r w:rsidR="009E70C2" w:rsidRPr="00CA50CA">
        <w:rPr>
          <w:rFonts w:ascii="Times New Roman" w:hAnsi="Times New Roman" w:cs="Times New Roman"/>
          <w:sz w:val="24"/>
        </w:rPr>
        <w:t>.</w:t>
      </w:r>
    </w:p>
    <w:p w:rsidR="009E70C2" w:rsidRDefault="009E70C2" w:rsidP="0046200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C372D" w:rsidRPr="00ED562A" w:rsidRDefault="00026798" w:rsidP="00ED562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6B22CD4F" wp14:editId="312B34C7">
            <wp:extent cx="4572000" cy="27432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CA50CA" w:rsidRPr="00CA50CA" w:rsidRDefault="00ED562A" w:rsidP="00CA50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Rajah 4: </w:t>
      </w:r>
      <w:r w:rsidR="00CA50CA" w:rsidRPr="00CA50CA">
        <w:rPr>
          <w:rFonts w:ascii="Times New Roman" w:hAnsi="Times New Roman" w:cs="Times New Roman"/>
          <w:sz w:val="24"/>
        </w:rPr>
        <w:t xml:space="preserve"> Perbandingan pe</w:t>
      </w:r>
      <w:r w:rsidR="00A45F7B">
        <w:rPr>
          <w:rFonts w:ascii="Times New Roman" w:hAnsi="Times New Roman" w:cs="Times New Roman"/>
          <w:sz w:val="24"/>
        </w:rPr>
        <w:t xml:space="preserve">ningkatan dalam penerbitan </w:t>
      </w:r>
      <w:r w:rsidR="00CA50CA" w:rsidRPr="00CA50CA">
        <w:rPr>
          <w:rFonts w:ascii="Times New Roman" w:hAnsi="Times New Roman" w:cs="Times New Roman"/>
          <w:sz w:val="24"/>
        </w:rPr>
        <w:t>manuskrip mengikut lokaliti (2012 - 2013)</w:t>
      </w:r>
    </w:p>
    <w:p w:rsidR="009E70C2" w:rsidRPr="00CA50CA" w:rsidRDefault="009E70C2" w:rsidP="00462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62000" w:rsidRDefault="009E70C2" w:rsidP="00462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50CA">
        <w:rPr>
          <w:rFonts w:ascii="Times New Roman" w:hAnsi="Times New Roman" w:cs="Times New Roman"/>
          <w:sz w:val="24"/>
        </w:rPr>
        <w:t>Oleh itu, pihak pengurusan komited bahawasanya dengan kerjasama yang lebi</w:t>
      </w:r>
      <w:r w:rsidR="00ED562A">
        <w:rPr>
          <w:rFonts w:ascii="Times New Roman" w:hAnsi="Times New Roman" w:cs="Times New Roman"/>
          <w:sz w:val="24"/>
        </w:rPr>
        <w:t>h komprehensif dan penambahbaik</w:t>
      </w:r>
      <w:r w:rsidRPr="00CA50CA">
        <w:rPr>
          <w:rFonts w:ascii="Times New Roman" w:hAnsi="Times New Roman" w:cs="Times New Roman"/>
          <w:sz w:val="24"/>
        </w:rPr>
        <w:t xml:space="preserve">an di dalam sistem pengurusan secara berterusan akan melonjakkan lagi reputasi MJAS sebagai medium pilihan penerbitan bukan hanya menjadi tumpuan di </w:t>
      </w:r>
      <w:r w:rsidR="008567D7">
        <w:rPr>
          <w:rFonts w:ascii="Times New Roman" w:hAnsi="Times New Roman" w:cs="Times New Roman"/>
          <w:sz w:val="24"/>
        </w:rPr>
        <w:t xml:space="preserve">Malaysia </w:t>
      </w:r>
      <w:r w:rsidR="008567D7">
        <w:rPr>
          <w:rFonts w:ascii="Times New Roman" w:hAnsi="Times New Roman" w:cs="Times New Roman"/>
          <w:sz w:val="24"/>
        </w:rPr>
        <w:lastRenderedPageBreak/>
        <w:t>bahkan di luar Malaysia</w:t>
      </w:r>
      <w:r w:rsidRPr="00CA50CA">
        <w:rPr>
          <w:rFonts w:ascii="Times New Roman" w:hAnsi="Times New Roman" w:cs="Times New Roman"/>
          <w:sz w:val="24"/>
        </w:rPr>
        <w:t>.</w:t>
      </w:r>
      <w:r w:rsidR="00CA50CA">
        <w:rPr>
          <w:rFonts w:ascii="Times New Roman" w:hAnsi="Times New Roman" w:cs="Times New Roman"/>
          <w:sz w:val="24"/>
        </w:rPr>
        <w:t xml:space="preserve"> Pihak pengurusan juga berharap agar pada tahun 2014, rekod dan reputasi MJAS akan terus memacu ke hadapan merentasi dunia penyelidikan.</w:t>
      </w:r>
      <w:r w:rsidRPr="00CA50CA">
        <w:rPr>
          <w:rFonts w:ascii="Times New Roman" w:hAnsi="Times New Roman" w:cs="Times New Roman"/>
          <w:sz w:val="24"/>
        </w:rPr>
        <w:t xml:space="preserve"> </w:t>
      </w:r>
      <w:r w:rsidR="00573BEC" w:rsidRPr="00CA50CA">
        <w:rPr>
          <w:rFonts w:ascii="Times New Roman" w:hAnsi="Times New Roman" w:cs="Times New Roman"/>
          <w:sz w:val="24"/>
        </w:rPr>
        <w:t xml:space="preserve">   </w:t>
      </w:r>
    </w:p>
    <w:p w:rsidR="00E85468" w:rsidRDefault="00E85468" w:rsidP="00462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5468" w:rsidRDefault="00E85468" w:rsidP="00462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5468" w:rsidRPr="00ED562A" w:rsidRDefault="00E85468" w:rsidP="00462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D562A">
        <w:rPr>
          <w:rFonts w:ascii="Times New Roman" w:hAnsi="Times New Roman" w:cs="Times New Roman"/>
          <w:b/>
          <w:sz w:val="24"/>
        </w:rPr>
        <w:t>Ketua Pengarang MJAS</w:t>
      </w:r>
    </w:p>
    <w:p w:rsidR="00E85468" w:rsidRPr="00CA50CA" w:rsidRDefault="00026798" w:rsidP="00462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Emel: analis@ukm.edu.</w:t>
      </w:r>
      <w:r w:rsidR="00E85468">
        <w:rPr>
          <w:rFonts w:ascii="Times New Roman" w:hAnsi="Times New Roman" w:cs="Times New Roman"/>
          <w:sz w:val="24"/>
        </w:rPr>
        <w:t xml:space="preserve">my </w:t>
      </w:r>
    </w:p>
    <w:sectPr w:rsidR="00E85468" w:rsidRPr="00CA50CA" w:rsidSect="00ED562A">
      <w:footerReference w:type="default" r:id="rId11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2A" w:rsidRDefault="00ED562A" w:rsidP="00ED562A">
      <w:pPr>
        <w:spacing w:after="0" w:line="240" w:lineRule="auto"/>
      </w:pPr>
      <w:r>
        <w:separator/>
      </w:r>
    </w:p>
  </w:endnote>
  <w:endnote w:type="continuationSeparator" w:id="0">
    <w:p w:rsidR="00ED562A" w:rsidRDefault="00ED562A" w:rsidP="00ED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775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62A" w:rsidRDefault="00ED56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D2A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ED562A" w:rsidRDefault="00ED5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2A" w:rsidRDefault="00ED562A" w:rsidP="00ED562A">
      <w:pPr>
        <w:spacing w:after="0" w:line="240" w:lineRule="auto"/>
      </w:pPr>
      <w:r>
        <w:separator/>
      </w:r>
    </w:p>
  </w:footnote>
  <w:footnote w:type="continuationSeparator" w:id="0">
    <w:p w:rsidR="00ED562A" w:rsidRDefault="00ED562A" w:rsidP="00ED5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82"/>
    <w:rsid w:val="00026798"/>
    <w:rsid w:val="00037CE3"/>
    <w:rsid w:val="00087BA4"/>
    <w:rsid w:val="00114D2A"/>
    <w:rsid w:val="00233CAE"/>
    <w:rsid w:val="002C372D"/>
    <w:rsid w:val="003D76C3"/>
    <w:rsid w:val="00462000"/>
    <w:rsid w:val="00573BEC"/>
    <w:rsid w:val="0070435D"/>
    <w:rsid w:val="00743C71"/>
    <w:rsid w:val="008567D7"/>
    <w:rsid w:val="008A51B7"/>
    <w:rsid w:val="009E70C2"/>
    <w:rsid w:val="00A45F7B"/>
    <w:rsid w:val="00B55DE5"/>
    <w:rsid w:val="00BD7178"/>
    <w:rsid w:val="00C557A6"/>
    <w:rsid w:val="00CA50CA"/>
    <w:rsid w:val="00D630B0"/>
    <w:rsid w:val="00E73E89"/>
    <w:rsid w:val="00E85468"/>
    <w:rsid w:val="00E91A2E"/>
    <w:rsid w:val="00EC5A3B"/>
    <w:rsid w:val="00ED562A"/>
    <w:rsid w:val="00EE0ED5"/>
    <w:rsid w:val="00F87519"/>
    <w:rsid w:val="00FF1924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F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2A"/>
  </w:style>
  <w:style w:type="paragraph" w:styleId="Footer">
    <w:name w:val="footer"/>
    <w:basedOn w:val="Normal"/>
    <w:link w:val="FooterChar"/>
    <w:uiPriority w:val="99"/>
    <w:unhideWhenUsed/>
    <w:rsid w:val="00ED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F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2A"/>
  </w:style>
  <w:style w:type="paragraph" w:styleId="Footer">
    <w:name w:val="footer"/>
    <w:basedOn w:val="Normal"/>
    <w:link w:val="FooterChar"/>
    <w:uiPriority w:val="99"/>
    <w:unhideWhenUsed/>
    <w:rsid w:val="00ED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AMSUNG\Documents\Book%20edito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2"/>
              </a:solidFill>
            </c:spPr>
          </c:dPt>
          <c:cat>
            <c:strRef>
              <c:f>Sheet1!$B$17:$B$20</c:f>
              <c:strCache>
                <c:ptCount val="4"/>
                <c:pt idx="0">
                  <c:v>SKAM Dalam Negeri</c:v>
                </c:pt>
                <c:pt idx="1">
                  <c:v>SKAM Luar Negeri</c:v>
                </c:pt>
                <c:pt idx="2">
                  <c:v>PAT Dalam Negeri</c:v>
                </c:pt>
                <c:pt idx="3">
                  <c:v>PAT Luar Negeri</c:v>
                </c:pt>
              </c:strCache>
            </c:strRef>
          </c:cat>
          <c:val>
            <c:numRef>
              <c:f>Sheet1!$C$17:$C$20</c:f>
              <c:numCache>
                <c:formatCode>General</c:formatCode>
                <c:ptCount val="4"/>
                <c:pt idx="0">
                  <c:v>60.49</c:v>
                </c:pt>
                <c:pt idx="1">
                  <c:v>39.5</c:v>
                </c:pt>
                <c:pt idx="2">
                  <c:v>52.5</c:v>
                </c:pt>
                <c:pt idx="3">
                  <c:v>47.5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37600"/>
        <c:axId val="35739520"/>
      </c:barChart>
      <c:catAx>
        <c:axId val="35737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Lokaliti</a:t>
                </a:r>
              </a:p>
            </c:rich>
          </c:tx>
          <c:layout/>
          <c:overlay val="0"/>
        </c:title>
        <c:majorTickMark val="none"/>
        <c:minorTickMark val="none"/>
        <c:tickLblPos val="nextTo"/>
        <c:crossAx val="35739520"/>
        <c:crosses val="autoZero"/>
        <c:auto val="1"/>
        <c:lblAlgn val="ctr"/>
        <c:lblOffset val="100"/>
        <c:noMultiLvlLbl val="0"/>
      </c:catAx>
      <c:valAx>
        <c:axId val="357395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Peratus</a:t>
                </a:r>
                <a:r>
                  <a:rPr lang="en-US" baseline="0"/>
                  <a:t> (%)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737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Sheet1!$B$2:$B$13</c:f>
              <c:strCache>
                <c:ptCount val="12"/>
                <c:pt idx="0">
                  <c:v>Analisis Persekitaran</c:v>
                </c:pt>
                <c:pt idx="1">
                  <c:v>Kaedah Pemisahan</c:v>
                </c:pt>
                <c:pt idx="2">
                  <c:v>Spektroskopi</c:v>
                </c:pt>
                <c:pt idx="3">
                  <c:v>Sintesis Organik dan Tak Organik</c:v>
                </c:pt>
                <c:pt idx="4">
                  <c:v>Sains Bahan dan Nano Termaju</c:v>
                </c:pt>
                <c:pt idx="5">
                  <c:v>Katalisis</c:v>
                </c:pt>
                <c:pt idx="6">
                  <c:v>Analisis Farmaseutikal</c:v>
                </c:pt>
                <c:pt idx="7">
                  <c:v>Analisis Nutrien dan Pemakanan</c:v>
                </c:pt>
                <c:pt idx="8">
                  <c:v>Radiokimia</c:v>
                </c:pt>
                <c:pt idx="9">
                  <c:v>Oleokimia</c:v>
                </c:pt>
                <c:pt idx="10">
                  <c:v>Bahan Semulajadi</c:v>
                </c:pt>
                <c:pt idx="11">
                  <c:v>Polimer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16.04</c:v>
                </c:pt>
                <c:pt idx="1">
                  <c:v>9.9</c:v>
                </c:pt>
                <c:pt idx="2">
                  <c:v>11.39</c:v>
                </c:pt>
                <c:pt idx="3">
                  <c:v>8.26</c:v>
                </c:pt>
                <c:pt idx="4">
                  <c:v>9.09</c:v>
                </c:pt>
                <c:pt idx="5">
                  <c:v>3.3</c:v>
                </c:pt>
                <c:pt idx="6">
                  <c:v>3.3</c:v>
                </c:pt>
                <c:pt idx="7">
                  <c:v>6.61</c:v>
                </c:pt>
                <c:pt idx="8">
                  <c:v>7.42</c:v>
                </c:pt>
                <c:pt idx="9">
                  <c:v>5.78</c:v>
                </c:pt>
                <c:pt idx="10">
                  <c:v>10.74</c:v>
                </c:pt>
                <c:pt idx="11">
                  <c:v>8.26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778944"/>
        <c:axId val="35780864"/>
      </c:barChart>
      <c:catAx>
        <c:axId val="357789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Subjek</a:t>
                </a:r>
                <a:r>
                  <a:rPr lang="en-US" baseline="0"/>
                  <a:t> Kjajian</a:t>
                </a:r>
                <a:endParaRPr lang="en-US"/>
              </a:p>
            </c:rich>
          </c:tx>
          <c:layout/>
          <c:overlay val="0"/>
        </c:title>
        <c:majorTickMark val="none"/>
        <c:minorTickMark val="none"/>
        <c:tickLblPos val="nextTo"/>
        <c:crossAx val="35780864"/>
        <c:crosses val="autoZero"/>
        <c:auto val="1"/>
        <c:lblAlgn val="ctr"/>
        <c:lblOffset val="100"/>
        <c:noMultiLvlLbl val="0"/>
      </c:catAx>
      <c:valAx>
        <c:axId val="3578086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Peratus (%)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778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Sheet1!$B$25:$B$28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Sheet1!$C$25:$C$28</c:f>
              <c:numCache>
                <c:formatCode>General</c:formatCode>
                <c:ptCount val="4"/>
                <c:pt idx="0">
                  <c:v>10</c:v>
                </c:pt>
                <c:pt idx="1">
                  <c:v>26</c:v>
                </c:pt>
                <c:pt idx="2">
                  <c:v>44</c:v>
                </c:pt>
                <c:pt idx="3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211008"/>
        <c:axId val="43221376"/>
      </c:barChart>
      <c:catAx>
        <c:axId val="43211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Tahun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43221376"/>
        <c:crosses val="autoZero"/>
        <c:auto val="1"/>
        <c:lblAlgn val="ctr"/>
        <c:lblOffset val="100"/>
        <c:noMultiLvlLbl val="0"/>
      </c:catAx>
      <c:valAx>
        <c:axId val="432213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Bilangan</a:t>
                </a:r>
                <a:r>
                  <a:rPr lang="en-US" baseline="0"/>
                  <a:t> Manuskrip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3211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91111111111111109"/>
          <c:h val="0.76364975211431907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4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Sheet1!$B$35:$B$39</c:f>
              <c:strCache>
                <c:ptCount val="5"/>
                <c:pt idx="0">
                  <c:v>Dalam Negeri</c:v>
                </c:pt>
                <c:pt idx="1">
                  <c:v>Luar Negeri</c:v>
                </c:pt>
                <c:pt idx="3">
                  <c:v>Dalam Negeri</c:v>
                </c:pt>
                <c:pt idx="4">
                  <c:v>Luar Negeri </c:v>
                </c:pt>
              </c:strCache>
            </c:strRef>
          </c:cat>
          <c:val>
            <c:numRef>
              <c:f>Sheet1!$C$35:$C$39</c:f>
              <c:numCache>
                <c:formatCode>General</c:formatCode>
                <c:ptCount val="5"/>
                <c:pt idx="0">
                  <c:v>40</c:v>
                </c:pt>
                <c:pt idx="1">
                  <c:v>4</c:v>
                </c:pt>
                <c:pt idx="3">
                  <c:v>49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43247872"/>
        <c:axId val="70582272"/>
      </c:barChart>
      <c:catAx>
        <c:axId val="43247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70582272"/>
        <c:crosses val="autoZero"/>
        <c:auto val="1"/>
        <c:lblAlgn val="ctr"/>
        <c:lblOffset val="100"/>
        <c:noMultiLvlLbl val="0"/>
      </c:catAx>
      <c:valAx>
        <c:axId val="70582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3247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0.12708</cdr:x>
      <cdr:y>0.1059</cdr:y>
    </cdr:from>
    <cdr:to>
      <cdr:x>0.3875</cdr:x>
      <cdr:y>0.18229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81025" y="290513"/>
          <a:ext cx="119062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         2012</a:t>
          </a:r>
        </a:p>
      </cdr:txBody>
    </cdr:sp>
  </cdr:relSizeAnchor>
  <cdr:relSizeAnchor xmlns:cdr="http://schemas.openxmlformats.org/drawingml/2006/chartDrawing">
    <cdr:from>
      <cdr:x>0.625</cdr:x>
      <cdr:y>0.09896</cdr:y>
    </cdr:from>
    <cdr:to>
      <cdr:x>0.80208</cdr:x>
      <cdr:y>0.21701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857500" y="271463"/>
          <a:ext cx="80962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         2013</a:t>
          </a:r>
        </a:p>
      </cdr:txBody>
    </cdr:sp>
  </cdr:relSizeAnchor>
  <cdr:relSizeAnchor xmlns:cdr="http://schemas.openxmlformats.org/drawingml/2006/chartDrawing">
    <cdr:from>
      <cdr:x>0.27083</cdr:x>
      <cdr:y>0.89931</cdr:y>
    </cdr:from>
    <cdr:to>
      <cdr:x>0.74583</cdr:x>
      <cdr:y>1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238250" y="2466975"/>
          <a:ext cx="21717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           </a:t>
          </a:r>
          <a:r>
            <a:rPr lang="en-US" sz="1000"/>
            <a:t>Jumlah</a:t>
          </a:r>
          <a:r>
            <a:rPr lang="en-US" sz="1000" baseline="0"/>
            <a:t> </a:t>
          </a:r>
          <a:r>
            <a:rPr lang="en-US" sz="1000"/>
            <a:t>Manuskrip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Khalik et al.</dc:creator>
  <cp:lastModifiedBy>ANALIS</cp:lastModifiedBy>
  <cp:revision>5</cp:revision>
  <cp:lastPrinted>2014-04-03T00:19:00Z</cp:lastPrinted>
  <dcterms:created xsi:type="dcterms:W3CDTF">2014-03-30T17:03:00Z</dcterms:created>
  <dcterms:modified xsi:type="dcterms:W3CDTF">2014-04-03T00:21:00Z</dcterms:modified>
</cp:coreProperties>
</file>