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19" w:rsidRPr="001D616F" w:rsidRDefault="00B16A19" w:rsidP="00B16A1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16F">
        <w:rPr>
          <w:rFonts w:ascii="Times New Roman" w:hAnsi="Times New Roman" w:cs="Times New Roman"/>
          <w:bCs/>
          <w:sz w:val="28"/>
          <w:szCs w:val="28"/>
        </w:rPr>
        <w:t>DEVELOPMENT AND VALIDATION OF RP-HPLC METHOD FOR THE ESTIMATION OF CLOPIDOGREL BISULPHATE</w:t>
      </w:r>
    </w:p>
    <w:p w:rsidR="001254D7" w:rsidRPr="001D616F" w:rsidRDefault="001254D7" w:rsidP="00B16A1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16F">
        <w:rPr>
          <w:rFonts w:ascii="Times New Roman" w:hAnsi="Times New Roman" w:cs="Times New Roman"/>
          <w:bCs/>
          <w:sz w:val="28"/>
          <w:szCs w:val="28"/>
        </w:rPr>
        <w:t>(</w:t>
      </w:r>
      <w:r w:rsidR="001D616F">
        <w:rPr>
          <w:rFonts w:ascii="Times New Roman" w:hAnsi="Times New Roman" w:cs="Times New Roman"/>
          <w:bCs/>
          <w:sz w:val="28"/>
          <w:szCs w:val="28"/>
        </w:rPr>
        <w:t xml:space="preserve">Pembangunan </w:t>
      </w:r>
      <w:proofErr w:type="spellStart"/>
      <w:r w:rsidR="001D616F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="001D61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616F">
        <w:rPr>
          <w:rFonts w:ascii="Times New Roman" w:hAnsi="Times New Roman" w:cs="Times New Roman"/>
          <w:bCs/>
          <w:sz w:val="28"/>
          <w:szCs w:val="28"/>
        </w:rPr>
        <w:t>Penentusahkan</w:t>
      </w:r>
      <w:proofErr w:type="spellEnd"/>
      <w:r w:rsidR="001D61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616F">
        <w:rPr>
          <w:rFonts w:ascii="Times New Roman" w:hAnsi="Times New Roman" w:cs="Times New Roman"/>
          <w:bCs/>
          <w:sz w:val="28"/>
          <w:szCs w:val="28"/>
        </w:rPr>
        <w:t>Kaedah</w:t>
      </w:r>
      <w:proofErr w:type="spellEnd"/>
      <w:r w:rsidR="001D616F">
        <w:rPr>
          <w:rFonts w:ascii="Times New Roman" w:hAnsi="Times New Roman" w:cs="Times New Roman"/>
          <w:bCs/>
          <w:sz w:val="28"/>
          <w:szCs w:val="28"/>
        </w:rPr>
        <w:t xml:space="preserve"> RP-HPLC </w:t>
      </w:r>
      <w:proofErr w:type="spellStart"/>
      <w:r w:rsidR="001D616F">
        <w:rPr>
          <w:rFonts w:ascii="Times New Roman" w:hAnsi="Times New Roman" w:cs="Times New Roman"/>
          <w:bCs/>
          <w:sz w:val="28"/>
          <w:szCs w:val="28"/>
        </w:rPr>
        <w:t>Terhadap</w:t>
      </w:r>
      <w:proofErr w:type="spellEnd"/>
      <w:r w:rsidR="001D61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616F">
        <w:rPr>
          <w:rFonts w:ascii="Times New Roman" w:hAnsi="Times New Roman" w:cs="Times New Roman"/>
          <w:bCs/>
          <w:sz w:val="28"/>
          <w:szCs w:val="28"/>
        </w:rPr>
        <w:t>Klopidogrel</w:t>
      </w:r>
      <w:proofErr w:type="spellEnd"/>
      <w:r w:rsidR="001D61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616F">
        <w:rPr>
          <w:rFonts w:ascii="Times New Roman" w:hAnsi="Times New Roman" w:cs="Times New Roman"/>
          <w:bCs/>
          <w:sz w:val="28"/>
          <w:szCs w:val="28"/>
        </w:rPr>
        <w:t>Bisulfat</w:t>
      </w:r>
      <w:proofErr w:type="spellEnd"/>
      <w:r w:rsidRPr="001D616F">
        <w:rPr>
          <w:rFonts w:ascii="Times New Roman" w:hAnsi="Times New Roman" w:cs="Times New Roman"/>
          <w:bCs/>
          <w:sz w:val="28"/>
          <w:szCs w:val="28"/>
        </w:rPr>
        <w:t>)</w:t>
      </w:r>
    </w:p>
    <w:p w:rsidR="00B16A19" w:rsidRPr="001D616F" w:rsidRDefault="00B16A19" w:rsidP="00B16A1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vertAlign w:val="superscript"/>
        </w:rPr>
      </w:pPr>
      <w:proofErr w:type="spellStart"/>
      <w:r w:rsidRPr="001D616F">
        <w:rPr>
          <w:rFonts w:ascii="Times New Roman" w:hAnsi="Times New Roman" w:cs="Times New Roman"/>
          <w:b/>
          <w:bCs/>
          <w:sz w:val="20"/>
        </w:rPr>
        <w:t>Bhagat</w:t>
      </w:r>
      <w:proofErr w:type="spellEnd"/>
      <w:r w:rsidRPr="001D616F">
        <w:rPr>
          <w:rFonts w:ascii="Times New Roman" w:hAnsi="Times New Roman" w:cs="Times New Roman"/>
          <w:b/>
          <w:bCs/>
          <w:sz w:val="20"/>
        </w:rPr>
        <w:t xml:space="preserve"> Dimple*, </w:t>
      </w:r>
      <w:proofErr w:type="spellStart"/>
      <w:r w:rsidRPr="001D616F">
        <w:rPr>
          <w:rFonts w:ascii="Times New Roman" w:hAnsi="Times New Roman" w:cs="Times New Roman"/>
          <w:b/>
          <w:bCs/>
          <w:sz w:val="20"/>
        </w:rPr>
        <w:t>Mannur</w:t>
      </w:r>
      <w:proofErr w:type="spellEnd"/>
      <w:r w:rsidRPr="001D616F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b/>
          <w:bCs/>
          <w:sz w:val="20"/>
        </w:rPr>
        <w:t>Vinodh</w:t>
      </w:r>
      <w:proofErr w:type="spellEnd"/>
      <w:r w:rsidRPr="001D616F">
        <w:rPr>
          <w:rFonts w:ascii="Times New Roman" w:hAnsi="Times New Roman" w:cs="Times New Roman"/>
          <w:b/>
          <w:bCs/>
          <w:sz w:val="20"/>
        </w:rPr>
        <w:t xml:space="preserve">, </w:t>
      </w:r>
      <w:proofErr w:type="spellStart"/>
      <w:r w:rsidRPr="001D616F">
        <w:rPr>
          <w:rFonts w:ascii="Times New Roman" w:hAnsi="Times New Roman" w:cs="Times New Roman"/>
          <w:b/>
          <w:bCs/>
          <w:sz w:val="20"/>
        </w:rPr>
        <w:t>Mastiholimath</w:t>
      </w:r>
      <w:proofErr w:type="spellEnd"/>
      <w:r w:rsidRPr="001D616F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b/>
          <w:bCs/>
          <w:sz w:val="20"/>
        </w:rPr>
        <w:t>Vinayak</w:t>
      </w:r>
      <w:proofErr w:type="spellEnd"/>
    </w:p>
    <w:p w:rsidR="0000794B" w:rsidRPr="001D616F" w:rsidRDefault="00D45872" w:rsidP="001254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D616F">
        <w:rPr>
          <w:rFonts w:ascii="Times New Roman" w:hAnsi="Times New Roman" w:cs="Times New Roman"/>
          <w:i/>
          <w:iCs/>
          <w:sz w:val="18"/>
          <w:szCs w:val="18"/>
        </w:rPr>
        <w:t xml:space="preserve">Department of Quality Assurance, </w:t>
      </w:r>
    </w:p>
    <w:p w:rsidR="00B16A19" w:rsidRPr="001D616F" w:rsidRDefault="00D45872" w:rsidP="001254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D616F">
        <w:rPr>
          <w:rFonts w:ascii="Times New Roman" w:hAnsi="Times New Roman" w:cs="Times New Roman"/>
          <w:i/>
          <w:iCs/>
          <w:sz w:val="18"/>
          <w:szCs w:val="18"/>
        </w:rPr>
        <w:t xml:space="preserve">K.L.E </w:t>
      </w:r>
      <w:r w:rsidR="00B16A19" w:rsidRPr="001D616F">
        <w:rPr>
          <w:rFonts w:ascii="Times New Roman" w:hAnsi="Times New Roman" w:cs="Times New Roman"/>
          <w:i/>
          <w:iCs/>
          <w:sz w:val="18"/>
          <w:szCs w:val="18"/>
        </w:rPr>
        <w:t>.U</w:t>
      </w:r>
      <w:r w:rsidRPr="001D616F">
        <w:rPr>
          <w:rFonts w:ascii="Times New Roman" w:hAnsi="Times New Roman" w:cs="Times New Roman"/>
          <w:i/>
          <w:iCs/>
          <w:sz w:val="18"/>
          <w:szCs w:val="18"/>
        </w:rPr>
        <w:t>niversity</w:t>
      </w:r>
      <w:r w:rsidR="00B16A19" w:rsidRPr="001D616F">
        <w:rPr>
          <w:rFonts w:ascii="Times New Roman" w:hAnsi="Times New Roman" w:cs="Times New Roman"/>
          <w:i/>
          <w:iCs/>
          <w:sz w:val="18"/>
          <w:szCs w:val="18"/>
        </w:rPr>
        <w:t xml:space="preserve">’s College of Pharmacy, JNMC Campus, </w:t>
      </w:r>
      <w:proofErr w:type="spellStart"/>
      <w:r w:rsidR="00B16A19" w:rsidRPr="001D616F">
        <w:rPr>
          <w:rFonts w:ascii="Times New Roman" w:hAnsi="Times New Roman" w:cs="Times New Roman"/>
          <w:i/>
          <w:iCs/>
          <w:sz w:val="18"/>
          <w:szCs w:val="18"/>
        </w:rPr>
        <w:t>Nehrunagar</w:t>
      </w:r>
      <w:proofErr w:type="spellEnd"/>
      <w:r w:rsidR="00B16A19" w:rsidRPr="001D616F">
        <w:rPr>
          <w:rFonts w:ascii="Times New Roman" w:hAnsi="Times New Roman" w:cs="Times New Roman"/>
          <w:i/>
          <w:iCs/>
          <w:sz w:val="18"/>
          <w:szCs w:val="18"/>
        </w:rPr>
        <w:t>, Belgaum 590 010, Karnataka</w:t>
      </w:r>
    </w:p>
    <w:p w:rsidR="001254D7" w:rsidRPr="001D616F" w:rsidRDefault="001254D7" w:rsidP="001254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D45872" w:rsidRPr="001D616F" w:rsidRDefault="00B16A19" w:rsidP="001254D7">
      <w:pPr>
        <w:spacing w:line="240" w:lineRule="auto"/>
        <w:jc w:val="center"/>
        <w:rPr>
          <w:rFonts w:ascii="Times New Roman" w:hAnsi="Times New Roman" w:cs="Times New Roman"/>
        </w:rPr>
      </w:pPr>
      <w:r w:rsidRPr="001D616F">
        <w:rPr>
          <w:rFonts w:ascii="Times New Roman" w:hAnsi="Times New Roman" w:cs="Times New Roman"/>
          <w:i/>
          <w:iCs/>
          <w:sz w:val="18"/>
          <w:szCs w:val="18"/>
        </w:rPr>
        <w:t xml:space="preserve">*Corresponding author: </w:t>
      </w:r>
      <w:hyperlink r:id="rId6" w:history="1">
        <w:r w:rsidRPr="001D616F">
          <w:rPr>
            <w:rStyle w:val="Hyperlink"/>
            <w:rFonts w:ascii="Times New Roman" w:hAnsi="Times New Roman" w:cs="Times New Roman"/>
            <w:i/>
            <w:iCs/>
            <w:color w:val="auto"/>
            <w:sz w:val="18"/>
            <w:szCs w:val="18"/>
            <w:u w:val="none"/>
          </w:rPr>
          <w:t>sukubhagat</w:t>
        </w:r>
        <w:r w:rsidRPr="001D616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@gmail.com</w:t>
        </w:r>
      </w:hyperlink>
    </w:p>
    <w:p w:rsidR="001254D7" w:rsidRPr="001D616F" w:rsidRDefault="001254D7" w:rsidP="001254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6A19" w:rsidRPr="001D616F" w:rsidRDefault="00B16A19" w:rsidP="00125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D616F">
        <w:rPr>
          <w:rFonts w:ascii="Times New Roman" w:eastAsia="Times New Roman" w:hAnsi="Times New Roman" w:cs="Times New Roman"/>
          <w:b/>
          <w:bCs/>
          <w:sz w:val="18"/>
          <w:szCs w:val="18"/>
        </w:rPr>
        <w:t>Abstract</w:t>
      </w:r>
    </w:p>
    <w:p w:rsidR="00B16A19" w:rsidRPr="001D616F" w:rsidRDefault="00B16A19" w:rsidP="00125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18"/>
          <w:szCs w:val="18"/>
        </w:rPr>
        <w:t xml:space="preserve">A novel, simple, precise, accurate and economical method has been developed and validated for the estimation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. Chromatographic analysis was performed on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Hypersil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BDS C</w:t>
      </w:r>
      <w:r w:rsidRPr="001D616F">
        <w:rPr>
          <w:rFonts w:ascii="Times New Roman" w:hAnsi="Times New Roman" w:cs="Times New Roman"/>
          <w:sz w:val="18"/>
          <w:szCs w:val="18"/>
          <w:vertAlign w:val="subscript"/>
        </w:rPr>
        <w:t>18</w:t>
      </w:r>
      <w:r w:rsidRPr="001D616F">
        <w:rPr>
          <w:rFonts w:ascii="Times New Roman" w:hAnsi="Times New Roman" w:cs="Times New Roman"/>
          <w:sz w:val="18"/>
          <w:szCs w:val="18"/>
        </w:rPr>
        <w:t xml:space="preserve"> (250 × 4.6 mm, 5 µm) column. Mobile phase used was potassium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dihydrogen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orthophosphate buffer: acetonitrile in a ratio of 32:68, pH was adjusted to 4.0 using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orthophosphoric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acid and 0.1 ml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triethyl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amine was added for peak sharpness. Isocratic analysis was performed on SPD-20A double beam UV spectrophotometer at a detection range of 220 nm with a flow rate of 1.0 ml/min. The retention time for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was 3.847 min. The linear response was found to be in a concentration range of 50-150 µg/ml with a correlation coefficient of 0.999. The mean recovery was found to be 100.67 %. Intraday and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Interday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precision variations were found to be 1.88 and 0.863 respectively, which are within the limit of % RSD not more than 2. Hence the developed method is simple, fast, accurate and reproducible. It is suitable for routine quality control analysis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254D7" w:rsidRPr="001D616F" w:rsidRDefault="001254D7" w:rsidP="00125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A19" w:rsidRPr="001D616F" w:rsidRDefault="00B16A19" w:rsidP="00125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b/>
          <w:bCs/>
          <w:sz w:val="18"/>
          <w:szCs w:val="18"/>
        </w:rPr>
        <w:t>Key words</w:t>
      </w:r>
      <w:r w:rsidR="001254D7" w:rsidRPr="001D616F">
        <w:rPr>
          <w:rFonts w:ascii="Times New Roman" w:hAnsi="Times New Roman" w:cs="Times New Roman"/>
          <w:sz w:val="18"/>
          <w:szCs w:val="18"/>
        </w:rPr>
        <w:t xml:space="preserve">:  RP-HPLC, Validation,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B</w:t>
      </w:r>
      <w:r w:rsidRPr="001D616F">
        <w:rPr>
          <w:rFonts w:ascii="Times New Roman" w:hAnsi="Times New Roman" w:cs="Times New Roman"/>
          <w:sz w:val="18"/>
          <w:szCs w:val="18"/>
        </w:rPr>
        <w:t>isulphate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 Linearity, Accuracy, Precision</w:t>
      </w:r>
    </w:p>
    <w:p w:rsidR="001254D7" w:rsidRPr="001D616F" w:rsidRDefault="001254D7" w:rsidP="001254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254D7" w:rsidRPr="001D616F" w:rsidRDefault="001254D7" w:rsidP="001254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254D7" w:rsidRPr="001D616F" w:rsidRDefault="001254D7" w:rsidP="001254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b/>
          <w:sz w:val="18"/>
          <w:szCs w:val="18"/>
        </w:rPr>
        <w:t>Abstrak</w:t>
      </w:r>
      <w:proofErr w:type="spellEnd"/>
    </w:p>
    <w:p w:rsidR="001254D7" w:rsidRPr="001D616F" w:rsidRDefault="001D616F" w:rsidP="00125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Satu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kaedah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baru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>
        <w:rPr>
          <w:rFonts w:ascii="Times New Roman" w:hAnsi="Times New Roman" w:cs="Times New Roman"/>
          <w:sz w:val="18"/>
          <w:szCs w:val="18"/>
        </w:rPr>
        <w:t>mudah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tepat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jitu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ekonomi</w:t>
      </w:r>
      <w:r>
        <w:rPr>
          <w:rFonts w:ascii="Times New Roman" w:hAnsi="Times New Roman" w:cs="Times New Roman"/>
          <w:sz w:val="18"/>
          <w:szCs w:val="18"/>
        </w:rPr>
        <w:t>kal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dibangu</w:t>
      </w:r>
      <w:r>
        <w:rPr>
          <w:rFonts w:ascii="Times New Roman" w:hAnsi="Times New Roman" w:cs="Times New Roman"/>
          <w:sz w:val="18"/>
          <w:szCs w:val="18"/>
        </w:rPr>
        <w:t>nkan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disahkan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analisa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klopidogrel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bisulfat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kromat</w:t>
      </w:r>
      <w:r>
        <w:rPr>
          <w:rFonts w:ascii="Times New Roman" w:hAnsi="Times New Roman" w:cs="Times New Roman"/>
          <w:sz w:val="18"/>
          <w:szCs w:val="18"/>
        </w:rPr>
        <w:t>ografi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telah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dijalankan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mengunakan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turus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Hypersil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BDS </w:t>
      </w:r>
      <w:r>
        <w:rPr>
          <w:rFonts w:ascii="Times New Roman" w:hAnsi="Times New Roman" w:cs="Times New Roman"/>
          <w:sz w:val="18"/>
          <w:szCs w:val="18"/>
        </w:rPr>
        <w:t xml:space="preserve">C18 (250 × 4.6 mm, 5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μm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Fasa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bergerak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ialah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larutan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penampan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ka</w:t>
      </w:r>
      <w:r>
        <w:rPr>
          <w:rFonts w:ascii="Times New Roman" w:hAnsi="Times New Roman" w:cs="Times New Roman"/>
          <w:sz w:val="18"/>
          <w:szCs w:val="18"/>
        </w:rPr>
        <w:t>lium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dihidrogen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ortofosfat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asetonitril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nisbah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32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254D7" w:rsidRPr="001D616F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68</w:t>
      </w:r>
      <w:r w:rsidR="001254D7" w:rsidRPr="001D616F">
        <w:rPr>
          <w:rFonts w:ascii="Times New Roman" w:hAnsi="Times New Roman" w:cs="Times New Roman"/>
          <w:sz w:val="18"/>
          <w:szCs w:val="18"/>
        </w:rPr>
        <w:t xml:space="preserve">, pH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diubah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kepada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nilai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254D7" w:rsidRPr="001D616F">
        <w:rPr>
          <w:rFonts w:ascii="Times New Roman" w:hAnsi="Times New Roman" w:cs="Times New Roman"/>
          <w:sz w:val="18"/>
          <w:szCs w:val="18"/>
        </w:rPr>
        <w:t xml:space="preserve">4.0 </w:t>
      </w:r>
      <w:proofErr w:type="spellStart"/>
      <w:r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asid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ortofosforik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0.1 ml </w:t>
      </w:r>
      <w:proofErr w:type="spellStart"/>
      <w:r>
        <w:rPr>
          <w:rFonts w:ascii="Times New Roman" w:hAnsi="Times New Roman" w:cs="Times New Roman"/>
          <w:sz w:val="18"/>
          <w:szCs w:val="18"/>
        </w:rPr>
        <w:t>larutan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trietil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</w:t>
      </w:r>
      <w:r w:rsidR="001254D7" w:rsidRPr="001D616F">
        <w:rPr>
          <w:rFonts w:ascii="Times New Roman" w:hAnsi="Times New Roman" w:cs="Times New Roman"/>
          <w:sz w:val="18"/>
          <w:szCs w:val="18"/>
        </w:rPr>
        <w:t xml:space="preserve">mine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ditambah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keta</w:t>
      </w:r>
      <w:r>
        <w:rPr>
          <w:rFonts w:ascii="Times New Roman" w:hAnsi="Times New Roman" w:cs="Times New Roman"/>
          <w:sz w:val="18"/>
          <w:szCs w:val="18"/>
        </w:rPr>
        <w:t>jaman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puncak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isokratik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dijala</w:t>
      </w:r>
      <w:r w:rsidR="00DA7323">
        <w:rPr>
          <w:rFonts w:ascii="Times New Roman" w:hAnsi="Times New Roman" w:cs="Times New Roman"/>
          <w:sz w:val="18"/>
          <w:szCs w:val="18"/>
        </w:rPr>
        <w:t>nkan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ke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atas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SPD- 20A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spektrofotometer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UV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julat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pengesanan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220 nm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1254D7" w:rsidRPr="001D616F">
        <w:rPr>
          <w:rFonts w:ascii="Times New Roman" w:hAnsi="Times New Roman" w:cs="Times New Roman"/>
          <w:sz w:val="18"/>
          <w:szCs w:val="18"/>
        </w:rPr>
        <w:t>kadar</w:t>
      </w:r>
      <w:proofErr w:type="spellEnd"/>
      <w:proofErr w:type="gram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al</w:t>
      </w:r>
      <w:r w:rsidR="00DA7323">
        <w:rPr>
          <w:rFonts w:ascii="Times New Roman" w:hAnsi="Times New Roman" w:cs="Times New Roman"/>
          <w:sz w:val="18"/>
          <w:szCs w:val="18"/>
        </w:rPr>
        <w:t>iran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1.0 ml / min.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Retensi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masa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bagi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klopidogrel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bisulfat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3. </w:t>
      </w:r>
      <w:proofErr w:type="gramStart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847 min.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Sambutan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linear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didapati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berada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julat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kepekatan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50-150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μg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ml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pekali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korelasi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0.999.</w:t>
      </w:r>
      <w:proofErr w:type="gram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DA7323">
        <w:rPr>
          <w:rFonts w:ascii="Times New Roman" w:hAnsi="Times New Roman" w:cs="Times New Roman"/>
          <w:sz w:val="18"/>
          <w:szCs w:val="18"/>
        </w:rPr>
        <w:t>M</w:t>
      </w:r>
      <w:r w:rsidR="001254D7" w:rsidRPr="001D616F">
        <w:rPr>
          <w:rFonts w:ascii="Times New Roman" w:hAnsi="Times New Roman" w:cs="Times New Roman"/>
          <w:sz w:val="18"/>
          <w:szCs w:val="18"/>
        </w:rPr>
        <w:t xml:space="preserve">in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perolehan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semula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100.</w:t>
      </w:r>
      <w:proofErr w:type="gramEnd"/>
      <w:r w:rsidR="00DA7323">
        <w:rPr>
          <w:rFonts w:ascii="Times New Roman" w:hAnsi="Times New Roman" w:cs="Times New Roman"/>
          <w:sz w:val="18"/>
          <w:szCs w:val="18"/>
        </w:rPr>
        <w:t xml:space="preserve"> 67 %.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Variasi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kejituan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ujian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Intra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Inter-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hari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didapati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masing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masing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1.88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0.863 </w:t>
      </w:r>
      <w:r w:rsidR="001254D7" w:rsidRPr="001D616F">
        <w:rPr>
          <w:rFonts w:ascii="Times New Roman" w:hAnsi="Times New Roman" w:cs="Times New Roman"/>
          <w:sz w:val="18"/>
          <w:szCs w:val="18"/>
        </w:rPr>
        <w:t xml:space="preserve">yang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berada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julat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had % RSD</w:t>
      </w:r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t</w:t>
      </w:r>
      <w:r w:rsidR="00DA7323">
        <w:rPr>
          <w:rFonts w:ascii="Times New Roman" w:hAnsi="Times New Roman" w:cs="Times New Roman"/>
          <w:sz w:val="18"/>
          <w:szCs w:val="18"/>
        </w:rPr>
        <w:t>idak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lebih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daripada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2. </w:t>
      </w:r>
      <w:proofErr w:type="spellStart"/>
      <w:proofErr w:type="gramStart"/>
      <w:r w:rsidR="00DA7323">
        <w:rPr>
          <w:rFonts w:ascii="Times New Roman" w:hAnsi="Times New Roman" w:cs="Times New Roman"/>
          <w:sz w:val="18"/>
          <w:szCs w:val="18"/>
        </w:rPr>
        <w:t>Maka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kaedah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dibangunkan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mudah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cepat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tepat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keboleh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ulang</w:t>
      </w:r>
      <w:r w:rsidR="00DA7323">
        <w:rPr>
          <w:rFonts w:ascii="Times New Roman" w:hAnsi="Times New Roman" w:cs="Times New Roman"/>
          <w:sz w:val="18"/>
          <w:szCs w:val="18"/>
        </w:rPr>
        <w:t>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Ia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sesuai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rutin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54D7" w:rsidRPr="001D616F">
        <w:rPr>
          <w:rFonts w:ascii="Times New Roman" w:hAnsi="Times New Roman" w:cs="Times New Roman"/>
          <w:sz w:val="18"/>
          <w:szCs w:val="18"/>
        </w:rPr>
        <w:t>kawalan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mutu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DA7323">
        <w:rPr>
          <w:rFonts w:ascii="Times New Roman" w:hAnsi="Times New Roman" w:cs="Times New Roman"/>
          <w:sz w:val="18"/>
          <w:szCs w:val="18"/>
        </w:rPr>
        <w:t>bagi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klopidogrel</w:t>
      </w:r>
      <w:proofErr w:type="spellEnd"/>
      <w:proofErr w:type="gram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bisulfat</w:t>
      </w:r>
      <w:proofErr w:type="spellEnd"/>
      <w:r w:rsidR="001254D7" w:rsidRPr="001D616F">
        <w:rPr>
          <w:rFonts w:ascii="Times New Roman" w:hAnsi="Times New Roman" w:cs="Times New Roman"/>
          <w:sz w:val="18"/>
          <w:szCs w:val="18"/>
        </w:rPr>
        <w:t>.</w:t>
      </w:r>
    </w:p>
    <w:p w:rsidR="001254D7" w:rsidRPr="001D616F" w:rsidRDefault="001254D7" w:rsidP="00125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254D7" w:rsidRPr="001D616F" w:rsidRDefault="001254D7" w:rsidP="00125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b/>
          <w:sz w:val="18"/>
          <w:szCs w:val="18"/>
        </w:rPr>
        <w:t xml:space="preserve">Kata </w:t>
      </w:r>
      <w:proofErr w:type="spellStart"/>
      <w:r w:rsidRPr="001D616F">
        <w:rPr>
          <w:rFonts w:ascii="Times New Roman" w:hAnsi="Times New Roman" w:cs="Times New Roman"/>
          <w:b/>
          <w:sz w:val="18"/>
          <w:szCs w:val="18"/>
        </w:rPr>
        <w:t>kunci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: RP- HPLC,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Penentusahkan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klopidogrel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bisulfat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K</w:t>
      </w:r>
      <w:r w:rsidR="00DA7323">
        <w:rPr>
          <w:rFonts w:ascii="Times New Roman" w:hAnsi="Times New Roman" w:cs="Times New Roman"/>
          <w:sz w:val="18"/>
          <w:szCs w:val="18"/>
        </w:rPr>
        <w:t>elinearan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DA7323">
        <w:rPr>
          <w:rFonts w:ascii="Times New Roman" w:hAnsi="Times New Roman" w:cs="Times New Roman"/>
          <w:sz w:val="18"/>
          <w:szCs w:val="18"/>
        </w:rPr>
        <w:t>Ketepatan</w:t>
      </w:r>
      <w:proofErr w:type="spellEnd"/>
      <w:r w:rsidR="00DA7323">
        <w:rPr>
          <w:rFonts w:ascii="Times New Roman" w:hAnsi="Times New Roman" w:cs="Times New Roman"/>
          <w:sz w:val="18"/>
          <w:szCs w:val="18"/>
        </w:rPr>
        <w:t>, Kejituan</w:t>
      </w:r>
      <w:bookmarkStart w:id="0" w:name="_GoBack"/>
      <w:bookmarkEnd w:id="0"/>
    </w:p>
    <w:p w:rsidR="00D45872" w:rsidRPr="001D616F" w:rsidRDefault="00D45872" w:rsidP="00B16A1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5872" w:rsidRPr="001D616F" w:rsidRDefault="001254D7" w:rsidP="00125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Introduction</w:t>
      </w:r>
    </w:p>
    <w:p w:rsidR="00D45872" w:rsidRPr="001D616F" w:rsidRDefault="00D45872" w:rsidP="001254D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1D616F">
        <w:rPr>
          <w:rFonts w:ascii="Times New Roman" w:hAnsi="Times New Roman" w:cs="Times New Roman"/>
          <w:sz w:val="20"/>
        </w:rPr>
        <w:t>Clopidogrel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is an antiplatelet agent or platelet aggregation inhibitor. The IUPAC name of </w:t>
      </w:r>
      <w:proofErr w:type="spellStart"/>
      <w:r w:rsidRPr="001D616F">
        <w:rPr>
          <w:rFonts w:ascii="Times New Roman" w:hAnsi="Times New Roman" w:cs="Times New Roman"/>
          <w:sz w:val="20"/>
        </w:rPr>
        <w:t>clopidogrel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is </w:t>
      </w:r>
      <w:r w:rsidRPr="001D616F">
        <w:rPr>
          <w:rFonts w:ascii="Times New Roman" w:hAnsi="Times New Roman" w:cs="Times New Roman"/>
          <w:sz w:val="20"/>
          <w:shd w:val="clear" w:color="auto" w:fill="FFFFFF"/>
        </w:rPr>
        <w:t>Methyl (+)-(S)-α-(2-chlorophenyl)-6,7dihydrothieno [3</w:t>
      </w:r>
      <w:proofErr w:type="gramStart"/>
      <w:r w:rsidRPr="001D616F">
        <w:rPr>
          <w:rFonts w:ascii="Times New Roman" w:hAnsi="Times New Roman" w:cs="Times New Roman"/>
          <w:sz w:val="20"/>
          <w:shd w:val="clear" w:color="auto" w:fill="FFFFFF"/>
        </w:rPr>
        <w:t>,2</w:t>
      </w:r>
      <w:proofErr w:type="gramEnd"/>
      <w:r w:rsidRPr="001D616F">
        <w:rPr>
          <w:rFonts w:ascii="Times New Roman" w:hAnsi="Times New Roman" w:cs="Times New Roman"/>
          <w:sz w:val="20"/>
          <w:shd w:val="clear" w:color="auto" w:fill="FFFFFF"/>
        </w:rPr>
        <w:t xml:space="preserve">-c]pyridine-5(4H)acetate sulfate </w:t>
      </w:r>
      <w:r w:rsidRPr="001D616F">
        <w:rPr>
          <w:rStyle w:val="apple-converted-space"/>
          <w:rFonts w:ascii="Times New Roman" w:hAnsi="Times New Roman" w:cs="Times New Roman"/>
          <w:sz w:val="20"/>
          <w:shd w:val="clear" w:color="auto" w:fill="FFFFFF"/>
        </w:rPr>
        <w:t>(</w:t>
      </w:r>
      <w:r w:rsidRPr="001D616F">
        <w:rPr>
          <w:rFonts w:ascii="Times New Roman" w:hAnsi="Times New Roman" w:cs="Times New Roman"/>
          <w:sz w:val="20"/>
        </w:rPr>
        <w:t>Figure 1).The drug is practically insoluble in water at neutral pH, but freely soluble at pH 1[1].</w:t>
      </w:r>
      <w:r w:rsidRPr="001D616F">
        <w:rPr>
          <w:rFonts w:ascii="Times New Roman" w:hAnsi="Times New Roman" w:cs="Times New Roman"/>
          <w:b/>
          <w:bCs/>
          <w:sz w:val="20"/>
        </w:rPr>
        <w:t xml:space="preserve"> </w:t>
      </w:r>
      <w:r w:rsidRPr="001D616F">
        <w:rPr>
          <w:rFonts w:ascii="Times New Roman" w:hAnsi="Times New Roman" w:cs="Times New Roman"/>
          <w:bCs/>
          <w:sz w:val="20"/>
        </w:rPr>
        <w:t>I</w:t>
      </w:r>
      <w:r w:rsidRPr="001D616F">
        <w:rPr>
          <w:rFonts w:ascii="Times New Roman" w:hAnsi="Times New Roman" w:cs="Times New Roman"/>
          <w:sz w:val="20"/>
        </w:rPr>
        <w:t xml:space="preserve">t is used to inhibit blood clots in </w:t>
      </w:r>
      <w:hyperlink r:id="rId7" w:tooltip="Coronary artery disease" w:history="1">
        <w:r w:rsidRPr="001D616F">
          <w:rPr>
            <w:rStyle w:val="Hyperlink"/>
            <w:rFonts w:ascii="Times New Roman" w:hAnsi="Times New Roman" w:cs="Times New Roman"/>
            <w:color w:val="auto"/>
            <w:sz w:val="20"/>
            <w:u w:val="none"/>
          </w:rPr>
          <w:t>coronary artery disease</w:t>
        </w:r>
      </w:hyperlink>
      <w:r w:rsidRPr="001D616F">
        <w:rPr>
          <w:rFonts w:ascii="Times New Roman" w:hAnsi="Times New Roman" w:cs="Times New Roman"/>
          <w:sz w:val="20"/>
        </w:rPr>
        <w:t xml:space="preserve">, </w:t>
      </w:r>
      <w:hyperlink r:id="rId8" w:tooltip="Peripheral vascular disease" w:history="1">
        <w:r w:rsidRPr="001D616F">
          <w:rPr>
            <w:rStyle w:val="Hyperlink"/>
            <w:rFonts w:ascii="Times New Roman" w:hAnsi="Times New Roman" w:cs="Times New Roman"/>
            <w:color w:val="auto"/>
            <w:sz w:val="20"/>
            <w:u w:val="none"/>
          </w:rPr>
          <w:t>peripheral vascular disease</w:t>
        </w:r>
      </w:hyperlink>
      <w:r w:rsidRPr="001D616F">
        <w:rPr>
          <w:rFonts w:ascii="Times New Roman" w:hAnsi="Times New Roman" w:cs="Times New Roman"/>
          <w:sz w:val="20"/>
        </w:rPr>
        <w:t xml:space="preserve">, and </w:t>
      </w:r>
      <w:hyperlink r:id="rId9" w:tooltip="Cerebrovascular disease" w:history="1">
        <w:r w:rsidRPr="001D616F">
          <w:rPr>
            <w:rStyle w:val="Hyperlink"/>
            <w:rFonts w:ascii="Times New Roman" w:hAnsi="Times New Roman" w:cs="Times New Roman"/>
            <w:color w:val="auto"/>
            <w:sz w:val="20"/>
            <w:u w:val="none"/>
          </w:rPr>
          <w:t>cerebrovascular disease</w:t>
        </w:r>
      </w:hyperlink>
      <w:r w:rsidRPr="001D616F">
        <w:rPr>
          <w:rFonts w:ascii="Times New Roman" w:hAnsi="Times New Roman" w:cs="Times New Roman"/>
          <w:sz w:val="20"/>
        </w:rPr>
        <w:t xml:space="preserve"> [2]. </w:t>
      </w:r>
    </w:p>
    <w:p w:rsidR="001254D7" w:rsidRPr="001D616F" w:rsidRDefault="001254D7" w:rsidP="001254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D45872" w:rsidRPr="001D616F" w:rsidRDefault="00D45872" w:rsidP="00D458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D616F">
        <w:rPr>
          <w:rFonts w:ascii="Times New Roman" w:hAnsi="Times New Roman" w:cs="Times New Roman"/>
          <w:noProof/>
          <w:sz w:val="20"/>
          <w:lang w:val="ms-MY" w:eastAsia="ko-KR" w:bidi="ar-SA"/>
        </w:rPr>
        <w:drawing>
          <wp:inline distT="0" distB="0" distL="0" distR="0" wp14:anchorId="1AB53903" wp14:editId="3558ECE0">
            <wp:extent cx="3114675" cy="1390650"/>
            <wp:effectExtent l="19050" t="0" r="9525" b="0"/>
            <wp:docPr id="6" name="Picture 1" descr="clopidogrel bisulph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pidogrel bisulpha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872" w:rsidRPr="001D616F" w:rsidRDefault="00D45872" w:rsidP="00D45872">
      <w:pPr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D45872" w:rsidRPr="001D616F" w:rsidRDefault="00D45872" w:rsidP="00D4587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1D616F">
        <w:rPr>
          <w:rFonts w:ascii="Times New Roman" w:hAnsi="Times New Roman" w:cs="Times New Roman"/>
          <w:sz w:val="20"/>
        </w:rPr>
        <w:t>Figure 1.</w:t>
      </w:r>
      <w:proofErr w:type="gramEnd"/>
      <w:r w:rsidRPr="001D616F">
        <w:rPr>
          <w:rFonts w:ascii="Times New Roman" w:hAnsi="Times New Roman" w:cs="Times New Roman"/>
          <w:sz w:val="20"/>
        </w:rPr>
        <w:t xml:space="preserve"> Structure of </w:t>
      </w:r>
      <w:proofErr w:type="spellStart"/>
      <w:r w:rsidRPr="001D616F">
        <w:rPr>
          <w:rFonts w:ascii="Times New Roman" w:hAnsi="Times New Roman" w:cs="Times New Roman"/>
          <w:sz w:val="20"/>
        </w:rPr>
        <w:t>clopidogrel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bisulfate [1]</w:t>
      </w:r>
    </w:p>
    <w:p w:rsidR="00D45872" w:rsidRPr="001D616F" w:rsidRDefault="00D45872" w:rsidP="00D4587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45872" w:rsidRPr="001D616F" w:rsidRDefault="00E51BE7" w:rsidP="001254D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The </w:t>
      </w:r>
      <w:r w:rsidR="00D45872" w:rsidRPr="001D616F">
        <w:rPr>
          <w:rFonts w:ascii="Times New Roman" w:hAnsi="Times New Roman" w:cs="Times New Roman"/>
          <w:sz w:val="20"/>
        </w:rPr>
        <w:t xml:space="preserve">quantitative analysis was </w:t>
      </w:r>
      <w:r w:rsidRPr="001D616F">
        <w:rPr>
          <w:rFonts w:ascii="Times New Roman" w:hAnsi="Times New Roman" w:cs="Times New Roman"/>
          <w:sz w:val="20"/>
        </w:rPr>
        <w:t>made</w:t>
      </w:r>
      <w:r w:rsidR="00D45872" w:rsidRPr="001D616F">
        <w:rPr>
          <w:rFonts w:ascii="Times New Roman" w:hAnsi="Times New Roman" w:cs="Times New Roman"/>
          <w:sz w:val="20"/>
        </w:rPr>
        <w:t xml:space="preserve"> on </w:t>
      </w:r>
      <w:r w:rsidR="001254D7" w:rsidRPr="001D616F">
        <w:rPr>
          <w:rFonts w:ascii="Times New Roman" w:hAnsi="Times New Roman" w:cs="Times New Roman"/>
          <w:sz w:val="20"/>
        </w:rPr>
        <w:t>Shimadzu</w:t>
      </w:r>
      <w:r w:rsidR="00D45872" w:rsidRPr="001D616F">
        <w:rPr>
          <w:rFonts w:ascii="Times New Roman" w:hAnsi="Times New Roman" w:cs="Times New Roman"/>
          <w:sz w:val="20"/>
        </w:rPr>
        <w:t xml:space="preserve"> prominence system using reverse phase chromatographic method to </w:t>
      </w:r>
      <w:r w:rsidRPr="001D616F">
        <w:rPr>
          <w:rFonts w:ascii="Times New Roman" w:hAnsi="Times New Roman" w:cs="Times New Roman"/>
          <w:sz w:val="20"/>
        </w:rPr>
        <w:t>obtain less</w:t>
      </w:r>
      <w:r w:rsidR="00D45872" w:rsidRPr="001D616F">
        <w:rPr>
          <w:rFonts w:ascii="Times New Roman" w:hAnsi="Times New Roman" w:cs="Times New Roman"/>
          <w:sz w:val="20"/>
        </w:rPr>
        <w:t xml:space="preserve"> retention time. Hence </w:t>
      </w:r>
      <w:proofErr w:type="spellStart"/>
      <w:r w:rsidR="00D45872" w:rsidRPr="001D616F">
        <w:rPr>
          <w:rFonts w:ascii="Times New Roman" w:hAnsi="Times New Roman" w:cs="Times New Roman"/>
          <w:sz w:val="20"/>
        </w:rPr>
        <w:t>clopidogrel</w:t>
      </w:r>
      <w:proofErr w:type="spellEnd"/>
      <w:r w:rsidR="00D45872"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45872"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="00D45872" w:rsidRPr="001D616F">
        <w:rPr>
          <w:rFonts w:ascii="Times New Roman" w:hAnsi="Times New Roman" w:cs="Times New Roman"/>
          <w:sz w:val="20"/>
        </w:rPr>
        <w:t xml:space="preserve"> is insoluble in </w:t>
      </w:r>
      <w:r w:rsidR="001254D7" w:rsidRPr="001D616F">
        <w:rPr>
          <w:rFonts w:ascii="Times New Roman" w:hAnsi="Times New Roman" w:cs="Times New Roman"/>
          <w:sz w:val="20"/>
        </w:rPr>
        <w:t>water;</w:t>
      </w:r>
      <w:r w:rsidR="00D45872" w:rsidRPr="001D616F">
        <w:rPr>
          <w:rFonts w:ascii="Times New Roman" w:hAnsi="Times New Roman" w:cs="Times New Roman"/>
          <w:sz w:val="20"/>
        </w:rPr>
        <w:t xml:space="preserve"> RP-HPLC method was used. </w:t>
      </w:r>
      <w:proofErr w:type="gramStart"/>
      <w:r w:rsidR="00D45872" w:rsidRPr="001D616F">
        <w:rPr>
          <w:rFonts w:ascii="Times New Roman" w:eastAsia="Calibri" w:hAnsi="Times New Roman" w:cs="Times New Roman"/>
          <w:sz w:val="20"/>
          <w:szCs w:val="18"/>
        </w:rPr>
        <w:t xml:space="preserve">Several analytical methods which are commonly used to identify the drug concentration and for quantification of drugs </w:t>
      </w:r>
      <w:r w:rsidR="00523ABD" w:rsidRPr="001D616F">
        <w:rPr>
          <w:rFonts w:ascii="Times New Roman" w:eastAsia="Calibri" w:hAnsi="Times New Roman" w:cs="Times New Roman"/>
          <w:sz w:val="20"/>
          <w:szCs w:val="18"/>
        </w:rPr>
        <w:t xml:space="preserve">for the determination of </w:t>
      </w:r>
      <w:proofErr w:type="spellStart"/>
      <w:r w:rsidR="00523ABD" w:rsidRPr="001D616F">
        <w:rPr>
          <w:rFonts w:ascii="Times New Roman" w:eastAsia="Calibri" w:hAnsi="Times New Roman" w:cs="Times New Roman"/>
          <w:sz w:val="20"/>
          <w:szCs w:val="18"/>
        </w:rPr>
        <w:t>c</w:t>
      </w:r>
      <w:r w:rsidR="0000794B" w:rsidRPr="001D616F">
        <w:rPr>
          <w:rFonts w:ascii="Times New Roman" w:eastAsia="Calibri" w:hAnsi="Times New Roman" w:cs="Times New Roman"/>
          <w:sz w:val="20"/>
          <w:szCs w:val="18"/>
        </w:rPr>
        <w:t>lopidogrel</w:t>
      </w:r>
      <w:proofErr w:type="spellEnd"/>
      <w:r w:rsidR="0000794B" w:rsidRPr="001D616F">
        <w:rPr>
          <w:rFonts w:ascii="Times New Roman" w:eastAsia="Calibri" w:hAnsi="Times New Roman" w:cs="Times New Roman"/>
          <w:sz w:val="20"/>
          <w:szCs w:val="18"/>
        </w:rPr>
        <w:t xml:space="preserve"> </w:t>
      </w:r>
      <w:proofErr w:type="spellStart"/>
      <w:r w:rsidR="0000794B" w:rsidRPr="001D616F">
        <w:rPr>
          <w:rFonts w:ascii="Times New Roman" w:eastAsia="Calibri" w:hAnsi="Times New Roman" w:cs="Times New Roman"/>
          <w:sz w:val="20"/>
          <w:szCs w:val="18"/>
        </w:rPr>
        <w:t>bisulphate</w:t>
      </w:r>
      <w:proofErr w:type="spellEnd"/>
      <w:r w:rsidR="0000794B" w:rsidRPr="001D616F">
        <w:rPr>
          <w:rFonts w:ascii="Times New Roman" w:eastAsia="Calibri" w:hAnsi="Times New Roman" w:cs="Times New Roman"/>
          <w:sz w:val="20"/>
          <w:szCs w:val="18"/>
        </w:rPr>
        <w:t xml:space="preserve"> </w:t>
      </w:r>
      <w:r w:rsidR="00D45872" w:rsidRPr="001D616F">
        <w:rPr>
          <w:rFonts w:ascii="Times New Roman" w:eastAsia="Calibri" w:hAnsi="Times New Roman" w:cs="Times New Roman"/>
          <w:sz w:val="20"/>
          <w:szCs w:val="18"/>
        </w:rPr>
        <w:t xml:space="preserve">are </w:t>
      </w:r>
      <w:proofErr w:type="spellStart"/>
      <w:r w:rsidR="00D45872" w:rsidRPr="001D616F">
        <w:rPr>
          <w:rFonts w:ascii="Times New Roman" w:eastAsia="Calibri" w:hAnsi="Times New Roman" w:cs="Times New Roman"/>
          <w:sz w:val="20"/>
          <w:szCs w:val="18"/>
        </w:rPr>
        <w:t>Spectrofluorometry</w:t>
      </w:r>
      <w:proofErr w:type="spellEnd"/>
      <w:r w:rsidR="00D45872" w:rsidRPr="001D616F">
        <w:rPr>
          <w:rFonts w:ascii="Times New Roman" w:hAnsi="Times New Roman" w:cs="Times New Roman"/>
          <w:sz w:val="20"/>
          <w:szCs w:val="18"/>
        </w:rPr>
        <w:t xml:space="preserve"> [</w:t>
      </w:r>
      <w:r w:rsidR="00DD4AE9" w:rsidRPr="001D616F">
        <w:rPr>
          <w:rFonts w:ascii="Times New Roman" w:hAnsi="Times New Roman" w:cs="Times New Roman"/>
          <w:sz w:val="20"/>
          <w:szCs w:val="18"/>
        </w:rPr>
        <w:t>3</w:t>
      </w:r>
      <w:r w:rsidR="00D45872" w:rsidRPr="001D616F">
        <w:rPr>
          <w:rFonts w:ascii="Times New Roman" w:hAnsi="Times New Roman" w:cs="Times New Roman"/>
          <w:sz w:val="20"/>
          <w:szCs w:val="18"/>
        </w:rPr>
        <w:t>]</w:t>
      </w:r>
      <w:r w:rsidR="00D45872" w:rsidRPr="001D616F">
        <w:rPr>
          <w:rFonts w:ascii="Times New Roman" w:eastAsia="Calibri" w:hAnsi="Times New Roman" w:cs="Times New Roman"/>
          <w:sz w:val="20"/>
          <w:szCs w:val="18"/>
        </w:rPr>
        <w:t>, LC-MS/MS</w:t>
      </w:r>
      <w:r w:rsidR="00D45872" w:rsidRPr="001D616F">
        <w:rPr>
          <w:rFonts w:ascii="Times New Roman" w:hAnsi="Times New Roman" w:cs="Times New Roman"/>
          <w:sz w:val="20"/>
          <w:szCs w:val="18"/>
        </w:rPr>
        <w:t xml:space="preserve"> [</w:t>
      </w:r>
      <w:r w:rsidR="00DD4AE9" w:rsidRPr="001D616F">
        <w:rPr>
          <w:rFonts w:ascii="Times New Roman" w:hAnsi="Times New Roman" w:cs="Times New Roman"/>
          <w:sz w:val="20"/>
          <w:szCs w:val="18"/>
        </w:rPr>
        <w:t>4</w:t>
      </w:r>
      <w:r w:rsidR="00D45872" w:rsidRPr="001D616F">
        <w:rPr>
          <w:rFonts w:ascii="Times New Roman" w:hAnsi="Times New Roman" w:cs="Times New Roman"/>
          <w:sz w:val="20"/>
          <w:szCs w:val="18"/>
        </w:rPr>
        <w:t>]</w:t>
      </w:r>
      <w:r w:rsidR="00D45872" w:rsidRPr="001D616F">
        <w:rPr>
          <w:rFonts w:ascii="Times New Roman" w:eastAsia="Calibri" w:hAnsi="Times New Roman" w:cs="Times New Roman"/>
          <w:sz w:val="20"/>
          <w:szCs w:val="18"/>
        </w:rPr>
        <w:t>, HPLC [</w:t>
      </w:r>
      <w:r w:rsidR="00DD4AE9" w:rsidRPr="001D616F">
        <w:rPr>
          <w:rFonts w:ascii="Times New Roman" w:eastAsia="Calibri" w:hAnsi="Times New Roman" w:cs="Times New Roman"/>
          <w:sz w:val="20"/>
          <w:szCs w:val="18"/>
        </w:rPr>
        <w:t>5,</w:t>
      </w:r>
      <w:r w:rsidR="00523ABD" w:rsidRPr="001D616F">
        <w:rPr>
          <w:rFonts w:ascii="Times New Roman" w:eastAsia="Calibri" w:hAnsi="Times New Roman" w:cs="Times New Roman"/>
          <w:sz w:val="20"/>
          <w:szCs w:val="18"/>
        </w:rPr>
        <w:t xml:space="preserve"> </w:t>
      </w:r>
      <w:r w:rsidR="00DD4AE9" w:rsidRPr="001D616F">
        <w:rPr>
          <w:rFonts w:ascii="Times New Roman" w:eastAsia="Calibri" w:hAnsi="Times New Roman" w:cs="Times New Roman"/>
          <w:sz w:val="20"/>
          <w:szCs w:val="18"/>
        </w:rPr>
        <w:t>6</w:t>
      </w:r>
      <w:r w:rsidR="00D45872" w:rsidRPr="001D616F">
        <w:rPr>
          <w:rFonts w:ascii="Times New Roman" w:eastAsia="Calibri" w:hAnsi="Times New Roman" w:cs="Times New Roman"/>
          <w:sz w:val="20"/>
          <w:szCs w:val="18"/>
        </w:rPr>
        <w:t>], HPTLC [</w:t>
      </w:r>
      <w:r w:rsidR="00DD4AE9" w:rsidRPr="001D616F">
        <w:rPr>
          <w:rFonts w:ascii="Times New Roman" w:eastAsia="Calibri" w:hAnsi="Times New Roman" w:cs="Times New Roman"/>
          <w:sz w:val="20"/>
          <w:szCs w:val="18"/>
        </w:rPr>
        <w:t>7,</w:t>
      </w:r>
      <w:r w:rsidR="00523ABD" w:rsidRPr="001D616F">
        <w:rPr>
          <w:rFonts w:ascii="Times New Roman" w:eastAsia="Calibri" w:hAnsi="Times New Roman" w:cs="Times New Roman"/>
          <w:sz w:val="20"/>
          <w:szCs w:val="18"/>
        </w:rPr>
        <w:t xml:space="preserve"> </w:t>
      </w:r>
      <w:r w:rsidR="00DD4AE9" w:rsidRPr="001D616F">
        <w:rPr>
          <w:rFonts w:ascii="Times New Roman" w:eastAsia="Calibri" w:hAnsi="Times New Roman" w:cs="Times New Roman"/>
          <w:sz w:val="20"/>
          <w:szCs w:val="18"/>
        </w:rPr>
        <w:t>8</w:t>
      </w:r>
      <w:r w:rsidR="00523ABD" w:rsidRPr="001D616F">
        <w:rPr>
          <w:rFonts w:ascii="Times New Roman" w:eastAsia="Calibri" w:hAnsi="Times New Roman" w:cs="Times New Roman"/>
          <w:sz w:val="20"/>
          <w:szCs w:val="18"/>
        </w:rPr>
        <w:t xml:space="preserve">] and </w:t>
      </w:r>
      <w:proofErr w:type="spellStart"/>
      <w:r w:rsidR="00523ABD" w:rsidRPr="001D616F">
        <w:rPr>
          <w:rFonts w:ascii="Times New Roman" w:eastAsia="Calibri" w:hAnsi="Times New Roman" w:cs="Times New Roman"/>
          <w:sz w:val="20"/>
          <w:szCs w:val="18"/>
        </w:rPr>
        <w:t>p</w:t>
      </w:r>
      <w:r w:rsidR="00D45872" w:rsidRPr="001D616F">
        <w:rPr>
          <w:rFonts w:ascii="Times New Roman" w:eastAsia="Calibri" w:hAnsi="Times New Roman" w:cs="Times New Roman"/>
          <w:sz w:val="20"/>
          <w:szCs w:val="18"/>
        </w:rPr>
        <w:t>otentiometry</w:t>
      </w:r>
      <w:proofErr w:type="spellEnd"/>
      <w:r w:rsidR="00D45872" w:rsidRPr="001D616F">
        <w:rPr>
          <w:rFonts w:ascii="Times New Roman" w:eastAsia="Calibri" w:hAnsi="Times New Roman" w:cs="Times New Roman"/>
          <w:sz w:val="20"/>
          <w:szCs w:val="18"/>
        </w:rPr>
        <w:t xml:space="preserve"> method [</w:t>
      </w:r>
      <w:r w:rsidR="00DD4AE9" w:rsidRPr="001D616F">
        <w:rPr>
          <w:rFonts w:ascii="Times New Roman" w:eastAsia="Calibri" w:hAnsi="Times New Roman" w:cs="Times New Roman"/>
          <w:sz w:val="20"/>
          <w:szCs w:val="18"/>
        </w:rPr>
        <w:t>9</w:t>
      </w:r>
      <w:r w:rsidR="00523ABD" w:rsidRPr="001D616F">
        <w:rPr>
          <w:rFonts w:ascii="Times New Roman" w:eastAsia="Calibri" w:hAnsi="Times New Roman" w:cs="Times New Roman"/>
          <w:sz w:val="20"/>
          <w:szCs w:val="18"/>
        </w:rPr>
        <w:t>]</w:t>
      </w:r>
      <w:r w:rsidR="00D45872" w:rsidRPr="001D616F">
        <w:rPr>
          <w:rFonts w:ascii="Times New Roman" w:eastAsia="Calibri" w:hAnsi="Times New Roman" w:cs="Times New Roman"/>
          <w:sz w:val="20"/>
          <w:szCs w:val="18"/>
        </w:rPr>
        <w:t>.</w:t>
      </w:r>
      <w:proofErr w:type="gramEnd"/>
    </w:p>
    <w:p w:rsidR="001254D7" w:rsidRPr="001D616F" w:rsidRDefault="001254D7" w:rsidP="001254D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45872" w:rsidRPr="001D616F" w:rsidRDefault="00D45872" w:rsidP="001254D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>The aim of this study was to develop a RP-HPLC method, which could be employed for th</w:t>
      </w:r>
      <w:r w:rsidR="00523ABD" w:rsidRPr="001D616F">
        <w:rPr>
          <w:rFonts w:ascii="Times New Roman" w:hAnsi="Times New Roman" w:cs="Times New Roman"/>
          <w:sz w:val="20"/>
        </w:rPr>
        <w:t xml:space="preserve">e routine analysis of the drug </w:t>
      </w:r>
      <w:proofErr w:type="spellStart"/>
      <w:r w:rsidR="00523ABD" w:rsidRPr="001D616F">
        <w:rPr>
          <w:rFonts w:ascii="Times New Roman" w:hAnsi="Times New Roman" w:cs="Times New Roman"/>
          <w:sz w:val="20"/>
        </w:rPr>
        <w:t>c</w:t>
      </w:r>
      <w:r w:rsidRPr="001D616F">
        <w:rPr>
          <w:rFonts w:ascii="Times New Roman" w:hAnsi="Times New Roman" w:cs="Times New Roman"/>
          <w:sz w:val="20"/>
        </w:rPr>
        <w:t>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sz w:val="20"/>
        </w:rPr>
        <w:t>.</w:t>
      </w:r>
    </w:p>
    <w:p w:rsidR="00D45872" w:rsidRPr="001D616F" w:rsidRDefault="00D45872" w:rsidP="00D45872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D45872" w:rsidRPr="001D616F" w:rsidRDefault="001254D7" w:rsidP="00D4587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b/>
          <w:bCs/>
          <w:sz w:val="20"/>
        </w:rPr>
        <w:t>Materials and Methods</w:t>
      </w:r>
    </w:p>
    <w:p w:rsidR="00D45872" w:rsidRPr="001D616F" w:rsidRDefault="00D45872" w:rsidP="00523ABD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1D616F">
        <w:rPr>
          <w:b/>
          <w:bCs/>
          <w:color w:val="auto"/>
          <w:sz w:val="20"/>
          <w:szCs w:val="20"/>
        </w:rPr>
        <w:t xml:space="preserve">Chemicals and Reagents </w:t>
      </w:r>
    </w:p>
    <w:p w:rsidR="00D45872" w:rsidRPr="001D616F" w:rsidRDefault="00523ABD" w:rsidP="00523A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Working standard of </w:t>
      </w:r>
      <w:proofErr w:type="spellStart"/>
      <w:r w:rsidRPr="001D616F">
        <w:rPr>
          <w:rFonts w:ascii="Times New Roman" w:hAnsi="Times New Roman" w:cs="Times New Roman"/>
          <w:sz w:val="20"/>
        </w:rPr>
        <w:t>c</w:t>
      </w:r>
      <w:r w:rsidR="00D45872" w:rsidRPr="001D616F">
        <w:rPr>
          <w:rFonts w:ascii="Times New Roman" w:hAnsi="Times New Roman" w:cs="Times New Roman"/>
          <w:sz w:val="20"/>
        </w:rPr>
        <w:t>lopidogrel</w:t>
      </w:r>
      <w:proofErr w:type="spellEnd"/>
      <w:r w:rsidR="00D45872"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45872"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="00D45872" w:rsidRPr="001D616F">
        <w:rPr>
          <w:rFonts w:ascii="Times New Roman" w:hAnsi="Times New Roman" w:cs="Times New Roman"/>
          <w:sz w:val="20"/>
        </w:rPr>
        <w:t xml:space="preserve"> was ob</w:t>
      </w:r>
      <w:r w:rsidRPr="001D616F">
        <w:rPr>
          <w:rFonts w:ascii="Times New Roman" w:hAnsi="Times New Roman" w:cs="Times New Roman"/>
          <w:sz w:val="20"/>
        </w:rPr>
        <w:t xml:space="preserve">tained from </w:t>
      </w:r>
      <w:proofErr w:type="spellStart"/>
      <w:r w:rsidRPr="001D616F">
        <w:rPr>
          <w:rFonts w:ascii="Times New Roman" w:hAnsi="Times New Roman" w:cs="Times New Roman"/>
          <w:sz w:val="20"/>
        </w:rPr>
        <w:t>Sidmak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India (</w:t>
      </w:r>
      <w:proofErr w:type="spellStart"/>
      <w:r w:rsidRPr="001D616F">
        <w:rPr>
          <w:rFonts w:ascii="Times New Roman" w:hAnsi="Times New Roman" w:cs="Times New Roman"/>
          <w:sz w:val="20"/>
        </w:rPr>
        <w:t>pvt</w:t>
      </w:r>
      <w:proofErr w:type="spellEnd"/>
      <w:r w:rsidRPr="001D616F">
        <w:rPr>
          <w:rFonts w:ascii="Times New Roman" w:hAnsi="Times New Roman" w:cs="Times New Roman"/>
          <w:sz w:val="20"/>
        </w:rPr>
        <w:t>) L</w:t>
      </w:r>
      <w:r w:rsidR="00D45872" w:rsidRPr="001D616F">
        <w:rPr>
          <w:rFonts w:ascii="Times New Roman" w:hAnsi="Times New Roman" w:cs="Times New Roman"/>
          <w:sz w:val="20"/>
        </w:rPr>
        <w:t xml:space="preserve">td </w:t>
      </w:r>
      <w:proofErr w:type="spellStart"/>
      <w:r w:rsidR="00D45872" w:rsidRPr="001D616F">
        <w:rPr>
          <w:rFonts w:ascii="Times New Roman" w:hAnsi="Times New Roman" w:cs="Times New Roman"/>
          <w:sz w:val="20"/>
        </w:rPr>
        <w:t>Valsad</w:t>
      </w:r>
      <w:proofErr w:type="spellEnd"/>
      <w:r w:rsidR="00D45872" w:rsidRPr="001D616F">
        <w:rPr>
          <w:rFonts w:ascii="Times New Roman" w:hAnsi="Times New Roman" w:cs="Times New Roman"/>
          <w:sz w:val="20"/>
        </w:rPr>
        <w:t xml:space="preserve">, India having purity &gt; 99.2%. HPLC grade Acetonitrile and Water was procured from Merck, </w:t>
      </w:r>
      <w:proofErr w:type="spellStart"/>
      <w:r w:rsidR="00D45872" w:rsidRPr="001D616F">
        <w:rPr>
          <w:rFonts w:ascii="Times New Roman" w:hAnsi="Times New Roman" w:cs="Times New Roman"/>
          <w:sz w:val="20"/>
        </w:rPr>
        <w:t>Rankem</w:t>
      </w:r>
      <w:proofErr w:type="spellEnd"/>
      <w:r w:rsidR="00D45872" w:rsidRPr="001D616F">
        <w:rPr>
          <w:rFonts w:ascii="Times New Roman" w:hAnsi="Times New Roman" w:cs="Times New Roman"/>
          <w:sz w:val="20"/>
        </w:rPr>
        <w:t xml:space="preserve"> Ltd., Mumbai, India. Phosphate buffer (pH 4.0) used as diluent and all chemical reagents used were HPLC grade.</w:t>
      </w:r>
    </w:p>
    <w:p w:rsidR="00D45872" w:rsidRPr="001D616F" w:rsidRDefault="00D45872" w:rsidP="00D45872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523ABD" w:rsidRPr="001D616F" w:rsidRDefault="00523ABD" w:rsidP="00523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Instrumentation</w:t>
      </w:r>
      <w:r w:rsidR="00D45872" w:rsidRPr="001D616F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D45872" w:rsidRPr="001D616F" w:rsidRDefault="00D45872" w:rsidP="00523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Spectral scan was made on a Shimadzu UV 1800 pc double beam  spectrophotometer, with spectral bandwidth of 190-800 nm, wavelength accuracy of + 0.3 nm with automatic wavelength corrections using a pair of 10 mm quartz cells. All Spectral measurements were done using </w:t>
      </w:r>
      <w:proofErr w:type="spellStart"/>
      <w:r w:rsidRPr="001D616F">
        <w:rPr>
          <w:rFonts w:ascii="Times New Roman" w:hAnsi="Times New Roman" w:cs="Times New Roman"/>
          <w:sz w:val="20"/>
        </w:rPr>
        <w:t>Spinchrom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software</w:t>
      </w:r>
      <w:r w:rsidR="00DD4AE9" w:rsidRPr="001D616F">
        <w:rPr>
          <w:rFonts w:ascii="Times New Roman" w:hAnsi="Times New Roman" w:cs="Times New Roman"/>
          <w:sz w:val="20"/>
        </w:rPr>
        <w:t>.</w:t>
      </w:r>
      <w:r w:rsidRPr="001D616F">
        <w:rPr>
          <w:rFonts w:ascii="Times New Roman" w:hAnsi="Times New Roman" w:cs="Times New Roman"/>
          <w:sz w:val="20"/>
        </w:rPr>
        <w:t xml:space="preserve"> </w:t>
      </w:r>
    </w:p>
    <w:p w:rsidR="00D45872" w:rsidRPr="001D616F" w:rsidRDefault="00D45872" w:rsidP="00D45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 </w:t>
      </w:r>
    </w:p>
    <w:p w:rsidR="00D45872" w:rsidRPr="001D616F" w:rsidRDefault="00523ABD" w:rsidP="00523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Chromatographic Conditions</w:t>
      </w:r>
    </w:p>
    <w:p w:rsidR="00D45872" w:rsidRPr="001D616F" w:rsidRDefault="00D45872" w:rsidP="0052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Chromatographic analysis was performed on Thermo </w:t>
      </w:r>
      <w:proofErr w:type="spellStart"/>
      <w:r w:rsidRPr="001D616F">
        <w:rPr>
          <w:rFonts w:ascii="Times New Roman" w:hAnsi="Times New Roman" w:cs="Times New Roman"/>
          <w:sz w:val="20"/>
        </w:rPr>
        <w:t>Hypersil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BDS C</w:t>
      </w:r>
      <w:r w:rsidRPr="001D616F">
        <w:rPr>
          <w:rFonts w:ascii="Times New Roman" w:hAnsi="Times New Roman" w:cs="Times New Roman"/>
          <w:sz w:val="20"/>
          <w:vertAlign w:val="subscript"/>
        </w:rPr>
        <w:t>18</w:t>
      </w:r>
      <w:r w:rsidRPr="001D616F">
        <w:rPr>
          <w:rFonts w:ascii="Times New Roman" w:hAnsi="Times New Roman" w:cs="Times New Roman"/>
          <w:sz w:val="20"/>
        </w:rPr>
        <w:t xml:space="preserve"> (250 × 4.6 mm, 5 µm) column with a mobile phase used as potassium </w:t>
      </w:r>
      <w:proofErr w:type="spellStart"/>
      <w:r w:rsidRPr="001D616F">
        <w:rPr>
          <w:rFonts w:ascii="Times New Roman" w:hAnsi="Times New Roman" w:cs="Times New Roman"/>
          <w:sz w:val="20"/>
        </w:rPr>
        <w:t>dihydrogen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orthophospha</w:t>
      </w:r>
      <w:r w:rsidR="00523ABD" w:rsidRPr="001D616F">
        <w:rPr>
          <w:rFonts w:ascii="Times New Roman" w:hAnsi="Times New Roman" w:cs="Times New Roman"/>
          <w:sz w:val="20"/>
        </w:rPr>
        <w:t xml:space="preserve">te buffer adjusted pH 4.0 with </w:t>
      </w:r>
      <w:proofErr w:type="spellStart"/>
      <w:r w:rsidR="00523ABD" w:rsidRPr="001D616F">
        <w:rPr>
          <w:rFonts w:ascii="Times New Roman" w:hAnsi="Times New Roman" w:cs="Times New Roman"/>
          <w:sz w:val="20"/>
        </w:rPr>
        <w:t>o</w:t>
      </w:r>
      <w:r w:rsidRPr="001D616F">
        <w:rPr>
          <w:rFonts w:ascii="Times New Roman" w:hAnsi="Times New Roman" w:cs="Times New Roman"/>
          <w:sz w:val="20"/>
        </w:rPr>
        <w:t>rthophosphoric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acid: acetonitrile in </w:t>
      </w:r>
      <w:r w:rsidR="00523ABD" w:rsidRPr="001D616F">
        <w:rPr>
          <w:rFonts w:ascii="Times New Roman" w:hAnsi="Times New Roman" w:cs="Times New Roman"/>
          <w:sz w:val="20"/>
        </w:rPr>
        <w:t xml:space="preserve">a ratio of 32:68 and 0.1 ml of </w:t>
      </w:r>
      <w:proofErr w:type="spellStart"/>
      <w:r w:rsidR="00523ABD" w:rsidRPr="001D616F">
        <w:rPr>
          <w:rFonts w:ascii="Times New Roman" w:hAnsi="Times New Roman" w:cs="Times New Roman"/>
          <w:sz w:val="20"/>
        </w:rPr>
        <w:t>t</w:t>
      </w:r>
      <w:r w:rsidRPr="001D616F">
        <w:rPr>
          <w:rFonts w:ascii="Times New Roman" w:hAnsi="Times New Roman" w:cs="Times New Roman"/>
          <w:sz w:val="20"/>
        </w:rPr>
        <w:t>riethyl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amine was added for peak sharpness. The mobile phase was degassed and filtered through 0.45 </w:t>
      </w:r>
      <w:proofErr w:type="spellStart"/>
      <w:r w:rsidRPr="001D616F">
        <w:rPr>
          <w:rFonts w:ascii="Times New Roman" w:hAnsi="Times New Roman" w:cs="Times New Roman"/>
          <w:sz w:val="20"/>
        </w:rPr>
        <w:t>μm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membrane filter before pumping into HPLC system. Isocratic analysis was performed on SPD-20A double beam UV spectrophotometer at a detection range of 220 nm at a flow rate of 1.0 ml/min. The injection volume was 20 </w:t>
      </w:r>
      <w:proofErr w:type="spellStart"/>
      <w:r w:rsidRPr="001D616F">
        <w:rPr>
          <w:rFonts w:ascii="Times New Roman" w:hAnsi="Times New Roman" w:cs="Times New Roman"/>
          <w:sz w:val="20"/>
        </w:rPr>
        <w:t>μl</w:t>
      </w:r>
      <w:proofErr w:type="spellEnd"/>
      <w:r w:rsidRPr="001D616F">
        <w:rPr>
          <w:rFonts w:ascii="Times New Roman" w:hAnsi="Times New Roman" w:cs="Times New Roman"/>
          <w:sz w:val="20"/>
        </w:rPr>
        <w:t>.</w:t>
      </w:r>
    </w:p>
    <w:p w:rsidR="00D45872" w:rsidRPr="001D616F" w:rsidRDefault="00D45872" w:rsidP="00523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23ABD" w:rsidRPr="001D616F" w:rsidRDefault="00523ABD" w:rsidP="00523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45872" w:rsidRPr="001D616F" w:rsidRDefault="00D45872" w:rsidP="00523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lang w:val="en-GB"/>
        </w:rPr>
      </w:pPr>
      <w:r w:rsidRPr="001D616F">
        <w:rPr>
          <w:rFonts w:ascii="Times New Roman" w:hAnsi="Times New Roman" w:cs="Times New Roman"/>
          <w:b/>
          <w:bCs/>
          <w:sz w:val="20"/>
          <w:lang w:val="en-GB"/>
        </w:rPr>
        <w:t>Preparation of Phosphate Buffer</w:t>
      </w:r>
    </w:p>
    <w:p w:rsidR="00D45872" w:rsidRPr="001D616F" w:rsidRDefault="00523ABD" w:rsidP="00523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lang w:val="en-GB"/>
        </w:rPr>
      </w:pPr>
      <w:r w:rsidRPr="001D616F">
        <w:rPr>
          <w:rFonts w:ascii="Times New Roman" w:hAnsi="Times New Roman" w:cs="Times New Roman"/>
          <w:sz w:val="20"/>
          <w:lang w:val="en-GB"/>
        </w:rPr>
        <w:t>Dissolve 10 g</w:t>
      </w:r>
      <w:r w:rsidR="00D45872" w:rsidRPr="001D616F">
        <w:rPr>
          <w:rFonts w:ascii="Times New Roman" w:hAnsi="Times New Roman" w:cs="Times New Roman"/>
          <w:sz w:val="20"/>
          <w:lang w:val="en-GB"/>
        </w:rPr>
        <w:t xml:space="preserve"> of Potassium </w:t>
      </w:r>
      <w:proofErr w:type="spellStart"/>
      <w:r w:rsidR="00D45872" w:rsidRPr="001D616F">
        <w:rPr>
          <w:rFonts w:ascii="Times New Roman" w:hAnsi="Times New Roman" w:cs="Times New Roman"/>
          <w:sz w:val="20"/>
          <w:lang w:val="en-GB"/>
        </w:rPr>
        <w:t>dihydrogen</w:t>
      </w:r>
      <w:proofErr w:type="spellEnd"/>
      <w:r w:rsidR="00D45872" w:rsidRPr="001D616F">
        <w:rPr>
          <w:rFonts w:ascii="Times New Roman" w:hAnsi="Times New Roman" w:cs="Times New Roman"/>
          <w:sz w:val="20"/>
          <w:lang w:val="en-GB"/>
        </w:rPr>
        <w:t xml:space="preserve"> o</w:t>
      </w:r>
      <w:r w:rsidRPr="001D616F">
        <w:rPr>
          <w:rFonts w:ascii="Times New Roman" w:hAnsi="Times New Roman" w:cs="Times New Roman"/>
          <w:sz w:val="20"/>
          <w:lang w:val="en-GB"/>
        </w:rPr>
        <w:t xml:space="preserve">rthophosphate and add 0.1ml of </w:t>
      </w:r>
      <w:proofErr w:type="spellStart"/>
      <w:r w:rsidRPr="001D616F">
        <w:rPr>
          <w:rFonts w:ascii="Times New Roman" w:hAnsi="Times New Roman" w:cs="Times New Roman"/>
          <w:sz w:val="20"/>
          <w:lang w:val="en-GB"/>
        </w:rPr>
        <w:t>t</w:t>
      </w:r>
      <w:r w:rsidR="00D45872" w:rsidRPr="001D616F">
        <w:rPr>
          <w:rFonts w:ascii="Times New Roman" w:hAnsi="Times New Roman" w:cs="Times New Roman"/>
          <w:sz w:val="20"/>
          <w:lang w:val="en-GB"/>
        </w:rPr>
        <w:t>rie</w:t>
      </w:r>
      <w:r w:rsidRPr="001D616F">
        <w:rPr>
          <w:rFonts w:ascii="Times New Roman" w:hAnsi="Times New Roman" w:cs="Times New Roman"/>
          <w:sz w:val="20"/>
          <w:lang w:val="en-GB"/>
        </w:rPr>
        <w:t>thyl</w:t>
      </w:r>
      <w:proofErr w:type="spellEnd"/>
      <w:r w:rsidRPr="001D616F">
        <w:rPr>
          <w:rFonts w:ascii="Times New Roman" w:hAnsi="Times New Roman" w:cs="Times New Roman"/>
          <w:sz w:val="20"/>
          <w:lang w:val="en-GB"/>
        </w:rPr>
        <w:t xml:space="preserve"> amine in 1000 ml distilled water. Adjust pH 4.0 with </w:t>
      </w:r>
      <w:proofErr w:type="spellStart"/>
      <w:r w:rsidRPr="001D616F">
        <w:rPr>
          <w:rFonts w:ascii="Times New Roman" w:hAnsi="Times New Roman" w:cs="Times New Roman"/>
          <w:sz w:val="20"/>
          <w:lang w:val="en-GB"/>
        </w:rPr>
        <w:t>orthop</w:t>
      </w:r>
      <w:r w:rsidR="00D45872" w:rsidRPr="001D616F">
        <w:rPr>
          <w:rFonts w:ascii="Times New Roman" w:hAnsi="Times New Roman" w:cs="Times New Roman"/>
          <w:sz w:val="20"/>
          <w:lang w:val="en-GB"/>
        </w:rPr>
        <w:t>hosphoric</w:t>
      </w:r>
      <w:proofErr w:type="spellEnd"/>
      <w:r w:rsidR="00D45872" w:rsidRPr="001D616F">
        <w:rPr>
          <w:rFonts w:ascii="Times New Roman" w:hAnsi="Times New Roman" w:cs="Times New Roman"/>
          <w:sz w:val="20"/>
          <w:lang w:val="en-GB"/>
        </w:rPr>
        <w:t xml:space="preserve"> Acid</w:t>
      </w:r>
      <w:r w:rsidR="00E51BE7" w:rsidRPr="001D616F">
        <w:rPr>
          <w:rFonts w:ascii="Times New Roman" w:hAnsi="Times New Roman" w:cs="Times New Roman"/>
          <w:sz w:val="20"/>
          <w:lang w:val="en-GB"/>
        </w:rPr>
        <w:t>.</w:t>
      </w:r>
    </w:p>
    <w:p w:rsidR="00D45872" w:rsidRPr="001D616F" w:rsidRDefault="00D45872" w:rsidP="00523ABD">
      <w:pPr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</w:p>
    <w:p w:rsidR="00D45872" w:rsidRPr="001D616F" w:rsidRDefault="00D45872" w:rsidP="00523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lang w:val="en-GB"/>
        </w:rPr>
      </w:pPr>
      <w:r w:rsidRPr="001D616F">
        <w:rPr>
          <w:rFonts w:ascii="Times New Roman" w:hAnsi="Times New Roman" w:cs="Times New Roman"/>
          <w:b/>
          <w:bCs/>
          <w:sz w:val="20"/>
          <w:lang w:val="en-GB"/>
        </w:rPr>
        <w:t>Preparation of Standard Solution</w:t>
      </w:r>
    </w:p>
    <w:p w:rsidR="00523ABD" w:rsidRPr="001D616F" w:rsidRDefault="00D45872" w:rsidP="0052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>An accur</w:t>
      </w:r>
      <w:r w:rsidR="00523ABD" w:rsidRPr="001D616F">
        <w:rPr>
          <w:rFonts w:ascii="Times New Roman" w:hAnsi="Times New Roman" w:cs="Times New Roman"/>
          <w:sz w:val="20"/>
        </w:rPr>
        <w:t xml:space="preserve">ately weighed quantity of 25mg </w:t>
      </w:r>
      <w:proofErr w:type="spellStart"/>
      <w:r w:rsidR="00523ABD" w:rsidRPr="001D616F">
        <w:rPr>
          <w:rFonts w:ascii="Times New Roman" w:hAnsi="Times New Roman" w:cs="Times New Roman"/>
          <w:sz w:val="20"/>
        </w:rPr>
        <w:t>c</w:t>
      </w:r>
      <w:r w:rsidRPr="001D616F">
        <w:rPr>
          <w:rFonts w:ascii="Times New Roman" w:hAnsi="Times New Roman" w:cs="Times New Roman"/>
          <w:sz w:val="20"/>
        </w:rPr>
        <w:t>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transferred in 25ml volumetric f</w:t>
      </w:r>
      <w:r w:rsidR="00523ABD" w:rsidRPr="001D616F">
        <w:rPr>
          <w:rFonts w:ascii="Times New Roman" w:hAnsi="Times New Roman" w:cs="Times New Roman"/>
          <w:sz w:val="20"/>
        </w:rPr>
        <w:t>lask, dissolved with 10 ml of  a</w:t>
      </w:r>
      <w:r w:rsidRPr="001D616F">
        <w:rPr>
          <w:rFonts w:ascii="Times New Roman" w:hAnsi="Times New Roman" w:cs="Times New Roman"/>
          <w:sz w:val="20"/>
        </w:rPr>
        <w:t xml:space="preserve">cetonitrile and volume was made up to the mark with </w:t>
      </w:r>
      <w:r w:rsidR="00523ABD" w:rsidRPr="001D616F">
        <w:rPr>
          <w:rFonts w:ascii="Times New Roman" w:hAnsi="Times New Roman" w:cs="Times New Roman"/>
          <w:sz w:val="20"/>
        </w:rPr>
        <w:t xml:space="preserve"> a</w:t>
      </w:r>
      <w:r w:rsidRPr="001D616F">
        <w:rPr>
          <w:rFonts w:ascii="Times New Roman" w:hAnsi="Times New Roman" w:cs="Times New Roman"/>
          <w:sz w:val="20"/>
        </w:rPr>
        <w:t xml:space="preserve">cetonitrile </w:t>
      </w:r>
      <w:proofErr w:type="spellStart"/>
      <w:r w:rsidRPr="001D616F">
        <w:rPr>
          <w:rFonts w:ascii="Times New Roman" w:hAnsi="Times New Roman" w:cs="Times New Roman"/>
          <w:sz w:val="20"/>
        </w:rPr>
        <w:t>sonicated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for 10 min. From that solution pipette out 1 ml in 10 ml volumetric flask and volume was made up to th</w:t>
      </w:r>
      <w:r w:rsidR="00523ABD" w:rsidRPr="001D616F">
        <w:rPr>
          <w:rFonts w:ascii="Times New Roman" w:hAnsi="Times New Roman" w:cs="Times New Roman"/>
          <w:sz w:val="20"/>
        </w:rPr>
        <w:t>e mark with m</w:t>
      </w:r>
      <w:r w:rsidRPr="001D616F">
        <w:rPr>
          <w:rFonts w:ascii="Times New Roman" w:hAnsi="Times New Roman" w:cs="Times New Roman"/>
          <w:sz w:val="20"/>
        </w:rPr>
        <w:t>obile phase to make final Concentration 100 µg/ml.</w:t>
      </w:r>
    </w:p>
    <w:p w:rsidR="00523ABD" w:rsidRPr="001D616F" w:rsidRDefault="00523ABD" w:rsidP="0052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23ABD" w:rsidRPr="001D616F" w:rsidRDefault="00D45872" w:rsidP="0052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  <w:lang w:val="en-GB"/>
        </w:rPr>
        <w:t>Procedure</w:t>
      </w:r>
    </w:p>
    <w:p w:rsidR="00523ABD" w:rsidRPr="001D616F" w:rsidRDefault="00D45872" w:rsidP="0052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  <w:lang w:val="en-GB"/>
        </w:rPr>
        <w:t xml:space="preserve">Equilibrate the column with mobile phase at prescribed condition until a stable baseline </w:t>
      </w:r>
      <w:r w:rsidR="00523ABD" w:rsidRPr="001D616F">
        <w:rPr>
          <w:rFonts w:ascii="Times New Roman" w:hAnsi="Times New Roman" w:cs="Times New Roman"/>
          <w:sz w:val="20"/>
          <w:lang w:val="en-GB"/>
        </w:rPr>
        <w:t>is achieved. Separately inject d</w:t>
      </w:r>
      <w:r w:rsidRPr="001D616F">
        <w:rPr>
          <w:rFonts w:ascii="Times New Roman" w:hAnsi="Times New Roman" w:cs="Times New Roman"/>
          <w:sz w:val="20"/>
          <w:lang w:val="en-GB"/>
        </w:rPr>
        <w:t>iluent, standard solution and test preparation into liquid chromatography. Measure the response for all peaks.</w:t>
      </w:r>
    </w:p>
    <w:p w:rsidR="00523ABD" w:rsidRPr="001D616F" w:rsidRDefault="00523ABD" w:rsidP="0052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23ABD" w:rsidRPr="001D616F" w:rsidRDefault="00523ABD" w:rsidP="00523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Result and Discussion</w:t>
      </w:r>
    </w:p>
    <w:p w:rsidR="005069CB" w:rsidRPr="001D616F" w:rsidRDefault="00332F4A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>The developed method was validated for parameters like linearity, accuracy, precision, robustness, ruggedness, sensitivity and system suitability [</w:t>
      </w:r>
      <w:r w:rsidR="00DD4AE9" w:rsidRPr="001D616F">
        <w:rPr>
          <w:rFonts w:ascii="Times New Roman" w:hAnsi="Times New Roman" w:cs="Times New Roman"/>
          <w:sz w:val="20"/>
        </w:rPr>
        <w:t>1</w:t>
      </w:r>
      <w:r w:rsidR="00E51BE7" w:rsidRPr="001D616F">
        <w:rPr>
          <w:rFonts w:ascii="Times New Roman" w:hAnsi="Times New Roman" w:cs="Times New Roman"/>
          <w:sz w:val="20"/>
        </w:rPr>
        <w:t>0</w:t>
      </w:r>
      <w:r w:rsidR="00DD4AE9" w:rsidRPr="001D616F">
        <w:rPr>
          <w:rFonts w:ascii="Times New Roman" w:hAnsi="Times New Roman" w:cs="Times New Roman"/>
          <w:sz w:val="20"/>
        </w:rPr>
        <w:t>,</w:t>
      </w:r>
      <w:r w:rsidR="00523ABD" w:rsidRPr="001D616F">
        <w:rPr>
          <w:rFonts w:ascii="Times New Roman" w:hAnsi="Times New Roman" w:cs="Times New Roman"/>
          <w:sz w:val="20"/>
        </w:rPr>
        <w:t xml:space="preserve"> </w:t>
      </w:r>
      <w:r w:rsidR="00DD4AE9" w:rsidRPr="001D616F">
        <w:rPr>
          <w:rFonts w:ascii="Times New Roman" w:hAnsi="Times New Roman" w:cs="Times New Roman"/>
          <w:sz w:val="20"/>
        </w:rPr>
        <w:t>1</w:t>
      </w:r>
      <w:r w:rsidR="00E51BE7" w:rsidRPr="001D616F">
        <w:rPr>
          <w:rFonts w:ascii="Times New Roman" w:hAnsi="Times New Roman" w:cs="Times New Roman"/>
          <w:sz w:val="20"/>
        </w:rPr>
        <w:t>1</w:t>
      </w:r>
      <w:r w:rsidRPr="001D616F">
        <w:rPr>
          <w:rFonts w:ascii="Times New Roman" w:hAnsi="Times New Roman" w:cs="Times New Roman"/>
          <w:sz w:val="20"/>
        </w:rPr>
        <w:t xml:space="preserve">]. </w:t>
      </w:r>
    </w:p>
    <w:p w:rsidR="005069CB" w:rsidRPr="001D616F" w:rsidRDefault="005069CB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069CB" w:rsidRPr="001D616F" w:rsidRDefault="00332F4A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Method development and optimization</w:t>
      </w:r>
    </w:p>
    <w:p w:rsidR="005069CB" w:rsidRPr="001D616F" w:rsidRDefault="00332F4A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>Optimized chromatographi</w:t>
      </w:r>
      <w:r w:rsidR="005069CB" w:rsidRPr="001D616F">
        <w:rPr>
          <w:rFonts w:ascii="Times New Roman" w:hAnsi="Times New Roman" w:cs="Times New Roman"/>
          <w:sz w:val="20"/>
        </w:rPr>
        <w:t xml:space="preserve">c conditions for estimation of </w:t>
      </w:r>
      <w:proofErr w:type="spellStart"/>
      <w:r w:rsidR="005069CB" w:rsidRPr="001D616F">
        <w:rPr>
          <w:rFonts w:ascii="Times New Roman" w:hAnsi="Times New Roman" w:cs="Times New Roman"/>
          <w:sz w:val="20"/>
        </w:rPr>
        <w:t>c</w:t>
      </w:r>
      <w:r w:rsidRPr="001D616F">
        <w:rPr>
          <w:rFonts w:ascii="Times New Roman" w:hAnsi="Times New Roman" w:cs="Times New Roman"/>
          <w:sz w:val="20"/>
        </w:rPr>
        <w:t>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are finalized using Column Thermo </w:t>
      </w:r>
      <w:proofErr w:type="spellStart"/>
      <w:r w:rsidRPr="001D616F">
        <w:rPr>
          <w:rFonts w:ascii="Times New Roman" w:hAnsi="Times New Roman" w:cs="Times New Roman"/>
          <w:bCs/>
          <w:sz w:val="20"/>
        </w:rPr>
        <w:t>Hypersil</w:t>
      </w:r>
      <w:proofErr w:type="spellEnd"/>
      <w:r w:rsidRPr="001D616F">
        <w:rPr>
          <w:rFonts w:ascii="Times New Roman" w:hAnsi="Times New Roman" w:cs="Times New Roman"/>
          <w:bCs/>
          <w:sz w:val="20"/>
        </w:rPr>
        <w:t xml:space="preserve"> BDS C</w:t>
      </w:r>
      <w:r w:rsidRPr="001D616F">
        <w:rPr>
          <w:rFonts w:ascii="Times New Roman" w:hAnsi="Times New Roman" w:cs="Times New Roman"/>
          <w:bCs/>
          <w:sz w:val="20"/>
          <w:vertAlign w:val="subscript"/>
        </w:rPr>
        <w:t xml:space="preserve">18 </w:t>
      </w:r>
      <w:r w:rsidRPr="001D616F">
        <w:rPr>
          <w:rFonts w:ascii="Times New Roman" w:hAnsi="Times New Roman" w:cs="Times New Roman"/>
          <w:bCs/>
          <w:sz w:val="20"/>
        </w:rPr>
        <w:t xml:space="preserve">(250×4.6 mm, 5 µm) consisting of mobile phase acetonitrile: phosphate buffer pH 4.0 in a ratio of 68:32. HPLC pump mode was made Isocratic with a flow rate of a 1.0 ml/min over the detection wavelength range of 220 nm. </w:t>
      </w:r>
      <w:r w:rsidR="005069CB" w:rsidRPr="001D616F">
        <w:rPr>
          <w:rFonts w:ascii="Times New Roman" w:hAnsi="Times New Roman" w:cs="Times New Roman"/>
          <w:sz w:val="20"/>
        </w:rPr>
        <w:t xml:space="preserve">Standard spectrum of </w:t>
      </w:r>
      <w:proofErr w:type="spellStart"/>
      <w:r w:rsidR="005069CB" w:rsidRPr="001D616F">
        <w:rPr>
          <w:rFonts w:ascii="Times New Roman" w:hAnsi="Times New Roman" w:cs="Times New Roman"/>
          <w:sz w:val="20"/>
        </w:rPr>
        <w:t>c</w:t>
      </w:r>
      <w:r w:rsidRPr="001D616F">
        <w:rPr>
          <w:rFonts w:ascii="Times New Roman" w:hAnsi="Times New Roman" w:cs="Times New Roman"/>
          <w:sz w:val="20"/>
        </w:rPr>
        <w:t>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is as shown in Figure 2.</w:t>
      </w:r>
    </w:p>
    <w:p w:rsidR="005069CB" w:rsidRPr="001D616F" w:rsidRDefault="005069CB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32F4A" w:rsidRPr="001D616F" w:rsidRDefault="00332F4A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bCs/>
          <w:sz w:val="20"/>
        </w:rPr>
        <w:t xml:space="preserve">Injection volume was made with </w:t>
      </w:r>
      <w:proofErr w:type="spellStart"/>
      <w:r w:rsidRPr="001D616F">
        <w:rPr>
          <w:rFonts w:ascii="Times New Roman" w:hAnsi="Times New Roman" w:cs="Times New Roman"/>
          <w:bCs/>
          <w:sz w:val="20"/>
        </w:rPr>
        <w:t>Rheodyne</w:t>
      </w:r>
      <w:proofErr w:type="spellEnd"/>
      <w:r w:rsidRPr="001D616F">
        <w:rPr>
          <w:rFonts w:ascii="Times New Roman" w:hAnsi="Times New Roman" w:cs="Times New Roman"/>
          <w:bCs/>
          <w:sz w:val="20"/>
        </w:rPr>
        <w:t xml:space="preserve"> injector 7725i of 20 µl. The run time was 10 min. The retention time for </w:t>
      </w:r>
      <w:proofErr w:type="spellStart"/>
      <w:r w:rsidR="005069CB" w:rsidRPr="001D616F">
        <w:rPr>
          <w:rFonts w:ascii="Times New Roman" w:hAnsi="Times New Roman" w:cs="Times New Roman"/>
          <w:bCs/>
          <w:sz w:val="20"/>
        </w:rPr>
        <w:t>c</w:t>
      </w:r>
      <w:r w:rsidRPr="001D616F">
        <w:rPr>
          <w:rFonts w:ascii="Times New Roman" w:hAnsi="Times New Roman" w:cs="Times New Roman"/>
          <w:bCs/>
          <w:sz w:val="20"/>
        </w:rPr>
        <w:t>lopidogrel</w:t>
      </w:r>
      <w:proofErr w:type="spellEnd"/>
      <w:r w:rsidRPr="001D616F">
        <w:rPr>
          <w:rFonts w:ascii="Times New Roman" w:hAnsi="Times New Roman" w:cs="Times New Roman"/>
          <w:bCs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bCs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bCs/>
          <w:sz w:val="20"/>
        </w:rPr>
        <w:t xml:space="preserve"> was found to be 3.8 min</w:t>
      </w:r>
      <w:r w:rsidR="0000794B" w:rsidRPr="001D616F">
        <w:rPr>
          <w:rFonts w:ascii="Times New Roman" w:hAnsi="Times New Roman" w:cs="Times New Roman"/>
          <w:bCs/>
          <w:sz w:val="20"/>
        </w:rPr>
        <w:t>.</w:t>
      </w:r>
    </w:p>
    <w:p w:rsidR="00332F4A" w:rsidRPr="001D616F" w:rsidRDefault="00332F4A" w:rsidP="00332F4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bCs/>
          <w:noProof/>
          <w:sz w:val="20"/>
          <w:lang w:val="ms-MY" w:eastAsia="ko-KR" w:bidi="ar-SA"/>
        </w:rPr>
        <w:lastRenderedPageBreak/>
        <w:drawing>
          <wp:inline distT="0" distB="0" distL="0" distR="0" wp14:anchorId="2F841D7A" wp14:editId="7A6B8B76">
            <wp:extent cx="5591175" cy="2667000"/>
            <wp:effectExtent l="1905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F4A" w:rsidRPr="001D616F" w:rsidRDefault="00332F4A" w:rsidP="00332F4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hAnsi="Times New Roman" w:cs="Times New Roman"/>
          <w:sz w:val="18"/>
          <w:szCs w:val="18"/>
        </w:rPr>
        <w:t>Figure 2.</w:t>
      </w:r>
      <w:proofErr w:type="gramEnd"/>
      <w:r w:rsidRPr="001D616F">
        <w:rPr>
          <w:rFonts w:ascii="Times New Roman" w:hAnsi="Times New Roman" w:cs="Times New Roman"/>
          <w:sz w:val="18"/>
          <w:szCs w:val="18"/>
        </w:rPr>
        <w:t xml:space="preserve"> Chromatogram of standard preparation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</w:p>
    <w:p w:rsidR="00332F4A" w:rsidRPr="001D616F" w:rsidRDefault="00332F4A" w:rsidP="00506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1D616F">
        <w:rPr>
          <w:rFonts w:ascii="Times New Roman" w:eastAsia="Times New Roman" w:hAnsi="Times New Roman" w:cs="Times New Roman"/>
          <w:b/>
          <w:bCs/>
          <w:sz w:val="20"/>
        </w:rPr>
        <w:t>System Suitability</w:t>
      </w:r>
    </w:p>
    <w:p w:rsidR="0005329D" w:rsidRPr="001D616F" w:rsidRDefault="00332F4A" w:rsidP="0050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1D616F">
        <w:rPr>
          <w:rFonts w:ascii="Times New Roman" w:eastAsia="Times New Roman" w:hAnsi="Times New Roman" w:cs="Times New Roman"/>
          <w:sz w:val="20"/>
        </w:rPr>
        <w:t xml:space="preserve">In these studies, 5 replicate injections of the drug at a concentration </w:t>
      </w:r>
      <w:proofErr w:type="gramStart"/>
      <w:r w:rsidRPr="001D616F">
        <w:rPr>
          <w:rFonts w:ascii="Times New Roman" w:eastAsia="Times New Roman" w:hAnsi="Times New Roman" w:cs="Times New Roman"/>
          <w:sz w:val="20"/>
        </w:rPr>
        <w:t>of 100 µg/ml</w:t>
      </w:r>
      <w:proofErr w:type="gramEnd"/>
      <w:r w:rsidRPr="001D616F">
        <w:rPr>
          <w:rFonts w:ascii="Times New Roman" w:eastAsia="Times New Roman" w:hAnsi="Times New Roman" w:cs="Times New Roman"/>
          <w:sz w:val="20"/>
        </w:rPr>
        <w:t xml:space="preserve"> were injected and evaluated for the parameters such as Retention time, theoretical plates and tailing factor. </w:t>
      </w:r>
      <w:r w:rsidRPr="001D616F">
        <w:rPr>
          <w:rFonts w:ascii="Times New Roman" w:hAnsi="Times New Roman" w:cs="Times New Roman"/>
          <w:b/>
          <w:bCs/>
          <w:sz w:val="20"/>
        </w:rPr>
        <w:t xml:space="preserve"> </w:t>
      </w:r>
      <w:r w:rsidRPr="001D616F">
        <w:rPr>
          <w:rFonts w:ascii="Times New Roman" w:eastAsia="Times New Roman" w:hAnsi="Times New Roman" w:cs="Times New Roman"/>
          <w:sz w:val="20"/>
        </w:rPr>
        <w:t>The results obtained from the System Suitability studies wer</w:t>
      </w:r>
      <w:r w:rsidR="00DD4AE9" w:rsidRPr="001D616F">
        <w:rPr>
          <w:rFonts w:ascii="Times New Roman" w:eastAsia="Times New Roman" w:hAnsi="Times New Roman" w:cs="Times New Roman"/>
          <w:sz w:val="20"/>
        </w:rPr>
        <w:t>e calculated</w:t>
      </w:r>
      <w:r w:rsidRPr="001D616F">
        <w:rPr>
          <w:rFonts w:ascii="Times New Roman" w:eastAsia="Times New Roman" w:hAnsi="Times New Roman" w:cs="Times New Roman"/>
          <w:sz w:val="20"/>
        </w:rPr>
        <w:t xml:space="preserve"> and recorded in Table 1.</w:t>
      </w:r>
    </w:p>
    <w:p w:rsidR="005069CB" w:rsidRPr="001D616F" w:rsidRDefault="005069CB" w:rsidP="0050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5069CB" w:rsidRPr="001D616F" w:rsidRDefault="005069CB" w:rsidP="0050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eastAsia="Times New Roman" w:hAnsi="Times New Roman" w:cs="Times New Roman"/>
          <w:sz w:val="18"/>
          <w:szCs w:val="18"/>
        </w:rPr>
        <w:t>Table 1.</w:t>
      </w:r>
      <w:proofErr w:type="gram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System s</w:t>
      </w:r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uitability parameters for </w:t>
      </w:r>
      <w:proofErr w:type="spellStart"/>
      <w:r w:rsidRPr="001D616F">
        <w:rPr>
          <w:rFonts w:ascii="Times New Roman" w:eastAsia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eastAsia="Times New Roman" w:hAnsi="Times New Roman" w:cs="Times New Roman"/>
          <w:sz w:val="18"/>
          <w:szCs w:val="18"/>
        </w:rPr>
        <w:t>bisulphate</w:t>
      </w:r>
      <w:proofErr w:type="spellEnd"/>
    </w:p>
    <w:p w:rsidR="0005329D" w:rsidRPr="001D616F" w:rsidRDefault="0005329D" w:rsidP="0050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D616F" w:rsidRPr="001D616F" w:rsidTr="00053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05329D" w:rsidRPr="001D616F" w:rsidRDefault="0005329D" w:rsidP="000532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Name</w:t>
            </w:r>
          </w:p>
        </w:tc>
        <w:tc>
          <w:tcPr>
            <w:tcW w:w="1540" w:type="dxa"/>
          </w:tcPr>
          <w:p w:rsidR="0005329D" w:rsidRPr="001D616F" w:rsidRDefault="0005329D" w:rsidP="0005329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Retention Time</w:t>
            </w:r>
          </w:p>
        </w:tc>
        <w:tc>
          <w:tcPr>
            <w:tcW w:w="1540" w:type="dxa"/>
          </w:tcPr>
          <w:p w:rsidR="0005329D" w:rsidRPr="001D616F" w:rsidRDefault="0005329D" w:rsidP="0005329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Area</w:t>
            </w:r>
          </w:p>
        </w:tc>
        <w:tc>
          <w:tcPr>
            <w:tcW w:w="1540" w:type="dxa"/>
          </w:tcPr>
          <w:p w:rsidR="0005329D" w:rsidRPr="001D616F" w:rsidRDefault="0005329D" w:rsidP="0005329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% Area</w:t>
            </w:r>
          </w:p>
        </w:tc>
        <w:tc>
          <w:tcPr>
            <w:tcW w:w="1541" w:type="dxa"/>
          </w:tcPr>
          <w:p w:rsidR="0005329D" w:rsidRPr="001D616F" w:rsidRDefault="0005329D" w:rsidP="0005329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Theoretical Plate Count</w:t>
            </w:r>
          </w:p>
        </w:tc>
        <w:tc>
          <w:tcPr>
            <w:tcW w:w="1541" w:type="dxa"/>
          </w:tcPr>
          <w:p w:rsidR="0005329D" w:rsidRPr="001D616F" w:rsidRDefault="0005329D" w:rsidP="0005329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Tailing Factor</w:t>
            </w:r>
          </w:p>
        </w:tc>
      </w:tr>
      <w:tr w:rsidR="001D616F" w:rsidRPr="001D616F" w:rsidTr="0005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:rsidR="0005329D" w:rsidRPr="001D616F" w:rsidRDefault="0005329D" w:rsidP="000532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</w:rPr>
            </w:pPr>
            <w:proofErr w:type="spellStart"/>
            <w:r w:rsidRPr="001D616F">
              <w:rPr>
                <w:rFonts w:ascii="Times New Roman" w:eastAsia="Times New Roman" w:hAnsi="Times New Roman" w:cs="Times New Roman"/>
                <w:b w:val="0"/>
                <w:color w:val="auto"/>
                <w:sz w:val="20"/>
              </w:rPr>
              <w:t>Clopidogrel</w:t>
            </w:r>
            <w:proofErr w:type="spellEnd"/>
            <w:r w:rsidRPr="001D616F">
              <w:rPr>
                <w:rFonts w:ascii="Times New Roman" w:eastAsia="Times New Roman" w:hAnsi="Times New Roman" w:cs="Times New Roman"/>
                <w:b w:val="0"/>
                <w:color w:val="auto"/>
                <w:sz w:val="20"/>
              </w:rPr>
              <w:t xml:space="preserve"> </w:t>
            </w:r>
            <w:proofErr w:type="spellStart"/>
            <w:r w:rsidRPr="001D616F">
              <w:rPr>
                <w:rFonts w:ascii="Times New Roman" w:eastAsia="Times New Roman" w:hAnsi="Times New Roman" w:cs="Times New Roman"/>
                <w:b w:val="0"/>
                <w:color w:val="auto"/>
                <w:sz w:val="20"/>
              </w:rPr>
              <w:t>bisulphate</w:t>
            </w:r>
            <w:proofErr w:type="spellEnd"/>
          </w:p>
        </w:tc>
        <w:tc>
          <w:tcPr>
            <w:tcW w:w="1540" w:type="dxa"/>
            <w:shd w:val="clear" w:color="auto" w:fill="FFFFFF" w:themeFill="background1"/>
          </w:tcPr>
          <w:p w:rsidR="0005329D" w:rsidRPr="001D616F" w:rsidRDefault="0005329D" w:rsidP="0005329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3.8</w:t>
            </w:r>
          </w:p>
        </w:tc>
        <w:tc>
          <w:tcPr>
            <w:tcW w:w="1540" w:type="dxa"/>
            <w:shd w:val="clear" w:color="auto" w:fill="FFFFFF" w:themeFill="background1"/>
          </w:tcPr>
          <w:p w:rsidR="0005329D" w:rsidRPr="001D616F" w:rsidRDefault="0005329D" w:rsidP="0005329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1037.18</w:t>
            </w:r>
          </w:p>
        </w:tc>
        <w:tc>
          <w:tcPr>
            <w:tcW w:w="1540" w:type="dxa"/>
            <w:shd w:val="clear" w:color="auto" w:fill="FFFFFF" w:themeFill="background1"/>
          </w:tcPr>
          <w:p w:rsidR="0005329D" w:rsidRPr="001D616F" w:rsidRDefault="0005329D" w:rsidP="0005329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100</w:t>
            </w:r>
          </w:p>
        </w:tc>
        <w:tc>
          <w:tcPr>
            <w:tcW w:w="1541" w:type="dxa"/>
            <w:shd w:val="clear" w:color="auto" w:fill="FFFFFF" w:themeFill="background1"/>
          </w:tcPr>
          <w:p w:rsidR="0005329D" w:rsidRPr="001D616F" w:rsidRDefault="0005329D" w:rsidP="0005329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6073</w:t>
            </w:r>
          </w:p>
        </w:tc>
        <w:tc>
          <w:tcPr>
            <w:tcW w:w="1541" w:type="dxa"/>
            <w:shd w:val="clear" w:color="auto" w:fill="FFFFFF" w:themeFill="background1"/>
          </w:tcPr>
          <w:p w:rsidR="0005329D" w:rsidRPr="001D616F" w:rsidRDefault="0005329D" w:rsidP="0005329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20"/>
              </w:rPr>
              <w:t>1.63</w:t>
            </w:r>
          </w:p>
        </w:tc>
      </w:tr>
    </w:tbl>
    <w:p w:rsidR="00E51BE7" w:rsidRPr="001D616F" w:rsidRDefault="00E51BE7" w:rsidP="000532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E51BE7" w:rsidRPr="001D616F" w:rsidRDefault="00332F4A" w:rsidP="00506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1D616F">
        <w:rPr>
          <w:rFonts w:ascii="Times New Roman" w:eastAsia="Times New Roman" w:hAnsi="Times New Roman" w:cs="Times New Roman"/>
          <w:b/>
          <w:bCs/>
          <w:sz w:val="20"/>
        </w:rPr>
        <w:t>Linearity</w:t>
      </w:r>
    </w:p>
    <w:p w:rsidR="00332F4A" w:rsidRPr="001D616F" w:rsidRDefault="00332F4A" w:rsidP="0050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1D616F">
        <w:rPr>
          <w:rFonts w:ascii="Times New Roman" w:eastAsia="Times New Roman" w:hAnsi="Times New Roman" w:cs="Times New Roman"/>
          <w:sz w:val="20"/>
        </w:rPr>
        <w:t>The linear response was found in a concentration range of 50-150 µg/ml. The lin</w:t>
      </w:r>
      <w:r w:rsidR="00DD4AE9" w:rsidRPr="001D616F">
        <w:rPr>
          <w:rFonts w:ascii="Times New Roman" w:eastAsia="Times New Roman" w:hAnsi="Times New Roman" w:cs="Times New Roman"/>
          <w:sz w:val="20"/>
        </w:rPr>
        <w:t>earity plot is drawn in figure 3</w:t>
      </w:r>
      <w:r w:rsidRPr="001D616F">
        <w:rPr>
          <w:rFonts w:ascii="Times New Roman" w:eastAsia="Times New Roman" w:hAnsi="Times New Roman" w:cs="Times New Roman"/>
          <w:sz w:val="20"/>
        </w:rPr>
        <w:t xml:space="preserve"> and </w:t>
      </w:r>
      <w:r w:rsidRPr="001D616F">
        <w:rPr>
          <w:rFonts w:ascii="Times New Roman" w:hAnsi="Times New Roman" w:cs="Times New Roman"/>
          <w:sz w:val="20"/>
        </w:rPr>
        <w:t>the correlation co-efficient (r</w:t>
      </w:r>
      <w:r w:rsidRPr="001D616F">
        <w:rPr>
          <w:rFonts w:ascii="Times New Roman" w:hAnsi="Times New Roman" w:cs="Times New Roman"/>
          <w:sz w:val="20"/>
          <w:vertAlign w:val="superscript"/>
        </w:rPr>
        <w:t>2</w:t>
      </w:r>
      <w:r w:rsidRPr="001D616F">
        <w:rPr>
          <w:rFonts w:ascii="Times New Roman" w:hAnsi="Times New Roman" w:cs="Times New Roman"/>
          <w:sz w:val="20"/>
        </w:rPr>
        <w:t>)</w:t>
      </w:r>
      <w:proofErr w:type="gramStart"/>
      <w:r w:rsidRPr="001D616F">
        <w:rPr>
          <w:rFonts w:ascii="Times New Roman" w:hAnsi="Times New Roman" w:cs="Times New Roman"/>
          <w:sz w:val="20"/>
        </w:rPr>
        <w:t>,</w:t>
      </w:r>
      <w:proofErr w:type="gramEnd"/>
      <w:r w:rsidRPr="001D616F">
        <w:rPr>
          <w:rFonts w:ascii="Times New Roman" w:hAnsi="Times New Roman" w:cs="Times New Roman"/>
          <w:sz w:val="20"/>
        </w:rPr>
        <w:t xml:space="preserve"> y-intercept and slope of regression line were found to be 0.999, 9.521, -2.834 respectively and recorded in Table 2</w:t>
      </w:r>
      <w:r w:rsidR="00E51BE7" w:rsidRPr="001D616F">
        <w:rPr>
          <w:rFonts w:ascii="Times New Roman" w:hAnsi="Times New Roman" w:cs="Times New Roman"/>
          <w:sz w:val="20"/>
        </w:rPr>
        <w:t>.</w:t>
      </w:r>
      <w:r w:rsidRPr="001D616F">
        <w:rPr>
          <w:rFonts w:ascii="Times New Roman" w:eastAsia="Times New Roman" w:hAnsi="Times New Roman" w:cs="Times New Roman"/>
          <w:sz w:val="20"/>
        </w:rPr>
        <w:t xml:space="preserve"> </w:t>
      </w:r>
    </w:p>
    <w:p w:rsidR="005069CB" w:rsidRPr="001D616F" w:rsidRDefault="005069CB" w:rsidP="00506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332F4A" w:rsidRPr="001D616F" w:rsidRDefault="00332F4A" w:rsidP="00332F4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1D616F">
        <w:rPr>
          <w:rFonts w:ascii="Times New Roman" w:eastAsia="Times New Roman" w:hAnsi="Times New Roman" w:cs="Times New Roman"/>
          <w:b/>
          <w:bCs/>
          <w:noProof/>
          <w:sz w:val="20"/>
          <w:lang w:val="ms-MY" w:eastAsia="ko-KR" w:bidi="ar-SA"/>
        </w:rPr>
        <w:drawing>
          <wp:inline distT="0" distB="0" distL="0" distR="0" wp14:anchorId="0AD22C46" wp14:editId="3BF93D64">
            <wp:extent cx="3971925" cy="2381250"/>
            <wp:effectExtent l="0" t="0" r="0" b="0"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32F4A" w:rsidRPr="001D616F" w:rsidRDefault="00332F4A" w:rsidP="00332F4A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eastAsia="Times New Roman" w:hAnsi="Times New Roman" w:cs="Times New Roman"/>
          <w:sz w:val="18"/>
          <w:szCs w:val="18"/>
        </w:rPr>
        <w:t>Figure 3.</w:t>
      </w:r>
      <w:proofErr w:type="gram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5069CB" w:rsidRPr="001D616F">
        <w:rPr>
          <w:rFonts w:ascii="Times New Roman" w:eastAsia="Times New Roman" w:hAnsi="Times New Roman" w:cs="Times New Roman"/>
          <w:sz w:val="18"/>
          <w:szCs w:val="18"/>
        </w:rPr>
        <w:t xml:space="preserve">Calibration curve of </w:t>
      </w:r>
      <w:proofErr w:type="spellStart"/>
      <w:r w:rsidR="005069CB" w:rsidRPr="001D616F">
        <w:rPr>
          <w:rFonts w:ascii="Times New Roman" w:eastAsia="Times New Roman" w:hAnsi="Times New Roman" w:cs="Times New Roman"/>
          <w:sz w:val="18"/>
          <w:szCs w:val="18"/>
        </w:rPr>
        <w:t>c</w:t>
      </w:r>
      <w:r w:rsidR="0005329D" w:rsidRPr="001D616F">
        <w:rPr>
          <w:rFonts w:ascii="Times New Roman" w:eastAsia="Times New Roman" w:hAnsi="Times New Roman" w:cs="Times New Roman"/>
          <w:sz w:val="18"/>
          <w:szCs w:val="18"/>
        </w:rPr>
        <w:t>lopidogrel</w:t>
      </w:r>
      <w:proofErr w:type="spellEnd"/>
      <w:r w:rsidR="0005329D" w:rsidRPr="001D61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05329D" w:rsidRPr="001D616F">
        <w:rPr>
          <w:rFonts w:ascii="Times New Roman" w:eastAsia="Times New Roman" w:hAnsi="Times New Roman" w:cs="Times New Roman"/>
          <w:sz w:val="18"/>
          <w:szCs w:val="18"/>
        </w:rPr>
        <w:t>bisulphate</w:t>
      </w:r>
      <w:proofErr w:type="spell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5329D" w:rsidRPr="001D616F">
        <w:rPr>
          <w:rFonts w:ascii="Times New Roman" w:eastAsia="Times New Roman" w:hAnsi="Times New Roman" w:cs="Times New Roman"/>
          <w:sz w:val="18"/>
          <w:szCs w:val="18"/>
        </w:rPr>
        <w:t>at 220 nm</w:t>
      </w:r>
      <w:r w:rsidR="005069CB" w:rsidRPr="001D616F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5069CB" w:rsidRPr="001D616F" w:rsidRDefault="005069CB" w:rsidP="005069CB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eastAsia="Times New Roman" w:hAnsi="Times New Roman" w:cs="Times New Roman"/>
          <w:sz w:val="18"/>
          <w:szCs w:val="18"/>
        </w:rPr>
        <w:lastRenderedPageBreak/>
        <w:t>Table 2.</w:t>
      </w:r>
      <w:proofErr w:type="gram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Linearity study </w:t>
      </w:r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for </w:t>
      </w:r>
      <w:proofErr w:type="spellStart"/>
      <w:r w:rsidRPr="001D616F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1D616F">
        <w:rPr>
          <w:rFonts w:ascii="Times New Roman" w:eastAsia="Times New Roman" w:hAnsi="Times New Roman" w:cs="Times New Roman"/>
          <w:sz w:val="18"/>
          <w:szCs w:val="18"/>
        </w:rPr>
        <w:t>lopidogrel</w:t>
      </w:r>
      <w:proofErr w:type="spell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eastAsia="Times New Roman" w:hAnsi="Times New Roman" w:cs="Times New Roman"/>
          <w:sz w:val="18"/>
          <w:szCs w:val="18"/>
        </w:rPr>
        <w:t>bisulphate</w:t>
      </w:r>
      <w:proofErr w:type="spellEnd"/>
    </w:p>
    <w:tbl>
      <w:tblPr>
        <w:tblStyle w:val="LightShading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D616F" w:rsidRPr="001D616F" w:rsidTr="00053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Inj</w:t>
            </w:r>
            <w:r w:rsidR="005069CB"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ection</w:t>
            </w: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No</w:t>
            </w:r>
            <w:r w:rsidR="005069CB"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Conc</w:t>
            </w:r>
            <w:r w:rsidR="005069CB"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entration</w:t>
            </w: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(µg/ml)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Area</w:t>
            </w:r>
          </w:p>
        </w:tc>
      </w:tr>
      <w:tr w:rsidR="001D616F" w:rsidRPr="001D616F" w:rsidTr="0005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shd w:val="clear" w:color="auto" w:fill="FFFFFF" w:themeFill="background1"/>
          </w:tcPr>
          <w:p w:rsidR="0005329D" w:rsidRPr="001D616F" w:rsidRDefault="0005329D" w:rsidP="0005329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05329D" w:rsidRPr="001D616F" w:rsidRDefault="0005329D" w:rsidP="00332F4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467.510</w:t>
            </w:r>
          </w:p>
        </w:tc>
      </w:tr>
      <w:tr w:rsidR="001D616F" w:rsidRPr="001D616F" w:rsidTr="00053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75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715.577</w:t>
            </w:r>
          </w:p>
        </w:tc>
      </w:tr>
      <w:tr w:rsidR="001D616F" w:rsidRPr="001D616F" w:rsidTr="0005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954.103</w:t>
            </w:r>
          </w:p>
        </w:tc>
      </w:tr>
      <w:tr w:rsidR="001D616F" w:rsidRPr="001D616F" w:rsidTr="00053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125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1187.576</w:t>
            </w:r>
          </w:p>
        </w:tc>
      </w:tr>
      <w:tr w:rsidR="001D616F" w:rsidRPr="001D616F" w:rsidTr="0005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150</w:t>
            </w:r>
          </w:p>
        </w:tc>
        <w:tc>
          <w:tcPr>
            <w:tcW w:w="3081" w:type="dxa"/>
            <w:shd w:val="clear" w:color="auto" w:fill="FFFFFF" w:themeFill="background1"/>
          </w:tcPr>
          <w:p w:rsidR="0005329D" w:rsidRPr="001D616F" w:rsidRDefault="0005329D" w:rsidP="0033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1421.576</w:t>
            </w:r>
          </w:p>
        </w:tc>
      </w:tr>
    </w:tbl>
    <w:p w:rsidR="0005329D" w:rsidRPr="001D616F" w:rsidRDefault="0005329D" w:rsidP="0005329D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332F4A" w:rsidRPr="001D616F" w:rsidRDefault="00332F4A" w:rsidP="005069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1D616F">
        <w:rPr>
          <w:rFonts w:ascii="Times New Roman" w:eastAsia="Times New Roman" w:hAnsi="Times New Roman" w:cs="Times New Roman"/>
          <w:b/>
          <w:bCs/>
          <w:sz w:val="20"/>
        </w:rPr>
        <w:t>Accuracy</w:t>
      </w:r>
    </w:p>
    <w:p w:rsidR="00332F4A" w:rsidRPr="001D616F" w:rsidRDefault="00332F4A" w:rsidP="005069C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The accuracy was </w:t>
      </w:r>
      <w:r w:rsidR="005069CB" w:rsidRPr="001D616F">
        <w:rPr>
          <w:rFonts w:ascii="Times New Roman" w:hAnsi="Times New Roman" w:cs="Times New Roman"/>
          <w:sz w:val="20"/>
        </w:rPr>
        <w:t>determined at three levels: 80, 100</w:t>
      </w:r>
      <w:r w:rsidRPr="001D616F">
        <w:rPr>
          <w:rFonts w:ascii="Times New Roman" w:hAnsi="Times New Roman" w:cs="Times New Roman"/>
          <w:sz w:val="20"/>
        </w:rPr>
        <w:t xml:space="preserve"> and 120</w:t>
      </w:r>
      <w:r w:rsidR="005069CB" w:rsidRPr="001D616F">
        <w:rPr>
          <w:rFonts w:ascii="Times New Roman" w:hAnsi="Times New Roman" w:cs="Times New Roman"/>
          <w:sz w:val="20"/>
        </w:rPr>
        <w:t xml:space="preserve"> </w:t>
      </w:r>
      <w:r w:rsidRPr="001D616F">
        <w:rPr>
          <w:rFonts w:ascii="Times New Roman" w:hAnsi="Times New Roman" w:cs="Times New Roman"/>
          <w:sz w:val="20"/>
        </w:rPr>
        <w:t>%. Fr</w:t>
      </w:r>
      <w:r w:rsidR="005069CB" w:rsidRPr="001D616F">
        <w:rPr>
          <w:rFonts w:ascii="Times New Roman" w:hAnsi="Times New Roman" w:cs="Times New Roman"/>
          <w:sz w:val="20"/>
        </w:rPr>
        <w:t xml:space="preserve">om the peak area of the drug, percentage </w:t>
      </w:r>
      <w:r w:rsidRPr="001D616F">
        <w:rPr>
          <w:rFonts w:ascii="Times New Roman" w:hAnsi="Times New Roman" w:cs="Times New Roman"/>
          <w:sz w:val="20"/>
        </w:rPr>
        <w:t>recovery</w:t>
      </w:r>
      <w:r w:rsidR="005069CB" w:rsidRPr="001D616F">
        <w:rPr>
          <w:rFonts w:ascii="Times New Roman" w:hAnsi="Times New Roman" w:cs="Times New Roman"/>
          <w:sz w:val="20"/>
        </w:rPr>
        <w:t xml:space="preserve"> (%)</w:t>
      </w:r>
      <w:r w:rsidRPr="001D616F">
        <w:rPr>
          <w:rFonts w:ascii="Times New Roman" w:hAnsi="Times New Roman" w:cs="Times New Roman"/>
          <w:sz w:val="20"/>
        </w:rPr>
        <w:t xml:space="preserve"> was calculated for 80, 100 and 120</w:t>
      </w:r>
      <w:r w:rsidR="005069CB" w:rsidRPr="001D616F">
        <w:rPr>
          <w:rFonts w:ascii="Times New Roman" w:hAnsi="Times New Roman" w:cs="Times New Roman"/>
          <w:sz w:val="20"/>
        </w:rPr>
        <w:t xml:space="preserve"> </w:t>
      </w:r>
      <w:r w:rsidRPr="001D616F">
        <w:rPr>
          <w:rFonts w:ascii="Times New Roman" w:hAnsi="Times New Roman" w:cs="Times New Roman"/>
          <w:sz w:val="20"/>
        </w:rPr>
        <w:t>%, which are 99.78, 101.54 and 100.70</w:t>
      </w:r>
      <w:r w:rsidR="005069CB" w:rsidRPr="001D616F">
        <w:rPr>
          <w:rFonts w:ascii="Times New Roman" w:hAnsi="Times New Roman" w:cs="Times New Roman"/>
          <w:sz w:val="20"/>
        </w:rPr>
        <w:t xml:space="preserve"> % respectively. Percentage r</w:t>
      </w:r>
      <w:r w:rsidR="00DD4AE9" w:rsidRPr="001D616F">
        <w:rPr>
          <w:rFonts w:ascii="Times New Roman" w:hAnsi="Times New Roman" w:cs="Times New Roman"/>
          <w:sz w:val="20"/>
        </w:rPr>
        <w:t>ecovery</w:t>
      </w:r>
      <w:r w:rsidRPr="001D616F">
        <w:rPr>
          <w:rFonts w:ascii="Times New Roman" w:hAnsi="Times New Roman" w:cs="Times New Roman"/>
          <w:sz w:val="20"/>
        </w:rPr>
        <w:t xml:space="preserve"> was found</w:t>
      </w:r>
      <w:r w:rsidR="00DD4AE9" w:rsidRPr="001D616F">
        <w:rPr>
          <w:rFonts w:ascii="Times New Roman" w:hAnsi="Times New Roman" w:cs="Times New Roman"/>
          <w:sz w:val="20"/>
        </w:rPr>
        <w:t xml:space="preserve"> to be</w:t>
      </w:r>
      <w:r w:rsidRPr="001D616F">
        <w:rPr>
          <w:rFonts w:ascii="Times New Roman" w:hAnsi="Times New Roman" w:cs="Times New Roman"/>
          <w:sz w:val="20"/>
        </w:rPr>
        <w:t xml:space="preserve"> in the limit of 98 – 102 % and recorded in Table 3</w:t>
      </w:r>
      <w:r w:rsidR="000B1F66" w:rsidRPr="001D616F">
        <w:rPr>
          <w:rFonts w:ascii="Times New Roman" w:hAnsi="Times New Roman" w:cs="Times New Roman"/>
          <w:sz w:val="20"/>
        </w:rPr>
        <w:t>. Hence, the method termed as a</w:t>
      </w:r>
      <w:r w:rsidRPr="001D616F">
        <w:rPr>
          <w:rFonts w:ascii="Times New Roman" w:hAnsi="Times New Roman" w:cs="Times New Roman"/>
          <w:sz w:val="20"/>
        </w:rPr>
        <w:t>ccurate.</w:t>
      </w:r>
    </w:p>
    <w:p w:rsidR="00332F4A" w:rsidRPr="001D616F" w:rsidRDefault="00332F4A" w:rsidP="00332F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5069CB" w:rsidRPr="001D616F" w:rsidRDefault="005069CB" w:rsidP="005069CB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eastAsia="Times New Roman" w:hAnsi="Times New Roman" w:cs="Times New Roman"/>
          <w:sz w:val="18"/>
          <w:szCs w:val="18"/>
        </w:rPr>
        <w:t>Table 3</w:t>
      </w:r>
      <w:r w:rsidRPr="001D616F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Accuracy study</w:t>
      </w:r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for </w:t>
      </w:r>
      <w:proofErr w:type="spellStart"/>
      <w:r w:rsidRPr="001D616F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1D616F">
        <w:rPr>
          <w:rFonts w:ascii="Times New Roman" w:eastAsia="Times New Roman" w:hAnsi="Times New Roman" w:cs="Times New Roman"/>
          <w:sz w:val="18"/>
          <w:szCs w:val="18"/>
        </w:rPr>
        <w:t>lopidogrel</w:t>
      </w:r>
      <w:proofErr w:type="spell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eastAsia="Times New Roman" w:hAnsi="Times New Roman" w:cs="Times New Roman"/>
          <w:sz w:val="18"/>
          <w:szCs w:val="18"/>
        </w:rPr>
        <w:t>bisulphate</w:t>
      </w:r>
      <w:proofErr w:type="spellEnd"/>
    </w:p>
    <w:tbl>
      <w:tblPr>
        <w:tblW w:w="5000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70"/>
        <w:gridCol w:w="1114"/>
        <w:gridCol w:w="1312"/>
        <w:gridCol w:w="1621"/>
        <w:gridCol w:w="1551"/>
        <w:gridCol w:w="996"/>
        <w:gridCol w:w="1078"/>
      </w:tblGrid>
      <w:tr w:rsidR="001D616F" w:rsidRPr="001D616F" w:rsidTr="000B1F66">
        <w:trPr>
          <w:trHeight w:val="839"/>
          <w:jc w:val="center"/>
        </w:trPr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Accuracy level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5069CB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Amount </w:t>
            </w:r>
            <w:r w:rsidR="00332F4A"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added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5069CB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Amount </w:t>
            </w:r>
            <w:r w:rsidR="00332F4A"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recovered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5069CB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Recovery (Mean</w:t>
            </w:r>
            <w:r w:rsidR="00332F4A"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RSD</w:t>
            </w: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80%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1708.768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80.66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99.78 %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5.71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0.336</w:t>
            </w: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6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1696.497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79.39</w:t>
            </w:r>
          </w:p>
        </w:tc>
        <w:tc>
          <w:tcPr>
            <w:tcW w:w="8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6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1696.798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79.42</w:t>
            </w:r>
          </w:p>
        </w:tc>
        <w:tc>
          <w:tcPr>
            <w:tcW w:w="8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1913.944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101.90</w:t>
            </w:r>
          </w:p>
        </w:tc>
        <w:tc>
          <w:tcPr>
            <w:tcW w:w="8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101.54 % </w:t>
            </w:r>
          </w:p>
        </w:tc>
        <w:tc>
          <w:tcPr>
            <w:tcW w:w="5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4.94</w:t>
            </w:r>
          </w:p>
        </w:tc>
        <w:tc>
          <w:tcPr>
            <w:tcW w:w="5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0.258</w:t>
            </w: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1903.472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100.82</w:t>
            </w:r>
          </w:p>
        </w:tc>
        <w:tc>
          <w:tcPr>
            <w:tcW w:w="8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1913.944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101.90</w:t>
            </w:r>
          </w:p>
        </w:tc>
        <w:tc>
          <w:tcPr>
            <w:tcW w:w="8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120%</w:t>
            </w:r>
          </w:p>
        </w:tc>
        <w:tc>
          <w:tcPr>
            <w:tcW w:w="6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2098.46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121.00</w:t>
            </w:r>
          </w:p>
        </w:tc>
        <w:tc>
          <w:tcPr>
            <w:tcW w:w="8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100.70 %</w:t>
            </w:r>
          </w:p>
        </w:tc>
        <w:tc>
          <w:tcPr>
            <w:tcW w:w="5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5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0.525</w:t>
            </w: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120%</w:t>
            </w:r>
          </w:p>
        </w:tc>
        <w:tc>
          <w:tcPr>
            <w:tcW w:w="6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2082.636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119.36</w:t>
            </w:r>
          </w:p>
        </w:tc>
        <w:tc>
          <w:tcPr>
            <w:tcW w:w="8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B1F66">
        <w:trPr>
          <w:trHeight w:val="334"/>
          <w:jc w:val="center"/>
        </w:trPr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120%</w:t>
            </w:r>
          </w:p>
        </w:tc>
        <w:tc>
          <w:tcPr>
            <w:tcW w:w="60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2109.498</w:t>
            </w:r>
          </w:p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eastAsia="Times New Roman" w:hAnsi="Times New Roman" w:cs="Times New Roman"/>
                <w:sz w:val="18"/>
                <w:szCs w:val="18"/>
              </w:rPr>
              <w:t>122.14</w:t>
            </w:r>
          </w:p>
        </w:tc>
        <w:tc>
          <w:tcPr>
            <w:tcW w:w="8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32F4A" w:rsidRPr="001D616F" w:rsidRDefault="00332F4A" w:rsidP="001A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069CB" w:rsidRPr="001D616F" w:rsidRDefault="00332F4A" w:rsidP="005069CB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20"/>
        </w:rPr>
        <w:t>*average of three determinations</w:t>
      </w:r>
    </w:p>
    <w:p w:rsidR="005069CB" w:rsidRPr="001D616F" w:rsidRDefault="00332F4A" w:rsidP="005069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eastAsia="Times New Roman" w:hAnsi="Times New Roman" w:cs="Times New Roman"/>
          <w:b/>
          <w:bCs/>
          <w:sz w:val="20"/>
        </w:rPr>
        <w:t>Precision</w:t>
      </w:r>
    </w:p>
    <w:p w:rsidR="005069CB" w:rsidRPr="001D616F" w:rsidRDefault="00332F4A" w:rsidP="005069CB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20"/>
        </w:rPr>
        <w:t>The precision expressed as standard deviation or Relative standard deviation.</w:t>
      </w:r>
      <w:r w:rsidR="00DD4AE9" w:rsidRPr="001D616F">
        <w:rPr>
          <w:rFonts w:ascii="Times New Roman" w:hAnsi="Times New Roman" w:cs="Times New Roman"/>
          <w:sz w:val="20"/>
        </w:rPr>
        <w:t xml:space="preserve"> </w:t>
      </w:r>
    </w:p>
    <w:p w:rsidR="005069CB" w:rsidRPr="001D616F" w:rsidRDefault="00332F4A" w:rsidP="005069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b/>
          <w:bCs/>
          <w:sz w:val="20"/>
        </w:rPr>
        <w:t>Intraday Precision</w:t>
      </w:r>
    </w:p>
    <w:p w:rsidR="00332F4A" w:rsidRPr="001D616F" w:rsidRDefault="00332F4A" w:rsidP="005069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20"/>
        </w:rPr>
        <w:t xml:space="preserve">In this study, six injections of standard solution </w:t>
      </w:r>
      <w:proofErr w:type="gramStart"/>
      <w:r w:rsidRPr="001D616F">
        <w:rPr>
          <w:rFonts w:ascii="Times New Roman" w:hAnsi="Times New Roman" w:cs="Times New Roman"/>
          <w:sz w:val="20"/>
        </w:rPr>
        <w:t xml:space="preserve">of </w:t>
      </w:r>
      <w:r w:rsidR="005069CB" w:rsidRPr="001D616F">
        <w:rPr>
          <w:rFonts w:ascii="Times New Roman" w:hAnsi="Times New Roman" w:cs="Times New Roman"/>
          <w:sz w:val="20"/>
        </w:rPr>
        <w:t xml:space="preserve"> </w:t>
      </w:r>
      <w:r w:rsidRPr="001D616F">
        <w:rPr>
          <w:rFonts w:ascii="Times New Roman" w:hAnsi="Times New Roman" w:cs="Times New Roman"/>
          <w:sz w:val="20"/>
        </w:rPr>
        <w:t>100</w:t>
      </w:r>
      <w:proofErr w:type="gramEnd"/>
      <w:r w:rsidRPr="001D616F">
        <w:rPr>
          <w:rFonts w:ascii="Times New Roman" w:hAnsi="Times New Roman" w:cs="Times New Roman"/>
          <w:sz w:val="20"/>
        </w:rPr>
        <w:t xml:space="preserve"> µg/ml were injected into the chromatographic system in different time intervals within a day. % RSD for retention time was found to be 0.768 and for area 1.88, which are within limit of % RSD not more than 2 and recorded in Table 4.</w:t>
      </w:r>
    </w:p>
    <w:p w:rsidR="005069CB" w:rsidRPr="001D616F" w:rsidRDefault="005069CB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069CB" w:rsidRPr="001D616F" w:rsidRDefault="005069CB" w:rsidP="0050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proofErr w:type="spellStart"/>
      <w:r w:rsidRPr="001D616F">
        <w:rPr>
          <w:rFonts w:ascii="Times New Roman" w:hAnsi="Times New Roman" w:cs="Times New Roman"/>
          <w:b/>
          <w:bCs/>
          <w:sz w:val="20"/>
        </w:rPr>
        <w:t>Interday</w:t>
      </w:r>
      <w:proofErr w:type="spellEnd"/>
      <w:r w:rsidRPr="001D616F">
        <w:rPr>
          <w:rFonts w:ascii="Times New Roman" w:hAnsi="Times New Roman" w:cs="Times New Roman"/>
          <w:b/>
          <w:bCs/>
          <w:sz w:val="20"/>
        </w:rPr>
        <w:t xml:space="preserve"> Precision</w:t>
      </w:r>
    </w:p>
    <w:p w:rsidR="005069CB" w:rsidRPr="001D616F" w:rsidRDefault="005069CB" w:rsidP="0050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In this study, six injections of standard solution </w:t>
      </w:r>
      <w:proofErr w:type="gramStart"/>
      <w:r w:rsidRPr="001D616F">
        <w:rPr>
          <w:rFonts w:ascii="Times New Roman" w:hAnsi="Times New Roman" w:cs="Times New Roman"/>
          <w:sz w:val="20"/>
        </w:rPr>
        <w:t>of 100 µg/ml</w:t>
      </w:r>
      <w:proofErr w:type="gramEnd"/>
      <w:r w:rsidRPr="001D616F">
        <w:rPr>
          <w:rFonts w:ascii="Times New Roman" w:hAnsi="Times New Roman" w:cs="Times New Roman"/>
          <w:sz w:val="20"/>
        </w:rPr>
        <w:t xml:space="preserve"> were injected into the chromatographic system at different days. % RSD for retention time and for area was found to be 0.863 and 1.99 respectively, % RSD NMT 2 and recorded in Table 5.</w:t>
      </w:r>
    </w:p>
    <w:p w:rsidR="005069CB" w:rsidRPr="001D616F" w:rsidRDefault="005069CB" w:rsidP="000532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5069CB" w:rsidRPr="001D616F" w:rsidRDefault="005069CB" w:rsidP="000532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5069CB" w:rsidRPr="001D616F" w:rsidRDefault="005069CB" w:rsidP="000532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5069CB" w:rsidRPr="001D616F" w:rsidRDefault="005069CB" w:rsidP="000532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5069CB" w:rsidRPr="001D616F" w:rsidRDefault="005069CB" w:rsidP="00506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proofErr w:type="gramStart"/>
      <w:r w:rsidRPr="001D616F">
        <w:rPr>
          <w:rFonts w:ascii="Times New Roman" w:hAnsi="Times New Roman" w:cs="Times New Roman"/>
          <w:sz w:val="18"/>
          <w:szCs w:val="18"/>
        </w:rPr>
        <w:lastRenderedPageBreak/>
        <w:t>Table 4.</w:t>
      </w:r>
      <w:proofErr w:type="gramEnd"/>
      <w:r w:rsidRPr="001D616F">
        <w:rPr>
          <w:rFonts w:ascii="Times New Roman" w:hAnsi="Times New Roman" w:cs="Times New Roman"/>
          <w:sz w:val="18"/>
          <w:szCs w:val="18"/>
        </w:rPr>
        <w:t xml:space="preserve"> Intraday p</w:t>
      </w:r>
      <w:r w:rsidRPr="001D616F">
        <w:rPr>
          <w:rFonts w:ascii="Times New Roman" w:hAnsi="Times New Roman" w:cs="Times New Roman"/>
          <w:sz w:val="18"/>
          <w:szCs w:val="18"/>
        </w:rPr>
        <w:t>recision</w:t>
      </w:r>
      <w:r w:rsidRPr="001D616F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</w:t>
      </w:r>
      <w:r w:rsidRPr="001D616F">
        <w:rPr>
          <w:rFonts w:ascii="Times New Roman" w:hAnsi="Times New Roman" w:cs="Times New Roman"/>
          <w:sz w:val="18"/>
          <w:szCs w:val="18"/>
        </w:rPr>
        <w:t>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</w:p>
    <w:p w:rsidR="00332F4A" w:rsidRPr="001D616F" w:rsidRDefault="00332F4A" w:rsidP="0033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3360"/>
        <w:gridCol w:w="2841"/>
      </w:tblGrid>
      <w:tr w:rsidR="001D616F" w:rsidRPr="001D616F" w:rsidTr="005069CB">
        <w:trPr>
          <w:jc w:val="center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Injection No.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Retention Time</w:t>
            </w:r>
            <w:r w:rsidR="0005329D"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(min)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3.810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952.166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60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3.780</w:t>
            </w:r>
          </w:p>
        </w:tc>
        <w:tc>
          <w:tcPr>
            <w:tcW w:w="2841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950.675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60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3.780</w:t>
            </w:r>
          </w:p>
        </w:tc>
        <w:tc>
          <w:tcPr>
            <w:tcW w:w="2841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949.230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60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3.847</w:t>
            </w:r>
          </w:p>
        </w:tc>
        <w:tc>
          <w:tcPr>
            <w:tcW w:w="2841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975.080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60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3.853</w:t>
            </w:r>
          </w:p>
        </w:tc>
        <w:tc>
          <w:tcPr>
            <w:tcW w:w="2841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990.675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60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3.830</w:t>
            </w:r>
          </w:p>
        </w:tc>
        <w:tc>
          <w:tcPr>
            <w:tcW w:w="2841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950.788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3360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3.817</w:t>
            </w:r>
          </w:p>
        </w:tc>
        <w:tc>
          <w:tcPr>
            <w:tcW w:w="2841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959.135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3360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2841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</w:tr>
      <w:tr w:rsidR="001D616F" w:rsidRPr="001D616F" w:rsidTr="005069CB">
        <w:trPr>
          <w:jc w:val="center"/>
        </w:trPr>
        <w:tc>
          <w:tcPr>
            <w:tcW w:w="3041" w:type="dxa"/>
            <w:tcBorders>
              <w:bottom w:val="single" w:sz="4" w:space="0" w:color="auto"/>
            </w:tcBorders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RSD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0.768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1.88</w:t>
            </w:r>
          </w:p>
        </w:tc>
      </w:tr>
    </w:tbl>
    <w:p w:rsidR="00332F4A" w:rsidRPr="001D616F" w:rsidRDefault="00332F4A" w:rsidP="00332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069CB" w:rsidRPr="001D616F" w:rsidRDefault="005069CB" w:rsidP="00506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32F4A" w:rsidRPr="001D616F" w:rsidRDefault="005069CB" w:rsidP="00506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hAnsi="Times New Roman" w:cs="Times New Roman"/>
          <w:sz w:val="18"/>
          <w:szCs w:val="18"/>
        </w:rPr>
        <w:t>Table 5.</w:t>
      </w:r>
      <w:proofErr w:type="gram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Interday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Precision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</w:p>
    <w:p w:rsidR="00332F4A" w:rsidRPr="001D616F" w:rsidRDefault="00332F4A" w:rsidP="0033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320"/>
        <w:gridCol w:w="2876"/>
      </w:tblGrid>
      <w:tr w:rsidR="001D616F" w:rsidRPr="001D616F" w:rsidTr="005069CB">
        <w:trPr>
          <w:jc w:val="center"/>
        </w:trPr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Injection No.</w:t>
            </w: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Retention Time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  <w:tcBorders>
              <w:top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6" w:type="pct"/>
            <w:tcBorders>
              <w:top w:val="single" w:sz="4" w:space="0" w:color="auto"/>
            </w:tcBorders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3.810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952.166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6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3.780</w:t>
            </w:r>
          </w:p>
        </w:tc>
        <w:tc>
          <w:tcPr>
            <w:tcW w:w="1557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936.951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6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3.780</w:t>
            </w:r>
          </w:p>
        </w:tc>
        <w:tc>
          <w:tcPr>
            <w:tcW w:w="1557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949.230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6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3.853</w:t>
            </w:r>
          </w:p>
        </w:tc>
        <w:tc>
          <w:tcPr>
            <w:tcW w:w="1557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995.554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6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3.863</w:t>
            </w:r>
          </w:p>
        </w:tc>
        <w:tc>
          <w:tcPr>
            <w:tcW w:w="1557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1017.480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6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3.837</w:t>
            </w:r>
          </w:p>
        </w:tc>
        <w:tc>
          <w:tcPr>
            <w:tcW w:w="1557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970.751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1796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3.821</w:t>
            </w:r>
          </w:p>
        </w:tc>
        <w:tc>
          <w:tcPr>
            <w:tcW w:w="1557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969.355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796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1557" w:type="pct"/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28.96</w:t>
            </w:r>
          </w:p>
        </w:tc>
      </w:tr>
      <w:tr w:rsidR="001D616F" w:rsidRPr="001D616F" w:rsidTr="005069CB">
        <w:trPr>
          <w:jc w:val="center"/>
        </w:trPr>
        <w:tc>
          <w:tcPr>
            <w:tcW w:w="1648" w:type="pct"/>
            <w:tcBorders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RSD</w:t>
            </w:r>
          </w:p>
        </w:tc>
        <w:tc>
          <w:tcPr>
            <w:tcW w:w="1796" w:type="pct"/>
            <w:tcBorders>
              <w:bottom w:val="single" w:sz="4" w:space="0" w:color="auto"/>
            </w:tcBorders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0.863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F4A" w:rsidRPr="001D616F">
              <w:rPr>
                <w:rFonts w:ascii="Times New Roman" w:hAnsi="Times New Roman" w:cs="Times New Roman"/>
                <w:sz w:val="18"/>
                <w:szCs w:val="18"/>
              </w:rPr>
              <w:t>.99</w:t>
            </w:r>
          </w:p>
        </w:tc>
      </w:tr>
    </w:tbl>
    <w:p w:rsidR="00332F4A" w:rsidRPr="001D616F" w:rsidRDefault="00332F4A" w:rsidP="00332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32F4A" w:rsidRPr="001D616F" w:rsidRDefault="00332F4A" w:rsidP="00506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32F4A" w:rsidRPr="001D616F" w:rsidRDefault="00332F4A" w:rsidP="00506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1D616F">
        <w:rPr>
          <w:rFonts w:ascii="Times New Roman" w:eastAsia="Times New Roman" w:hAnsi="Times New Roman" w:cs="Times New Roman"/>
          <w:b/>
          <w:bCs/>
          <w:sz w:val="20"/>
        </w:rPr>
        <w:t>Robustness</w:t>
      </w:r>
    </w:p>
    <w:p w:rsidR="00332F4A" w:rsidRPr="001D616F" w:rsidRDefault="00332F4A" w:rsidP="005069C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>The robustnes</w:t>
      </w:r>
      <w:r w:rsidR="005069CB" w:rsidRPr="001D616F">
        <w:rPr>
          <w:rFonts w:ascii="Times New Roman" w:hAnsi="Times New Roman" w:cs="Times New Roman"/>
          <w:sz w:val="20"/>
        </w:rPr>
        <w:t>s was obtained by altering the f</w:t>
      </w:r>
      <w:r w:rsidRPr="001D616F">
        <w:rPr>
          <w:rFonts w:ascii="Times New Roman" w:hAnsi="Times New Roman" w:cs="Times New Roman"/>
          <w:sz w:val="20"/>
        </w:rPr>
        <w:t>low rate by 1.0 ml/min (altered flow rate 0.8 ml/min an</w:t>
      </w:r>
      <w:r w:rsidR="005069CB" w:rsidRPr="001D616F">
        <w:rPr>
          <w:rFonts w:ascii="Times New Roman" w:hAnsi="Times New Roman" w:cs="Times New Roman"/>
          <w:sz w:val="20"/>
        </w:rPr>
        <w:t>d 1.2 ml/min) pH 4.0 (altered pH</w:t>
      </w:r>
      <w:r w:rsidRPr="001D616F">
        <w:rPr>
          <w:rFonts w:ascii="Times New Roman" w:hAnsi="Times New Roman" w:cs="Times New Roman"/>
          <w:sz w:val="20"/>
        </w:rPr>
        <w:t xml:space="preserve"> 3.9 and 4.1). The results were obtained from rob</w:t>
      </w:r>
      <w:r w:rsidR="005069CB" w:rsidRPr="001D616F">
        <w:rPr>
          <w:rFonts w:ascii="Times New Roman" w:hAnsi="Times New Roman" w:cs="Times New Roman"/>
          <w:sz w:val="20"/>
        </w:rPr>
        <w:t>ustness study were calculated. Percentage</w:t>
      </w:r>
      <w:r w:rsidRPr="001D616F">
        <w:rPr>
          <w:rFonts w:ascii="Times New Roman" w:hAnsi="Times New Roman" w:cs="Times New Roman"/>
          <w:sz w:val="20"/>
        </w:rPr>
        <w:t xml:space="preserve"> RSD for flow rate and for pH were found to be 1.49 and 1.03 respectively</w:t>
      </w:r>
      <w:r w:rsidR="005069CB" w:rsidRPr="001D616F">
        <w:rPr>
          <w:rFonts w:ascii="Times New Roman" w:hAnsi="Times New Roman" w:cs="Times New Roman"/>
          <w:sz w:val="20"/>
        </w:rPr>
        <w:t>, % RSD NMT 2, and recorded in T</w:t>
      </w:r>
      <w:r w:rsidRPr="001D616F">
        <w:rPr>
          <w:rFonts w:ascii="Times New Roman" w:hAnsi="Times New Roman" w:cs="Times New Roman"/>
          <w:sz w:val="20"/>
        </w:rPr>
        <w:t>able</w:t>
      </w:r>
      <w:r w:rsidR="000B1F66" w:rsidRPr="001D616F">
        <w:rPr>
          <w:rFonts w:ascii="Times New Roman" w:hAnsi="Times New Roman" w:cs="Times New Roman"/>
          <w:sz w:val="20"/>
        </w:rPr>
        <w:t xml:space="preserve"> 6. Hence the method termed as r</w:t>
      </w:r>
      <w:r w:rsidRPr="001D616F">
        <w:rPr>
          <w:rFonts w:ascii="Times New Roman" w:hAnsi="Times New Roman" w:cs="Times New Roman"/>
          <w:sz w:val="20"/>
        </w:rPr>
        <w:t>obust.</w:t>
      </w:r>
    </w:p>
    <w:p w:rsidR="005069CB" w:rsidRPr="001D616F" w:rsidRDefault="005069CB" w:rsidP="005069C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32F4A" w:rsidRPr="001D616F" w:rsidRDefault="005069CB" w:rsidP="005069CB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eastAsia="Times New Roman" w:hAnsi="Times New Roman" w:cs="Times New Roman"/>
          <w:sz w:val="18"/>
          <w:szCs w:val="18"/>
        </w:rPr>
        <w:t>Table 6.</w:t>
      </w:r>
      <w:proofErr w:type="gram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Robustness study</w:t>
      </w:r>
      <w:r w:rsidR="000B1F66" w:rsidRPr="001D616F"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proofErr w:type="spellStart"/>
      <w:r w:rsidR="000B1F66" w:rsidRPr="001D616F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1D616F">
        <w:rPr>
          <w:rFonts w:ascii="Times New Roman" w:eastAsia="Times New Roman" w:hAnsi="Times New Roman" w:cs="Times New Roman"/>
          <w:sz w:val="18"/>
          <w:szCs w:val="18"/>
        </w:rPr>
        <w:t>lopidogrel</w:t>
      </w:r>
      <w:proofErr w:type="spellEnd"/>
      <w:r w:rsidRPr="001D61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eastAsia="Times New Roman" w:hAnsi="Times New Roman" w:cs="Times New Roman"/>
          <w:sz w:val="18"/>
          <w:szCs w:val="18"/>
        </w:rPr>
        <w:t>bisulphate</w:t>
      </w:r>
      <w:proofErr w:type="spellEnd"/>
    </w:p>
    <w:tbl>
      <w:tblPr>
        <w:tblW w:w="5000" w:type="pct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721"/>
        <w:gridCol w:w="2492"/>
        <w:gridCol w:w="1328"/>
        <w:gridCol w:w="1827"/>
      </w:tblGrid>
      <w:tr w:rsidR="001D616F" w:rsidRPr="001D616F" w:rsidTr="000B1F66">
        <w:trPr>
          <w:trHeight w:val="546"/>
          <w:jc w:val="center"/>
        </w:trPr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Condition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Modification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Area ± SD*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RSD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% RSD</w:t>
            </w:r>
          </w:p>
        </w:tc>
      </w:tr>
      <w:tr w:rsidR="001D616F" w:rsidRPr="001D616F" w:rsidTr="000B1F66">
        <w:trPr>
          <w:trHeight w:val="546"/>
          <w:jc w:val="center"/>
        </w:trPr>
        <w:tc>
          <w:tcPr>
            <w:tcW w:w="967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Flow Rate (ml/min)</w:t>
            </w:r>
          </w:p>
        </w:tc>
        <w:tc>
          <w:tcPr>
            <w:tcW w:w="942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0.8 ml/min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1041.542 </w:t>
            </w: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± </w:t>
            </w: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17.83</w:t>
            </w:r>
          </w:p>
        </w:tc>
        <w:tc>
          <w:tcPr>
            <w:tcW w:w="727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1.49</w:t>
            </w:r>
          </w:p>
        </w:tc>
      </w:tr>
      <w:tr w:rsidR="001D616F" w:rsidRPr="001D616F" w:rsidTr="000B1F66">
        <w:trPr>
          <w:trHeight w:val="405"/>
          <w:jc w:val="center"/>
        </w:trPr>
        <w:tc>
          <w:tcPr>
            <w:tcW w:w="9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1.2 ml/min</w:t>
            </w:r>
          </w:p>
        </w:tc>
        <w:tc>
          <w:tcPr>
            <w:tcW w:w="13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902.667 </w:t>
            </w: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± </w:t>
            </w: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11.43</w:t>
            </w:r>
          </w:p>
        </w:tc>
        <w:tc>
          <w:tcPr>
            <w:tcW w:w="72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1000" w:type="pct"/>
            <w:vMerge/>
            <w:shd w:val="clear" w:color="auto" w:fill="FFFFFF" w:themeFill="background1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B1F66">
        <w:trPr>
          <w:trHeight w:val="442"/>
          <w:jc w:val="center"/>
        </w:trPr>
        <w:tc>
          <w:tcPr>
            <w:tcW w:w="9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942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3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952.471 </w:t>
            </w: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± </w:t>
            </w: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7.63</w:t>
            </w:r>
          </w:p>
        </w:tc>
        <w:tc>
          <w:tcPr>
            <w:tcW w:w="72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1000" w:type="pct"/>
            <w:vMerge w:val="restart"/>
            <w:shd w:val="clear" w:color="auto" w:fill="FFFFFF" w:themeFill="background1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</w:tr>
      <w:tr w:rsidR="001D616F" w:rsidRPr="001D616F" w:rsidTr="000B1F66">
        <w:trPr>
          <w:trHeight w:val="352"/>
          <w:jc w:val="center"/>
        </w:trPr>
        <w:tc>
          <w:tcPr>
            <w:tcW w:w="967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968.01 </w:t>
            </w: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± </w:t>
            </w: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12.18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10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32F4A" w:rsidRPr="001D616F" w:rsidRDefault="00332F4A" w:rsidP="001A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B1F66" w:rsidRPr="001D616F" w:rsidRDefault="00332F4A" w:rsidP="000B1F66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20"/>
        </w:rPr>
        <w:t>*average of three determinations</w:t>
      </w:r>
    </w:p>
    <w:p w:rsidR="000B1F66" w:rsidRPr="001D616F" w:rsidRDefault="00332F4A" w:rsidP="000B1F6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eastAsia="Times New Roman" w:hAnsi="Times New Roman" w:cs="Times New Roman"/>
          <w:b/>
          <w:bCs/>
          <w:sz w:val="20"/>
        </w:rPr>
        <w:t>Ruggedness</w:t>
      </w:r>
    </w:p>
    <w:p w:rsidR="00332F4A" w:rsidRPr="001D616F" w:rsidRDefault="00332F4A" w:rsidP="000B1F6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20"/>
        </w:rPr>
        <w:t>The ruggedness of the method was determined by carrying out the exper</w:t>
      </w:r>
      <w:r w:rsidR="000B1F66" w:rsidRPr="001D616F">
        <w:rPr>
          <w:rFonts w:ascii="Times New Roman" w:hAnsi="Times New Roman" w:cs="Times New Roman"/>
          <w:sz w:val="20"/>
        </w:rPr>
        <w:t xml:space="preserve">iment by different operators. Percentage </w:t>
      </w:r>
      <w:r w:rsidRPr="001D616F">
        <w:rPr>
          <w:rFonts w:ascii="Times New Roman" w:hAnsi="Times New Roman" w:cs="Times New Roman"/>
          <w:sz w:val="20"/>
        </w:rPr>
        <w:t>RSD were calculated and r</w:t>
      </w:r>
      <w:r w:rsidR="000B1F66" w:rsidRPr="001D616F">
        <w:rPr>
          <w:rFonts w:ascii="Times New Roman" w:hAnsi="Times New Roman" w:cs="Times New Roman"/>
          <w:sz w:val="20"/>
        </w:rPr>
        <w:t xml:space="preserve">ecorded in Table 7. </w:t>
      </w:r>
      <w:r w:rsidRPr="001D616F">
        <w:rPr>
          <w:rFonts w:ascii="Times New Roman" w:hAnsi="Times New Roman" w:cs="Times New Roman"/>
          <w:sz w:val="20"/>
        </w:rPr>
        <w:t>Result obtained by different analyst and different day were found within acceptable limit, which shows that test method is rugged.</w:t>
      </w:r>
    </w:p>
    <w:p w:rsidR="000B1F66" w:rsidRPr="001D616F" w:rsidRDefault="000B1F66" w:rsidP="000B1F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hAnsi="Times New Roman" w:cs="Times New Roman"/>
          <w:sz w:val="18"/>
          <w:szCs w:val="18"/>
        </w:rPr>
        <w:lastRenderedPageBreak/>
        <w:t>Table 7.</w:t>
      </w:r>
      <w:proofErr w:type="gramEnd"/>
      <w:r w:rsidRPr="001D616F">
        <w:rPr>
          <w:rFonts w:ascii="Times New Roman" w:hAnsi="Times New Roman" w:cs="Times New Roman"/>
          <w:sz w:val="18"/>
          <w:szCs w:val="18"/>
        </w:rPr>
        <w:t xml:space="preserve"> Ruggedness study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</w:p>
    <w:p w:rsidR="00332F4A" w:rsidRPr="001D616F" w:rsidRDefault="00332F4A" w:rsidP="0033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1F66" w:rsidRPr="001D616F" w:rsidRDefault="000B1F66" w:rsidP="0033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876"/>
        <w:gridCol w:w="1855"/>
        <w:gridCol w:w="1887"/>
        <w:gridCol w:w="1736"/>
      </w:tblGrid>
      <w:tr w:rsidR="001D616F" w:rsidRPr="001D616F" w:rsidTr="0005329D">
        <w:trPr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Injection no.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="00332F4A"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Analyst Ι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 w:right="67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="00332F4A"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Analyst ΙΙ</w:t>
            </w:r>
          </w:p>
        </w:tc>
      </w:tr>
      <w:tr w:rsidR="001D616F" w:rsidRPr="001D616F" w:rsidTr="0005329D">
        <w:trPr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05329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D616F" w:rsidRPr="001D616F" w:rsidTr="0005329D">
        <w:trPr>
          <w:jc w:val="center"/>
        </w:trPr>
        <w:tc>
          <w:tcPr>
            <w:tcW w:w="1665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479.040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480.981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5329D">
        <w:trPr>
          <w:jc w:val="center"/>
        </w:trPr>
        <w:tc>
          <w:tcPr>
            <w:tcW w:w="1665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5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486.911</w:t>
            </w:r>
          </w:p>
        </w:tc>
        <w:tc>
          <w:tcPr>
            <w:tcW w:w="1915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493.290</w:t>
            </w:r>
          </w:p>
        </w:tc>
        <w:tc>
          <w:tcPr>
            <w:tcW w:w="1787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16F" w:rsidRPr="001D616F" w:rsidTr="0005329D">
        <w:trPr>
          <w:jc w:val="center"/>
        </w:trPr>
        <w:tc>
          <w:tcPr>
            <w:tcW w:w="1665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Average</w:t>
            </w:r>
          </w:p>
        </w:tc>
        <w:tc>
          <w:tcPr>
            <w:tcW w:w="3830" w:type="dxa"/>
            <w:gridSpan w:val="2"/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332F4A" w:rsidRPr="001D616F">
              <w:rPr>
                <w:rFonts w:ascii="Times New Roman" w:hAnsi="Times New Roman" w:cs="Times New Roman"/>
                <w:sz w:val="18"/>
                <w:szCs w:val="18"/>
              </w:rPr>
              <w:t>482.976</w:t>
            </w:r>
          </w:p>
        </w:tc>
        <w:tc>
          <w:tcPr>
            <w:tcW w:w="3702" w:type="dxa"/>
            <w:gridSpan w:val="2"/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332F4A" w:rsidRPr="001D616F">
              <w:rPr>
                <w:rFonts w:ascii="Times New Roman" w:hAnsi="Times New Roman" w:cs="Times New Roman"/>
                <w:sz w:val="18"/>
                <w:szCs w:val="18"/>
              </w:rPr>
              <w:t>487.136</w:t>
            </w:r>
          </w:p>
        </w:tc>
      </w:tr>
      <w:tr w:rsidR="001D616F" w:rsidRPr="001D616F" w:rsidTr="0005329D">
        <w:trPr>
          <w:jc w:val="center"/>
        </w:trPr>
        <w:tc>
          <w:tcPr>
            <w:tcW w:w="1665" w:type="dxa"/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3830" w:type="dxa"/>
            <w:gridSpan w:val="2"/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332F4A" w:rsidRPr="001D616F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3702" w:type="dxa"/>
            <w:gridSpan w:val="2"/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332F4A" w:rsidRPr="001D616F">
              <w:rPr>
                <w:rFonts w:ascii="Times New Roman" w:hAnsi="Times New Roman" w:cs="Times New Roman"/>
                <w:sz w:val="18"/>
                <w:szCs w:val="18"/>
              </w:rPr>
              <w:t>6.15</w:t>
            </w:r>
          </w:p>
        </w:tc>
      </w:tr>
      <w:tr w:rsidR="001D616F" w:rsidRPr="001D616F" w:rsidTr="0005329D">
        <w:trPr>
          <w:jc w:val="center"/>
        </w:trPr>
        <w:tc>
          <w:tcPr>
            <w:tcW w:w="1665" w:type="dxa"/>
            <w:tcBorders>
              <w:bottom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% RSD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332F4A" w:rsidRPr="001D616F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</w:tcPr>
          <w:p w:rsidR="00332F4A" w:rsidRPr="001D616F" w:rsidRDefault="0005329D" w:rsidP="0005329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332F4A" w:rsidRPr="001D616F"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</w:p>
        </w:tc>
      </w:tr>
      <w:tr w:rsidR="001D616F" w:rsidRPr="001D616F" w:rsidTr="0005329D">
        <w:trPr>
          <w:jc w:val="center"/>
        </w:trPr>
        <w:tc>
          <w:tcPr>
            <w:tcW w:w="1665" w:type="dxa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2" w:type="dxa"/>
            <w:gridSpan w:val="4"/>
            <w:tcBorders>
              <w:top w:val="single" w:sz="4" w:space="0" w:color="auto"/>
            </w:tcBorders>
          </w:tcPr>
          <w:p w:rsidR="00332F4A" w:rsidRPr="001D616F" w:rsidRDefault="00332F4A" w:rsidP="001A40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2F4A" w:rsidRPr="001D616F" w:rsidRDefault="00332F4A" w:rsidP="00332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:rsidR="00332F4A" w:rsidRPr="001D616F" w:rsidRDefault="00332F4A" w:rsidP="000B1F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L</w:t>
      </w:r>
      <w:r w:rsidR="000B1F66" w:rsidRPr="001D616F">
        <w:rPr>
          <w:rFonts w:ascii="Times New Roman" w:hAnsi="Times New Roman" w:cs="Times New Roman"/>
          <w:b/>
          <w:bCs/>
          <w:sz w:val="20"/>
        </w:rPr>
        <w:t>imit of Detection and Quantification (L</w:t>
      </w:r>
      <w:r w:rsidRPr="001D616F">
        <w:rPr>
          <w:rFonts w:ascii="Times New Roman" w:hAnsi="Times New Roman" w:cs="Times New Roman"/>
          <w:b/>
          <w:bCs/>
          <w:sz w:val="20"/>
        </w:rPr>
        <w:t>OD and LOQ</w:t>
      </w:r>
      <w:r w:rsidR="000B1F66" w:rsidRPr="001D616F">
        <w:rPr>
          <w:rFonts w:ascii="Times New Roman" w:hAnsi="Times New Roman" w:cs="Times New Roman"/>
          <w:b/>
          <w:bCs/>
          <w:sz w:val="20"/>
        </w:rPr>
        <w:t>)</w:t>
      </w:r>
    </w:p>
    <w:p w:rsidR="00332F4A" w:rsidRPr="001D616F" w:rsidRDefault="00332F4A" w:rsidP="000B1F6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The </w:t>
      </w:r>
      <w:r w:rsidR="000B1F66" w:rsidRPr="001D616F">
        <w:rPr>
          <w:rFonts w:ascii="Times New Roman" w:hAnsi="Times New Roman" w:cs="Times New Roman"/>
          <w:bCs/>
          <w:sz w:val="20"/>
        </w:rPr>
        <w:t xml:space="preserve">Limit </w:t>
      </w:r>
      <w:r w:rsidR="000B1F66" w:rsidRPr="001D616F">
        <w:rPr>
          <w:rFonts w:ascii="Times New Roman" w:hAnsi="Times New Roman" w:cs="Times New Roman"/>
          <w:bCs/>
          <w:sz w:val="20"/>
        </w:rPr>
        <w:t>of Detection and Quantification</w:t>
      </w:r>
      <w:r w:rsidR="000B1F66" w:rsidRPr="001D616F">
        <w:rPr>
          <w:rFonts w:ascii="Times New Roman" w:hAnsi="Times New Roman" w:cs="Times New Roman"/>
          <w:b/>
          <w:bCs/>
          <w:sz w:val="20"/>
        </w:rPr>
        <w:t xml:space="preserve">, </w:t>
      </w:r>
      <w:r w:rsidRPr="001D616F">
        <w:rPr>
          <w:rFonts w:ascii="Times New Roman" w:hAnsi="Times New Roman" w:cs="Times New Roman"/>
          <w:sz w:val="20"/>
        </w:rPr>
        <w:t>LOD and LOQ data was calculated and recorded in Table 8</w:t>
      </w:r>
      <w:r w:rsidR="00E51BE7" w:rsidRPr="001D616F">
        <w:rPr>
          <w:rFonts w:ascii="Times New Roman" w:hAnsi="Times New Roman" w:cs="Times New Roman"/>
          <w:sz w:val="20"/>
        </w:rPr>
        <w:t>.</w:t>
      </w:r>
      <w:r w:rsidR="000B1F66" w:rsidRPr="001D616F">
        <w:rPr>
          <w:rFonts w:ascii="Times New Roman" w:hAnsi="Times New Roman" w:cs="Times New Roman"/>
          <w:sz w:val="20"/>
        </w:rPr>
        <w:t xml:space="preserve"> </w:t>
      </w:r>
      <w:r w:rsidRPr="001D616F">
        <w:rPr>
          <w:rFonts w:ascii="Times New Roman" w:hAnsi="Times New Roman" w:cs="Times New Roman"/>
          <w:sz w:val="20"/>
        </w:rPr>
        <w:t>LOD and LOQ were found to be 1.8728, 5.6752 ppm respectively.</w:t>
      </w:r>
    </w:p>
    <w:p w:rsidR="000B1F66" w:rsidRPr="001D616F" w:rsidRDefault="000B1F66" w:rsidP="000B1F6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B1F66" w:rsidRPr="001D616F" w:rsidRDefault="000B1F66" w:rsidP="000B1F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D616F">
        <w:rPr>
          <w:rFonts w:ascii="Times New Roman" w:hAnsi="Times New Roman" w:cs="Times New Roman"/>
          <w:sz w:val="18"/>
          <w:szCs w:val="18"/>
        </w:rPr>
        <w:t>Table 8.</w:t>
      </w:r>
      <w:proofErr w:type="gram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bCs/>
          <w:sz w:val="20"/>
        </w:rPr>
        <w:t xml:space="preserve">Limit of Detection and Quantification </w:t>
      </w:r>
      <w:r w:rsidRPr="001D616F">
        <w:rPr>
          <w:rFonts w:ascii="Times New Roman" w:hAnsi="Times New Roman" w:cs="Times New Roman"/>
          <w:bCs/>
          <w:sz w:val="20"/>
        </w:rPr>
        <w:t xml:space="preserve">in this </w:t>
      </w:r>
      <w:r w:rsidRPr="001D616F">
        <w:rPr>
          <w:rFonts w:ascii="Times New Roman" w:hAnsi="Times New Roman" w:cs="Times New Roman"/>
          <w:sz w:val="18"/>
          <w:szCs w:val="18"/>
        </w:rPr>
        <w:t>s</w:t>
      </w:r>
      <w:r w:rsidRPr="001D616F">
        <w:rPr>
          <w:rFonts w:ascii="Times New Roman" w:hAnsi="Times New Roman" w:cs="Times New Roman"/>
          <w:sz w:val="18"/>
          <w:szCs w:val="18"/>
        </w:rPr>
        <w:t>tudy</w:t>
      </w:r>
    </w:p>
    <w:p w:rsidR="00332F4A" w:rsidRPr="001D616F" w:rsidRDefault="00332F4A" w:rsidP="00332F4A">
      <w:pPr>
        <w:spacing w:after="0" w:line="360" w:lineRule="auto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974"/>
      </w:tblGrid>
      <w:tr w:rsidR="001D616F" w:rsidRPr="001D616F" w:rsidTr="000B1F66">
        <w:tc>
          <w:tcPr>
            <w:tcW w:w="2309" w:type="pct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2691" w:type="pct"/>
            <w:tcBorders>
              <w:top w:val="single" w:sz="4" w:space="0" w:color="auto"/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Clopidogrel</w:t>
            </w:r>
            <w:proofErr w:type="spellEnd"/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D6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bisulphate</w:t>
            </w:r>
            <w:proofErr w:type="spellEnd"/>
          </w:p>
        </w:tc>
      </w:tr>
      <w:tr w:rsidR="001D616F" w:rsidRPr="001D616F" w:rsidTr="000B1F66">
        <w:tc>
          <w:tcPr>
            <w:tcW w:w="2309" w:type="pct"/>
            <w:tcBorders>
              <w:top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LOD (µg/ml)</w:t>
            </w:r>
          </w:p>
        </w:tc>
        <w:tc>
          <w:tcPr>
            <w:tcW w:w="2691" w:type="pct"/>
            <w:tcBorders>
              <w:top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1.8728</w:t>
            </w:r>
          </w:p>
        </w:tc>
      </w:tr>
      <w:tr w:rsidR="001D616F" w:rsidRPr="001D616F" w:rsidTr="000B1F66">
        <w:tc>
          <w:tcPr>
            <w:tcW w:w="2309" w:type="pct"/>
            <w:tcBorders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LOQ (µg/ml)</w:t>
            </w:r>
          </w:p>
        </w:tc>
        <w:tc>
          <w:tcPr>
            <w:tcW w:w="2691" w:type="pct"/>
            <w:tcBorders>
              <w:bottom w:val="single" w:sz="4" w:space="0" w:color="auto"/>
            </w:tcBorders>
          </w:tcPr>
          <w:p w:rsidR="00332F4A" w:rsidRPr="001D616F" w:rsidRDefault="00332F4A" w:rsidP="00053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6F">
              <w:rPr>
                <w:rFonts w:ascii="Times New Roman" w:hAnsi="Times New Roman" w:cs="Times New Roman"/>
                <w:sz w:val="18"/>
                <w:szCs w:val="18"/>
              </w:rPr>
              <w:t>5.6752</w:t>
            </w:r>
          </w:p>
        </w:tc>
      </w:tr>
    </w:tbl>
    <w:p w:rsidR="00332F4A" w:rsidRPr="001D616F" w:rsidRDefault="00332F4A" w:rsidP="00332F4A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05329D" w:rsidRPr="001D616F" w:rsidRDefault="0005329D" w:rsidP="000B1F66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32F4A" w:rsidRPr="001D616F" w:rsidRDefault="000B1F66" w:rsidP="000B1F66">
      <w:pPr>
        <w:pStyle w:val="Default"/>
        <w:jc w:val="center"/>
        <w:rPr>
          <w:color w:val="auto"/>
          <w:sz w:val="20"/>
          <w:szCs w:val="20"/>
        </w:rPr>
      </w:pPr>
      <w:r w:rsidRPr="001D616F">
        <w:rPr>
          <w:b/>
          <w:bCs/>
          <w:color w:val="auto"/>
          <w:sz w:val="20"/>
          <w:szCs w:val="20"/>
        </w:rPr>
        <w:t>Conclusion</w:t>
      </w:r>
    </w:p>
    <w:p w:rsidR="00332F4A" w:rsidRPr="001D616F" w:rsidRDefault="00332F4A" w:rsidP="000B1F6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20"/>
        </w:rPr>
        <w:t>The developed analytical method is validated as per ICH guidelines. A rapid and simple RP-HP</w:t>
      </w:r>
      <w:r w:rsidR="000B1F66" w:rsidRPr="001D616F">
        <w:rPr>
          <w:rFonts w:ascii="Times New Roman" w:hAnsi="Times New Roman" w:cs="Times New Roman"/>
          <w:sz w:val="20"/>
        </w:rPr>
        <w:t xml:space="preserve">LC method for determination of </w:t>
      </w:r>
      <w:proofErr w:type="spellStart"/>
      <w:r w:rsidR="000B1F66" w:rsidRPr="001D616F">
        <w:rPr>
          <w:rFonts w:ascii="Times New Roman" w:hAnsi="Times New Roman" w:cs="Times New Roman"/>
          <w:sz w:val="20"/>
        </w:rPr>
        <w:t>c</w:t>
      </w:r>
      <w:r w:rsidRPr="001D616F">
        <w:rPr>
          <w:rFonts w:ascii="Times New Roman" w:hAnsi="Times New Roman" w:cs="Times New Roman"/>
          <w:sz w:val="20"/>
        </w:rPr>
        <w:t>lopidogrel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20"/>
        </w:rPr>
        <w:t>bisulphate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has been developed and validated. The method involved a mobile phase </w:t>
      </w:r>
      <w:r w:rsidR="000B1F66" w:rsidRPr="001D616F">
        <w:rPr>
          <w:rFonts w:ascii="Times New Roman" w:hAnsi="Times New Roman" w:cs="Times New Roman"/>
          <w:sz w:val="20"/>
        </w:rPr>
        <w:t>consisting of acetonitrile: p</w:t>
      </w:r>
      <w:r w:rsidRPr="001D616F">
        <w:rPr>
          <w:rFonts w:ascii="Times New Roman" w:hAnsi="Times New Roman" w:cs="Times New Roman"/>
          <w:sz w:val="20"/>
        </w:rPr>
        <w:t xml:space="preserve">hosphate buffer (pH 4.0) 68:32 used at 220 nm. The retention time was 3.837 min at a flow-rate of 1.0 ml/min and the injection volume was 20 </w:t>
      </w:r>
      <w:proofErr w:type="spellStart"/>
      <w:r w:rsidRPr="001D616F">
        <w:rPr>
          <w:rFonts w:ascii="Times New Roman" w:hAnsi="Times New Roman" w:cs="Times New Roman"/>
          <w:sz w:val="20"/>
        </w:rPr>
        <w:t>μl</w:t>
      </w:r>
      <w:proofErr w:type="spellEnd"/>
      <w:r w:rsidRPr="001D616F">
        <w:rPr>
          <w:rFonts w:ascii="Times New Roman" w:hAnsi="Times New Roman" w:cs="Times New Roman"/>
          <w:sz w:val="20"/>
        </w:rPr>
        <w:t>. The total run time for an assay was approximately 10 min. This proposed method was validated for parameters including linearity, accuracy, sensitivity, precision, ruggedness and robustness.</w:t>
      </w:r>
      <w:r w:rsidRPr="001D616F">
        <w:rPr>
          <w:rFonts w:ascii="Times New Roman" w:hAnsi="Times New Roman" w:cs="Times New Roman"/>
        </w:rPr>
        <w:t xml:space="preserve"> </w:t>
      </w:r>
      <w:r w:rsidRPr="001D616F">
        <w:rPr>
          <w:rFonts w:ascii="Times New Roman" w:hAnsi="Times New Roman" w:cs="Times New Roman"/>
          <w:sz w:val="20"/>
          <w:szCs w:val="18"/>
        </w:rPr>
        <w:t>The present study is concerned for the development and validation of simple, specific, sensitive, accurate and precise RP-HPLC method for the determ</w:t>
      </w:r>
      <w:r w:rsidR="000B1F66" w:rsidRPr="001D616F">
        <w:rPr>
          <w:rFonts w:ascii="Times New Roman" w:hAnsi="Times New Roman" w:cs="Times New Roman"/>
          <w:sz w:val="20"/>
          <w:szCs w:val="18"/>
        </w:rPr>
        <w:t xml:space="preserve">ination of </w:t>
      </w:r>
      <w:proofErr w:type="spellStart"/>
      <w:r w:rsidR="000B1F66" w:rsidRPr="001D616F">
        <w:rPr>
          <w:rFonts w:ascii="Times New Roman" w:hAnsi="Times New Roman" w:cs="Times New Roman"/>
          <w:sz w:val="20"/>
          <w:szCs w:val="18"/>
        </w:rPr>
        <w:t>c</w:t>
      </w:r>
      <w:r w:rsidRPr="001D616F">
        <w:rPr>
          <w:rFonts w:ascii="Times New Roman" w:hAnsi="Times New Roman" w:cs="Times New Roman"/>
          <w:sz w:val="20"/>
          <w:szCs w:val="18"/>
        </w:rPr>
        <w:t>lopidogrel</w:t>
      </w:r>
      <w:proofErr w:type="spellEnd"/>
      <w:r w:rsidRPr="001D616F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="000B1F66" w:rsidRPr="001D616F">
        <w:rPr>
          <w:rFonts w:ascii="Times New Roman" w:hAnsi="Times New Roman" w:cs="Times New Roman"/>
          <w:bCs/>
          <w:sz w:val="20"/>
          <w:szCs w:val="18"/>
        </w:rPr>
        <w:t>b</w:t>
      </w:r>
      <w:r w:rsidRPr="001D616F">
        <w:rPr>
          <w:rFonts w:ascii="Times New Roman" w:hAnsi="Times New Roman" w:cs="Times New Roman"/>
          <w:bCs/>
          <w:sz w:val="20"/>
          <w:szCs w:val="18"/>
        </w:rPr>
        <w:t>isulphate</w:t>
      </w:r>
      <w:proofErr w:type="spellEnd"/>
      <w:r w:rsidRPr="001D616F">
        <w:rPr>
          <w:rFonts w:ascii="Times New Roman" w:hAnsi="Times New Roman" w:cs="Times New Roman"/>
          <w:sz w:val="20"/>
          <w:szCs w:val="18"/>
        </w:rPr>
        <w:t xml:space="preserve"> for routine analysis work.</w:t>
      </w:r>
    </w:p>
    <w:p w:rsidR="00332F4A" w:rsidRPr="001D616F" w:rsidRDefault="000B1F66" w:rsidP="000B1F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Acknowledgement</w:t>
      </w:r>
    </w:p>
    <w:p w:rsidR="00332F4A" w:rsidRPr="001D616F" w:rsidRDefault="00332F4A" w:rsidP="000B1F6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616F">
        <w:rPr>
          <w:rFonts w:ascii="Times New Roman" w:hAnsi="Times New Roman" w:cs="Times New Roman"/>
          <w:sz w:val="20"/>
        </w:rPr>
        <w:t xml:space="preserve">The authors wish to thank Dr. </w:t>
      </w:r>
      <w:proofErr w:type="spellStart"/>
      <w:r w:rsidRPr="001D616F">
        <w:rPr>
          <w:rFonts w:ascii="Times New Roman" w:hAnsi="Times New Roman" w:cs="Times New Roman"/>
          <w:sz w:val="20"/>
        </w:rPr>
        <w:t>Anjan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Paul from </w:t>
      </w:r>
      <w:proofErr w:type="spellStart"/>
      <w:r w:rsidRPr="001D616F">
        <w:rPr>
          <w:rFonts w:ascii="Times New Roman" w:hAnsi="Times New Roman" w:cs="Times New Roman"/>
          <w:sz w:val="20"/>
        </w:rPr>
        <w:t>Sidmak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India (</w:t>
      </w:r>
      <w:proofErr w:type="spellStart"/>
      <w:r w:rsidRPr="001D616F">
        <w:rPr>
          <w:rFonts w:ascii="Times New Roman" w:hAnsi="Times New Roman" w:cs="Times New Roman"/>
          <w:sz w:val="20"/>
        </w:rPr>
        <w:t>pvt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) </w:t>
      </w:r>
      <w:proofErr w:type="spellStart"/>
      <w:r w:rsidRPr="001D616F">
        <w:rPr>
          <w:rFonts w:ascii="Times New Roman" w:hAnsi="Times New Roman" w:cs="Times New Roman"/>
          <w:sz w:val="20"/>
        </w:rPr>
        <w:t>Valsad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, Gujarat for providing drug sample and Mr. </w:t>
      </w:r>
      <w:proofErr w:type="spellStart"/>
      <w:r w:rsidRPr="001D616F">
        <w:rPr>
          <w:rFonts w:ascii="Times New Roman" w:hAnsi="Times New Roman" w:cs="Times New Roman"/>
          <w:sz w:val="20"/>
        </w:rPr>
        <w:t>Ketan</w:t>
      </w:r>
      <w:proofErr w:type="spellEnd"/>
      <w:r w:rsidRPr="001D616F">
        <w:rPr>
          <w:rFonts w:ascii="Times New Roman" w:hAnsi="Times New Roman" w:cs="Times New Roman"/>
          <w:sz w:val="20"/>
        </w:rPr>
        <w:t xml:space="preserve"> Patel from Molecule Laboratory, Ahmadabad, </w:t>
      </w:r>
      <w:proofErr w:type="gramStart"/>
      <w:r w:rsidRPr="001D616F">
        <w:rPr>
          <w:rFonts w:ascii="Times New Roman" w:hAnsi="Times New Roman" w:cs="Times New Roman"/>
          <w:sz w:val="20"/>
        </w:rPr>
        <w:t>Gujarat</w:t>
      </w:r>
      <w:proofErr w:type="gramEnd"/>
      <w:r w:rsidRPr="001D616F">
        <w:rPr>
          <w:rFonts w:ascii="Times New Roman" w:hAnsi="Times New Roman" w:cs="Times New Roman"/>
          <w:sz w:val="20"/>
        </w:rPr>
        <w:t xml:space="preserve"> for providing the facilities to carry out this research work.</w:t>
      </w:r>
    </w:p>
    <w:p w:rsidR="0005329D" w:rsidRPr="001D616F" w:rsidRDefault="0005329D" w:rsidP="000532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616F">
        <w:rPr>
          <w:rFonts w:ascii="Times New Roman" w:hAnsi="Times New Roman" w:cs="Times New Roman"/>
          <w:b/>
          <w:bCs/>
          <w:sz w:val="20"/>
        </w:rPr>
        <w:t>REFERENCES</w:t>
      </w:r>
    </w:p>
    <w:p w:rsidR="0005329D" w:rsidRPr="001D616F" w:rsidRDefault="000B1F66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Drug Description on </w:t>
      </w:r>
      <w:hyperlink r:id="rId13" w:history="1">
        <w:r w:rsidR="0005329D" w:rsidRPr="001D616F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www.rxlist.com/plavix-drug.htm</w:t>
        </w:r>
      </w:hyperlink>
      <w:r w:rsidR="0005329D" w:rsidRPr="001D616F">
        <w:rPr>
          <w:rFonts w:ascii="Times New Roman" w:hAnsi="Times New Roman" w:cs="Times New Roman"/>
          <w:sz w:val="18"/>
          <w:szCs w:val="18"/>
        </w:rPr>
        <w:t>.</w:t>
      </w:r>
    </w:p>
    <w:p w:rsidR="0005329D" w:rsidRPr="001D616F" w:rsidRDefault="000B1F66" w:rsidP="00DD4A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bCs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bCs/>
          <w:sz w:val="18"/>
          <w:szCs w:val="18"/>
        </w:rPr>
        <w:t xml:space="preserve"> Information on </w:t>
      </w:r>
      <w:r w:rsidR="0005329D" w:rsidRPr="001D616F">
        <w:rPr>
          <w:rFonts w:ascii="Times New Roman" w:hAnsi="Times New Roman" w:cs="Times New Roman"/>
          <w:bCs/>
          <w:sz w:val="18"/>
          <w:szCs w:val="18"/>
        </w:rPr>
        <w:t xml:space="preserve">en.wikipedia.org/ wiki/ </w:t>
      </w:r>
      <w:proofErr w:type="spellStart"/>
      <w:r w:rsidR="0005329D" w:rsidRPr="001D616F">
        <w:rPr>
          <w:rFonts w:ascii="Times New Roman" w:hAnsi="Times New Roman" w:cs="Times New Roman"/>
          <w:bCs/>
          <w:sz w:val="18"/>
          <w:szCs w:val="18"/>
        </w:rPr>
        <w:t>Clopidogrel</w:t>
      </w:r>
      <w:proofErr w:type="spellEnd"/>
      <w:r w:rsidR="0005329D" w:rsidRPr="001D616F">
        <w:rPr>
          <w:rFonts w:ascii="Times New Roman" w:hAnsi="Times New Roman" w:cs="Times New Roman"/>
          <w:bCs/>
          <w:sz w:val="18"/>
          <w:szCs w:val="18"/>
        </w:rPr>
        <w:t>.</w:t>
      </w:r>
    </w:p>
    <w:p w:rsidR="0005329D" w:rsidRPr="001D616F" w:rsidRDefault="00E51BE7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sz w:val="18"/>
          <w:szCs w:val="18"/>
        </w:rPr>
        <w:t>Saddet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, </w:t>
      </w:r>
      <w:r w:rsidR="0005329D" w:rsidRPr="001D616F">
        <w:rPr>
          <w:rFonts w:ascii="Times New Roman" w:hAnsi="Times New Roman" w:cs="Times New Roman"/>
          <w:sz w:val="18"/>
          <w:szCs w:val="18"/>
        </w:rPr>
        <w:t>D</w:t>
      </w:r>
      <w:r w:rsidRPr="001D616F">
        <w:rPr>
          <w:rFonts w:ascii="Times New Roman" w:hAnsi="Times New Roman" w:cs="Times New Roman"/>
          <w:sz w:val="18"/>
          <w:szCs w:val="18"/>
        </w:rPr>
        <w:t>.</w:t>
      </w:r>
      <w:r w:rsidR="00DD4AE9" w:rsidRPr="001D616F">
        <w:rPr>
          <w:rFonts w:ascii="Times New Roman" w:hAnsi="Times New Roman" w:cs="Times New Roman"/>
          <w:sz w:val="18"/>
          <w:szCs w:val="18"/>
        </w:rPr>
        <w:t>,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B1F66" w:rsidRPr="001D616F">
        <w:rPr>
          <w:rFonts w:ascii="Times New Roman" w:hAnsi="Times New Roman" w:cs="Times New Roman"/>
          <w:sz w:val="18"/>
          <w:szCs w:val="18"/>
        </w:rPr>
        <w:t xml:space="preserve">&amp;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Erkem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, </w:t>
      </w:r>
      <w:r w:rsidR="0005329D" w:rsidRPr="001D616F">
        <w:rPr>
          <w:rFonts w:ascii="Times New Roman" w:hAnsi="Times New Roman" w:cs="Times New Roman"/>
          <w:sz w:val="18"/>
          <w:szCs w:val="18"/>
        </w:rPr>
        <w:t>A</w:t>
      </w:r>
      <w:r w:rsidRPr="001D616F">
        <w:rPr>
          <w:rFonts w:ascii="Times New Roman" w:hAnsi="Times New Roman" w:cs="Times New Roman"/>
          <w:sz w:val="18"/>
          <w:szCs w:val="18"/>
        </w:rPr>
        <w:t xml:space="preserve">. </w:t>
      </w:r>
      <w:r w:rsidR="00DD4AE9" w:rsidRPr="001D616F">
        <w:rPr>
          <w:rFonts w:ascii="Times New Roman" w:hAnsi="Times New Roman" w:cs="Times New Roman"/>
          <w:sz w:val="18"/>
          <w:szCs w:val="18"/>
        </w:rPr>
        <w:t>(2009).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Rapid and accurate determination of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="0005329D" w:rsidRPr="001D616F">
        <w:rPr>
          <w:rFonts w:ascii="Times New Roman" w:hAnsi="Times New Roman" w:cs="Times New Roman"/>
          <w:sz w:val="18"/>
          <w:szCs w:val="18"/>
        </w:rPr>
        <w:t xml:space="preserve"> in tablets by using spectrophotometric and chromatographic techniques</w:t>
      </w:r>
      <w:r w:rsidR="00DD4AE9" w:rsidRPr="001D616F">
        <w:rPr>
          <w:rFonts w:ascii="Times New Roman" w:hAnsi="Times New Roman" w:cs="Times New Roman"/>
          <w:sz w:val="18"/>
          <w:szCs w:val="18"/>
        </w:rPr>
        <w:t>.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5329D" w:rsidRPr="001D616F">
        <w:rPr>
          <w:rFonts w:ascii="Times New Roman" w:hAnsi="Times New Roman" w:cs="Times New Roman"/>
          <w:i/>
          <w:sz w:val="18"/>
          <w:szCs w:val="18"/>
        </w:rPr>
        <w:t>Commun</w:t>
      </w:r>
      <w:proofErr w:type="spellEnd"/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05329D" w:rsidRPr="001D616F">
        <w:rPr>
          <w:rFonts w:ascii="Times New Roman" w:hAnsi="Times New Roman" w:cs="Times New Roman"/>
          <w:i/>
          <w:sz w:val="18"/>
          <w:szCs w:val="18"/>
        </w:rPr>
        <w:t>Fac</w:t>
      </w:r>
      <w:proofErr w:type="spellEnd"/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05329D" w:rsidRPr="001D616F">
        <w:rPr>
          <w:rFonts w:ascii="Times New Roman" w:hAnsi="Times New Roman" w:cs="Times New Roman"/>
          <w:i/>
          <w:sz w:val="18"/>
          <w:szCs w:val="18"/>
        </w:rPr>
        <w:t>Sci</w:t>
      </w:r>
      <w:proofErr w:type="spellEnd"/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05329D" w:rsidRPr="001D616F">
        <w:rPr>
          <w:rFonts w:ascii="Times New Roman" w:hAnsi="Times New Roman" w:cs="Times New Roman"/>
          <w:i/>
          <w:sz w:val="18"/>
          <w:szCs w:val="18"/>
        </w:rPr>
        <w:t>Univ</w:t>
      </w:r>
      <w:proofErr w:type="spellEnd"/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05329D" w:rsidRPr="001D616F">
        <w:rPr>
          <w:rFonts w:ascii="Times New Roman" w:hAnsi="Times New Roman" w:cs="Times New Roman"/>
          <w:i/>
          <w:sz w:val="18"/>
          <w:szCs w:val="18"/>
        </w:rPr>
        <w:t>Ank</w:t>
      </w:r>
      <w:proofErr w:type="spellEnd"/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 Series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B, 55</w:t>
      </w:r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5329D" w:rsidRPr="001D616F">
        <w:rPr>
          <w:rFonts w:ascii="Times New Roman" w:hAnsi="Times New Roman" w:cs="Times New Roman"/>
          <w:sz w:val="18"/>
          <w:szCs w:val="18"/>
        </w:rPr>
        <w:t>(1</w:t>
      </w:r>
      <w:proofErr w:type="gramStart"/>
      <w:r w:rsidR="0005329D" w:rsidRPr="001D616F">
        <w:rPr>
          <w:rFonts w:ascii="Times New Roman" w:hAnsi="Times New Roman" w:cs="Times New Roman"/>
          <w:sz w:val="18"/>
          <w:szCs w:val="18"/>
        </w:rPr>
        <w:t>)</w:t>
      </w:r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5329D" w:rsidRPr="001D616F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5329D" w:rsidRPr="001D616F">
        <w:rPr>
          <w:rFonts w:ascii="Times New Roman" w:hAnsi="Times New Roman" w:cs="Times New Roman"/>
          <w:sz w:val="18"/>
          <w:szCs w:val="18"/>
        </w:rPr>
        <w:t>1-16</w:t>
      </w:r>
      <w:r w:rsidR="000B1F66" w:rsidRPr="001D616F">
        <w:rPr>
          <w:rFonts w:ascii="Times New Roman" w:hAnsi="Times New Roman" w:cs="Times New Roman"/>
          <w:sz w:val="18"/>
          <w:szCs w:val="18"/>
        </w:rPr>
        <w:t>.</w:t>
      </w:r>
    </w:p>
    <w:p w:rsidR="0005329D" w:rsidRPr="001D616F" w:rsidRDefault="00E51BE7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sz w:val="18"/>
          <w:szCs w:val="18"/>
        </w:rPr>
        <w:t>Venkanna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, </w:t>
      </w:r>
      <w:r w:rsidR="0005329D" w:rsidRPr="001D616F">
        <w:rPr>
          <w:rFonts w:ascii="Times New Roman" w:hAnsi="Times New Roman" w:cs="Times New Roman"/>
          <w:sz w:val="18"/>
          <w:szCs w:val="18"/>
        </w:rPr>
        <w:t>B</w:t>
      </w:r>
      <w:r w:rsidRPr="001D616F">
        <w:rPr>
          <w:rFonts w:ascii="Times New Roman" w:hAnsi="Times New Roman" w:cs="Times New Roman"/>
          <w:sz w:val="18"/>
          <w:szCs w:val="18"/>
        </w:rPr>
        <w:t xml:space="preserve">.,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Shreedhara</w:t>
      </w:r>
      <w:proofErr w:type="spellEnd"/>
      <w:r w:rsidR="0005329D" w:rsidRPr="001D616F">
        <w:rPr>
          <w:rFonts w:ascii="Times New Roman" w:hAnsi="Times New Roman" w:cs="Times New Roman"/>
          <w:sz w:val="18"/>
          <w:szCs w:val="18"/>
        </w:rPr>
        <w:t>, C</w:t>
      </w:r>
      <w:r w:rsidRPr="001D616F">
        <w:rPr>
          <w:rFonts w:ascii="Times New Roman" w:hAnsi="Times New Roman" w:cs="Times New Roman"/>
          <w:sz w:val="18"/>
          <w:szCs w:val="18"/>
        </w:rPr>
        <w:t>.,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B1F66" w:rsidRPr="001D616F">
        <w:rPr>
          <w:rFonts w:ascii="Times New Roman" w:hAnsi="Times New Roman" w:cs="Times New Roman"/>
          <w:sz w:val="18"/>
          <w:szCs w:val="18"/>
        </w:rPr>
        <w:t xml:space="preserve">&amp;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A</w:t>
      </w:r>
      <w:r w:rsidRPr="001D616F">
        <w:rPr>
          <w:rFonts w:ascii="Times New Roman" w:hAnsi="Times New Roman" w:cs="Times New Roman"/>
          <w:sz w:val="18"/>
          <w:szCs w:val="18"/>
        </w:rPr>
        <w:t>jitha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 M. (2011).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R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apid and rugged bio analytical method development and validation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="0005329D" w:rsidRPr="001D616F">
        <w:rPr>
          <w:rFonts w:ascii="Times New Roman" w:hAnsi="Times New Roman" w:cs="Times New Roman"/>
          <w:sz w:val="18"/>
          <w:szCs w:val="18"/>
        </w:rPr>
        <w:t xml:space="preserve"> in human plasma using liquid chromatography/ tandem mass spectroscopy, 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>American</w:t>
      </w:r>
      <w:r w:rsidRPr="001D616F">
        <w:rPr>
          <w:rFonts w:ascii="Times New Roman" w:hAnsi="Times New Roman" w:cs="Times New Roman"/>
          <w:i/>
          <w:sz w:val="18"/>
          <w:szCs w:val="18"/>
        </w:rPr>
        <w:t xml:space="preserve"> Journal </w:t>
      </w:r>
      <w:proofErr w:type="spellStart"/>
      <w:r w:rsidRPr="001D616F">
        <w:rPr>
          <w:rFonts w:ascii="Times New Roman" w:hAnsi="Times New Roman" w:cs="Times New Roman"/>
          <w:i/>
          <w:sz w:val="18"/>
          <w:szCs w:val="18"/>
        </w:rPr>
        <w:t>P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>harm</w:t>
      </w:r>
      <w:r w:rsidRPr="001D616F">
        <w:rPr>
          <w:rFonts w:ascii="Times New Roman" w:hAnsi="Times New Roman" w:cs="Times New Roman"/>
          <w:i/>
          <w:sz w:val="18"/>
          <w:szCs w:val="18"/>
        </w:rPr>
        <w:t>tech</w:t>
      </w:r>
      <w:proofErr w:type="spellEnd"/>
      <w:r w:rsidRPr="001D616F">
        <w:rPr>
          <w:rFonts w:ascii="Times New Roman" w:hAnsi="Times New Roman" w:cs="Times New Roman"/>
          <w:i/>
          <w:sz w:val="18"/>
          <w:szCs w:val="18"/>
        </w:rPr>
        <w:t xml:space="preserve"> R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>es</w:t>
      </w:r>
      <w:r w:rsidRPr="001D616F">
        <w:rPr>
          <w:rFonts w:ascii="Times New Roman" w:hAnsi="Times New Roman" w:cs="Times New Roman"/>
          <w:i/>
          <w:sz w:val="18"/>
          <w:szCs w:val="18"/>
        </w:rPr>
        <w:t>earch</w:t>
      </w:r>
      <w:r w:rsidR="0005329D" w:rsidRPr="001D616F">
        <w:rPr>
          <w:rFonts w:ascii="Times New Roman" w:hAnsi="Times New Roman" w:cs="Times New Roman"/>
          <w:sz w:val="18"/>
          <w:szCs w:val="18"/>
        </w:rPr>
        <w:t>, 1</w:t>
      </w:r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5329D" w:rsidRPr="001D616F">
        <w:rPr>
          <w:rFonts w:ascii="Times New Roman" w:hAnsi="Times New Roman" w:cs="Times New Roman"/>
          <w:sz w:val="18"/>
          <w:szCs w:val="18"/>
        </w:rPr>
        <w:t>(2)</w:t>
      </w:r>
      <w:r w:rsidR="001D616F" w:rsidRPr="001D616F">
        <w:rPr>
          <w:rFonts w:ascii="Times New Roman" w:hAnsi="Times New Roman" w:cs="Times New Roman"/>
          <w:sz w:val="18"/>
          <w:szCs w:val="18"/>
        </w:rPr>
        <w:t xml:space="preserve"> : 66 - 80</w:t>
      </w:r>
      <w:r w:rsidR="0005329D" w:rsidRPr="001D616F">
        <w:rPr>
          <w:rFonts w:ascii="Times New Roman" w:hAnsi="Times New Roman" w:cs="Times New Roman"/>
          <w:sz w:val="18"/>
          <w:szCs w:val="18"/>
        </w:rPr>
        <w:t>.</w:t>
      </w:r>
    </w:p>
    <w:p w:rsidR="0005329D" w:rsidRPr="001D616F" w:rsidRDefault="0005329D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sz w:val="18"/>
          <w:szCs w:val="18"/>
        </w:rPr>
        <w:t>Sahu</w:t>
      </w:r>
      <w:proofErr w:type="spellEnd"/>
      <w:r w:rsidR="00E51BE7" w:rsidRPr="001D616F">
        <w:rPr>
          <w:rFonts w:ascii="Times New Roman" w:hAnsi="Times New Roman" w:cs="Times New Roman"/>
          <w:sz w:val="18"/>
          <w:szCs w:val="18"/>
        </w:rPr>
        <w:t xml:space="preserve">, </w:t>
      </w:r>
      <w:r w:rsidRPr="001D616F">
        <w:rPr>
          <w:rFonts w:ascii="Times New Roman" w:hAnsi="Times New Roman" w:cs="Times New Roman"/>
          <w:sz w:val="18"/>
          <w:szCs w:val="18"/>
        </w:rPr>
        <w:t>S</w:t>
      </w:r>
      <w:r w:rsidR="00E51BE7" w:rsidRPr="001D616F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 xml:space="preserve">, </w:t>
      </w:r>
      <w:r w:rsidR="000B1F66" w:rsidRPr="001D616F">
        <w:rPr>
          <w:rFonts w:ascii="Times New Roman" w:hAnsi="Times New Roman" w:cs="Times New Roman"/>
          <w:sz w:val="18"/>
          <w:szCs w:val="18"/>
        </w:rPr>
        <w:t xml:space="preserve">&amp;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Sarangi</w:t>
      </w:r>
      <w:proofErr w:type="spellEnd"/>
      <w:r w:rsidR="00E51BE7" w:rsidRPr="001D616F">
        <w:rPr>
          <w:rFonts w:ascii="Times New Roman" w:hAnsi="Times New Roman" w:cs="Times New Roman"/>
          <w:sz w:val="18"/>
          <w:szCs w:val="18"/>
        </w:rPr>
        <w:t>,</w:t>
      </w:r>
      <w:r w:rsidRPr="001D616F">
        <w:rPr>
          <w:rFonts w:ascii="Times New Roman" w:hAnsi="Times New Roman" w:cs="Times New Roman"/>
          <w:sz w:val="18"/>
          <w:szCs w:val="18"/>
        </w:rPr>
        <w:t xml:space="preserve"> S</w:t>
      </w:r>
      <w:r w:rsidR="00E51BE7" w:rsidRPr="001D616F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 xml:space="preserve"> Development and validation method for the estimation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in bulk and pharmaceutical dosage form, Int</w:t>
      </w:r>
      <w:r w:rsidR="00E51BE7" w:rsidRPr="001D616F">
        <w:rPr>
          <w:rFonts w:ascii="Times New Roman" w:hAnsi="Times New Roman" w:cs="Times New Roman"/>
          <w:sz w:val="18"/>
          <w:szCs w:val="18"/>
        </w:rPr>
        <w:t>ernational</w:t>
      </w:r>
      <w:r w:rsidRPr="001D616F">
        <w:rPr>
          <w:rFonts w:ascii="Times New Roman" w:hAnsi="Times New Roman" w:cs="Times New Roman"/>
          <w:sz w:val="18"/>
          <w:szCs w:val="18"/>
        </w:rPr>
        <w:t xml:space="preserve"> J</w:t>
      </w:r>
      <w:r w:rsidR="00E51BE7" w:rsidRPr="001D616F">
        <w:rPr>
          <w:rFonts w:ascii="Times New Roman" w:hAnsi="Times New Roman" w:cs="Times New Roman"/>
          <w:sz w:val="18"/>
          <w:szCs w:val="18"/>
        </w:rPr>
        <w:t>ournal</w:t>
      </w:r>
      <w:r w:rsidRPr="001D616F">
        <w:rPr>
          <w:rFonts w:ascii="Times New Roman" w:hAnsi="Times New Roman" w:cs="Times New Roman"/>
          <w:sz w:val="18"/>
          <w:szCs w:val="18"/>
        </w:rPr>
        <w:t xml:space="preserve"> Res</w:t>
      </w:r>
      <w:r w:rsidR="00E51BE7" w:rsidRPr="001D616F">
        <w:rPr>
          <w:rFonts w:ascii="Times New Roman" w:hAnsi="Times New Roman" w:cs="Times New Roman"/>
          <w:sz w:val="18"/>
          <w:szCs w:val="18"/>
        </w:rPr>
        <w:t>earch</w:t>
      </w:r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of </w:t>
      </w:r>
      <w:r w:rsidRPr="001D616F">
        <w:rPr>
          <w:rFonts w:ascii="Times New Roman" w:hAnsi="Times New Roman" w:cs="Times New Roman"/>
          <w:sz w:val="18"/>
          <w:szCs w:val="18"/>
        </w:rPr>
        <w:t>Pharm</w:t>
      </w:r>
      <w:r w:rsidR="00E51BE7" w:rsidRPr="001D616F">
        <w:rPr>
          <w:rFonts w:ascii="Times New Roman" w:hAnsi="Times New Roman" w:cs="Times New Roman"/>
          <w:sz w:val="18"/>
          <w:szCs w:val="18"/>
        </w:rPr>
        <w:t>aceutical</w:t>
      </w:r>
      <w:r w:rsidRPr="001D616F">
        <w:rPr>
          <w:rFonts w:ascii="Times New Roman" w:hAnsi="Times New Roman" w:cs="Times New Roman"/>
          <w:sz w:val="18"/>
          <w:szCs w:val="18"/>
        </w:rPr>
        <w:t xml:space="preserve"> Sci</w:t>
      </w:r>
      <w:r w:rsidR="00E51BE7" w:rsidRPr="001D616F">
        <w:rPr>
          <w:rFonts w:ascii="Times New Roman" w:hAnsi="Times New Roman" w:cs="Times New Roman"/>
          <w:sz w:val="18"/>
          <w:szCs w:val="18"/>
        </w:rPr>
        <w:t>ence</w:t>
      </w:r>
      <w:r w:rsidRPr="001D616F">
        <w:rPr>
          <w:rFonts w:ascii="Times New Roman" w:hAnsi="Times New Roman" w:cs="Times New Roman"/>
          <w:sz w:val="18"/>
          <w:szCs w:val="18"/>
        </w:rPr>
        <w:t>, 3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(2)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: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224-27.</w:t>
      </w:r>
    </w:p>
    <w:p w:rsidR="0005329D" w:rsidRPr="001D616F" w:rsidRDefault="00E51BE7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18"/>
          <w:szCs w:val="18"/>
        </w:rPr>
        <w:t xml:space="preserve">Josh, </w:t>
      </w:r>
      <w:r w:rsidR="0005329D" w:rsidRPr="001D616F">
        <w:rPr>
          <w:rFonts w:ascii="Times New Roman" w:hAnsi="Times New Roman" w:cs="Times New Roman"/>
          <w:sz w:val="18"/>
          <w:szCs w:val="18"/>
        </w:rPr>
        <w:t>K</w:t>
      </w:r>
      <w:r w:rsidRPr="001D616F">
        <w:rPr>
          <w:rFonts w:ascii="Times New Roman" w:hAnsi="Times New Roman" w:cs="Times New Roman"/>
          <w:sz w:val="18"/>
          <w:szCs w:val="18"/>
        </w:rPr>
        <w:t>.,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B1F66" w:rsidRPr="001D616F">
        <w:rPr>
          <w:rFonts w:ascii="Times New Roman" w:hAnsi="Times New Roman" w:cs="Times New Roman"/>
          <w:sz w:val="18"/>
          <w:szCs w:val="18"/>
        </w:rPr>
        <w:t xml:space="preserve">&amp;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Jayasehar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P</w:t>
      </w:r>
      <w:r w:rsidRPr="001D616F">
        <w:rPr>
          <w:rFonts w:ascii="Times New Roman" w:hAnsi="Times New Roman" w:cs="Times New Roman"/>
          <w:sz w:val="18"/>
          <w:szCs w:val="18"/>
        </w:rPr>
        <w:t>. (2013).</w:t>
      </w:r>
      <w:r w:rsidR="000B1F66" w:rsidRPr="001D616F">
        <w:rPr>
          <w:rFonts w:ascii="Times New Roman" w:hAnsi="Times New Roman" w:cs="Times New Roman"/>
          <w:sz w:val="18"/>
          <w:szCs w:val="18"/>
        </w:rPr>
        <w:t xml:space="preserve"> Stability indicating HPLC 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determination of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="0005329D" w:rsidRPr="001D616F">
        <w:rPr>
          <w:rFonts w:ascii="Times New Roman" w:hAnsi="Times New Roman" w:cs="Times New Roman"/>
          <w:sz w:val="18"/>
          <w:szCs w:val="18"/>
        </w:rPr>
        <w:t xml:space="preserve"> bisulfate in pharmaceutical dosage forms, 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>Int</w:t>
      </w:r>
      <w:r w:rsidRPr="001D616F">
        <w:rPr>
          <w:rFonts w:ascii="Times New Roman" w:hAnsi="Times New Roman" w:cs="Times New Roman"/>
          <w:i/>
          <w:sz w:val="18"/>
          <w:szCs w:val="18"/>
        </w:rPr>
        <w:t>ernational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i/>
          <w:sz w:val="18"/>
          <w:szCs w:val="18"/>
        </w:rPr>
        <w:t>Journal of C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>omp</w:t>
      </w:r>
      <w:r w:rsidRPr="001D616F">
        <w:rPr>
          <w:rFonts w:ascii="Times New Roman" w:hAnsi="Times New Roman" w:cs="Times New Roman"/>
          <w:i/>
          <w:sz w:val="18"/>
          <w:szCs w:val="18"/>
        </w:rPr>
        <w:t>rehensive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i/>
          <w:sz w:val="18"/>
          <w:szCs w:val="18"/>
        </w:rPr>
        <w:t>P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>harm</w:t>
      </w:r>
      <w:r w:rsidRPr="001D616F">
        <w:rPr>
          <w:rFonts w:ascii="Times New Roman" w:hAnsi="Times New Roman" w:cs="Times New Roman"/>
          <w:i/>
          <w:sz w:val="18"/>
          <w:szCs w:val="18"/>
        </w:rPr>
        <w:t>acy</w:t>
      </w:r>
      <w:r w:rsidR="0005329D" w:rsidRPr="001D616F">
        <w:rPr>
          <w:rFonts w:ascii="Times New Roman" w:hAnsi="Times New Roman" w:cs="Times New Roman"/>
          <w:sz w:val="18"/>
          <w:szCs w:val="18"/>
        </w:rPr>
        <w:t>, 1</w:t>
      </w:r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5329D" w:rsidRPr="001D616F">
        <w:rPr>
          <w:rFonts w:ascii="Times New Roman" w:hAnsi="Times New Roman" w:cs="Times New Roman"/>
          <w:sz w:val="18"/>
          <w:szCs w:val="18"/>
        </w:rPr>
        <w:t>(06)</w:t>
      </w:r>
      <w:r w:rsidR="001D616F" w:rsidRPr="001D616F">
        <w:rPr>
          <w:rFonts w:ascii="Times New Roman" w:hAnsi="Times New Roman" w:cs="Times New Roman"/>
          <w:sz w:val="18"/>
          <w:szCs w:val="18"/>
        </w:rPr>
        <w:t>: 1 - 5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5329D" w:rsidRPr="001D616F" w:rsidRDefault="00E51BE7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sz w:val="18"/>
          <w:szCs w:val="18"/>
        </w:rPr>
        <w:t>Himani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, </w:t>
      </w:r>
      <w:r w:rsidR="0005329D" w:rsidRPr="001D616F">
        <w:rPr>
          <w:rFonts w:ascii="Times New Roman" w:hAnsi="Times New Roman" w:cs="Times New Roman"/>
          <w:sz w:val="18"/>
          <w:szCs w:val="18"/>
        </w:rPr>
        <w:t>A</w:t>
      </w:r>
      <w:r w:rsidRPr="001D616F">
        <w:rPr>
          <w:rFonts w:ascii="Times New Roman" w:hAnsi="Times New Roman" w:cs="Times New Roman"/>
          <w:sz w:val="18"/>
          <w:szCs w:val="18"/>
        </w:rPr>
        <w:t xml:space="preserve">.,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Kaul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N</w:t>
      </w:r>
      <w:r w:rsidRPr="001D616F">
        <w:rPr>
          <w:rFonts w:ascii="Times New Roman" w:hAnsi="Times New Roman" w:cs="Times New Roman"/>
          <w:sz w:val="18"/>
          <w:szCs w:val="18"/>
        </w:rPr>
        <w:t>.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Paradkar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A</w:t>
      </w:r>
      <w:r w:rsidRPr="001D616F">
        <w:rPr>
          <w:rFonts w:ascii="Times New Roman" w:hAnsi="Times New Roman" w:cs="Times New Roman"/>
          <w:sz w:val="18"/>
          <w:szCs w:val="18"/>
        </w:rPr>
        <w:t>.</w:t>
      </w:r>
      <w:r w:rsidR="0005329D" w:rsidRPr="001D616F">
        <w:rPr>
          <w:rFonts w:ascii="Times New Roman" w:hAnsi="Times New Roman" w:cs="Times New Roman"/>
          <w:sz w:val="18"/>
          <w:szCs w:val="18"/>
        </w:rPr>
        <w:t>R</w:t>
      </w:r>
      <w:r w:rsidRPr="001D616F">
        <w:rPr>
          <w:rFonts w:ascii="Times New Roman" w:hAnsi="Times New Roman" w:cs="Times New Roman"/>
          <w:sz w:val="18"/>
          <w:szCs w:val="18"/>
        </w:rPr>
        <w:t>.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Mahadik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K</w:t>
      </w:r>
      <w:r w:rsidRPr="001D616F">
        <w:rPr>
          <w:rFonts w:ascii="Times New Roman" w:hAnsi="Times New Roman" w:cs="Times New Roman"/>
          <w:sz w:val="18"/>
          <w:szCs w:val="18"/>
        </w:rPr>
        <w:t>.</w:t>
      </w:r>
      <w:r w:rsidR="0005329D" w:rsidRPr="001D616F">
        <w:rPr>
          <w:rFonts w:ascii="Times New Roman" w:hAnsi="Times New Roman" w:cs="Times New Roman"/>
          <w:sz w:val="18"/>
          <w:szCs w:val="18"/>
        </w:rPr>
        <w:t>R</w:t>
      </w:r>
      <w:r w:rsidRPr="001D616F">
        <w:rPr>
          <w:rFonts w:ascii="Times New Roman" w:hAnsi="Times New Roman" w:cs="Times New Roman"/>
          <w:sz w:val="18"/>
          <w:szCs w:val="18"/>
        </w:rPr>
        <w:t>.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 xml:space="preserve">(2003). </w:t>
      </w:r>
      <w:r w:rsidR="0005329D" w:rsidRPr="001D616F">
        <w:rPr>
          <w:rFonts w:ascii="Times New Roman" w:hAnsi="Times New Roman" w:cs="Times New Roman"/>
          <w:sz w:val="18"/>
          <w:szCs w:val="18"/>
        </w:rPr>
        <w:t xml:space="preserve">Stability indicating HPTLC determination of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="0005329D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5329D"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  <w:r w:rsidR="0005329D" w:rsidRPr="001D616F">
        <w:rPr>
          <w:rFonts w:ascii="Times New Roman" w:hAnsi="Times New Roman" w:cs="Times New Roman"/>
          <w:sz w:val="18"/>
          <w:szCs w:val="18"/>
        </w:rPr>
        <w:t xml:space="preserve"> as bulk drug and in pharmaceutical dosage form</w:t>
      </w:r>
      <w:r w:rsidR="0005329D" w:rsidRPr="001D616F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05329D" w:rsidRPr="001D616F">
        <w:rPr>
          <w:rFonts w:ascii="Times New Roman" w:hAnsi="Times New Roman" w:cs="Times New Roman"/>
          <w:i/>
          <w:sz w:val="18"/>
          <w:szCs w:val="18"/>
        </w:rPr>
        <w:t>Talanta</w:t>
      </w:r>
      <w:proofErr w:type="spellEnd"/>
      <w:r w:rsidR="001D616F" w:rsidRPr="001D616F">
        <w:rPr>
          <w:rFonts w:ascii="Times New Roman" w:hAnsi="Times New Roman" w:cs="Times New Roman"/>
          <w:sz w:val="18"/>
          <w:szCs w:val="18"/>
        </w:rPr>
        <w:t xml:space="preserve"> 61</w:t>
      </w:r>
      <w:r w:rsidR="0005329D" w:rsidRPr="001D616F">
        <w:rPr>
          <w:rFonts w:ascii="Times New Roman" w:hAnsi="Times New Roman" w:cs="Times New Roman"/>
          <w:sz w:val="18"/>
          <w:szCs w:val="18"/>
        </w:rPr>
        <w:t>:</w:t>
      </w:r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="0005329D" w:rsidRPr="001D616F">
        <w:rPr>
          <w:rFonts w:ascii="Times New Roman" w:hAnsi="Times New Roman" w:cs="Times New Roman"/>
          <w:sz w:val="18"/>
          <w:szCs w:val="18"/>
        </w:rPr>
        <w:t>581-89.</w:t>
      </w:r>
    </w:p>
    <w:p w:rsidR="0005329D" w:rsidRPr="001D616F" w:rsidRDefault="0005329D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D616F">
        <w:rPr>
          <w:rFonts w:ascii="Times New Roman" w:hAnsi="Times New Roman" w:cs="Times New Roman"/>
          <w:sz w:val="18"/>
          <w:szCs w:val="18"/>
        </w:rPr>
        <w:lastRenderedPageBreak/>
        <w:t>Sinha</w:t>
      </w:r>
      <w:proofErr w:type="spellEnd"/>
      <w:r w:rsidR="00E51BE7" w:rsidRPr="001D616F">
        <w:rPr>
          <w:rFonts w:ascii="Times New Roman" w:hAnsi="Times New Roman" w:cs="Times New Roman"/>
          <w:sz w:val="18"/>
          <w:szCs w:val="18"/>
        </w:rPr>
        <w:t>,</w:t>
      </w:r>
      <w:r w:rsidRPr="001D616F">
        <w:rPr>
          <w:rFonts w:ascii="Times New Roman" w:hAnsi="Times New Roman" w:cs="Times New Roman"/>
          <w:sz w:val="18"/>
          <w:szCs w:val="18"/>
        </w:rPr>
        <w:t xml:space="preserve"> P</w:t>
      </w:r>
      <w:r w:rsidR="00E51BE7" w:rsidRPr="001D616F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>K</w:t>
      </w:r>
      <w:r w:rsidR="00E51BE7" w:rsidRPr="001D616F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 xml:space="preserve">, </w:t>
      </w:r>
      <w:r w:rsidR="001D616F" w:rsidRPr="001D616F">
        <w:rPr>
          <w:rFonts w:ascii="Times New Roman" w:hAnsi="Times New Roman" w:cs="Times New Roman"/>
          <w:sz w:val="18"/>
          <w:szCs w:val="18"/>
        </w:rPr>
        <w:t xml:space="preserve">&amp;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Mrinalini</w:t>
      </w:r>
      <w:proofErr w:type="spellEnd"/>
      <w:r w:rsidR="00E51BE7" w:rsidRPr="001D616F">
        <w:rPr>
          <w:rFonts w:ascii="Times New Roman" w:hAnsi="Times New Roman" w:cs="Times New Roman"/>
          <w:sz w:val="18"/>
          <w:szCs w:val="18"/>
        </w:rPr>
        <w:t>,</w:t>
      </w:r>
      <w:r w:rsidRPr="001D616F">
        <w:rPr>
          <w:rFonts w:ascii="Times New Roman" w:hAnsi="Times New Roman" w:cs="Times New Roman"/>
          <w:sz w:val="18"/>
          <w:szCs w:val="18"/>
        </w:rPr>
        <w:t xml:space="preserve"> C</w:t>
      </w:r>
      <w:r w:rsidR="00E51BE7" w:rsidRPr="001D616F">
        <w:rPr>
          <w:rFonts w:ascii="Times New Roman" w:hAnsi="Times New Roman" w:cs="Times New Roman"/>
          <w:sz w:val="18"/>
          <w:szCs w:val="18"/>
        </w:rPr>
        <w:t>. (2009).</w:t>
      </w:r>
      <w:r w:rsidRPr="001D616F">
        <w:rPr>
          <w:rFonts w:ascii="Times New Roman" w:hAnsi="Times New Roman" w:cs="Times New Roman"/>
          <w:sz w:val="18"/>
          <w:szCs w:val="18"/>
        </w:rPr>
        <w:t xml:space="preserve"> A Validated Stability Indicating HPTLC Method for Determination of Aspirin and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Bisulphate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in Combined Dosage Form, </w:t>
      </w:r>
      <w:r w:rsidRPr="001D616F">
        <w:rPr>
          <w:rFonts w:ascii="Times New Roman" w:hAnsi="Times New Roman" w:cs="Times New Roman"/>
          <w:i/>
          <w:sz w:val="18"/>
          <w:szCs w:val="18"/>
        </w:rPr>
        <w:t xml:space="preserve">Eurasian J Anal </w:t>
      </w:r>
      <w:proofErr w:type="spellStart"/>
      <w:r w:rsidR="001D616F" w:rsidRPr="001D616F">
        <w:rPr>
          <w:rFonts w:ascii="Times New Roman" w:hAnsi="Times New Roman" w:cs="Times New Roman"/>
          <w:i/>
          <w:sz w:val="18"/>
          <w:szCs w:val="18"/>
        </w:rPr>
        <w:t>Chem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 4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(2)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: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152-60.</w:t>
      </w:r>
    </w:p>
    <w:p w:rsidR="0005329D" w:rsidRPr="001D616F" w:rsidRDefault="0005329D" w:rsidP="000532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Fonts w:ascii="Times New Roman" w:hAnsi="Times New Roman" w:cs="Times New Roman"/>
          <w:sz w:val="18"/>
          <w:szCs w:val="18"/>
        </w:rPr>
        <w:t>SABER</w:t>
      </w:r>
      <w:r w:rsidR="00E51BE7" w:rsidRPr="001D616F">
        <w:rPr>
          <w:rFonts w:ascii="Times New Roman" w:hAnsi="Times New Roman" w:cs="Times New Roman"/>
          <w:sz w:val="18"/>
          <w:szCs w:val="18"/>
        </w:rPr>
        <w:t>,</w:t>
      </w:r>
      <w:r w:rsidRPr="001D616F">
        <w:rPr>
          <w:rFonts w:ascii="Times New Roman" w:hAnsi="Times New Roman" w:cs="Times New Roman"/>
          <w:sz w:val="18"/>
          <w:szCs w:val="18"/>
        </w:rPr>
        <w:t xml:space="preserve"> L</w:t>
      </w:r>
      <w:r w:rsidR="00E51BE7" w:rsidRPr="001D616F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>A</w:t>
      </w:r>
      <w:r w:rsidR="00E51BE7" w:rsidRPr="001D616F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>,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Elmosallamy</w:t>
      </w:r>
      <w:proofErr w:type="spellEnd"/>
      <w:r w:rsidR="00E51BE7" w:rsidRPr="001D616F">
        <w:rPr>
          <w:rFonts w:ascii="Times New Roman" w:hAnsi="Times New Roman" w:cs="Times New Roman"/>
          <w:sz w:val="18"/>
          <w:szCs w:val="18"/>
        </w:rPr>
        <w:t>,</w:t>
      </w:r>
      <w:r w:rsidRPr="001D616F">
        <w:rPr>
          <w:rFonts w:ascii="Times New Roman" w:hAnsi="Times New Roman" w:cs="Times New Roman"/>
          <w:sz w:val="18"/>
          <w:szCs w:val="18"/>
        </w:rPr>
        <w:t xml:space="preserve"> M</w:t>
      </w:r>
      <w:r w:rsidR="00E51BE7" w:rsidRPr="001D616F">
        <w:rPr>
          <w:rFonts w:ascii="Times New Roman" w:hAnsi="Times New Roman" w:cs="Times New Roman"/>
          <w:sz w:val="18"/>
          <w:szCs w:val="18"/>
        </w:rPr>
        <w:t>.</w:t>
      </w:r>
      <w:r w:rsidRPr="001D616F">
        <w:rPr>
          <w:rFonts w:ascii="Times New Roman" w:hAnsi="Times New Roman" w:cs="Times New Roman"/>
          <w:sz w:val="18"/>
          <w:szCs w:val="18"/>
        </w:rPr>
        <w:t>A</w:t>
      </w:r>
      <w:r w:rsidR="00E51BE7" w:rsidRPr="001D616F">
        <w:rPr>
          <w:rFonts w:ascii="Times New Roman" w:hAnsi="Times New Roman" w:cs="Times New Roman"/>
          <w:sz w:val="18"/>
          <w:szCs w:val="18"/>
        </w:rPr>
        <w:t>. (2008).</w:t>
      </w:r>
      <w:r w:rsidRPr="001D616F">
        <w:rPr>
          <w:rFonts w:ascii="Times New Roman" w:hAnsi="Times New Roman" w:cs="Times New Roman"/>
          <w:sz w:val="18"/>
          <w:szCs w:val="18"/>
        </w:rPr>
        <w:t xml:space="preserve"> Journal of Food and Drug Analysis, Liquid Chromatographic and Potentiometric Methods for Determinations of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Clopidogrel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>, 16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(2):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11-18.</w:t>
      </w:r>
    </w:p>
    <w:p w:rsidR="00DD4AE9" w:rsidRPr="001D616F" w:rsidRDefault="00DD4AE9" w:rsidP="00DD4A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Style w:val="Emphasis"/>
          <w:rFonts w:ascii="Times New Roman" w:hAnsi="Times New Roman" w:cs="Times New Roman"/>
          <w:i w:val="0"/>
          <w:sz w:val="18"/>
          <w:szCs w:val="18"/>
        </w:rPr>
        <w:t>Validation of Analytical Procedures: Methodology</w:t>
      </w:r>
      <w:r w:rsidRPr="001D616F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1D616F">
        <w:rPr>
          <w:rFonts w:ascii="Times New Roman" w:hAnsi="Times New Roman" w:cs="Times New Roman"/>
          <w:sz w:val="18"/>
          <w:szCs w:val="18"/>
        </w:rPr>
        <w:t xml:space="preserve">ICH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Harmonised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Tripartite Guidelines, (1996),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1-11.</w:t>
      </w:r>
    </w:p>
    <w:p w:rsidR="00DD4AE9" w:rsidRPr="001D616F" w:rsidRDefault="00DD4AE9" w:rsidP="00DD4A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16F">
        <w:rPr>
          <w:rStyle w:val="Emphasis"/>
          <w:rFonts w:ascii="Times New Roman" w:hAnsi="Times New Roman" w:cs="Times New Roman"/>
          <w:i w:val="0"/>
          <w:sz w:val="18"/>
          <w:szCs w:val="18"/>
        </w:rPr>
        <w:t>Validation of Analytical Procedures: Methodology</w:t>
      </w:r>
      <w:r w:rsidRPr="001D616F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Pr="001D616F">
        <w:rPr>
          <w:rFonts w:ascii="Times New Roman" w:hAnsi="Times New Roman" w:cs="Times New Roman"/>
          <w:sz w:val="18"/>
          <w:szCs w:val="18"/>
        </w:rPr>
        <w:t xml:space="preserve">ICH </w:t>
      </w:r>
      <w:proofErr w:type="spellStart"/>
      <w:r w:rsidRPr="001D616F">
        <w:rPr>
          <w:rFonts w:ascii="Times New Roman" w:hAnsi="Times New Roman" w:cs="Times New Roman"/>
          <w:sz w:val="18"/>
          <w:szCs w:val="18"/>
        </w:rPr>
        <w:t>Harmonised</w:t>
      </w:r>
      <w:proofErr w:type="spellEnd"/>
      <w:r w:rsidRPr="001D616F">
        <w:rPr>
          <w:rFonts w:ascii="Times New Roman" w:hAnsi="Times New Roman" w:cs="Times New Roman"/>
          <w:sz w:val="18"/>
          <w:szCs w:val="18"/>
        </w:rPr>
        <w:t xml:space="preserve"> Tripartite Guidelines, (1994),</w:t>
      </w:r>
      <w:r w:rsidR="00E51BE7" w:rsidRPr="001D616F">
        <w:rPr>
          <w:rFonts w:ascii="Times New Roman" w:hAnsi="Times New Roman" w:cs="Times New Roman"/>
          <w:sz w:val="18"/>
          <w:szCs w:val="18"/>
        </w:rPr>
        <w:t xml:space="preserve"> </w:t>
      </w:r>
      <w:r w:rsidRPr="001D616F">
        <w:rPr>
          <w:rFonts w:ascii="Times New Roman" w:hAnsi="Times New Roman" w:cs="Times New Roman"/>
          <w:sz w:val="18"/>
          <w:szCs w:val="18"/>
        </w:rPr>
        <w:t>1-7.</w:t>
      </w:r>
    </w:p>
    <w:p w:rsidR="00DD4AE9" w:rsidRPr="001D616F" w:rsidRDefault="00DD4AE9" w:rsidP="00DD4AE9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332F4A" w:rsidRPr="001D616F" w:rsidRDefault="00332F4A" w:rsidP="00D45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7671" w:rsidRPr="001D616F" w:rsidRDefault="00C87671">
      <w:pPr>
        <w:rPr>
          <w:rFonts w:ascii="Times New Roman" w:hAnsi="Times New Roman" w:cs="Times New Roman"/>
          <w:sz w:val="18"/>
          <w:szCs w:val="18"/>
        </w:rPr>
      </w:pPr>
    </w:p>
    <w:sectPr w:rsidR="00C87671" w:rsidRPr="001D616F" w:rsidSect="00C87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E1E"/>
    <w:multiLevelType w:val="hybridMultilevel"/>
    <w:tmpl w:val="3D10FD14"/>
    <w:lvl w:ilvl="0" w:tplc="E28A54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16A19"/>
    <w:rsid w:val="0000794B"/>
    <w:rsid w:val="0005329D"/>
    <w:rsid w:val="000B1F66"/>
    <w:rsid w:val="001254D7"/>
    <w:rsid w:val="001D616F"/>
    <w:rsid w:val="00332F4A"/>
    <w:rsid w:val="005069CB"/>
    <w:rsid w:val="00523ABD"/>
    <w:rsid w:val="005E289E"/>
    <w:rsid w:val="00B16A19"/>
    <w:rsid w:val="00C87671"/>
    <w:rsid w:val="00D45872"/>
    <w:rsid w:val="00DA7323"/>
    <w:rsid w:val="00DD4AE9"/>
    <w:rsid w:val="00E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19"/>
    <w:rPr>
      <w:szCs w:val="20"/>
      <w:lang w:val="en-US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6A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45872"/>
  </w:style>
  <w:style w:type="paragraph" w:styleId="BalloonText">
    <w:name w:val="Balloon Text"/>
    <w:basedOn w:val="Normal"/>
    <w:link w:val="BalloonTextChar"/>
    <w:uiPriority w:val="99"/>
    <w:semiHidden/>
    <w:unhideWhenUsed/>
    <w:rsid w:val="00D4587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72"/>
    <w:rPr>
      <w:rFonts w:ascii="Tahoma" w:hAnsi="Tahoma" w:cs="Mangal"/>
      <w:sz w:val="16"/>
      <w:szCs w:val="14"/>
      <w:lang w:val="en-US" w:bidi="hi-IN"/>
    </w:rPr>
  </w:style>
  <w:style w:type="paragraph" w:customStyle="1" w:styleId="Default">
    <w:name w:val="Default"/>
    <w:rsid w:val="00D45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32F4A"/>
    <w:pPr>
      <w:ind w:left="720"/>
      <w:contextualSpacing/>
    </w:pPr>
  </w:style>
  <w:style w:type="table" w:styleId="TableGrid">
    <w:name w:val="Table Grid"/>
    <w:basedOn w:val="TableNormal"/>
    <w:uiPriority w:val="59"/>
    <w:rsid w:val="00332F4A"/>
    <w:pPr>
      <w:spacing w:after="0" w:line="240" w:lineRule="auto"/>
    </w:pPr>
    <w:rPr>
      <w:szCs w:val="20"/>
      <w:lang w:val="en-US" w:bidi="hi-IN"/>
    </w:rPr>
    <w:tblPr>
      <w:tblInd w:w="0" w:type="dxa"/>
      <w:tblBorders>
        <w:top w:val="single" w:sz="4" w:space="0" w:color="3C3C3C" w:themeColor="text1"/>
        <w:left w:val="single" w:sz="4" w:space="0" w:color="3C3C3C" w:themeColor="text1"/>
        <w:bottom w:val="single" w:sz="4" w:space="0" w:color="3C3C3C" w:themeColor="text1"/>
        <w:right w:val="single" w:sz="4" w:space="0" w:color="3C3C3C" w:themeColor="text1"/>
        <w:insideH w:val="single" w:sz="4" w:space="0" w:color="3C3C3C" w:themeColor="text1"/>
        <w:insideV w:val="single" w:sz="4" w:space="0" w:color="3C3C3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05329D"/>
    <w:pPr>
      <w:spacing w:after="0" w:line="240" w:lineRule="auto"/>
    </w:pPr>
    <w:rPr>
      <w:color w:val="2C2C2C" w:themeColor="text1" w:themeShade="BF"/>
    </w:rPr>
    <w:tblPr>
      <w:tblStyleRowBandSize w:val="1"/>
      <w:tblStyleColBandSize w:val="1"/>
      <w:tblInd w:w="0" w:type="dxa"/>
      <w:tblBorders>
        <w:top w:val="single" w:sz="8" w:space="0" w:color="3C3C3C" w:themeColor="text1"/>
        <w:bottom w:val="single" w:sz="8" w:space="0" w:color="3C3C3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0532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eripheral_vascular_disease" TargetMode="External"/><Relationship Id="rId13" Type="http://schemas.openxmlformats.org/officeDocument/2006/relationships/hyperlink" Target="http://www.rxlist.com/plavix-drug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Coronary_artery_disease" TargetMode="Externa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kubhagat@gmail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erebrovascular_disease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imple%20project\LOD-LOQ\dimple%20clopidogrel%20amv%20caln%20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ms-MY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endParaRPr lang="en-US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Sheet1!$H$11</c:f>
              <c:strCache>
                <c:ptCount val="1"/>
                <c:pt idx="0">
                  <c:v>peak area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32599558148756586"/>
                  <c:y val="-9.8579314596351619E-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lang="en-US"/>
                  </a:pPr>
                  <a:endParaRPr lang="ms-MY"/>
                </a:p>
              </c:txPr>
            </c:trendlineLbl>
          </c:trendline>
          <c:xVal>
            <c:numRef>
              <c:f>Sheet1!$G$12:$G$16</c:f>
              <c:numCache>
                <c:formatCode>General</c:formatCode>
                <c:ptCount val="5"/>
                <c:pt idx="0">
                  <c:v>50</c:v>
                </c:pt>
                <c:pt idx="1">
                  <c:v>75</c:v>
                </c:pt>
                <c:pt idx="2">
                  <c:v>100</c:v>
                </c:pt>
                <c:pt idx="3">
                  <c:v>125</c:v>
                </c:pt>
                <c:pt idx="4">
                  <c:v>150</c:v>
                </c:pt>
              </c:numCache>
            </c:numRef>
          </c:xVal>
          <c:yVal>
            <c:numRef>
              <c:f>Sheet1!$H$12:$H$16</c:f>
              <c:numCache>
                <c:formatCode>General</c:formatCode>
                <c:ptCount val="5"/>
                <c:pt idx="0">
                  <c:v>467.51</c:v>
                </c:pt>
                <c:pt idx="1">
                  <c:v>715.577</c:v>
                </c:pt>
                <c:pt idx="2">
                  <c:v>954.10299999999938</c:v>
                </c:pt>
                <c:pt idx="3">
                  <c:v>1187.828</c:v>
                </c:pt>
                <c:pt idx="4">
                  <c:v>1421.576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2093056"/>
        <c:axId val="132094592"/>
      </c:scatterChart>
      <c:valAx>
        <c:axId val="132093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ms-MY"/>
          </a:p>
        </c:txPr>
        <c:crossAx val="132094592"/>
        <c:crosses val="autoZero"/>
        <c:crossBetween val="midCat"/>
      </c:valAx>
      <c:valAx>
        <c:axId val="13209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ms-MY"/>
          </a:p>
        </c:txPr>
        <c:crossAx val="132093056"/>
        <c:crosses val="autoZero"/>
        <c:crossBetween val="midCat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lang="en-US"/>
          </a:pPr>
          <a:endParaRPr lang="ms-MY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KruDi</dc:creator>
  <cp:lastModifiedBy>WAN AFIQ</cp:lastModifiedBy>
  <cp:revision>7</cp:revision>
  <dcterms:created xsi:type="dcterms:W3CDTF">2013-08-30T05:52:00Z</dcterms:created>
  <dcterms:modified xsi:type="dcterms:W3CDTF">2013-11-07T11:51:00Z</dcterms:modified>
</cp:coreProperties>
</file>