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DF1" w:rsidRDefault="00391B24" w:rsidP="006C74FE">
      <w:pPr>
        <w:pStyle w:val="Heading1"/>
        <w:jc w:val="center"/>
        <w:rPr>
          <w:rFonts w:ascii="Times New Roman" w:hAnsi="Times New Roman" w:cs="Times New Roman"/>
          <w:color w:val="auto"/>
        </w:rPr>
      </w:pPr>
      <w:r w:rsidRPr="0068369B">
        <w:rPr>
          <w:rFonts w:ascii="Times New Roman" w:hAnsi="Times New Roman" w:cs="Times New Roman"/>
          <w:color w:val="auto"/>
        </w:rPr>
        <w:t>ANALYTICAL METHOD DEVELOPMENT AND VALIDATION FOR SIMULTANEOUS ESTIMATION OF ARTEMETHER AND LUMEFANTRINE IN PURE AND PHARMACE</w:t>
      </w:r>
      <w:r w:rsidR="006C74FE" w:rsidRPr="0068369B">
        <w:rPr>
          <w:rFonts w:ascii="Times New Roman" w:hAnsi="Times New Roman" w:cs="Times New Roman"/>
          <w:color w:val="auto"/>
        </w:rPr>
        <w:t xml:space="preserve">UTICAL DOSAGE   FORM USING </w:t>
      </w:r>
      <w:r w:rsidR="00617753" w:rsidRPr="0068369B">
        <w:rPr>
          <w:rFonts w:ascii="Times New Roman" w:hAnsi="Times New Roman" w:cs="Times New Roman"/>
          <w:color w:val="auto"/>
        </w:rPr>
        <w:t>RP-HPLC METHOD</w:t>
      </w:r>
    </w:p>
    <w:p w:rsidR="008B3ECD" w:rsidRPr="008B3ECD" w:rsidRDefault="008B3ECD" w:rsidP="008B3ECD">
      <w:pPr>
        <w:jc w:val="center"/>
        <w:rPr>
          <w:rFonts w:ascii="Times New Roman" w:hAnsi="Times New Roman" w:cs="Times New Roman"/>
          <w:sz w:val="28"/>
          <w:szCs w:val="28"/>
        </w:rPr>
      </w:pPr>
    </w:p>
    <w:p w:rsidR="008B3ECD" w:rsidRPr="008B3ECD" w:rsidRDefault="008B3ECD" w:rsidP="008B3ECD">
      <w:pPr>
        <w:jc w:val="center"/>
        <w:rPr>
          <w:rFonts w:ascii="Times New Roman" w:hAnsi="Times New Roman" w:cs="Times New Roman"/>
          <w:sz w:val="28"/>
          <w:szCs w:val="28"/>
        </w:rPr>
      </w:pPr>
      <w:r>
        <w:rPr>
          <w:rFonts w:ascii="Times New Roman" w:hAnsi="Times New Roman" w:cs="Times New Roman"/>
          <w:sz w:val="28"/>
          <w:szCs w:val="28"/>
        </w:rPr>
        <w:t>(</w:t>
      </w:r>
      <w:r w:rsidRPr="008B3ECD">
        <w:rPr>
          <w:rFonts w:ascii="Times New Roman" w:hAnsi="Times New Roman" w:cs="Times New Roman"/>
          <w:sz w:val="28"/>
          <w:szCs w:val="28"/>
        </w:rPr>
        <w:t xml:space="preserve">Pembangunan </w:t>
      </w:r>
      <w:proofErr w:type="spellStart"/>
      <w:r>
        <w:rPr>
          <w:rFonts w:ascii="Times New Roman" w:hAnsi="Times New Roman" w:cs="Times New Roman"/>
          <w:sz w:val="28"/>
          <w:szCs w:val="28"/>
        </w:rPr>
        <w:t>d</w:t>
      </w:r>
      <w:r w:rsidRPr="008B3ECD">
        <w:rPr>
          <w:rFonts w:ascii="Times New Roman" w:hAnsi="Times New Roman" w:cs="Times New Roman"/>
          <w:sz w:val="28"/>
          <w:szCs w:val="28"/>
        </w:rPr>
        <w:t>an</w:t>
      </w:r>
      <w:proofErr w:type="spellEnd"/>
      <w:r w:rsidRPr="008B3ECD">
        <w:rPr>
          <w:rFonts w:ascii="Times New Roman" w:hAnsi="Times New Roman" w:cs="Times New Roman"/>
          <w:sz w:val="28"/>
          <w:szCs w:val="28"/>
        </w:rPr>
        <w:t xml:space="preserve"> </w:t>
      </w:r>
      <w:proofErr w:type="spellStart"/>
      <w:r w:rsidRPr="008B3ECD">
        <w:rPr>
          <w:rFonts w:ascii="Times New Roman" w:hAnsi="Times New Roman" w:cs="Times New Roman"/>
          <w:sz w:val="28"/>
          <w:szCs w:val="28"/>
        </w:rPr>
        <w:t>Validasi</w:t>
      </w:r>
      <w:proofErr w:type="spellEnd"/>
      <w:r w:rsidRPr="008B3ECD">
        <w:rPr>
          <w:rFonts w:ascii="Times New Roman" w:hAnsi="Times New Roman" w:cs="Times New Roman"/>
          <w:sz w:val="28"/>
          <w:szCs w:val="28"/>
        </w:rPr>
        <w:t xml:space="preserve"> </w:t>
      </w:r>
      <w:proofErr w:type="spellStart"/>
      <w:r w:rsidRPr="008B3ECD">
        <w:rPr>
          <w:rFonts w:ascii="Times New Roman" w:hAnsi="Times New Roman" w:cs="Times New Roman"/>
          <w:sz w:val="28"/>
          <w:szCs w:val="28"/>
        </w:rPr>
        <w:t>Kaedah</w:t>
      </w:r>
      <w:proofErr w:type="spellEnd"/>
      <w:r w:rsidRPr="008B3ECD">
        <w:rPr>
          <w:rFonts w:ascii="Times New Roman" w:hAnsi="Times New Roman" w:cs="Times New Roman"/>
          <w:sz w:val="28"/>
          <w:szCs w:val="28"/>
        </w:rPr>
        <w:t xml:space="preserve"> </w:t>
      </w:r>
      <w:proofErr w:type="spellStart"/>
      <w:r w:rsidRPr="008B3ECD">
        <w:rPr>
          <w:rFonts w:ascii="Times New Roman" w:hAnsi="Times New Roman" w:cs="Times New Roman"/>
          <w:sz w:val="28"/>
          <w:szCs w:val="28"/>
        </w:rPr>
        <w:t>Analisis</w:t>
      </w:r>
      <w:proofErr w:type="spellEnd"/>
      <w:r w:rsidRPr="008B3ECD">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8B3ECD">
        <w:rPr>
          <w:rFonts w:ascii="Times New Roman" w:hAnsi="Times New Roman" w:cs="Times New Roman"/>
          <w:sz w:val="28"/>
          <w:szCs w:val="28"/>
        </w:rPr>
        <w:t>agi</w:t>
      </w:r>
      <w:proofErr w:type="spellEnd"/>
      <w:r w:rsidRPr="008B3ECD">
        <w:rPr>
          <w:rFonts w:ascii="Times New Roman" w:hAnsi="Times New Roman" w:cs="Times New Roman"/>
          <w:sz w:val="28"/>
          <w:szCs w:val="28"/>
        </w:rPr>
        <w:t xml:space="preserve"> </w:t>
      </w:r>
      <w:proofErr w:type="spellStart"/>
      <w:r>
        <w:rPr>
          <w:rFonts w:ascii="Times New Roman" w:hAnsi="Times New Roman" w:cs="Times New Roman"/>
          <w:sz w:val="28"/>
          <w:szCs w:val="28"/>
        </w:rPr>
        <w:t>Anggaran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Serentak</w:t>
      </w:r>
      <w:proofErr w:type="spellEnd"/>
      <w:r>
        <w:rPr>
          <w:rFonts w:ascii="Times New Roman" w:hAnsi="Times New Roman" w:cs="Times New Roman"/>
          <w:sz w:val="28"/>
          <w:szCs w:val="28"/>
        </w:rPr>
        <w:t xml:space="preserve"> </w:t>
      </w:r>
      <w:proofErr w:type="spellStart"/>
      <w:r w:rsidRPr="008B3ECD">
        <w:rPr>
          <w:rFonts w:ascii="Times New Roman" w:hAnsi="Times New Roman" w:cs="Times New Roman"/>
          <w:sz w:val="28"/>
          <w:szCs w:val="28"/>
        </w:rPr>
        <w:t>Artemether</w:t>
      </w:r>
      <w:proofErr w:type="spellEnd"/>
      <w:r w:rsidRPr="008B3ECD">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sidRPr="008B3ECD">
        <w:rPr>
          <w:rFonts w:ascii="Times New Roman" w:hAnsi="Times New Roman" w:cs="Times New Roman"/>
          <w:sz w:val="28"/>
          <w:szCs w:val="28"/>
        </w:rPr>
        <w:t>an</w:t>
      </w:r>
      <w:proofErr w:type="spellEnd"/>
      <w:r w:rsidRPr="008B3ECD">
        <w:rPr>
          <w:rFonts w:ascii="Times New Roman" w:hAnsi="Times New Roman" w:cs="Times New Roman"/>
          <w:sz w:val="28"/>
          <w:szCs w:val="28"/>
        </w:rPr>
        <w:t xml:space="preserve"> </w:t>
      </w:r>
      <w:proofErr w:type="spellStart"/>
      <w:r w:rsidRPr="008B3ECD">
        <w:rPr>
          <w:rFonts w:ascii="Times New Roman" w:hAnsi="Times New Roman" w:cs="Times New Roman"/>
          <w:sz w:val="28"/>
          <w:szCs w:val="28"/>
        </w:rPr>
        <w:t>Luefantri</w:t>
      </w:r>
      <w:r>
        <w:rPr>
          <w:rFonts w:ascii="Times New Roman" w:hAnsi="Times New Roman" w:cs="Times New Roman"/>
          <w:sz w:val="28"/>
          <w:szCs w:val="28"/>
        </w:rPr>
        <w:t>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sidRPr="008B3ECD">
        <w:rPr>
          <w:rFonts w:ascii="Times New Roman" w:hAnsi="Times New Roman" w:cs="Times New Roman"/>
          <w:sz w:val="28"/>
          <w:szCs w:val="28"/>
        </w:rPr>
        <w:t>alam</w:t>
      </w:r>
      <w:proofErr w:type="spellEnd"/>
      <w:r w:rsidRPr="008B3ECD">
        <w:rPr>
          <w:rFonts w:ascii="Times New Roman" w:hAnsi="Times New Roman" w:cs="Times New Roman"/>
          <w:sz w:val="28"/>
          <w:szCs w:val="28"/>
        </w:rPr>
        <w:t xml:space="preserve"> </w:t>
      </w:r>
      <w:proofErr w:type="spellStart"/>
      <w:r w:rsidRPr="008B3ECD">
        <w:rPr>
          <w:rFonts w:ascii="Times New Roman" w:hAnsi="Times New Roman" w:cs="Times New Roman"/>
          <w:sz w:val="28"/>
          <w:szCs w:val="28"/>
        </w:rPr>
        <w:t>Keadaan</w:t>
      </w:r>
      <w:proofErr w:type="spellEnd"/>
      <w:r w:rsidRPr="008B3ECD">
        <w:rPr>
          <w:rFonts w:ascii="Times New Roman" w:hAnsi="Times New Roman" w:cs="Times New Roman"/>
          <w:sz w:val="28"/>
          <w:szCs w:val="28"/>
        </w:rPr>
        <w:t xml:space="preserve"> </w:t>
      </w:r>
      <w:proofErr w:type="spellStart"/>
      <w:r w:rsidRPr="008B3ECD">
        <w:rPr>
          <w:rFonts w:ascii="Times New Roman" w:hAnsi="Times New Roman" w:cs="Times New Roman"/>
          <w:sz w:val="28"/>
          <w:szCs w:val="28"/>
        </w:rPr>
        <w:t>Tulen</w:t>
      </w:r>
      <w:proofErr w:type="spellEnd"/>
      <w:r w:rsidRPr="008B3ECD">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sidRPr="008B3ECD">
        <w:rPr>
          <w:rFonts w:ascii="Times New Roman" w:hAnsi="Times New Roman" w:cs="Times New Roman"/>
          <w:sz w:val="28"/>
          <w:szCs w:val="28"/>
        </w:rPr>
        <w:t>an</w:t>
      </w:r>
      <w:proofErr w:type="spellEnd"/>
      <w:r w:rsidRPr="008B3ECD">
        <w:rPr>
          <w:rFonts w:ascii="Times New Roman" w:hAnsi="Times New Roman" w:cs="Times New Roman"/>
          <w:sz w:val="28"/>
          <w:szCs w:val="28"/>
        </w:rPr>
        <w:t xml:space="preserve"> Dos </w:t>
      </w:r>
      <w:proofErr w:type="spellStart"/>
      <w:r w:rsidRPr="008B3ECD">
        <w:rPr>
          <w:rFonts w:ascii="Times New Roman" w:hAnsi="Times New Roman" w:cs="Times New Roman"/>
          <w:sz w:val="28"/>
          <w:szCs w:val="28"/>
        </w:rPr>
        <w:t>Farmaseutikal</w:t>
      </w:r>
      <w:proofErr w:type="spellEnd"/>
      <w:r w:rsidR="00EB5515">
        <w:rPr>
          <w:rFonts w:ascii="Times New Roman" w:hAnsi="Times New Roman" w:cs="Times New Roman"/>
          <w:sz w:val="28"/>
          <w:szCs w:val="28"/>
        </w:rPr>
        <w:t xml:space="preserve"> </w:t>
      </w:r>
      <w:proofErr w:type="spellStart"/>
      <w:r w:rsidR="00EB5515">
        <w:rPr>
          <w:rFonts w:ascii="Times New Roman" w:hAnsi="Times New Roman" w:cs="Times New Roman"/>
          <w:sz w:val="28"/>
          <w:szCs w:val="28"/>
        </w:rPr>
        <w:t>Mengunakan</w:t>
      </w:r>
      <w:proofErr w:type="spellEnd"/>
      <w:r w:rsidR="00EB5515">
        <w:rPr>
          <w:rFonts w:ascii="Times New Roman" w:hAnsi="Times New Roman" w:cs="Times New Roman"/>
          <w:sz w:val="28"/>
          <w:szCs w:val="28"/>
        </w:rPr>
        <w:t xml:space="preserve"> </w:t>
      </w:r>
      <w:proofErr w:type="spellStart"/>
      <w:r w:rsidR="00EB5515">
        <w:rPr>
          <w:rFonts w:ascii="Times New Roman" w:hAnsi="Times New Roman" w:cs="Times New Roman"/>
          <w:sz w:val="28"/>
          <w:szCs w:val="28"/>
        </w:rPr>
        <w:t>Kaedah</w:t>
      </w:r>
      <w:proofErr w:type="spellEnd"/>
      <w:r w:rsidR="00EB5515">
        <w:rPr>
          <w:rFonts w:ascii="Times New Roman" w:hAnsi="Times New Roman" w:cs="Times New Roman"/>
          <w:sz w:val="28"/>
          <w:szCs w:val="28"/>
        </w:rPr>
        <w:t xml:space="preserve"> K</w:t>
      </w:r>
      <w:r w:rsidRPr="008B3ECD">
        <w:rPr>
          <w:rFonts w:ascii="Times New Roman" w:hAnsi="Times New Roman" w:cs="Times New Roman"/>
          <w:sz w:val="28"/>
          <w:szCs w:val="28"/>
        </w:rPr>
        <w:t>C</w:t>
      </w:r>
      <w:r w:rsidR="00EB5515">
        <w:rPr>
          <w:rFonts w:ascii="Times New Roman" w:hAnsi="Times New Roman" w:cs="Times New Roman"/>
          <w:sz w:val="28"/>
          <w:szCs w:val="28"/>
        </w:rPr>
        <w:t>P</w:t>
      </w:r>
      <w:r w:rsidRPr="008B3ECD">
        <w:rPr>
          <w:rFonts w:ascii="Times New Roman" w:hAnsi="Times New Roman" w:cs="Times New Roman"/>
          <w:sz w:val="28"/>
          <w:szCs w:val="28"/>
        </w:rPr>
        <w:t>T-</w:t>
      </w:r>
      <w:proofErr w:type="spellStart"/>
      <w:r w:rsidRPr="008B3ECD">
        <w:rPr>
          <w:rFonts w:ascii="Times New Roman" w:hAnsi="Times New Roman" w:cs="Times New Roman"/>
          <w:sz w:val="28"/>
          <w:szCs w:val="28"/>
        </w:rPr>
        <w:t>Fasa</w:t>
      </w:r>
      <w:proofErr w:type="spellEnd"/>
      <w:r w:rsidRPr="008B3ECD">
        <w:rPr>
          <w:rFonts w:ascii="Times New Roman" w:hAnsi="Times New Roman" w:cs="Times New Roman"/>
          <w:sz w:val="28"/>
          <w:szCs w:val="28"/>
        </w:rPr>
        <w:t xml:space="preserve"> </w:t>
      </w:r>
      <w:proofErr w:type="spellStart"/>
      <w:r w:rsidRPr="008B3ECD">
        <w:rPr>
          <w:rFonts w:ascii="Times New Roman" w:hAnsi="Times New Roman" w:cs="Times New Roman"/>
          <w:sz w:val="28"/>
          <w:szCs w:val="28"/>
        </w:rPr>
        <w:t>Terbalik</w:t>
      </w:r>
      <w:proofErr w:type="spellEnd"/>
      <w:r>
        <w:rPr>
          <w:rFonts w:ascii="Times New Roman" w:hAnsi="Times New Roman" w:cs="Times New Roman"/>
          <w:sz w:val="28"/>
          <w:szCs w:val="28"/>
        </w:rPr>
        <w:t>)</w:t>
      </w:r>
    </w:p>
    <w:p w:rsidR="006C74FE" w:rsidRPr="0068369B" w:rsidRDefault="006C74FE" w:rsidP="008B3ECD">
      <w:pPr>
        <w:spacing w:after="0" w:line="240" w:lineRule="auto"/>
        <w:rPr>
          <w:rFonts w:asciiTheme="majorBidi" w:hAnsiTheme="majorBidi" w:cstheme="majorBidi"/>
          <w:sz w:val="28"/>
          <w:szCs w:val="28"/>
        </w:rPr>
      </w:pPr>
    </w:p>
    <w:p w:rsidR="00883E5B" w:rsidRPr="0068369B" w:rsidRDefault="00883E5B" w:rsidP="00901EA6">
      <w:pPr>
        <w:autoSpaceDE w:val="0"/>
        <w:autoSpaceDN w:val="0"/>
        <w:adjustRightInd w:val="0"/>
        <w:spacing w:after="0" w:line="480" w:lineRule="auto"/>
        <w:jc w:val="center"/>
        <w:rPr>
          <w:rFonts w:ascii="Times New Roman" w:hAnsi="Times New Roman" w:cs="Times New Roman"/>
          <w:b/>
          <w:sz w:val="20"/>
          <w:szCs w:val="20"/>
        </w:rPr>
      </w:pPr>
      <w:r w:rsidRPr="0068369B">
        <w:rPr>
          <w:rFonts w:ascii="Times New Roman" w:hAnsi="Times New Roman" w:cs="Times New Roman"/>
          <w:b/>
          <w:sz w:val="20"/>
          <w:szCs w:val="20"/>
        </w:rPr>
        <w:t xml:space="preserve"> </w:t>
      </w:r>
      <w:proofErr w:type="spellStart"/>
      <w:r w:rsidR="00D41991" w:rsidRPr="0068369B">
        <w:rPr>
          <w:rFonts w:ascii="Times New Roman" w:hAnsi="Times New Roman" w:cs="Times New Roman"/>
          <w:b/>
          <w:sz w:val="20"/>
          <w:szCs w:val="20"/>
        </w:rPr>
        <w:t>Mannur</w:t>
      </w:r>
      <w:proofErr w:type="spellEnd"/>
      <w:r w:rsidR="00D41991" w:rsidRPr="0068369B">
        <w:rPr>
          <w:rFonts w:ascii="Times New Roman" w:hAnsi="Times New Roman" w:cs="Times New Roman"/>
          <w:b/>
          <w:sz w:val="20"/>
          <w:szCs w:val="20"/>
        </w:rPr>
        <w:t xml:space="preserve"> </w:t>
      </w:r>
      <w:proofErr w:type="spellStart"/>
      <w:r w:rsidR="00D41991" w:rsidRPr="0068369B">
        <w:rPr>
          <w:rFonts w:ascii="Times New Roman" w:hAnsi="Times New Roman" w:cs="Times New Roman"/>
          <w:b/>
          <w:sz w:val="20"/>
          <w:szCs w:val="20"/>
        </w:rPr>
        <w:t>Vinodh</w:t>
      </w:r>
      <w:proofErr w:type="spellEnd"/>
      <w:r w:rsidR="00D41991" w:rsidRPr="0068369B">
        <w:rPr>
          <w:rFonts w:ascii="Times New Roman" w:hAnsi="Times New Roman" w:cs="Times New Roman"/>
          <w:b/>
          <w:sz w:val="20"/>
          <w:szCs w:val="20"/>
        </w:rPr>
        <w:t xml:space="preserve">*, </w:t>
      </w:r>
      <w:proofErr w:type="spellStart"/>
      <w:r w:rsidRPr="0068369B">
        <w:rPr>
          <w:rFonts w:ascii="Times New Roman" w:hAnsi="Times New Roman" w:cs="Times New Roman"/>
          <w:b/>
          <w:sz w:val="20"/>
          <w:szCs w:val="20"/>
        </w:rPr>
        <w:t>Mastiholimath</w:t>
      </w:r>
      <w:proofErr w:type="spellEnd"/>
      <w:r w:rsidRPr="0068369B">
        <w:rPr>
          <w:rFonts w:ascii="Times New Roman" w:hAnsi="Times New Roman" w:cs="Times New Roman"/>
          <w:b/>
          <w:sz w:val="20"/>
          <w:szCs w:val="20"/>
        </w:rPr>
        <w:t xml:space="preserve"> </w:t>
      </w:r>
      <w:proofErr w:type="spellStart"/>
      <w:r w:rsidRPr="0068369B">
        <w:rPr>
          <w:rFonts w:ascii="Times New Roman" w:hAnsi="Times New Roman" w:cs="Times New Roman"/>
          <w:b/>
          <w:sz w:val="20"/>
          <w:szCs w:val="20"/>
        </w:rPr>
        <w:t>Vinayak</w:t>
      </w:r>
      <w:proofErr w:type="spellEnd"/>
      <w:r w:rsidR="004B2798" w:rsidRPr="0068369B">
        <w:rPr>
          <w:rFonts w:ascii="Times New Roman" w:hAnsi="Times New Roman" w:cs="Times New Roman"/>
          <w:b/>
          <w:sz w:val="20"/>
          <w:szCs w:val="20"/>
        </w:rPr>
        <w:t>,</w:t>
      </w:r>
      <w:r w:rsidRPr="0068369B">
        <w:rPr>
          <w:rFonts w:ascii="Times New Roman" w:hAnsi="Times New Roman" w:cs="Times New Roman"/>
          <w:b/>
          <w:sz w:val="20"/>
          <w:szCs w:val="20"/>
        </w:rPr>
        <w:t xml:space="preserve"> </w:t>
      </w:r>
      <w:proofErr w:type="spellStart"/>
      <w:r w:rsidRPr="0068369B">
        <w:rPr>
          <w:rFonts w:ascii="Times New Roman" w:hAnsi="Times New Roman" w:cs="Times New Roman"/>
          <w:b/>
          <w:sz w:val="20"/>
          <w:szCs w:val="20"/>
        </w:rPr>
        <w:t>Patware</w:t>
      </w:r>
      <w:proofErr w:type="spellEnd"/>
      <w:r w:rsidRPr="0068369B">
        <w:rPr>
          <w:rFonts w:ascii="Times New Roman" w:hAnsi="Times New Roman" w:cs="Times New Roman"/>
          <w:b/>
          <w:sz w:val="20"/>
          <w:szCs w:val="20"/>
        </w:rPr>
        <w:t xml:space="preserve"> </w:t>
      </w:r>
      <w:proofErr w:type="spellStart"/>
      <w:r w:rsidRPr="0068369B">
        <w:rPr>
          <w:rFonts w:ascii="Times New Roman" w:hAnsi="Times New Roman" w:cs="Times New Roman"/>
          <w:b/>
          <w:sz w:val="20"/>
          <w:szCs w:val="20"/>
        </w:rPr>
        <w:t>Pankaj</w:t>
      </w:r>
      <w:proofErr w:type="spellEnd"/>
      <w:r w:rsidRPr="0068369B">
        <w:rPr>
          <w:rFonts w:ascii="Times New Roman" w:hAnsi="Times New Roman" w:cs="Times New Roman"/>
          <w:b/>
          <w:sz w:val="20"/>
          <w:szCs w:val="20"/>
        </w:rPr>
        <w:t xml:space="preserve">, </w:t>
      </w:r>
      <w:proofErr w:type="spellStart"/>
      <w:r w:rsidRPr="0068369B">
        <w:rPr>
          <w:rFonts w:ascii="Times New Roman" w:hAnsi="Times New Roman" w:cs="Times New Roman"/>
          <w:b/>
          <w:sz w:val="20"/>
          <w:szCs w:val="20"/>
        </w:rPr>
        <w:t>Kharya</w:t>
      </w:r>
      <w:proofErr w:type="spellEnd"/>
      <w:r w:rsidR="006C74FE" w:rsidRPr="0068369B">
        <w:rPr>
          <w:rFonts w:ascii="Times New Roman" w:hAnsi="Times New Roman" w:cs="Times New Roman"/>
          <w:b/>
          <w:sz w:val="20"/>
          <w:szCs w:val="20"/>
        </w:rPr>
        <w:t xml:space="preserve"> Rahul and </w:t>
      </w:r>
      <w:proofErr w:type="spellStart"/>
      <w:r w:rsidR="0088463D" w:rsidRPr="0068369B">
        <w:rPr>
          <w:rFonts w:ascii="Times New Roman" w:hAnsi="Times New Roman" w:cs="Times New Roman"/>
          <w:b/>
          <w:sz w:val="20"/>
          <w:szCs w:val="20"/>
        </w:rPr>
        <w:t>Mascarenhas</w:t>
      </w:r>
      <w:proofErr w:type="spellEnd"/>
      <w:r w:rsidR="0088463D" w:rsidRPr="0068369B">
        <w:rPr>
          <w:rFonts w:ascii="Times New Roman" w:hAnsi="Times New Roman" w:cs="Times New Roman"/>
          <w:b/>
          <w:sz w:val="20"/>
          <w:szCs w:val="20"/>
        </w:rPr>
        <w:t xml:space="preserve"> </w:t>
      </w:r>
      <w:proofErr w:type="spellStart"/>
      <w:r w:rsidR="0088463D" w:rsidRPr="0068369B">
        <w:rPr>
          <w:rFonts w:ascii="Times New Roman" w:hAnsi="Times New Roman" w:cs="Times New Roman"/>
          <w:b/>
          <w:sz w:val="20"/>
          <w:szCs w:val="20"/>
        </w:rPr>
        <w:t>Renita</w:t>
      </w:r>
      <w:proofErr w:type="spellEnd"/>
    </w:p>
    <w:p w:rsidR="00883E5B" w:rsidRPr="0068369B" w:rsidRDefault="00C366FE" w:rsidP="006C74FE">
      <w:pPr>
        <w:spacing w:before="120" w:line="480" w:lineRule="auto"/>
        <w:jc w:val="center"/>
        <w:rPr>
          <w:rFonts w:ascii="Times New Roman" w:hAnsi="Times New Roman" w:cs="Times New Roman"/>
          <w:i/>
          <w:sz w:val="18"/>
          <w:szCs w:val="18"/>
        </w:rPr>
      </w:pPr>
      <w:r w:rsidRPr="0068369B">
        <w:rPr>
          <w:rFonts w:ascii="Times New Roman" w:hAnsi="Times New Roman" w:cs="Times New Roman"/>
          <w:bCs/>
          <w:i/>
          <w:sz w:val="18"/>
          <w:szCs w:val="18"/>
        </w:rPr>
        <w:t>Department of Quality A</w:t>
      </w:r>
      <w:r w:rsidR="00883E5B" w:rsidRPr="0068369B">
        <w:rPr>
          <w:rFonts w:ascii="Times New Roman" w:hAnsi="Times New Roman" w:cs="Times New Roman"/>
          <w:bCs/>
          <w:i/>
          <w:sz w:val="18"/>
          <w:szCs w:val="18"/>
        </w:rPr>
        <w:t xml:space="preserve">ssurance, </w:t>
      </w:r>
      <w:r w:rsidRPr="0068369B">
        <w:rPr>
          <w:rFonts w:ascii="Times New Roman" w:hAnsi="Times New Roman" w:cs="Times New Roman"/>
          <w:i/>
          <w:sz w:val="18"/>
          <w:szCs w:val="18"/>
        </w:rPr>
        <w:t>KLE University’s College of P</w:t>
      </w:r>
      <w:r w:rsidR="00883E5B" w:rsidRPr="0068369B">
        <w:rPr>
          <w:rFonts w:ascii="Times New Roman" w:hAnsi="Times New Roman" w:cs="Times New Roman"/>
          <w:i/>
          <w:sz w:val="18"/>
          <w:szCs w:val="18"/>
        </w:rPr>
        <w:t>harmacy,</w:t>
      </w:r>
      <w:r w:rsidR="00883E5B" w:rsidRPr="0068369B">
        <w:rPr>
          <w:rFonts w:ascii="Times New Roman" w:hAnsi="Times New Roman" w:cs="Times New Roman"/>
          <w:bCs/>
          <w:i/>
          <w:sz w:val="18"/>
          <w:szCs w:val="18"/>
        </w:rPr>
        <w:t xml:space="preserve"> </w:t>
      </w:r>
      <w:r w:rsidRPr="0068369B">
        <w:rPr>
          <w:rFonts w:ascii="Times New Roman" w:hAnsi="Times New Roman" w:cs="Times New Roman"/>
          <w:i/>
          <w:sz w:val="18"/>
          <w:szCs w:val="18"/>
        </w:rPr>
        <w:t>B</w:t>
      </w:r>
      <w:r w:rsidR="00883E5B" w:rsidRPr="0068369B">
        <w:rPr>
          <w:rFonts w:ascii="Times New Roman" w:hAnsi="Times New Roman" w:cs="Times New Roman"/>
          <w:i/>
          <w:sz w:val="18"/>
          <w:szCs w:val="18"/>
        </w:rPr>
        <w:t xml:space="preserve">elgaum- </w:t>
      </w:r>
      <w:r w:rsidR="00883E5B" w:rsidRPr="0068369B">
        <w:rPr>
          <w:rFonts w:ascii="Times New Roman" w:hAnsi="Times New Roman" w:cs="Times New Roman"/>
          <w:bCs/>
          <w:i/>
          <w:sz w:val="18"/>
          <w:szCs w:val="18"/>
        </w:rPr>
        <w:t xml:space="preserve">590 010, </w:t>
      </w:r>
      <w:r w:rsidRPr="0068369B">
        <w:rPr>
          <w:rFonts w:ascii="Times New Roman" w:hAnsi="Times New Roman" w:cs="Times New Roman"/>
          <w:i/>
          <w:sz w:val="18"/>
          <w:szCs w:val="18"/>
        </w:rPr>
        <w:t>Karnataka, I</w:t>
      </w:r>
      <w:r w:rsidR="00883E5B" w:rsidRPr="0068369B">
        <w:rPr>
          <w:rFonts w:ascii="Times New Roman" w:hAnsi="Times New Roman" w:cs="Times New Roman"/>
          <w:i/>
          <w:sz w:val="18"/>
          <w:szCs w:val="18"/>
        </w:rPr>
        <w:t>ndia</w:t>
      </w:r>
    </w:p>
    <w:p w:rsidR="00BD7187" w:rsidRPr="00C1522F" w:rsidRDefault="00F87D9C" w:rsidP="006C74FE">
      <w:pPr>
        <w:pStyle w:val="Default"/>
        <w:spacing w:line="480" w:lineRule="auto"/>
        <w:jc w:val="center"/>
        <w:rPr>
          <w:rStyle w:val="Hyperlink"/>
          <w:bCs/>
          <w:i/>
          <w:color w:val="auto"/>
          <w:sz w:val="18"/>
          <w:szCs w:val="18"/>
          <w:u w:val="none"/>
        </w:rPr>
      </w:pPr>
      <w:bookmarkStart w:id="0" w:name="_GoBack"/>
      <w:r w:rsidRPr="00C1522F">
        <w:rPr>
          <w:i/>
          <w:color w:val="auto"/>
          <w:sz w:val="18"/>
          <w:szCs w:val="18"/>
        </w:rPr>
        <w:t xml:space="preserve">*Corresponding author: </w:t>
      </w:r>
      <w:hyperlink r:id="rId9" w:history="1">
        <w:r w:rsidRPr="00C1522F">
          <w:rPr>
            <w:rStyle w:val="Hyperlink"/>
            <w:bCs/>
            <w:i/>
            <w:color w:val="auto"/>
            <w:sz w:val="18"/>
            <w:szCs w:val="18"/>
            <w:u w:val="none"/>
          </w:rPr>
          <w:t>vinodhmannur@yahoo.com</w:t>
        </w:r>
      </w:hyperlink>
    </w:p>
    <w:bookmarkEnd w:id="0"/>
    <w:p w:rsidR="006C74FE" w:rsidRPr="0068369B" w:rsidRDefault="006C74FE" w:rsidP="006C74FE">
      <w:pPr>
        <w:pStyle w:val="Default"/>
        <w:jc w:val="center"/>
        <w:rPr>
          <w:iCs/>
          <w:color w:val="auto"/>
          <w:sz w:val="20"/>
          <w:szCs w:val="20"/>
        </w:rPr>
      </w:pPr>
    </w:p>
    <w:p w:rsidR="003F42A9" w:rsidRPr="0068369B" w:rsidRDefault="006C74FE" w:rsidP="006C74FE">
      <w:pPr>
        <w:autoSpaceDE w:val="0"/>
        <w:autoSpaceDN w:val="0"/>
        <w:adjustRightInd w:val="0"/>
        <w:spacing w:after="0" w:line="240" w:lineRule="auto"/>
        <w:jc w:val="center"/>
        <w:rPr>
          <w:rFonts w:ascii="Times New Roman" w:hAnsi="Times New Roman" w:cs="Times New Roman"/>
          <w:bCs/>
          <w:sz w:val="20"/>
          <w:szCs w:val="20"/>
        </w:rPr>
      </w:pPr>
      <w:r w:rsidRPr="0068369B">
        <w:rPr>
          <w:rFonts w:ascii="Times New Roman" w:hAnsi="Times New Roman" w:cs="Times New Roman"/>
          <w:b/>
          <w:sz w:val="20"/>
          <w:szCs w:val="20"/>
        </w:rPr>
        <w:t>Abstract</w:t>
      </w:r>
    </w:p>
    <w:p w:rsidR="004963EA" w:rsidRPr="0068369B" w:rsidRDefault="00617753" w:rsidP="006C74FE">
      <w:pPr>
        <w:autoSpaceDE w:val="0"/>
        <w:autoSpaceDN w:val="0"/>
        <w:adjustRightInd w:val="0"/>
        <w:spacing w:after="0" w:line="240" w:lineRule="auto"/>
        <w:jc w:val="both"/>
        <w:rPr>
          <w:rFonts w:ascii="Times New Roman" w:hAnsi="Times New Roman"/>
          <w:sz w:val="18"/>
          <w:szCs w:val="18"/>
        </w:rPr>
      </w:pPr>
      <w:r w:rsidRPr="0068369B">
        <w:rPr>
          <w:rFonts w:ascii="Times New Roman" w:hAnsi="Times New Roman"/>
          <w:sz w:val="18"/>
          <w:szCs w:val="18"/>
        </w:rPr>
        <w:t>A simple, rapid, precise and cost effective</w:t>
      </w:r>
      <w:r w:rsidR="00076000" w:rsidRPr="0068369B">
        <w:rPr>
          <w:rFonts w:ascii="Times New Roman" w:hAnsi="Times New Roman"/>
          <w:sz w:val="18"/>
          <w:szCs w:val="18"/>
        </w:rPr>
        <w:t xml:space="preserve"> </w:t>
      </w:r>
      <w:r w:rsidR="00076000" w:rsidRPr="0068369B">
        <w:rPr>
          <w:rFonts w:ascii="Times New Roman" w:hAnsi="Times New Roman" w:cs="Times New Roman"/>
          <w:sz w:val="18"/>
          <w:szCs w:val="18"/>
        </w:rPr>
        <w:t>reversed phase-high performance liquid chromatography</w:t>
      </w:r>
      <w:r w:rsidRPr="0068369B">
        <w:rPr>
          <w:rFonts w:ascii="Times New Roman" w:hAnsi="Times New Roman"/>
          <w:sz w:val="18"/>
          <w:szCs w:val="18"/>
        </w:rPr>
        <w:t xml:space="preserve"> </w:t>
      </w:r>
      <w:r w:rsidR="00076000" w:rsidRPr="0068369B">
        <w:rPr>
          <w:rFonts w:ascii="Times New Roman" w:hAnsi="Times New Roman"/>
          <w:sz w:val="18"/>
          <w:szCs w:val="18"/>
        </w:rPr>
        <w:t>(</w:t>
      </w:r>
      <w:r w:rsidRPr="0068369B">
        <w:rPr>
          <w:rFonts w:ascii="Times New Roman" w:hAnsi="Times New Roman"/>
          <w:sz w:val="18"/>
          <w:szCs w:val="18"/>
        </w:rPr>
        <w:t>RP-HPLC</w:t>
      </w:r>
      <w:r w:rsidR="00076000" w:rsidRPr="0068369B">
        <w:rPr>
          <w:rFonts w:ascii="Times New Roman" w:hAnsi="Times New Roman"/>
          <w:sz w:val="18"/>
          <w:szCs w:val="18"/>
        </w:rPr>
        <w:t>)</w:t>
      </w:r>
      <w:r w:rsidRPr="0068369B">
        <w:rPr>
          <w:rFonts w:ascii="Times New Roman" w:hAnsi="Times New Roman"/>
          <w:sz w:val="18"/>
          <w:szCs w:val="18"/>
        </w:rPr>
        <w:t xml:space="preserve"> method was developed for the simultaneous estimation of </w:t>
      </w:r>
      <w:proofErr w:type="spellStart"/>
      <w:r w:rsidRPr="0068369B">
        <w:rPr>
          <w:rFonts w:ascii="Times New Roman" w:hAnsi="Times New Roman"/>
          <w:sz w:val="18"/>
          <w:szCs w:val="18"/>
        </w:rPr>
        <w:t>Artemether</w:t>
      </w:r>
      <w:proofErr w:type="spellEnd"/>
      <w:r w:rsidR="0088463D" w:rsidRPr="0068369B">
        <w:rPr>
          <w:rFonts w:ascii="Times New Roman" w:hAnsi="Times New Roman"/>
          <w:sz w:val="18"/>
          <w:szCs w:val="18"/>
        </w:rPr>
        <w:t xml:space="preserve"> (AT)</w:t>
      </w:r>
      <w:r w:rsidRPr="0068369B">
        <w:rPr>
          <w:rFonts w:ascii="Times New Roman" w:hAnsi="Times New Roman"/>
          <w:sz w:val="18"/>
          <w:szCs w:val="18"/>
        </w:rPr>
        <w:t xml:space="preserve"> and </w:t>
      </w:r>
      <w:proofErr w:type="spellStart"/>
      <w:r w:rsidRPr="0068369B">
        <w:rPr>
          <w:rFonts w:ascii="Times New Roman" w:hAnsi="Times New Roman"/>
          <w:sz w:val="18"/>
          <w:szCs w:val="18"/>
        </w:rPr>
        <w:t>Lumefantrine</w:t>
      </w:r>
      <w:proofErr w:type="spellEnd"/>
      <w:r w:rsidR="0088463D" w:rsidRPr="0068369B">
        <w:rPr>
          <w:rFonts w:ascii="Times New Roman" w:hAnsi="Times New Roman"/>
          <w:sz w:val="18"/>
          <w:szCs w:val="18"/>
        </w:rPr>
        <w:t xml:space="preserve"> (LU)</w:t>
      </w:r>
      <w:r w:rsidRPr="0068369B">
        <w:rPr>
          <w:rFonts w:ascii="Times New Roman" w:hAnsi="Times New Roman"/>
          <w:sz w:val="18"/>
          <w:szCs w:val="18"/>
        </w:rPr>
        <w:t xml:space="preserve"> in pure drug and pharmaceutical dosage forms. The separation was carried out using BDS </w:t>
      </w:r>
      <w:proofErr w:type="spellStart"/>
      <w:r w:rsidRPr="0068369B">
        <w:rPr>
          <w:rFonts w:ascii="Times New Roman" w:hAnsi="Times New Roman"/>
          <w:sz w:val="18"/>
          <w:szCs w:val="18"/>
        </w:rPr>
        <w:t>Hypersil</w:t>
      </w:r>
      <w:proofErr w:type="spellEnd"/>
      <w:r w:rsidRPr="0068369B">
        <w:rPr>
          <w:rFonts w:ascii="Times New Roman" w:hAnsi="Times New Roman"/>
          <w:sz w:val="18"/>
          <w:szCs w:val="18"/>
        </w:rPr>
        <w:t xml:space="preserve"> C18 (150 × 4.6 mm </w:t>
      </w:r>
      <w:proofErr w:type="spellStart"/>
      <w:r w:rsidRPr="0068369B">
        <w:rPr>
          <w:rFonts w:ascii="Times New Roman" w:hAnsi="Times New Roman"/>
          <w:sz w:val="18"/>
          <w:szCs w:val="18"/>
        </w:rPr>
        <w:t>i.d.</w:t>
      </w:r>
      <w:proofErr w:type="spellEnd"/>
      <w:r w:rsidRPr="0068369B">
        <w:rPr>
          <w:rFonts w:ascii="Times New Roman" w:hAnsi="Times New Roman"/>
          <w:sz w:val="18"/>
          <w:szCs w:val="18"/>
        </w:rPr>
        <w:t xml:space="preserve"> 3 </w:t>
      </w:r>
      <w:proofErr w:type="spellStart"/>
      <w:r w:rsidRPr="0068369B">
        <w:rPr>
          <w:rFonts w:ascii="Times New Roman" w:hAnsi="Times New Roman"/>
          <w:sz w:val="18"/>
          <w:szCs w:val="18"/>
        </w:rPr>
        <w:t>μm</w:t>
      </w:r>
      <w:proofErr w:type="spellEnd"/>
      <w:r w:rsidRPr="0068369B">
        <w:rPr>
          <w:rFonts w:ascii="Times New Roman" w:hAnsi="Times New Roman"/>
          <w:sz w:val="18"/>
          <w:szCs w:val="18"/>
        </w:rPr>
        <w:t xml:space="preserve"> particle size) </w:t>
      </w:r>
      <w:r w:rsidR="00743CD6" w:rsidRPr="0068369B">
        <w:rPr>
          <w:rFonts w:ascii="Times New Roman" w:hAnsi="Times New Roman"/>
          <w:sz w:val="18"/>
          <w:szCs w:val="18"/>
        </w:rPr>
        <w:t>column, with mobile phase compri</w:t>
      </w:r>
      <w:r w:rsidRPr="0068369B">
        <w:rPr>
          <w:rFonts w:ascii="Times New Roman" w:hAnsi="Times New Roman"/>
          <w:sz w:val="18"/>
          <w:szCs w:val="18"/>
        </w:rPr>
        <w:t xml:space="preserve">sing of 0.01M tetra butyl ammonium hydrogen </w:t>
      </w:r>
      <w:proofErr w:type="spellStart"/>
      <w:r w:rsidRPr="0068369B">
        <w:rPr>
          <w:rFonts w:ascii="Times New Roman" w:hAnsi="Times New Roman"/>
          <w:sz w:val="18"/>
          <w:szCs w:val="18"/>
        </w:rPr>
        <w:t>sulphate</w:t>
      </w:r>
      <w:proofErr w:type="spellEnd"/>
      <w:r w:rsidRPr="0068369B">
        <w:rPr>
          <w:rFonts w:ascii="Times New Roman" w:hAnsi="Times New Roman"/>
          <w:sz w:val="18"/>
          <w:szCs w:val="18"/>
        </w:rPr>
        <w:t xml:space="preserve"> and acetonitrile in the ratio of 20 : 80 (v/v). The flow rate was 1.0ml/min and the detection was carried out using UV-visible detector at 222 nm. The method was validated by evaluation of different parameters such as accuracy, precision, linearity, ruggedness, </w:t>
      </w:r>
      <w:r w:rsidR="004D750E" w:rsidRPr="0068369B">
        <w:rPr>
          <w:rFonts w:ascii="Times New Roman" w:hAnsi="Times New Roman"/>
          <w:sz w:val="18"/>
          <w:szCs w:val="18"/>
        </w:rPr>
        <w:t>and robustness</w:t>
      </w:r>
      <w:r w:rsidRPr="0068369B">
        <w:rPr>
          <w:rFonts w:ascii="Times New Roman" w:hAnsi="Times New Roman"/>
          <w:sz w:val="18"/>
          <w:szCs w:val="18"/>
        </w:rPr>
        <w:t xml:space="preserve">, </w:t>
      </w:r>
      <w:r w:rsidR="004D750E" w:rsidRPr="0068369B">
        <w:rPr>
          <w:rFonts w:ascii="Times New Roman" w:hAnsi="Times New Roman"/>
          <w:sz w:val="18"/>
          <w:szCs w:val="18"/>
        </w:rPr>
        <w:t>limit of detection (</w:t>
      </w:r>
      <w:r w:rsidRPr="0068369B">
        <w:rPr>
          <w:rFonts w:ascii="Times New Roman" w:hAnsi="Times New Roman"/>
          <w:sz w:val="18"/>
          <w:szCs w:val="18"/>
        </w:rPr>
        <w:t>LOD</w:t>
      </w:r>
      <w:r w:rsidR="004D750E" w:rsidRPr="0068369B">
        <w:rPr>
          <w:rFonts w:ascii="Times New Roman" w:hAnsi="Times New Roman"/>
          <w:sz w:val="18"/>
          <w:szCs w:val="18"/>
        </w:rPr>
        <w:t>)</w:t>
      </w:r>
      <w:r w:rsidRPr="0068369B">
        <w:rPr>
          <w:rFonts w:ascii="Times New Roman" w:hAnsi="Times New Roman"/>
          <w:sz w:val="18"/>
          <w:szCs w:val="18"/>
        </w:rPr>
        <w:t xml:space="preserve"> and </w:t>
      </w:r>
      <w:r w:rsidR="004D750E" w:rsidRPr="0068369B">
        <w:rPr>
          <w:rFonts w:ascii="Times New Roman" w:hAnsi="Times New Roman"/>
          <w:sz w:val="18"/>
          <w:szCs w:val="18"/>
        </w:rPr>
        <w:t>limit of quantification (</w:t>
      </w:r>
      <w:r w:rsidRPr="0068369B">
        <w:rPr>
          <w:rFonts w:ascii="Times New Roman" w:hAnsi="Times New Roman"/>
          <w:sz w:val="18"/>
          <w:szCs w:val="18"/>
        </w:rPr>
        <w:t>LOQ</w:t>
      </w:r>
      <w:r w:rsidR="004D750E" w:rsidRPr="0068369B">
        <w:rPr>
          <w:rFonts w:ascii="Times New Roman" w:hAnsi="Times New Roman"/>
          <w:sz w:val="18"/>
          <w:szCs w:val="18"/>
        </w:rPr>
        <w:t>)</w:t>
      </w:r>
      <w:r w:rsidRPr="0068369B">
        <w:rPr>
          <w:rFonts w:ascii="Times New Roman" w:hAnsi="Times New Roman"/>
          <w:sz w:val="18"/>
          <w:szCs w:val="18"/>
        </w:rPr>
        <w:t>. The retention time were found to be 4.19 and 5.22</w:t>
      </w:r>
      <w:r w:rsidR="0010083B" w:rsidRPr="0068369B">
        <w:rPr>
          <w:rFonts w:ascii="Times New Roman" w:hAnsi="Times New Roman"/>
          <w:sz w:val="18"/>
          <w:szCs w:val="18"/>
        </w:rPr>
        <w:t xml:space="preserve"> min for AT and LU</w:t>
      </w:r>
      <w:r w:rsidRPr="0068369B">
        <w:rPr>
          <w:rFonts w:ascii="Times New Roman" w:hAnsi="Times New Roman"/>
          <w:sz w:val="18"/>
          <w:szCs w:val="18"/>
        </w:rPr>
        <w:t>, re</w:t>
      </w:r>
      <w:r w:rsidR="004D750E" w:rsidRPr="0068369B">
        <w:rPr>
          <w:rFonts w:ascii="Times New Roman" w:hAnsi="Times New Roman"/>
          <w:sz w:val="18"/>
          <w:szCs w:val="18"/>
        </w:rPr>
        <w:t>spectively.</w:t>
      </w:r>
      <w:r w:rsidRPr="0068369B">
        <w:rPr>
          <w:rFonts w:ascii="Times New Roman" w:hAnsi="Times New Roman"/>
          <w:sz w:val="18"/>
          <w:szCs w:val="18"/>
        </w:rPr>
        <w:t xml:space="preserve"> </w:t>
      </w:r>
      <w:proofErr w:type="gramStart"/>
      <w:r w:rsidR="004D750E" w:rsidRPr="0068369B">
        <w:rPr>
          <w:rFonts w:ascii="Times New Roman" w:hAnsi="Times New Roman"/>
          <w:sz w:val="18"/>
          <w:szCs w:val="18"/>
        </w:rPr>
        <w:t>Correlation</w:t>
      </w:r>
      <w:r w:rsidRPr="0068369B">
        <w:rPr>
          <w:rFonts w:ascii="Times New Roman" w:hAnsi="Times New Roman"/>
          <w:sz w:val="18"/>
          <w:szCs w:val="18"/>
        </w:rPr>
        <w:t xml:space="preserve"> coefficient (r</w:t>
      </w:r>
      <w:r w:rsidRPr="0068369B">
        <w:rPr>
          <w:rFonts w:ascii="Times New Roman" w:hAnsi="Times New Roman"/>
          <w:sz w:val="18"/>
          <w:szCs w:val="18"/>
          <w:vertAlign w:val="superscript"/>
        </w:rPr>
        <w:t>2</w:t>
      </w:r>
      <w:r w:rsidRPr="0068369B">
        <w:rPr>
          <w:rFonts w:ascii="Times New Roman" w:hAnsi="Times New Roman"/>
          <w:sz w:val="18"/>
          <w:szCs w:val="18"/>
        </w:rPr>
        <w:t xml:space="preserve">) </w:t>
      </w:r>
      <w:r w:rsidR="004D750E" w:rsidRPr="0068369B">
        <w:rPr>
          <w:rFonts w:ascii="Times New Roman" w:hAnsi="Times New Roman"/>
          <w:sz w:val="18"/>
          <w:szCs w:val="18"/>
        </w:rPr>
        <w:t>of 0.999 for both</w:t>
      </w:r>
      <w:r w:rsidRPr="0068369B">
        <w:rPr>
          <w:rFonts w:ascii="Times New Roman" w:hAnsi="Times New Roman"/>
          <w:sz w:val="18"/>
          <w:szCs w:val="18"/>
        </w:rPr>
        <w:t xml:space="preserve"> over concentration range of 3.2-19.2μg/ml and 16-96μg/ml </w:t>
      </w:r>
      <w:r w:rsidR="0010083B" w:rsidRPr="0068369B">
        <w:rPr>
          <w:rFonts w:ascii="Times New Roman" w:hAnsi="Times New Roman"/>
          <w:sz w:val="18"/>
          <w:szCs w:val="18"/>
        </w:rPr>
        <w:t>for AT and LU</w:t>
      </w:r>
      <w:r w:rsidR="008D3CDB" w:rsidRPr="0068369B">
        <w:rPr>
          <w:rFonts w:ascii="Times New Roman" w:hAnsi="Times New Roman"/>
          <w:sz w:val="18"/>
          <w:szCs w:val="18"/>
        </w:rPr>
        <w:t>,</w:t>
      </w:r>
      <w:r w:rsidR="0068369B" w:rsidRPr="0068369B">
        <w:rPr>
          <w:rFonts w:ascii="Times New Roman" w:hAnsi="Times New Roman"/>
          <w:sz w:val="18"/>
          <w:szCs w:val="18"/>
        </w:rPr>
        <w:t xml:space="preserve"> </w:t>
      </w:r>
      <w:r w:rsidRPr="0068369B">
        <w:rPr>
          <w:rFonts w:ascii="Times New Roman" w:hAnsi="Times New Roman"/>
          <w:sz w:val="18"/>
          <w:szCs w:val="18"/>
        </w:rPr>
        <w:t>respectively.</w:t>
      </w:r>
      <w:proofErr w:type="gramEnd"/>
      <w:r w:rsidR="00781342" w:rsidRPr="0068369B">
        <w:rPr>
          <w:rFonts w:ascii="Times New Roman" w:hAnsi="Times New Roman"/>
          <w:sz w:val="18"/>
          <w:szCs w:val="18"/>
        </w:rPr>
        <w:t xml:space="preserve"> P</w:t>
      </w:r>
      <w:r w:rsidR="00327A72" w:rsidRPr="0068369B">
        <w:rPr>
          <w:rFonts w:ascii="Times New Roman" w:hAnsi="Times New Roman" w:cs="Times New Roman"/>
          <w:sz w:val="18"/>
          <w:szCs w:val="18"/>
        </w:rPr>
        <w:t>arameters like mobile phase ratio, wavelength, flow rate, etc. were deliberately varied.  It was observed that there were no marked changes in chromatograms, which demonstrated that the developed RP-HPLC method is robust</w:t>
      </w:r>
      <w:r w:rsidR="00327A72" w:rsidRPr="0068369B">
        <w:rPr>
          <w:rFonts w:ascii="Times New Roman" w:hAnsi="Times New Roman" w:cs="Times New Roman"/>
          <w:sz w:val="20"/>
          <w:szCs w:val="20"/>
        </w:rPr>
        <w:t>.</w:t>
      </w:r>
      <w:r w:rsidR="00781342" w:rsidRPr="0068369B">
        <w:rPr>
          <w:rFonts w:ascii="Times New Roman" w:hAnsi="Times New Roman" w:cs="Times New Roman"/>
          <w:sz w:val="20"/>
          <w:szCs w:val="20"/>
        </w:rPr>
        <w:t xml:space="preserve"> </w:t>
      </w:r>
      <w:r w:rsidR="00781342" w:rsidRPr="0068369B">
        <w:rPr>
          <w:rFonts w:ascii="Times New Roman" w:hAnsi="Times New Roman" w:cs="Times New Roman"/>
          <w:sz w:val="18"/>
          <w:szCs w:val="18"/>
        </w:rPr>
        <w:t>Intra and inter day precision reproducibility study was carried out and it was checked by determining precision on the same instrument, but by a different analyst</w:t>
      </w:r>
      <w:r w:rsidR="00781342" w:rsidRPr="0068369B">
        <w:rPr>
          <w:rFonts w:ascii="Times New Roman" w:hAnsi="Times New Roman" w:cs="Times New Roman"/>
          <w:sz w:val="20"/>
          <w:szCs w:val="20"/>
        </w:rPr>
        <w:t>.</w:t>
      </w:r>
      <w:r w:rsidR="00327A72" w:rsidRPr="0068369B">
        <w:rPr>
          <w:rFonts w:ascii="Times New Roman" w:hAnsi="Times New Roman" w:cs="Times New Roman"/>
          <w:sz w:val="20"/>
          <w:szCs w:val="20"/>
        </w:rPr>
        <w:t xml:space="preserve"> </w:t>
      </w:r>
      <w:r w:rsidRPr="0068369B">
        <w:rPr>
          <w:rFonts w:ascii="Times New Roman" w:hAnsi="Times New Roman"/>
          <w:sz w:val="18"/>
          <w:szCs w:val="18"/>
        </w:rPr>
        <w:t>The percentage recovery for A</w:t>
      </w:r>
      <w:r w:rsidR="0010083B" w:rsidRPr="0068369B">
        <w:rPr>
          <w:rFonts w:ascii="Times New Roman" w:hAnsi="Times New Roman"/>
          <w:sz w:val="18"/>
          <w:szCs w:val="18"/>
        </w:rPr>
        <w:t>T</w:t>
      </w:r>
      <w:r w:rsidRPr="0068369B">
        <w:rPr>
          <w:rFonts w:ascii="Times New Roman" w:hAnsi="Times New Roman"/>
          <w:sz w:val="18"/>
          <w:szCs w:val="18"/>
        </w:rPr>
        <w:t xml:space="preserve"> and L</w:t>
      </w:r>
      <w:r w:rsidR="0010083B" w:rsidRPr="0068369B">
        <w:rPr>
          <w:rFonts w:ascii="Times New Roman" w:hAnsi="Times New Roman"/>
          <w:sz w:val="18"/>
          <w:szCs w:val="18"/>
        </w:rPr>
        <w:t xml:space="preserve">U </w:t>
      </w:r>
      <w:r w:rsidRPr="0068369B">
        <w:rPr>
          <w:rFonts w:ascii="Times New Roman" w:hAnsi="Times New Roman"/>
          <w:sz w:val="18"/>
          <w:szCs w:val="18"/>
        </w:rPr>
        <w:t xml:space="preserve">were ranged between 99.18-100.19 and 99.96-100.07, respectively. </w:t>
      </w:r>
      <w:r w:rsidR="004D750E" w:rsidRPr="0068369B">
        <w:rPr>
          <w:rFonts w:ascii="Times New Roman" w:hAnsi="Times New Roman" w:cs="Times New Roman"/>
          <w:sz w:val="18"/>
          <w:szCs w:val="18"/>
        </w:rPr>
        <w:t xml:space="preserve">The LOD for AT and LU were found to be 0.201 and 2.99 </w:t>
      </w:r>
      <w:proofErr w:type="spellStart"/>
      <w:r w:rsidR="004D750E" w:rsidRPr="0068369B">
        <w:rPr>
          <w:rFonts w:ascii="Times New Roman" w:hAnsi="Times New Roman" w:cs="Times New Roman"/>
          <w:sz w:val="18"/>
          <w:szCs w:val="18"/>
        </w:rPr>
        <w:t>μg</w:t>
      </w:r>
      <w:proofErr w:type="spellEnd"/>
      <w:r w:rsidR="004D750E" w:rsidRPr="0068369B">
        <w:rPr>
          <w:rFonts w:ascii="Times New Roman" w:hAnsi="Times New Roman" w:cs="Times New Roman"/>
          <w:sz w:val="18"/>
          <w:szCs w:val="18"/>
        </w:rPr>
        <w:t xml:space="preserve">/ml and the LOQ were 0.609 and 9.086 </w:t>
      </w:r>
      <w:proofErr w:type="spellStart"/>
      <w:r w:rsidR="004D750E" w:rsidRPr="0068369B">
        <w:rPr>
          <w:rFonts w:ascii="Times New Roman" w:hAnsi="Times New Roman" w:cs="Times New Roman"/>
          <w:sz w:val="18"/>
          <w:szCs w:val="18"/>
        </w:rPr>
        <w:t>μg</w:t>
      </w:r>
      <w:proofErr w:type="spellEnd"/>
      <w:r w:rsidR="004D750E" w:rsidRPr="0068369B">
        <w:rPr>
          <w:rFonts w:ascii="Times New Roman" w:hAnsi="Times New Roman" w:cs="Times New Roman"/>
          <w:sz w:val="18"/>
          <w:szCs w:val="18"/>
        </w:rPr>
        <w:t>/ml respectively</w:t>
      </w:r>
      <w:r w:rsidR="004D750E" w:rsidRPr="0068369B">
        <w:rPr>
          <w:rFonts w:ascii="Times New Roman" w:hAnsi="Times New Roman" w:cs="Times New Roman"/>
          <w:sz w:val="20"/>
          <w:szCs w:val="20"/>
        </w:rPr>
        <w:t xml:space="preserve">. </w:t>
      </w:r>
      <w:r w:rsidRPr="0068369B">
        <w:rPr>
          <w:rFonts w:ascii="Times New Roman" w:hAnsi="Times New Roman"/>
          <w:sz w:val="18"/>
          <w:szCs w:val="18"/>
        </w:rPr>
        <w:t>Method was found t</w:t>
      </w:r>
      <w:r w:rsidR="003F42A9" w:rsidRPr="0068369B">
        <w:rPr>
          <w:rFonts w:ascii="Times New Roman" w:hAnsi="Times New Roman"/>
          <w:sz w:val="18"/>
          <w:szCs w:val="18"/>
        </w:rPr>
        <w:t xml:space="preserve">o be reproducible with relative </w:t>
      </w:r>
      <w:r w:rsidRPr="0068369B">
        <w:rPr>
          <w:rFonts w:ascii="Times New Roman" w:hAnsi="Times New Roman"/>
          <w:sz w:val="18"/>
          <w:szCs w:val="18"/>
        </w:rPr>
        <w:t xml:space="preserve">standard deviation (RSD) for intra and inter day precision less than 2%. </w:t>
      </w:r>
    </w:p>
    <w:p w:rsidR="009F6794" w:rsidRPr="0068369B" w:rsidRDefault="009F6794" w:rsidP="00901EA6">
      <w:pPr>
        <w:autoSpaceDE w:val="0"/>
        <w:autoSpaceDN w:val="0"/>
        <w:adjustRightInd w:val="0"/>
        <w:spacing w:after="0" w:line="480" w:lineRule="auto"/>
        <w:jc w:val="both"/>
        <w:rPr>
          <w:rFonts w:ascii="Times New Roman" w:hAnsi="Times New Roman"/>
          <w:sz w:val="18"/>
          <w:szCs w:val="18"/>
        </w:rPr>
      </w:pPr>
    </w:p>
    <w:p w:rsidR="00F87D9C" w:rsidRPr="0068369B" w:rsidRDefault="006C74FE" w:rsidP="0068369B">
      <w:pPr>
        <w:tabs>
          <w:tab w:val="left" w:pos="4140"/>
        </w:tabs>
        <w:autoSpaceDE w:val="0"/>
        <w:autoSpaceDN w:val="0"/>
        <w:adjustRightInd w:val="0"/>
        <w:spacing w:after="0" w:line="240" w:lineRule="auto"/>
        <w:jc w:val="both"/>
        <w:rPr>
          <w:rFonts w:ascii="Times New Roman" w:hAnsi="Times New Roman"/>
          <w:b/>
          <w:sz w:val="20"/>
          <w:szCs w:val="20"/>
        </w:rPr>
      </w:pPr>
      <w:r w:rsidRPr="0068369B">
        <w:rPr>
          <w:rFonts w:ascii="Times New Roman" w:hAnsi="Times New Roman"/>
          <w:b/>
          <w:sz w:val="20"/>
          <w:szCs w:val="20"/>
        </w:rPr>
        <w:t>Keywords</w:t>
      </w:r>
      <w:r w:rsidR="00AE3317" w:rsidRPr="0068369B">
        <w:rPr>
          <w:rFonts w:ascii="Times New Roman" w:hAnsi="Times New Roman"/>
          <w:b/>
          <w:sz w:val="20"/>
          <w:szCs w:val="20"/>
        </w:rPr>
        <w:t xml:space="preserve">: </w:t>
      </w:r>
      <w:proofErr w:type="spellStart"/>
      <w:r w:rsidR="00E41B2E" w:rsidRPr="0068369B">
        <w:rPr>
          <w:rFonts w:ascii="Times New Roman" w:hAnsi="Times New Roman"/>
          <w:sz w:val="18"/>
          <w:szCs w:val="18"/>
        </w:rPr>
        <w:t>Artemisinin</w:t>
      </w:r>
      <w:proofErr w:type="spellEnd"/>
      <w:r w:rsidR="00E41B2E" w:rsidRPr="0068369B">
        <w:rPr>
          <w:rFonts w:ascii="Times New Roman" w:hAnsi="Times New Roman"/>
          <w:sz w:val="18"/>
          <w:szCs w:val="18"/>
        </w:rPr>
        <w:t>-Based Combination T</w:t>
      </w:r>
      <w:r w:rsidRPr="0068369B">
        <w:rPr>
          <w:rFonts w:ascii="Times New Roman" w:hAnsi="Times New Roman"/>
          <w:sz w:val="18"/>
          <w:szCs w:val="18"/>
        </w:rPr>
        <w:t xml:space="preserve">herapy, </w:t>
      </w:r>
      <w:proofErr w:type="spellStart"/>
      <w:r w:rsidRPr="0068369B">
        <w:rPr>
          <w:rFonts w:ascii="Times New Roman" w:hAnsi="Times New Roman"/>
          <w:sz w:val="18"/>
          <w:szCs w:val="18"/>
        </w:rPr>
        <w:t>Artemether</w:t>
      </w:r>
      <w:proofErr w:type="spellEnd"/>
      <w:r w:rsidR="004963EA" w:rsidRPr="0068369B">
        <w:rPr>
          <w:rFonts w:ascii="Times New Roman" w:hAnsi="Times New Roman"/>
          <w:sz w:val="18"/>
          <w:szCs w:val="18"/>
        </w:rPr>
        <w:t xml:space="preserve">, </w:t>
      </w:r>
      <w:proofErr w:type="spellStart"/>
      <w:r w:rsidRPr="0068369B">
        <w:rPr>
          <w:rFonts w:ascii="Times New Roman" w:hAnsi="Times New Roman"/>
          <w:sz w:val="18"/>
          <w:szCs w:val="18"/>
        </w:rPr>
        <w:t>Lumefantrine</w:t>
      </w:r>
      <w:proofErr w:type="spellEnd"/>
      <w:r w:rsidR="004963EA" w:rsidRPr="0068369B">
        <w:rPr>
          <w:rFonts w:ascii="Times New Roman" w:hAnsi="Times New Roman"/>
          <w:sz w:val="18"/>
          <w:szCs w:val="18"/>
        </w:rPr>
        <w:t xml:space="preserve">, High </w:t>
      </w:r>
      <w:r w:rsidRPr="0068369B">
        <w:rPr>
          <w:rFonts w:ascii="Times New Roman" w:hAnsi="Times New Roman"/>
          <w:sz w:val="18"/>
          <w:szCs w:val="18"/>
        </w:rPr>
        <w:t xml:space="preserve">Performance Liquid    Chromatography </w:t>
      </w:r>
      <w:r w:rsidR="004963EA" w:rsidRPr="0068369B">
        <w:rPr>
          <w:rFonts w:ascii="Times New Roman" w:hAnsi="Times New Roman"/>
          <w:sz w:val="18"/>
          <w:szCs w:val="18"/>
        </w:rPr>
        <w:t>(HPLC)</w:t>
      </w:r>
      <w:r w:rsidR="00901EA6" w:rsidRPr="0068369B">
        <w:rPr>
          <w:rFonts w:ascii="Times New Roman" w:hAnsi="Times New Roman"/>
          <w:sz w:val="18"/>
          <w:szCs w:val="18"/>
        </w:rPr>
        <w:t>, Validation</w:t>
      </w:r>
      <w:r w:rsidR="004820D1" w:rsidRPr="0068369B">
        <w:rPr>
          <w:rFonts w:ascii="Times New Roman" w:hAnsi="Times New Roman"/>
          <w:sz w:val="18"/>
          <w:szCs w:val="18"/>
        </w:rPr>
        <w:t>.</w:t>
      </w:r>
    </w:p>
    <w:p w:rsidR="0068369B" w:rsidRPr="0068369B" w:rsidRDefault="0068369B" w:rsidP="0068369B">
      <w:pPr>
        <w:tabs>
          <w:tab w:val="left" w:pos="4140"/>
        </w:tabs>
        <w:autoSpaceDE w:val="0"/>
        <w:autoSpaceDN w:val="0"/>
        <w:adjustRightInd w:val="0"/>
        <w:spacing w:after="0" w:line="240" w:lineRule="auto"/>
        <w:jc w:val="both"/>
        <w:rPr>
          <w:rFonts w:ascii="Times New Roman" w:hAnsi="Times New Roman"/>
          <w:b/>
          <w:sz w:val="20"/>
          <w:szCs w:val="20"/>
        </w:rPr>
      </w:pPr>
    </w:p>
    <w:p w:rsidR="00AE3317" w:rsidRPr="0068369B" w:rsidRDefault="0068369B" w:rsidP="0068369B">
      <w:pPr>
        <w:spacing w:after="0" w:line="240" w:lineRule="auto"/>
        <w:jc w:val="center"/>
        <w:rPr>
          <w:rFonts w:ascii="Times New Roman" w:hAnsi="Times New Roman"/>
          <w:b/>
          <w:sz w:val="18"/>
          <w:szCs w:val="18"/>
        </w:rPr>
      </w:pPr>
      <w:proofErr w:type="spellStart"/>
      <w:r w:rsidRPr="0068369B">
        <w:rPr>
          <w:rFonts w:ascii="Times New Roman" w:hAnsi="Times New Roman"/>
          <w:b/>
          <w:sz w:val="18"/>
          <w:szCs w:val="18"/>
        </w:rPr>
        <w:t>Abstrak</w:t>
      </w:r>
      <w:proofErr w:type="spellEnd"/>
    </w:p>
    <w:p w:rsidR="00995BDC" w:rsidRPr="0068369B" w:rsidRDefault="008B3ECD" w:rsidP="0068369B">
      <w:pPr>
        <w:spacing w:after="0" w:line="240" w:lineRule="auto"/>
        <w:jc w:val="both"/>
        <w:rPr>
          <w:rFonts w:ascii="Times New Roman" w:hAnsi="Times New Roman"/>
          <w:sz w:val="18"/>
          <w:szCs w:val="18"/>
        </w:rPr>
      </w:pPr>
      <w:proofErr w:type="spellStart"/>
      <w:r>
        <w:rPr>
          <w:rFonts w:ascii="Times New Roman" w:hAnsi="Times New Roman"/>
          <w:sz w:val="18"/>
          <w:szCs w:val="18"/>
        </w:rPr>
        <w:t>Satu</w:t>
      </w:r>
      <w:proofErr w:type="spellEnd"/>
      <w:r>
        <w:rPr>
          <w:rFonts w:ascii="Times New Roman" w:hAnsi="Times New Roman"/>
          <w:sz w:val="18"/>
          <w:szCs w:val="18"/>
        </w:rPr>
        <w:t xml:space="preserve"> </w:t>
      </w:r>
      <w:proofErr w:type="spellStart"/>
      <w:r>
        <w:rPr>
          <w:rFonts w:ascii="Times New Roman" w:hAnsi="Times New Roman"/>
          <w:sz w:val="18"/>
          <w:szCs w:val="18"/>
        </w:rPr>
        <w:t>kaedah</w:t>
      </w:r>
      <w:proofErr w:type="spellEnd"/>
      <w:r>
        <w:rPr>
          <w:rFonts w:ascii="Times New Roman" w:hAnsi="Times New Roman"/>
          <w:sz w:val="18"/>
          <w:szCs w:val="18"/>
        </w:rPr>
        <w:t xml:space="preserve"> </w:t>
      </w:r>
      <w:proofErr w:type="spellStart"/>
      <w:r w:rsidRPr="008B3ECD">
        <w:rPr>
          <w:rFonts w:ascii="Times New Roman" w:hAnsi="Times New Roman"/>
          <w:sz w:val="18"/>
          <w:szCs w:val="18"/>
        </w:rPr>
        <w:t>kromatografi</w:t>
      </w:r>
      <w:proofErr w:type="spellEnd"/>
      <w:r w:rsidRPr="008B3ECD">
        <w:rPr>
          <w:rFonts w:ascii="Times New Roman" w:hAnsi="Times New Roman"/>
          <w:sz w:val="18"/>
          <w:szCs w:val="18"/>
        </w:rPr>
        <w:t xml:space="preserve"> </w:t>
      </w:r>
      <w:proofErr w:type="spellStart"/>
      <w:r w:rsidRPr="008B3ECD">
        <w:rPr>
          <w:rFonts w:ascii="Times New Roman" w:hAnsi="Times New Roman"/>
          <w:sz w:val="18"/>
          <w:szCs w:val="18"/>
        </w:rPr>
        <w:t>cecair</w:t>
      </w:r>
      <w:proofErr w:type="spellEnd"/>
      <w:r w:rsidRPr="008B3ECD">
        <w:rPr>
          <w:rFonts w:ascii="Times New Roman" w:hAnsi="Times New Roman"/>
          <w:sz w:val="18"/>
          <w:szCs w:val="18"/>
        </w:rPr>
        <w:t xml:space="preserve"> </w:t>
      </w:r>
      <w:proofErr w:type="spellStart"/>
      <w:r w:rsidRPr="008B3ECD">
        <w:rPr>
          <w:rFonts w:ascii="Times New Roman" w:hAnsi="Times New Roman"/>
          <w:sz w:val="18"/>
          <w:szCs w:val="18"/>
        </w:rPr>
        <w:t>berprestasi</w:t>
      </w:r>
      <w:proofErr w:type="spellEnd"/>
      <w:r w:rsidRPr="008B3ECD">
        <w:rPr>
          <w:rFonts w:ascii="Times New Roman" w:hAnsi="Times New Roman"/>
          <w:sz w:val="18"/>
          <w:szCs w:val="18"/>
        </w:rPr>
        <w:t xml:space="preserve"> </w:t>
      </w:r>
      <w:proofErr w:type="spellStart"/>
      <w:r w:rsidRPr="008B3ECD">
        <w:rPr>
          <w:rFonts w:ascii="Times New Roman" w:hAnsi="Times New Roman"/>
          <w:sz w:val="18"/>
          <w:szCs w:val="18"/>
        </w:rPr>
        <w:t>tinggi</w:t>
      </w:r>
      <w:proofErr w:type="spellEnd"/>
      <w:r w:rsidRPr="008B3ECD">
        <w:rPr>
          <w:rFonts w:ascii="Times New Roman" w:hAnsi="Times New Roman"/>
          <w:sz w:val="18"/>
          <w:szCs w:val="18"/>
        </w:rPr>
        <w:t xml:space="preserve"> (HPLC) </w:t>
      </w:r>
      <w:r>
        <w:rPr>
          <w:rFonts w:ascii="Times New Roman" w:hAnsi="Times New Roman"/>
          <w:sz w:val="18"/>
          <w:szCs w:val="18"/>
        </w:rPr>
        <w:t xml:space="preserve">– </w:t>
      </w:r>
      <w:proofErr w:type="spellStart"/>
      <w:r>
        <w:rPr>
          <w:rFonts w:ascii="Times New Roman" w:hAnsi="Times New Roman"/>
          <w:sz w:val="18"/>
          <w:szCs w:val="18"/>
        </w:rPr>
        <w:t>fasa</w:t>
      </w:r>
      <w:proofErr w:type="spellEnd"/>
      <w:r>
        <w:rPr>
          <w:rFonts w:ascii="Times New Roman" w:hAnsi="Times New Roman"/>
          <w:sz w:val="18"/>
          <w:szCs w:val="18"/>
        </w:rPr>
        <w:t xml:space="preserve"> </w:t>
      </w:r>
      <w:proofErr w:type="spellStart"/>
      <w:r>
        <w:rPr>
          <w:rFonts w:ascii="Times New Roman" w:hAnsi="Times New Roman"/>
          <w:sz w:val="18"/>
          <w:szCs w:val="18"/>
        </w:rPr>
        <w:t>terbalik</w:t>
      </w:r>
      <w:proofErr w:type="spellEnd"/>
      <w:r>
        <w:rPr>
          <w:rFonts w:ascii="Times New Roman" w:hAnsi="Times New Roman"/>
          <w:sz w:val="18"/>
          <w:szCs w:val="18"/>
        </w:rPr>
        <w:t xml:space="preserve"> yang </w:t>
      </w:r>
      <w:proofErr w:type="spellStart"/>
      <w:r>
        <w:rPr>
          <w:rFonts w:ascii="Times New Roman" w:hAnsi="Times New Roman"/>
          <w:sz w:val="18"/>
          <w:szCs w:val="18"/>
        </w:rPr>
        <w:t>m</w:t>
      </w:r>
      <w:r w:rsidR="00995BDC" w:rsidRPr="0068369B">
        <w:rPr>
          <w:rFonts w:ascii="Times New Roman" w:hAnsi="Times New Roman"/>
          <w:sz w:val="18"/>
          <w:szCs w:val="18"/>
        </w:rPr>
        <w:t>udah</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cepat</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tepat</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dan</w:t>
      </w:r>
      <w:proofErr w:type="spellEnd"/>
      <w:r>
        <w:rPr>
          <w:rFonts w:ascii="Times New Roman" w:hAnsi="Times New Roman"/>
          <w:sz w:val="18"/>
          <w:szCs w:val="18"/>
        </w:rPr>
        <w:t xml:space="preserve"> </w:t>
      </w:r>
      <w:proofErr w:type="spellStart"/>
      <w:r>
        <w:rPr>
          <w:rFonts w:ascii="Times New Roman" w:hAnsi="Times New Roman"/>
          <w:sz w:val="18"/>
          <w:szCs w:val="18"/>
        </w:rPr>
        <w:t>kos</w:t>
      </w:r>
      <w:proofErr w:type="spellEnd"/>
      <w:r>
        <w:rPr>
          <w:rFonts w:ascii="Times New Roman" w:hAnsi="Times New Roman"/>
          <w:sz w:val="18"/>
          <w:szCs w:val="18"/>
        </w:rPr>
        <w:t xml:space="preserve"> </w:t>
      </w:r>
      <w:proofErr w:type="spellStart"/>
      <w:r>
        <w:rPr>
          <w:rFonts w:ascii="Times New Roman" w:hAnsi="Times New Roman"/>
          <w:sz w:val="18"/>
          <w:szCs w:val="18"/>
        </w:rPr>
        <w:t>efektif</w:t>
      </w:r>
      <w:proofErr w:type="spellEnd"/>
      <w:r>
        <w:rPr>
          <w:rFonts w:ascii="Times New Roman" w:hAnsi="Times New Roman"/>
          <w:sz w:val="18"/>
          <w:szCs w:val="18"/>
        </w:rPr>
        <w:t xml:space="preserve"> </w:t>
      </w:r>
      <w:proofErr w:type="spellStart"/>
      <w:r w:rsidR="00995BDC" w:rsidRPr="0068369B">
        <w:rPr>
          <w:rFonts w:ascii="Times New Roman" w:hAnsi="Times New Roman"/>
          <w:sz w:val="18"/>
          <w:szCs w:val="18"/>
        </w:rPr>
        <w:t>telah</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dib</w:t>
      </w:r>
      <w:r>
        <w:rPr>
          <w:rFonts w:ascii="Times New Roman" w:hAnsi="Times New Roman"/>
          <w:sz w:val="18"/>
          <w:szCs w:val="18"/>
        </w:rPr>
        <w:t>angunkan</w:t>
      </w:r>
      <w:proofErr w:type="spellEnd"/>
      <w:r>
        <w:rPr>
          <w:rFonts w:ascii="Times New Roman" w:hAnsi="Times New Roman"/>
          <w:sz w:val="18"/>
          <w:szCs w:val="18"/>
        </w:rPr>
        <w:t xml:space="preserve"> </w:t>
      </w:r>
      <w:proofErr w:type="spellStart"/>
      <w:r>
        <w:rPr>
          <w:rFonts w:ascii="Times New Roman" w:hAnsi="Times New Roman"/>
          <w:sz w:val="18"/>
          <w:szCs w:val="18"/>
        </w:rPr>
        <w:t>bagi</w:t>
      </w:r>
      <w:proofErr w:type="spellEnd"/>
      <w:r>
        <w:rPr>
          <w:rFonts w:ascii="Times New Roman" w:hAnsi="Times New Roman"/>
          <w:sz w:val="18"/>
          <w:szCs w:val="18"/>
        </w:rPr>
        <w:t xml:space="preserve"> </w:t>
      </w:r>
      <w:proofErr w:type="spellStart"/>
      <w:r w:rsidR="00995BDC" w:rsidRPr="0068369B">
        <w:rPr>
          <w:rFonts w:ascii="Times New Roman" w:hAnsi="Times New Roman"/>
          <w:sz w:val="18"/>
          <w:szCs w:val="18"/>
        </w:rPr>
        <w:t>anggaran</w:t>
      </w:r>
      <w:proofErr w:type="spellEnd"/>
      <w:r w:rsidR="00995BDC" w:rsidRPr="0068369B">
        <w:rPr>
          <w:rFonts w:ascii="Times New Roman" w:hAnsi="Times New Roman"/>
          <w:sz w:val="18"/>
          <w:szCs w:val="18"/>
        </w:rPr>
        <w:t xml:space="preserve"> </w:t>
      </w:r>
      <w:proofErr w:type="spellStart"/>
      <w:r w:rsidR="00D212D7">
        <w:rPr>
          <w:rFonts w:ascii="Times New Roman" w:hAnsi="Times New Roman"/>
          <w:sz w:val="18"/>
          <w:szCs w:val="18"/>
        </w:rPr>
        <w:t>serentak</w:t>
      </w:r>
      <w:proofErr w:type="spellEnd"/>
      <w:r w:rsidR="00D212D7">
        <w:rPr>
          <w:rFonts w:ascii="Times New Roman" w:hAnsi="Times New Roman"/>
          <w:sz w:val="18"/>
          <w:szCs w:val="18"/>
        </w:rPr>
        <w:t xml:space="preserve"> </w:t>
      </w:r>
      <w:proofErr w:type="spellStart"/>
      <w:r w:rsidR="00995BDC" w:rsidRPr="0068369B">
        <w:rPr>
          <w:rFonts w:ascii="Times New Roman" w:hAnsi="Times New Roman"/>
          <w:sz w:val="18"/>
          <w:szCs w:val="18"/>
        </w:rPr>
        <w:t>Artemether</w:t>
      </w:r>
      <w:proofErr w:type="spellEnd"/>
      <w:r w:rsidR="00995BDC" w:rsidRPr="0068369B">
        <w:rPr>
          <w:rFonts w:ascii="Times New Roman" w:hAnsi="Times New Roman"/>
          <w:sz w:val="18"/>
          <w:szCs w:val="18"/>
        </w:rPr>
        <w:t xml:space="preserve"> (AT) </w:t>
      </w:r>
      <w:proofErr w:type="spellStart"/>
      <w:r w:rsidR="00995BDC" w:rsidRPr="0068369B">
        <w:rPr>
          <w:rFonts w:ascii="Times New Roman" w:hAnsi="Times New Roman"/>
          <w:sz w:val="18"/>
          <w:szCs w:val="18"/>
        </w:rPr>
        <w:t>dan</w:t>
      </w:r>
      <w:proofErr w:type="spellEnd"/>
      <w:r w:rsidR="00995BDC" w:rsidRPr="0068369B">
        <w:rPr>
          <w:rFonts w:ascii="Times New Roman" w:hAnsi="Times New Roman"/>
          <w:sz w:val="18"/>
          <w:szCs w:val="18"/>
        </w:rPr>
        <w:t xml:space="preserve"> </w:t>
      </w:r>
      <w:proofErr w:type="spellStart"/>
      <w:r w:rsidR="00D212D7">
        <w:rPr>
          <w:rFonts w:ascii="Times New Roman" w:hAnsi="Times New Roman"/>
          <w:sz w:val="18"/>
          <w:szCs w:val="18"/>
        </w:rPr>
        <w:t>Lumefantrine</w:t>
      </w:r>
      <w:proofErr w:type="spellEnd"/>
      <w:r w:rsidR="00D212D7">
        <w:rPr>
          <w:rFonts w:ascii="Times New Roman" w:hAnsi="Times New Roman"/>
          <w:sz w:val="18"/>
          <w:szCs w:val="18"/>
        </w:rPr>
        <w:t xml:space="preserve"> (LU) di </w:t>
      </w:r>
      <w:proofErr w:type="spellStart"/>
      <w:r w:rsidR="00D212D7">
        <w:rPr>
          <w:rFonts w:ascii="Times New Roman" w:hAnsi="Times New Roman"/>
          <w:sz w:val="18"/>
          <w:szCs w:val="18"/>
        </w:rPr>
        <w:t>dalam</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ubat-ubatan</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bentuk</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tulen</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dan</w:t>
      </w:r>
      <w:proofErr w:type="spellEnd"/>
      <w:r w:rsidR="00D212D7">
        <w:rPr>
          <w:rFonts w:ascii="Times New Roman" w:hAnsi="Times New Roman"/>
          <w:sz w:val="18"/>
          <w:szCs w:val="18"/>
        </w:rPr>
        <w:t xml:space="preserve"> dos </w:t>
      </w:r>
      <w:proofErr w:type="spellStart"/>
      <w:r w:rsidR="00D212D7">
        <w:rPr>
          <w:rFonts w:ascii="Times New Roman" w:hAnsi="Times New Roman"/>
          <w:sz w:val="18"/>
          <w:szCs w:val="18"/>
        </w:rPr>
        <w:t>farmaseutikal</w:t>
      </w:r>
      <w:proofErr w:type="spellEnd"/>
      <w:r w:rsidR="00D212D7">
        <w:rPr>
          <w:rFonts w:ascii="Times New Roman" w:hAnsi="Times New Roman"/>
          <w:sz w:val="18"/>
          <w:szCs w:val="18"/>
        </w:rPr>
        <w:t xml:space="preserve">. </w:t>
      </w:r>
      <w:proofErr w:type="spellStart"/>
      <w:proofErr w:type="gramStart"/>
      <w:r w:rsidR="00D212D7">
        <w:rPr>
          <w:rFonts w:ascii="Times New Roman" w:hAnsi="Times New Roman"/>
          <w:sz w:val="18"/>
          <w:szCs w:val="18"/>
        </w:rPr>
        <w:t>Pemisahan</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dilakukan</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menggunakan</w:t>
      </w:r>
      <w:proofErr w:type="spellEnd"/>
      <w:r w:rsidR="00995BDC" w:rsidRPr="0068369B">
        <w:rPr>
          <w:rFonts w:ascii="Times New Roman" w:hAnsi="Times New Roman"/>
          <w:sz w:val="18"/>
          <w:szCs w:val="18"/>
        </w:rPr>
        <w:t xml:space="preserve"> </w:t>
      </w:r>
      <w:proofErr w:type="spellStart"/>
      <w:r w:rsidR="00D212D7">
        <w:rPr>
          <w:rFonts w:ascii="Times New Roman" w:hAnsi="Times New Roman"/>
          <w:sz w:val="18"/>
          <w:szCs w:val="18"/>
        </w:rPr>
        <w:t>turus</w:t>
      </w:r>
      <w:proofErr w:type="spellEnd"/>
      <w:r w:rsidR="00D212D7">
        <w:rPr>
          <w:rFonts w:ascii="Times New Roman" w:hAnsi="Times New Roman"/>
          <w:sz w:val="18"/>
          <w:szCs w:val="18"/>
        </w:rPr>
        <w:t xml:space="preserve"> </w:t>
      </w:r>
      <w:r w:rsidR="00995BDC" w:rsidRPr="0068369B">
        <w:rPr>
          <w:rFonts w:ascii="Times New Roman" w:hAnsi="Times New Roman"/>
          <w:sz w:val="18"/>
          <w:szCs w:val="18"/>
        </w:rPr>
        <w:t xml:space="preserve">BDS </w:t>
      </w:r>
      <w:proofErr w:type="spellStart"/>
      <w:r w:rsidR="00995BDC" w:rsidRPr="0068369B">
        <w:rPr>
          <w:rFonts w:ascii="Times New Roman" w:hAnsi="Times New Roman"/>
          <w:sz w:val="18"/>
          <w:szCs w:val="18"/>
        </w:rPr>
        <w:t>Hypersil</w:t>
      </w:r>
      <w:proofErr w:type="spellEnd"/>
      <w:r w:rsidR="00995BDC" w:rsidRPr="0068369B">
        <w:rPr>
          <w:rFonts w:ascii="Times New Roman" w:hAnsi="Times New Roman"/>
          <w:sz w:val="18"/>
          <w:szCs w:val="18"/>
        </w:rPr>
        <w:t xml:space="preserve"> C18 (</w:t>
      </w:r>
      <w:r w:rsidR="00D212D7">
        <w:rPr>
          <w:rFonts w:ascii="Times New Roman" w:hAnsi="Times New Roman"/>
          <w:sz w:val="18"/>
          <w:szCs w:val="18"/>
        </w:rPr>
        <w:t xml:space="preserve">150 × 4.6 mm </w:t>
      </w:r>
      <w:proofErr w:type="spellStart"/>
      <w:r w:rsidR="00D212D7">
        <w:rPr>
          <w:rFonts w:ascii="Times New Roman" w:hAnsi="Times New Roman"/>
          <w:sz w:val="18"/>
          <w:szCs w:val="18"/>
        </w:rPr>
        <w:t>i.d</w:t>
      </w:r>
      <w:proofErr w:type="spellEnd"/>
      <w:r w:rsidR="00D212D7">
        <w:rPr>
          <w:rFonts w:ascii="Times New Roman" w:hAnsi="Times New Roman"/>
          <w:sz w:val="18"/>
          <w:szCs w:val="18"/>
        </w:rPr>
        <w:t xml:space="preserve"> </w:t>
      </w:r>
      <w:r w:rsidR="00995BDC" w:rsidRPr="0068369B">
        <w:rPr>
          <w:rFonts w:ascii="Times New Roman" w:hAnsi="Times New Roman"/>
          <w:sz w:val="18"/>
          <w:szCs w:val="18"/>
        </w:rPr>
        <w:t>3</w:t>
      </w:r>
      <w:r w:rsidR="00D212D7">
        <w:rPr>
          <w:rFonts w:ascii="Times New Roman" w:hAnsi="Times New Roman"/>
          <w:sz w:val="18"/>
          <w:szCs w:val="18"/>
        </w:rPr>
        <w:t xml:space="preserve"> </w:t>
      </w:r>
      <w:proofErr w:type="spellStart"/>
      <w:r w:rsidR="00D212D7">
        <w:rPr>
          <w:rFonts w:ascii="Times New Roman" w:hAnsi="Times New Roman"/>
          <w:sz w:val="18"/>
          <w:szCs w:val="18"/>
        </w:rPr>
        <w:t>partikel</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saiz</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dengan</w:t>
      </w:r>
      <w:proofErr w:type="spellEnd"/>
      <w:r w:rsidR="00D212D7">
        <w:rPr>
          <w:rFonts w:ascii="Times New Roman" w:hAnsi="Times New Roman"/>
          <w:sz w:val="18"/>
          <w:szCs w:val="18"/>
        </w:rPr>
        <w:t xml:space="preserve"> </w:t>
      </w:r>
      <w:proofErr w:type="spellStart"/>
      <w:r w:rsidR="00995BDC" w:rsidRPr="0068369B">
        <w:rPr>
          <w:rFonts w:ascii="Times New Roman" w:hAnsi="Times New Roman"/>
          <w:sz w:val="18"/>
          <w:szCs w:val="18"/>
        </w:rPr>
        <w:t>fasa</w:t>
      </w:r>
      <w:proofErr w:type="spellEnd"/>
      <w:r w:rsidR="00995BDC" w:rsidRPr="0068369B">
        <w:rPr>
          <w:rFonts w:ascii="Times New Roman" w:hAnsi="Times New Roman"/>
          <w:sz w:val="18"/>
          <w:szCs w:val="18"/>
        </w:rPr>
        <w:t xml:space="preserve"> </w:t>
      </w:r>
      <w:proofErr w:type="spellStart"/>
      <w:r w:rsidR="00D212D7">
        <w:rPr>
          <w:rFonts w:ascii="Times New Roman" w:hAnsi="Times New Roman"/>
          <w:sz w:val="18"/>
          <w:szCs w:val="18"/>
        </w:rPr>
        <w:t>bergerak</w:t>
      </w:r>
      <w:proofErr w:type="spellEnd"/>
      <w:r w:rsidR="00D212D7">
        <w:rPr>
          <w:rFonts w:ascii="Times New Roman" w:hAnsi="Times New Roman"/>
          <w:sz w:val="18"/>
          <w:szCs w:val="18"/>
        </w:rPr>
        <w:t xml:space="preserve"> </w:t>
      </w:r>
      <w:proofErr w:type="spellStart"/>
      <w:r w:rsidR="00995BDC" w:rsidRPr="0068369B">
        <w:rPr>
          <w:rFonts w:ascii="Times New Roman" w:hAnsi="Times New Roman"/>
          <w:sz w:val="18"/>
          <w:szCs w:val="18"/>
        </w:rPr>
        <w:t>terdiri</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daripada</w:t>
      </w:r>
      <w:proofErr w:type="spellEnd"/>
      <w:r w:rsidR="00995BDC" w:rsidRPr="0068369B">
        <w:rPr>
          <w:rFonts w:ascii="Times New Roman" w:hAnsi="Times New Roman"/>
          <w:sz w:val="18"/>
          <w:szCs w:val="18"/>
        </w:rPr>
        <w:t xml:space="preserve"> 0.01M tetra butyl ammonium </w:t>
      </w:r>
      <w:proofErr w:type="spellStart"/>
      <w:r w:rsidR="00D212D7">
        <w:rPr>
          <w:rFonts w:ascii="Times New Roman" w:hAnsi="Times New Roman"/>
          <w:sz w:val="18"/>
          <w:szCs w:val="18"/>
        </w:rPr>
        <w:t>hidrogen</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sulfat</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dan</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asetonitril</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pada</w:t>
      </w:r>
      <w:proofErr w:type="spellEnd"/>
      <w:r w:rsidR="00D212D7">
        <w:rPr>
          <w:rFonts w:ascii="Times New Roman" w:hAnsi="Times New Roman"/>
          <w:sz w:val="18"/>
          <w:szCs w:val="18"/>
        </w:rPr>
        <w:t xml:space="preserve"> </w:t>
      </w:r>
      <w:proofErr w:type="spellStart"/>
      <w:r w:rsidR="00995BDC" w:rsidRPr="0068369B">
        <w:rPr>
          <w:rFonts w:ascii="Times New Roman" w:hAnsi="Times New Roman"/>
          <w:sz w:val="18"/>
          <w:szCs w:val="18"/>
        </w:rPr>
        <w:t>nisbah</w:t>
      </w:r>
      <w:proofErr w:type="spellEnd"/>
      <w:r w:rsidR="00995BDC" w:rsidRPr="0068369B">
        <w:rPr>
          <w:rFonts w:ascii="Times New Roman" w:hAnsi="Times New Roman"/>
          <w:sz w:val="18"/>
          <w:szCs w:val="18"/>
        </w:rPr>
        <w:t xml:space="preserve"> 20:80 (v/v).</w:t>
      </w:r>
      <w:proofErr w:type="gramEnd"/>
      <w:r w:rsidR="00995BDC" w:rsidRPr="0068369B">
        <w:rPr>
          <w:rFonts w:ascii="Times New Roman" w:hAnsi="Times New Roman"/>
          <w:sz w:val="18"/>
          <w:szCs w:val="18"/>
        </w:rPr>
        <w:t xml:space="preserve">  </w:t>
      </w:r>
      <w:proofErr w:type="gramStart"/>
      <w:r w:rsidR="00995BDC" w:rsidRPr="0068369B">
        <w:rPr>
          <w:rFonts w:ascii="Times New Roman" w:hAnsi="Times New Roman"/>
          <w:sz w:val="18"/>
          <w:szCs w:val="18"/>
        </w:rPr>
        <w:t xml:space="preserve">Kadar </w:t>
      </w:r>
      <w:proofErr w:type="spellStart"/>
      <w:r w:rsidR="00995BDC" w:rsidRPr="0068369B">
        <w:rPr>
          <w:rFonts w:ascii="Times New Roman" w:hAnsi="Times New Roman"/>
          <w:sz w:val="18"/>
          <w:szCs w:val="18"/>
        </w:rPr>
        <w:t>aliran</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adalah</w:t>
      </w:r>
      <w:proofErr w:type="spellEnd"/>
      <w:r w:rsidR="00995BDC" w:rsidRPr="0068369B">
        <w:rPr>
          <w:rFonts w:ascii="Times New Roman" w:hAnsi="Times New Roman"/>
          <w:sz w:val="18"/>
          <w:szCs w:val="18"/>
        </w:rPr>
        <w:t xml:space="preserve"> 1.0 ml/min </w:t>
      </w:r>
      <w:proofErr w:type="spellStart"/>
      <w:r w:rsidR="00995BDC" w:rsidRPr="0068369B">
        <w:rPr>
          <w:rFonts w:ascii="Times New Roman" w:hAnsi="Times New Roman"/>
          <w:sz w:val="18"/>
          <w:szCs w:val="18"/>
        </w:rPr>
        <w:t>dan</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pengesanan</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dibuat</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menggunakan</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pengesan</w:t>
      </w:r>
      <w:proofErr w:type="spellEnd"/>
      <w:r w:rsidR="00D212D7">
        <w:rPr>
          <w:rFonts w:ascii="Times New Roman" w:hAnsi="Times New Roman"/>
          <w:sz w:val="18"/>
          <w:szCs w:val="18"/>
        </w:rPr>
        <w:t xml:space="preserve"> UV yang </w:t>
      </w:r>
      <w:proofErr w:type="spellStart"/>
      <w:r w:rsidR="00D212D7">
        <w:rPr>
          <w:rFonts w:ascii="Times New Roman" w:hAnsi="Times New Roman"/>
          <w:sz w:val="18"/>
          <w:szCs w:val="18"/>
        </w:rPr>
        <w:t>boleh</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diukur</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pada</w:t>
      </w:r>
      <w:proofErr w:type="spellEnd"/>
      <w:r w:rsidR="00D212D7">
        <w:rPr>
          <w:rFonts w:ascii="Times New Roman" w:hAnsi="Times New Roman"/>
          <w:sz w:val="18"/>
          <w:szCs w:val="18"/>
        </w:rPr>
        <w:t xml:space="preserve"> 222 nm.</w:t>
      </w:r>
      <w:proofErr w:type="gramEnd"/>
      <w:r w:rsidR="00D212D7">
        <w:rPr>
          <w:rFonts w:ascii="Times New Roman" w:hAnsi="Times New Roman"/>
          <w:sz w:val="18"/>
          <w:szCs w:val="18"/>
        </w:rPr>
        <w:t xml:space="preserve"> </w:t>
      </w:r>
      <w:proofErr w:type="spellStart"/>
      <w:r w:rsidR="00D212D7">
        <w:rPr>
          <w:rFonts w:ascii="Times New Roman" w:hAnsi="Times New Roman"/>
          <w:sz w:val="18"/>
          <w:szCs w:val="18"/>
        </w:rPr>
        <w:t>Kaedah</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divalidasi</w:t>
      </w:r>
      <w:proofErr w:type="spellEnd"/>
      <w:r w:rsidR="00D212D7">
        <w:rPr>
          <w:rFonts w:ascii="Times New Roman" w:hAnsi="Times New Roman"/>
          <w:sz w:val="18"/>
          <w:szCs w:val="18"/>
        </w:rPr>
        <w:t xml:space="preserve"> </w:t>
      </w:r>
      <w:proofErr w:type="spellStart"/>
      <w:r w:rsidR="00995BDC" w:rsidRPr="0068369B">
        <w:rPr>
          <w:rFonts w:ascii="Times New Roman" w:hAnsi="Times New Roman"/>
          <w:sz w:val="18"/>
          <w:szCs w:val="18"/>
        </w:rPr>
        <w:t>oleh</w:t>
      </w:r>
      <w:proofErr w:type="spellEnd"/>
      <w:r w:rsidR="00995BDC" w:rsidRPr="0068369B">
        <w:rPr>
          <w:rFonts w:ascii="Times New Roman" w:hAnsi="Times New Roman"/>
          <w:sz w:val="18"/>
          <w:szCs w:val="18"/>
        </w:rPr>
        <w:t xml:space="preserve"> </w:t>
      </w:r>
      <w:proofErr w:type="spellStart"/>
      <w:r w:rsidR="00D212D7">
        <w:rPr>
          <w:rFonts w:ascii="Times New Roman" w:hAnsi="Times New Roman"/>
          <w:sz w:val="18"/>
          <w:szCs w:val="18"/>
        </w:rPr>
        <w:t>ujian</w:t>
      </w:r>
      <w:proofErr w:type="spellEnd"/>
      <w:r w:rsidR="00D212D7">
        <w:rPr>
          <w:rFonts w:ascii="Times New Roman" w:hAnsi="Times New Roman"/>
          <w:sz w:val="18"/>
          <w:szCs w:val="18"/>
        </w:rPr>
        <w:t xml:space="preserve"> </w:t>
      </w:r>
      <w:proofErr w:type="spellStart"/>
      <w:r w:rsidR="00995BDC" w:rsidRPr="0068369B">
        <w:rPr>
          <w:rFonts w:ascii="Times New Roman" w:hAnsi="Times New Roman"/>
          <w:sz w:val="18"/>
          <w:szCs w:val="18"/>
        </w:rPr>
        <w:t>penilaian</w:t>
      </w:r>
      <w:proofErr w:type="spellEnd"/>
      <w:r w:rsidR="00995BDC" w:rsidRPr="0068369B">
        <w:rPr>
          <w:rFonts w:ascii="Times New Roman" w:hAnsi="Times New Roman"/>
          <w:sz w:val="18"/>
          <w:szCs w:val="18"/>
        </w:rPr>
        <w:t xml:space="preserve"> parameter yang </w:t>
      </w:r>
      <w:proofErr w:type="spellStart"/>
      <w:r w:rsidR="00995BDC" w:rsidRPr="0068369B">
        <w:rPr>
          <w:rFonts w:ascii="Times New Roman" w:hAnsi="Times New Roman"/>
          <w:sz w:val="18"/>
          <w:szCs w:val="18"/>
        </w:rPr>
        <w:t>berb</w:t>
      </w:r>
      <w:r w:rsidR="00D212D7">
        <w:rPr>
          <w:rFonts w:ascii="Times New Roman" w:hAnsi="Times New Roman"/>
          <w:sz w:val="18"/>
          <w:szCs w:val="18"/>
        </w:rPr>
        <w:t>eza</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seperti</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ketepatan</w:t>
      </w:r>
      <w:proofErr w:type="spellEnd"/>
      <w:r w:rsidR="00D212D7">
        <w:rPr>
          <w:rFonts w:ascii="Times New Roman" w:hAnsi="Times New Roman"/>
          <w:sz w:val="18"/>
          <w:szCs w:val="18"/>
        </w:rPr>
        <w:t xml:space="preserve">, </w:t>
      </w:r>
      <w:proofErr w:type="spellStart"/>
      <w:r w:rsidR="00D212D7">
        <w:rPr>
          <w:rFonts w:ascii="Times New Roman" w:hAnsi="Times New Roman"/>
          <w:sz w:val="18"/>
          <w:szCs w:val="18"/>
        </w:rPr>
        <w:t>kejituan</w:t>
      </w:r>
      <w:proofErr w:type="spellEnd"/>
      <w:r w:rsidR="00D212D7">
        <w:rPr>
          <w:rFonts w:ascii="Times New Roman" w:hAnsi="Times New Roman"/>
          <w:sz w:val="18"/>
          <w:szCs w:val="18"/>
        </w:rPr>
        <w:t xml:space="preserve">, linear, </w:t>
      </w:r>
      <w:proofErr w:type="spellStart"/>
      <w:r w:rsidR="00D212D7">
        <w:rPr>
          <w:rFonts w:ascii="Times New Roman" w:hAnsi="Times New Roman"/>
          <w:sz w:val="18"/>
          <w:szCs w:val="18"/>
        </w:rPr>
        <w:t>kekasapan</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dan</w:t>
      </w:r>
      <w:proofErr w:type="spellEnd"/>
      <w:r w:rsidR="00995BDC" w:rsidRPr="0068369B">
        <w:rPr>
          <w:rFonts w:ascii="Times New Roman" w:hAnsi="Times New Roman"/>
          <w:sz w:val="18"/>
          <w:szCs w:val="18"/>
        </w:rPr>
        <w:t xml:space="preserve"> </w:t>
      </w:r>
      <w:proofErr w:type="spellStart"/>
      <w:r w:rsidR="00D212D7">
        <w:rPr>
          <w:rFonts w:ascii="Times New Roman" w:hAnsi="Times New Roman"/>
          <w:sz w:val="18"/>
          <w:szCs w:val="18"/>
        </w:rPr>
        <w:t>keteguhan</w:t>
      </w:r>
      <w:proofErr w:type="spellEnd"/>
      <w:r w:rsidR="00D212D7">
        <w:rPr>
          <w:rFonts w:ascii="Times New Roman" w:hAnsi="Times New Roman"/>
          <w:sz w:val="18"/>
          <w:szCs w:val="18"/>
        </w:rPr>
        <w:t xml:space="preserve">, had </w:t>
      </w:r>
      <w:proofErr w:type="spellStart"/>
      <w:r w:rsidR="00D212D7">
        <w:rPr>
          <w:rFonts w:ascii="Times New Roman" w:hAnsi="Times New Roman"/>
          <w:sz w:val="18"/>
          <w:szCs w:val="18"/>
        </w:rPr>
        <w:t>pengesanan</w:t>
      </w:r>
      <w:proofErr w:type="spellEnd"/>
      <w:r w:rsidR="00D212D7">
        <w:rPr>
          <w:rFonts w:ascii="Times New Roman" w:hAnsi="Times New Roman"/>
          <w:sz w:val="18"/>
          <w:szCs w:val="18"/>
        </w:rPr>
        <w:t xml:space="preserve"> (LOQ) </w:t>
      </w:r>
      <w:proofErr w:type="spellStart"/>
      <w:r w:rsidR="00D212D7">
        <w:rPr>
          <w:rFonts w:ascii="Times New Roman" w:hAnsi="Times New Roman"/>
          <w:sz w:val="18"/>
          <w:szCs w:val="18"/>
        </w:rPr>
        <w:t>dan</w:t>
      </w:r>
      <w:proofErr w:type="spellEnd"/>
      <w:r w:rsidR="00D212D7">
        <w:rPr>
          <w:rFonts w:ascii="Times New Roman" w:hAnsi="Times New Roman"/>
          <w:sz w:val="18"/>
          <w:szCs w:val="18"/>
        </w:rPr>
        <w:t xml:space="preserve"> had </w:t>
      </w:r>
      <w:proofErr w:type="spellStart"/>
      <w:r w:rsidR="00995BDC" w:rsidRPr="0068369B">
        <w:rPr>
          <w:rFonts w:ascii="Times New Roman" w:hAnsi="Times New Roman"/>
          <w:sz w:val="18"/>
          <w:szCs w:val="18"/>
        </w:rPr>
        <w:t>kuantifikasi</w:t>
      </w:r>
      <w:proofErr w:type="spellEnd"/>
      <w:r w:rsidR="00995BDC" w:rsidRPr="0068369B">
        <w:rPr>
          <w:rFonts w:ascii="Times New Roman" w:hAnsi="Times New Roman"/>
          <w:sz w:val="18"/>
          <w:szCs w:val="18"/>
        </w:rPr>
        <w:t xml:space="preserve"> (LOQ). </w:t>
      </w:r>
      <w:proofErr w:type="spellStart"/>
      <w:proofErr w:type="gramStart"/>
      <w:r w:rsidR="00995BDC" w:rsidRPr="0068369B">
        <w:rPr>
          <w:rFonts w:ascii="Times New Roman" w:hAnsi="Times New Roman"/>
          <w:sz w:val="18"/>
          <w:szCs w:val="18"/>
        </w:rPr>
        <w:t>Masa</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pengekalan</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didapati</w:t>
      </w:r>
      <w:proofErr w:type="spellEnd"/>
      <w:r w:rsidR="00995BDC" w:rsidRPr="0068369B">
        <w:rPr>
          <w:rFonts w:ascii="Times New Roman" w:hAnsi="Times New Roman"/>
          <w:sz w:val="18"/>
          <w:szCs w:val="18"/>
        </w:rPr>
        <w:t xml:space="preserve"> </w:t>
      </w:r>
      <w:proofErr w:type="spellStart"/>
      <w:r w:rsidR="00AD4A5F">
        <w:rPr>
          <w:rFonts w:ascii="Times New Roman" w:hAnsi="Times New Roman"/>
          <w:sz w:val="18"/>
          <w:szCs w:val="18"/>
        </w:rPr>
        <w:t>pada</w:t>
      </w:r>
      <w:proofErr w:type="spellEnd"/>
      <w:r w:rsidR="00AD4A5F">
        <w:rPr>
          <w:rFonts w:ascii="Times New Roman" w:hAnsi="Times New Roman"/>
          <w:sz w:val="18"/>
          <w:szCs w:val="18"/>
        </w:rPr>
        <w:t xml:space="preserve"> </w:t>
      </w:r>
      <w:proofErr w:type="spellStart"/>
      <w:r w:rsidR="00995BDC" w:rsidRPr="0068369B">
        <w:rPr>
          <w:rFonts w:ascii="Times New Roman" w:hAnsi="Times New Roman"/>
          <w:sz w:val="18"/>
          <w:szCs w:val="18"/>
        </w:rPr>
        <w:t>min</w:t>
      </w:r>
      <w:r w:rsidR="00AD4A5F">
        <w:rPr>
          <w:rFonts w:ascii="Times New Roman" w:hAnsi="Times New Roman"/>
          <w:sz w:val="18"/>
          <w:szCs w:val="18"/>
        </w:rPr>
        <w:t>it</w:t>
      </w:r>
      <w:proofErr w:type="spellEnd"/>
      <w:r w:rsidR="00995BDC" w:rsidRPr="0068369B">
        <w:rPr>
          <w:rFonts w:ascii="Times New Roman" w:hAnsi="Times New Roman"/>
          <w:sz w:val="18"/>
          <w:szCs w:val="18"/>
        </w:rPr>
        <w:t xml:space="preserve"> 4.19 </w:t>
      </w:r>
      <w:proofErr w:type="spellStart"/>
      <w:r w:rsidR="00995BDC" w:rsidRPr="0068369B">
        <w:rPr>
          <w:rFonts w:ascii="Times New Roman" w:hAnsi="Times New Roman"/>
          <w:sz w:val="18"/>
          <w:szCs w:val="18"/>
        </w:rPr>
        <w:t>dan</w:t>
      </w:r>
      <w:proofErr w:type="spellEnd"/>
      <w:r w:rsidR="00995BDC" w:rsidRPr="0068369B">
        <w:rPr>
          <w:rFonts w:ascii="Times New Roman" w:hAnsi="Times New Roman"/>
          <w:sz w:val="18"/>
          <w:szCs w:val="18"/>
        </w:rPr>
        <w:t xml:space="preserve"> 5.22 </w:t>
      </w:r>
      <w:proofErr w:type="spellStart"/>
      <w:r w:rsidR="00AD4A5F">
        <w:rPr>
          <w:rFonts w:ascii="Times New Roman" w:hAnsi="Times New Roman"/>
          <w:sz w:val="18"/>
          <w:szCs w:val="18"/>
        </w:rPr>
        <w:t>masing</w:t>
      </w:r>
      <w:proofErr w:type="spellEnd"/>
      <w:r w:rsidR="00AD4A5F">
        <w:rPr>
          <w:rFonts w:ascii="Times New Roman" w:hAnsi="Times New Roman"/>
          <w:sz w:val="18"/>
          <w:szCs w:val="18"/>
        </w:rPr>
        <w:t xml:space="preserve"> – </w:t>
      </w:r>
      <w:proofErr w:type="spellStart"/>
      <w:r w:rsidR="00AD4A5F">
        <w:rPr>
          <w:rFonts w:ascii="Times New Roman" w:hAnsi="Times New Roman"/>
          <w:sz w:val="18"/>
          <w:szCs w:val="18"/>
        </w:rPr>
        <w:t>masing</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untuk</w:t>
      </w:r>
      <w:proofErr w:type="spellEnd"/>
      <w:r w:rsidR="00AD4A5F">
        <w:rPr>
          <w:rFonts w:ascii="Times New Roman" w:hAnsi="Times New Roman"/>
          <w:sz w:val="18"/>
          <w:szCs w:val="18"/>
        </w:rPr>
        <w:t xml:space="preserve"> AT </w:t>
      </w:r>
      <w:proofErr w:type="spellStart"/>
      <w:r w:rsidR="00AD4A5F">
        <w:rPr>
          <w:rFonts w:ascii="Times New Roman" w:hAnsi="Times New Roman"/>
          <w:sz w:val="18"/>
          <w:szCs w:val="18"/>
        </w:rPr>
        <w:t>dan</w:t>
      </w:r>
      <w:proofErr w:type="spellEnd"/>
      <w:r w:rsidR="00AD4A5F">
        <w:rPr>
          <w:rFonts w:ascii="Times New Roman" w:hAnsi="Times New Roman"/>
          <w:sz w:val="18"/>
          <w:szCs w:val="18"/>
        </w:rPr>
        <w:t xml:space="preserve"> LU.</w:t>
      </w:r>
      <w:proofErr w:type="gramEnd"/>
      <w:r w:rsidR="00995BDC" w:rsidRPr="0068369B">
        <w:rPr>
          <w:rFonts w:ascii="Times New Roman" w:hAnsi="Times New Roman"/>
          <w:sz w:val="18"/>
          <w:szCs w:val="18"/>
        </w:rPr>
        <w:t xml:space="preserve">  </w:t>
      </w:r>
      <w:proofErr w:type="spellStart"/>
      <w:proofErr w:type="gramStart"/>
      <w:r w:rsidR="00995BDC" w:rsidRPr="0068369B">
        <w:rPr>
          <w:rFonts w:ascii="Times New Roman" w:hAnsi="Times New Roman"/>
          <w:sz w:val="18"/>
          <w:szCs w:val="18"/>
        </w:rPr>
        <w:t>Pekali</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korelasi</w:t>
      </w:r>
      <w:proofErr w:type="spellEnd"/>
      <w:r w:rsidR="00995BDC" w:rsidRPr="0068369B">
        <w:rPr>
          <w:rFonts w:ascii="Times New Roman" w:hAnsi="Times New Roman"/>
          <w:sz w:val="18"/>
          <w:szCs w:val="18"/>
        </w:rPr>
        <w:t xml:space="preserve"> (r</w:t>
      </w:r>
      <w:r w:rsidR="00995BDC" w:rsidRPr="00AD4A5F">
        <w:rPr>
          <w:rFonts w:ascii="Times New Roman" w:hAnsi="Times New Roman"/>
          <w:sz w:val="18"/>
          <w:szCs w:val="18"/>
          <w:vertAlign w:val="superscript"/>
        </w:rPr>
        <w:t>2</w:t>
      </w:r>
      <w:r w:rsidR="00995BDC" w:rsidRPr="0068369B">
        <w:rPr>
          <w:rFonts w:ascii="Times New Roman" w:hAnsi="Times New Roman"/>
          <w:sz w:val="18"/>
          <w:szCs w:val="18"/>
        </w:rPr>
        <w:t xml:space="preserve">) 0.999 </w:t>
      </w:r>
      <w:proofErr w:type="spellStart"/>
      <w:r w:rsidR="00995BDC" w:rsidRPr="0068369B">
        <w:rPr>
          <w:rFonts w:ascii="Times New Roman" w:hAnsi="Times New Roman"/>
          <w:sz w:val="18"/>
          <w:szCs w:val="18"/>
        </w:rPr>
        <w:t>kedu</w:t>
      </w:r>
      <w:r w:rsidR="00AD4A5F">
        <w:rPr>
          <w:rFonts w:ascii="Times New Roman" w:hAnsi="Times New Roman"/>
          <w:sz w:val="18"/>
          <w:szCs w:val="18"/>
        </w:rPr>
        <w:t>a-duanya</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pada</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julat</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kepekatan</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masing</w:t>
      </w:r>
      <w:proofErr w:type="spellEnd"/>
      <w:r w:rsidR="00AD4A5F">
        <w:rPr>
          <w:rFonts w:ascii="Times New Roman" w:hAnsi="Times New Roman"/>
          <w:sz w:val="18"/>
          <w:szCs w:val="18"/>
        </w:rPr>
        <w:t xml:space="preserve"> – </w:t>
      </w:r>
      <w:proofErr w:type="spellStart"/>
      <w:r w:rsidR="00AD4A5F">
        <w:rPr>
          <w:rFonts w:ascii="Times New Roman" w:hAnsi="Times New Roman"/>
          <w:sz w:val="18"/>
          <w:szCs w:val="18"/>
        </w:rPr>
        <w:t>masing</w:t>
      </w:r>
      <w:proofErr w:type="spellEnd"/>
      <w:r w:rsidR="00AD4A5F">
        <w:rPr>
          <w:rFonts w:ascii="Times New Roman" w:hAnsi="Times New Roman"/>
          <w:sz w:val="18"/>
          <w:szCs w:val="18"/>
        </w:rPr>
        <w:t xml:space="preserve"> </w:t>
      </w:r>
      <w:r w:rsidR="00995BDC" w:rsidRPr="0068369B">
        <w:rPr>
          <w:rFonts w:ascii="Times New Roman" w:hAnsi="Times New Roman"/>
          <w:sz w:val="18"/>
          <w:szCs w:val="18"/>
        </w:rPr>
        <w:t>3.2</w:t>
      </w:r>
      <w:r w:rsidR="00AD4A5F">
        <w:rPr>
          <w:rFonts w:ascii="Times New Roman" w:hAnsi="Times New Roman"/>
          <w:sz w:val="18"/>
          <w:szCs w:val="18"/>
        </w:rPr>
        <w:t xml:space="preserve"> </w:t>
      </w:r>
      <w:r w:rsidR="00995BDC" w:rsidRPr="0068369B">
        <w:rPr>
          <w:rFonts w:ascii="Times New Roman" w:hAnsi="Times New Roman"/>
          <w:sz w:val="18"/>
          <w:szCs w:val="18"/>
        </w:rPr>
        <w:t>-</w:t>
      </w:r>
      <w:r w:rsidR="00AD4A5F">
        <w:rPr>
          <w:rFonts w:ascii="Times New Roman" w:hAnsi="Times New Roman"/>
          <w:sz w:val="18"/>
          <w:szCs w:val="18"/>
        </w:rPr>
        <w:t xml:space="preserve"> </w:t>
      </w:r>
      <w:r w:rsidR="00995BDC" w:rsidRPr="0068369B">
        <w:rPr>
          <w:rFonts w:ascii="Times New Roman" w:hAnsi="Times New Roman"/>
          <w:sz w:val="18"/>
          <w:szCs w:val="18"/>
        </w:rPr>
        <w:t xml:space="preserve">19.2μg/ml </w:t>
      </w:r>
      <w:proofErr w:type="spellStart"/>
      <w:r w:rsidR="00995BDC" w:rsidRPr="0068369B">
        <w:rPr>
          <w:rFonts w:ascii="Times New Roman" w:hAnsi="Times New Roman"/>
          <w:sz w:val="18"/>
          <w:szCs w:val="18"/>
        </w:rPr>
        <w:t>dan</w:t>
      </w:r>
      <w:proofErr w:type="spellEnd"/>
      <w:r w:rsidR="00995BDC" w:rsidRPr="0068369B">
        <w:rPr>
          <w:rFonts w:ascii="Times New Roman" w:hAnsi="Times New Roman"/>
          <w:sz w:val="18"/>
          <w:szCs w:val="18"/>
        </w:rPr>
        <w:t xml:space="preserve"> 16</w:t>
      </w:r>
      <w:r w:rsidR="00AD4A5F">
        <w:rPr>
          <w:rFonts w:ascii="Times New Roman" w:hAnsi="Times New Roman"/>
          <w:sz w:val="18"/>
          <w:szCs w:val="18"/>
        </w:rPr>
        <w:t xml:space="preserve"> </w:t>
      </w:r>
      <w:r w:rsidR="00995BDC" w:rsidRPr="0068369B">
        <w:rPr>
          <w:rFonts w:ascii="Times New Roman" w:hAnsi="Times New Roman"/>
          <w:sz w:val="18"/>
          <w:szCs w:val="18"/>
        </w:rPr>
        <w:t>-</w:t>
      </w:r>
      <w:r w:rsidR="00AD4A5F">
        <w:rPr>
          <w:rFonts w:ascii="Times New Roman" w:hAnsi="Times New Roman"/>
          <w:sz w:val="18"/>
          <w:szCs w:val="18"/>
        </w:rPr>
        <w:t xml:space="preserve"> </w:t>
      </w:r>
      <w:r w:rsidR="00995BDC" w:rsidRPr="0068369B">
        <w:rPr>
          <w:rFonts w:ascii="Times New Roman" w:hAnsi="Times New Roman"/>
          <w:sz w:val="18"/>
          <w:szCs w:val="18"/>
        </w:rPr>
        <w:t>96μg/</w:t>
      </w:r>
      <w:r w:rsidR="00AD4A5F">
        <w:rPr>
          <w:rFonts w:ascii="Times New Roman" w:hAnsi="Times New Roman"/>
          <w:sz w:val="18"/>
          <w:szCs w:val="18"/>
        </w:rPr>
        <w:t xml:space="preserve">ml </w:t>
      </w:r>
      <w:proofErr w:type="spellStart"/>
      <w:r w:rsidR="00AD4A5F">
        <w:rPr>
          <w:rFonts w:ascii="Times New Roman" w:hAnsi="Times New Roman"/>
          <w:sz w:val="18"/>
          <w:szCs w:val="18"/>
        </w:rPr>
        <w:t>bagi</w:t>
      </w:r>
      <w:proofErr w:type="spellEnd"/>
      <w:r w:rsidR="00AD4A5F">
        <w:rPr>
          <w:rFonts w:ascii="Times New Roman" w:hAnsi="Times New Roman"/>
          <w:sz w:val="18"/>
          <w:szCs w:val="18"/>
        </w:rPr>
        <w:t xml:space="preserve"> AT </w:t>
      </w:r>
      <w:proofErr w:type="spellStart"/>
      <w:r w:rsidR="00AD4A5F">
        <w:rPr>
          <w:rFonts w:ascii="Times New Roman" w:hAnsi="Times New Roman"/>
          <w:sz w:val="18"/>
          <w:szCs w:val="18"/>
        </w:rPr>
        <w:t>dan</w:t>
      </w:r>
      <w:proofErr w:type="spellEnd"/>
      <w:r w:rsidR="00AD4A5F">
        <w:rPr>
          <w:rFonts w:ascii="Times New Roman" w:hAnsi="Times New Roman"/>
          <w:sz w:val="18"/>
          <w:szCs w:val="18"/>
        </w:rPr>
        <w:t xml:space="preserve"> LU</w:t>
      </w:r>
      <w:r w:rsidR="00995BDC" w:rsidRPr="0068369B">
        <w:rPr>
          <w:rFonts w:ascii="Times New Roman" w:hAnsi="Times New Roman"/>
          <w:sz w:val="18"/>
          <w:szCs w:val="18"/>
        </w:rPr>
        <w:t>.</w:t>
      </w:r>
      <w:proofErr w:type="gramEnd"/>
      <w:r w:rsidR="00995BDC" w:rsidRPr="0068369B">
        <w:rPr>
          <w:rFonts w:ascii="Times New Roman" w:hAnsi="Times New Roman"/>
          <w:sz w:val="18"/>
          <w:szCs w:val="18"/>
        </w:rPr>
        <w:t xml:space="preserve"> Parameter </w:t>
      </w:r>
      <w:proofErr w:type="spellStart"/>
      <w:r w:rsidR="00995BDC" w:rsidRPr="0068369B">
        <w:rPr>
          <w:rFonts w:ascii="Times New Roman" w:hAnsi="Times New Roman"/>
          <w:sz w:val="18"/>
          <w:szCs w:val="18"/>
        </w:rPr>
        <w:t>seperti</w:t>
      </w:r>
      <w:proofErr w:type="spellEnd"/>
      <w:r w:rsidR="00995BDC" w:rsidRPr="0068369B">
        <w:rPr>
          <w:rFonts w:ascii="Times New Roman" w:hAnsi="Times New Roman"/>
          <w:sz w:val="18"/>
          <w:szCs w:val="18"/>
        </w:rPr>
        <w:t xml:space="preserve"> </w:t>
      </w:r>
      <w:proofErr w:type="spellStart"/>
      <w:r w:rsidR="00AD4A5F">
        <w:rPr>
          <w:rFonts w:ascii="Times New Roman" w:hAnsi="Times New Roman"/>
          <w:sz w:val="18"/>
          <w:szCs w:val="18"/>
        </w:rPr>
        <w:t>nisbah</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fasa</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bergerak</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panjang</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gelombang</w:t>
      </w:r>
      <w:proofErr w:type="spellEnd"/>
      <w:r w:rsidR="00995BDC" w:rsidRPr="0068369B">
        <w:rPr>
          <w:rFonts w:ascii="Times New Roman" w:hAnsi="Times New Roman"/>
          <w:sz w:val="18"/>
          <w:szCs w:val="18"/>
        </w:rPr>
        <w:t xml:space="preserve">, </w:t>
      </w:r>
      <w:proofErr w:type="spellStart"/>
      <w:proofErr w:type="gramStart"/>
      <w:r w:rsidR="00995BDC" w:rsidRPr="0068369B">
        <w:rPr>
          <w:rFonts w:ascii="Times New Roman" w:hAnsi="Times New Roman"/>
          <w:sz w:val="18"/>
          <w:szCs w:val="18"/>
        </w:rPr>
        <w:t>kadar</w:t>
      </w:r>
      <w:proofErr w:type="spellEnd"/>
      <w:proofErr w:type="gram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alira</w:t>
      </w:r>
      <w:r w:rsidR="00AD4A5F">
        <w:rPr>
          <w:rFonts w:ascii="Times New Roman" w:hAnsi="Times New Roman"/>
          <w:sz w:val="18"/>
          <w:szCs w:val="18"/>
        </w:rPr>
        <w:t>n</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dan</w:t>
      </w:r>
      <w:proofErr w:type="spellEnd"/>
      <w:r w:rsidR="00AD4A5F">
        <w:rPr>
          <w:rFonts w:ascii="Times New Roman" w:hAnsi="Times New Roman"/>
          <w:sz w:val="18"/>
          <w:szCs w:val="18"/>
        </w:rPr>
        <w:t xml:space="preserve"> lain-lain </w:t>
      </w:r>
      <w:proofErr w:type="spellStart"/>
      <w:r w:rsidR="00AD4A5F">
        <w:rPr>
          <w:rFonts w:ascii="Times New Roman" w:hAnsi="Times New Roman"/>
          <w:sz w:val="18"/>
          <w:szCs w:val="18"/>
        </w:rPr>
        <w:t>telah</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dijalankan</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Diperhatikan</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bahawa</w:t>
      </w:r>
      <w:proofErr w:type="spellEnd"/>
      <w:r w:rsidR="00995BDC" w:rsidRPr="0068369B">
        <w:rPr>
          <w:rFonts w:ascii="Times New Roman" w:hAnsi="Times New Roman"/>
          <w:sz w:val="18"/>
          <w:szCs w:val="18"/>
        </w:rPr>
        <w:t xml:space="preserve"> </w:t>
      </w:r>
      <w:proofErr w:type="spellStart"/>
      <w:r w:rsidR="00AD4A5F">
        <w:rPr>
          <w:rFonts w:ascii="Times New Roman" w:hAnsi="Times New Roman"/>
          <w:sz w:val="18"/>
          <w:szCs w:val="18"/>
        </w:rPr>
        <w:t>tiada</w:t>
      </w:r>
      <w:proofErr w:type="spellEnd"/>
      <w:r w:rsidR="00AD4A5F">
        <w:rPr>
          <w:rFonts w:ascii="Times New Roman" w:hAnsi="Times New Roman"/>
          <w:sz w:val="18"/>
          <w:szCs w:val="18"/>
        </w:rPr>
        <w:t xml:space="preserve"> </w:t>
      </w:r>
      <w:proofErr w:type="spellStart"/>
      <w:r w:rsidR="00995BDC" w:rsidRPr="0068369B">
        <w:rPr>
          <w:rFonts w:ascii="Times New Roman" w:hAnsi="Times New Roman"/>
          <w:sz w:val="18"/>
          <w:szCs w:val="18"/>
        </w:rPr>
        <w:t>terdapat</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sebarang</w:t>
      </w:r>
      <w:proofErr w:type="spellEnd"/>
      <w:r w:rsidR="00995BDC" w:rsidRPr="0068369B">
        <w:rPr>
          <w:rFonts w:ascii="Times New Roman" w:hAnsi="Times New Roman"/>
          <w:sz w:val="18"/>
          <w:szCs w:val="18"/>
        </w:rPr>
        <w:t xml:space="preserve"> </w:t>
      </w:r>
      <w:proofErr w:type="spellStart"/>
      <w:r w:rsidR="00995BDC" w:rsidRPr="00EB5515">
        <w:rPr>
          <w:rFonts w:ascii="Times New Roman" w:hAnsi="Times New Roman"/>
          <w:sz w:val="18"/>
          <w:szCs w:val="18"/>
        </w:rPr>
        <w:t>perubahan</w:t>
      </w:r>
      <w:proofErr w:type="spellEnd"/>
      <w:r w:rsidR="00995BDC" w:rsidRPr="00EB5515">
        <w:rPr>
          <w:rFonts w:ascii="Times New Roman" w:hAnsi="Times New Roman"/>
          <w:sz w:val="18"/>
          <w:szCs w:val="18"/>
        </w:rPr>
        <w:t xml:space="preserve"> </w:t>
      </w:r>
      <w:proofErr w:type="spellStart"/>
      <w:r w:rsidR="00AD4A5F">
        <w:rPr>
          <w:rFonts w:ascii="Times New Roman" w:hAnsi="Times New Roman"/>
          <w:sz w:val="18"/>
          <w:szCs w:val="18"/>
        </w:rPr>
        <w:t>ketara</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bagi</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kromotogram</w:t>
      </w:r>
      <w:proofErr w:type="spellEnd"/>
      <w:r w:rsidR="00995BDC" w:rsidRPr="0068369B">
        <w:rPr>
          <w:rFonts w:ascii="Times New Roman" w:hAnsi="Times New Roman"/>
          <w:sz w:val="18"/>
          <w:szCs w:val="18"/>
        </w:rPr>
        <w:t xml:space="preserve">, yang </w:t>
      </w:r>
      <w:proofErr w:type="spellStart"/>
      <w:r w:rsidR="00995BDC" w:rsidRPr="0068369B">
        <w:rPr>
          <w:rFonts w:ascii="Times New Roman" w:hAnsi="Times New Roman"/>
          <w:sz w:val="18"/>
          <w:szCs w:val="18"/>
        </w:rPr>
        <w:t>membuktikan</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bahaw</w:t>
      </w:r>
      <w:r w:rsidR="00AD4A5F">
        <w:rPr>
          <w:rFonts w:ascii="Times New Roman" w:hAnsi="Times New Roman"/>
          <w:sz w:val="18"/>
          <w:szCs w:val="18"/>
        </w:rPr>
        <w:t>a</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kaedah</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fasa</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terbalik</w:t>
      </w:r>
      <w:proofErr w:type="spellEnd"/>
      <w:r w:rsidR="00AD4A5F">
        <w:rPr>
          <w:rFonts w:ascii="Times New Roman" w:hAnsi="Times New Roman"/>
          <w:sz w:val="18"/>
          <w:szCs w:val="18"/>
        </w:rPr>
        <w:t xml:space="preserve">-KPCT </w:t>
      </w:r>
      <w:proofErr w:type="spellStart"/>
      <w:r w:rsidR="00AD4A5F">
        <w:rPr>
          <w:rFonts w:ascii="Times New Roman" w:hAnsi="Times New Roman"/>
          <w:sz w:val="18"/>
          <w:szCs w:val="18"/>
        </w:rPr>
        <w:t>ini</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adalah</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baik</w:t>
      </w:r>
      <w:proofErr w:type="spellEnd"/>
      <w:r w:rsidR="00AD4A5F">
        <w:rPr>
          <w:rFonts w:ascii="Times New Roman" w:hAnsi="Times New Roman"/>
          <w:sz w:val="18"/>
          <w:szCs w:val="18"/>
        </w:rPr>
        <w:t xml:space="preserve"> </w:t>
      </w:r>
      <w:proofErr w:type="spellStart"/>
      <w:proofErr w:type="gramStart"/>
      <w:r w:rsidR="00AD4A5F">
        <w:rPr>
          <w:rFonts w:ascii="Times New Roman" w:hAnsi="Times New Roman"/>
          <w:sz w:val="18"/>
          <w:szCs w:val="18"/>
        </w:rPr>
        <w:t>kadar</w:t>
      </w:r>
      <w:proofErr w:type="spellEnd"/>
      <w:proofErr w:type="gramEnd"/>
      <w:r w:rsidR="00AD4A5F">
        <w:rPr>
          <w:rFonts w:ascii="Times New Roman" w:hAnsi="Times New Roman"/>
          <w:sz w:val="18"/>
          <w:szCs w:val="18"/>
        </w:rPr>
        <w:t xml:space="preserve"> </w:t>
      </w:r>
      <w:proofErr w:type="spellStart"/>
      <w:r w:rsidR="00AD4A5F">
        <w:rPr>
          <w:rFonts w:ascii="Times New Roman" w:hAnsi="Times New Roman"/>
          <w:sz w:val="18"/>
          <w:szCs w:val="18"/>
        </w:rPr>
        <w:t>kekasapannya</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Ujian</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kebolehulangan</w:t>
      </w:r>
      <w:proofErr w:type="spellEnd"/>
      <w:r w:rsidR="00AD4A5F">
        <w:rPr>
          <w:rFonts w:ascii="Times New Roman" w:hAnsi="Times New Roman"/>
          <w:sz w:val="18"/>
          <w:szCs w:val="18"/>
        </w:rPr>
        <w:t xml:space="preserve"> inter </w:t>
      </w:r>
      <w:proofErr w:type="spellStart"/>
      <w:r w:rsidR="00AD4A5F">
        <w:rPr>
          <w:rFonts w:ascii="Times New Roman" w:hAnsi="Times New Roman"/>
          <w:sz w:val="18"/>
          <w:szCs w:val="18"/>
        </w:rPr>
        <w:t>dan</w:t>
      </w:r>
      <w:proofErr w:type="spellEnd"/>
      <w:r w:rsidR="00AD4A5F">
        <w:rPr>
          <w:rFonts w:ascii="Times New Roman" w:hAnsi="Times New Roman"/>
          <w:sz w:val="18"/>
          <w:szCs w:val="18"/>
        </w:rPr>
        <w:t xml:space="preserve"> intra </w:t>
      </w:r>
      <w:proofErr w:type="spellStart"/>
      <w:r w:rsidR="00AD4A5F">
        <w:rPr>
          <w:rFonts w:ascii="Times New Roman" w:hAnsi="Times New Roman"/>
          <w:sz w:val="18"/>
          <w:szCs w:val="18"/>
        </w:rPr>
        <w:t>hari</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telah</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dijalankan</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dan</w:t>
      </w:r>
      <w:proofErr w:type="spellEnd"/>
      <w:r w:rsidR="00995BDC" w:rsidRPr="0068369B">
        <w:rPr>
          <w:rFonts w:ascii="Times New Roman" w:hAnsi="Times New Roman"/>
          <w:sz w:val="18"/>
          <w:szCs w:val="18"/>
        </w:rPr>
        <w:t xml:space="preserve"> </w:t>
      </w:r>
      <w:proofErr w:type="spellStart"/>
      <w:proofErr w:type="gramStart"/>
      <w:r w:rsidR="00995BDC" w:rsidRPr="0068369B">
        <w:rPr>
          <w:rFonts w:ascii="Times New Roman" w:hAnsi="Times New Roman"/>
          <w:sz w:val="18"/>
          <w:szCs w:val="18"/>
        </w:rPr>
        <w:t>ia</w:t>
      </w:r>
      <w:proofErr w:type="spellEnd"/>
      <w:proofErr w:type="gramEnd"/>
      <w:r w:rsidR="00AD4A5F">
        <w:rPr>
          <w:rFonts w:ascii="Times New Roman" w:hAnsi="Times New Roman"/>
          <w:sz w:val="18"/>
          <w:szCs w:val="18"/>
        </w:rPr>
        <w:t xml:space="preserve"> </w:t>
      </w:r>
      <w:proofErr w:type="spellStart"/>
      <w:r w:rsidR="00AD4A5F">
        <w:rPr>
          <w:rFonts w:ascii="Times New Roman" w:hAnsi="Times New Roman"/>
          <w:sz w:val="18"/>
          <w:szCs w:val="18"/>
        </w:rPr>
        <w:t>adalah</w:t>
      </w:r>
      <w:proofErr w:type="spellEnd"/>
      <w:r w:rsidR="00AD4A5F">
        <w:rPr>
          <w:rFonts w:ascii="Times New Roman" w:hAnsi="Times New Roman"/>
          <w:sz w:val="18"/>
          <w:szCs w:val="18"/>
        </w:rPr>
        <w:t xml:space="preserve"> </w:t>
      </w:r>
      <w:proofErr w:type="spellStart"/>
      <w:r w:rsidR="00995BDC" w:rsidRPr="0068369B">
        <w:rPr>
          <w:rFonts w:ascii="Times New Roman" w:hAnsi="Times New Roman"/>
          <w:sz w:val="18"/>
          <w:szCs w:val="18"/>
        </w:rPr>
        <w:t>ketepatan</w:t>
      </w:r>
      <w:proofErr w:type="spellEnd"/>
      <w:r w:rsidR="00995BDC" w:rsidRPr="0068369B">
        <w:rPr>
          <w:rFonts w:ascii="Times New Roman" w:hAnsi="Times New Roman"/>
          <w:sz w:val="18"/>
          <w:szCs w:val="18"/>
        </w:rPr>
        <w:t xml:space="preserve"> </w:t>
      </w:r>
      <w:proofErr w:type="spellStart"/>
      <w:r w:rsidR="00AD4A5F">
        <w:rPr>
          <w:rFonts w:ascii="Times New Roman" w:hAnsi="Times New Roman"/>
          <w:sz w:val="18"/>
          <w:szCs w:val="18"/>
        </w:rPr>
        <w:t>telah</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ditentukan</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pada</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instrumen</w:t>
      </w:r>
      <w:proofErr w:type="spellEnd"/>
      <w:r w:rsidR="00AD4A5F">
        <w:rPr>
          <w:rFonts w:ascii="Times New Roman" w:hAnsi="Times New Roman"/>
          <w:sz w:val="18"/>
          <w:szCs w:val="18"/>
        </w:rPr>
        <w:t xml:space="preserve"> yang </w:t>
      </w:r>
      <w:proofErr w:type="spellStart"/>
      <w:r w:rsidR="00AD4A5F">
        <w:rPr>
          <w:rFonts w:ascii="Times New Roman" w:hAnsi="Times New Roman"/>
          <w:sz w:val="18"/>
          <w:szCs w:val="18"/>
        </w:rPr>
        <w:t>sama</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oleh</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penganalisa</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berbeza</w:t>
      </w:r>
      <w:proofErr w:type="spellEnd"/>
      <w:r w:rsidR="00AD4A5F">
        <w:rPr>
          <w:rFonts w:ascii="Times New Roman" w:hAnsi="Times New Roman"/>
          <w:sz w:val="18"/>
          <w:szCs w:val="18"/>
        </w:rPr>
        <w:t xml:space="preserve">. </w:t>
      </w:r>
      <w:proofErr w:type="spellStart"/>
      <w:proofErr w:type="gramStart"/>
      <w:r w:rsidR="00AD4A5F">
        <w:rPr>
          <w:rFonts w:ascii="Times New Roman" w:hAnsi="Times New Roman"/>
          <w:sz w:val="18"/>
          <w:szCs w:val="18"/>
        </w:rPr>
        <w:t>Perolehan</w:t>
      </w:r>
      <w:proofErr w:type="spellEnd"/>
      <w:r w:rsidR="00AD4A5F">
        <w:rPr>
          <w:rFonts w:ascii="Times New Roman" w:hAnsi="Times New Roman"/>
          <w:sz w:val="18"/>
          <w:szCs w:val="18"/>
        </w:rPr>
        <w:t xml:space="preserve"> </w:t>
      </w:r>
      <w:proofErr w:type="spellStart"/>
      <w:r w:rsidR="00AD4A5F">
        <w:rPr>
          <w:rFonts w:ascii="Times New Roman" w:hAnsi="Times New Roman"/>
          <w:sz w:val="18"/>
          <w:szCs w:val="18"/>
        </w:rPr>
        <w:t>semula</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bagi</w:t>
      </w:r>
      <w:proofErr w:type="spellEnd"/>
      <w:r w:rsidR="00995BDC" w:rsidRPr="0068369B">
        <w:rPr>
          <w:rFonts w:ascii="Times New Roman" w:hAnsi="Times New Roman"/>
          <w:sz w:val="18"/>
          <w:szCs w:val="18"/>
        </w:rPr>
        <w:t xml:space="preserve"> AT </w:t>
      </w:r>
      <w:proofErr w:type="spellStart"/>
      <w:r w:rsidR="00995BDC" w:rsidRPr="0068369B">
        <w:rPr>
          <w:rFonts w:ascii="Times New Roman" w:hAnsi="Times New Roman"/>
          <w:sz w:val="18"/>
          <w:szCs w:val="18"/>
        </w:rPr>
        <w:t>dan</w:t>
      </w:r>
      <w:proofErr w:type="spellEnd"/>
      <w:r w:rsidR="00995BDC" w:rsidRPr="0068369B">
        <w:rPr>
          <w:rFonts w:ascii="Times New Roman" w:hAnsi="Times New Roman"/>
          <w:sz w:val="18"/>
          <w:szCs w:val="18"/>
        </w:rPr>
        <w:t xml:space="preserve"> LU </w:t>
      </w:r>
      <w:proofErr w:type="spellStart"/>
      <w:r w:rsidR="00995BDC" w:rsidRPr="0068369B">
        <w:rPr>
          <w:rFonts w:ascii="Times New Roman" w:hAnsi="Times New Roman"/>
          <w:sz w:val="18"/>
          <w:szCs w:val="18"/>
        </w:rPr>
        <w:t>adalah</w:t>
      </w:r>
      <w:proofErr w:type="spellEnd"/>
      <w:r w:rsidR="00995BDC" w:rsidRPr="0068369B">
        <w:rPr>
          <w:rFonts w:ascii="Times New Roman" w:hAnsi="Times New Roman"/>
          <w:sz w:val="18"/>
          <w:szCs w:val="18"/>
        </w:rPr>
        <w:t xml:space="preserve"> </w:t>
      </w:r>
      <w:proofErr w:type="spellStart"/>
      <w:r w:rsidR="00AD4A5F">
        <w:rPr>
          <w:rFonts w:ascii="Times New Roman" w:hAnsi="Times New Roman"/>
          <w:sz w:val="18"/>
          <w:szCs w:val="18"/>
        </w:rPr>
        <w:t>masing</w:t>
      </w:r>
      <w:proofErr w:type="spellEnd"/>
      <w:r w:rsidR="00AD4A5F">
        <w:rPr>
          <w:rFonts w:ascii="Times New Roman" w:hAnsi="Times New Roman"/>
          <w:sz w:val="18"/>
          <w:szCs w:val="18"/>
        </w:rPr>
        <w:t xml:space="preserve"> – </w:t>
      </w:r>
      <w:proofErr w:type="spellStart"/>
      <w:r w:rsidR="00AD4A5F">
        <w:rPr>
          <w:rFonts w:ascii="Times New Roman" w:hAnsi="Times New Roman"/>
          <w:sz w:val="18"/>
          <w:szCs w:val="18"/>
        </w:rPr>
        <w:t>masing</w:t>
      </w:r>
      <w:proofErr w:type="spellEnd"/>
      <w:r w:rsidR="00AD4A5F">
        <w:rPr>
          <w:rFonts w:ascii="Times New Roman" w:hAnsi="Times New Roman"/>
          <w:sz w:val="18"/>
          <w:szCs w:val="18"/>
        </w:rPr>
        <w:t xml:space="preserve"> di </w:t>
      </w:r>
      <w:proofErr w:type="spellStart"/>
      <w:r w:rsidR="00995BDC" w:rsidRPr="0068369B">
        <w:rPr>
          <w:rFonts w:ascii="Times New Roman" w:hAnsi="Times New Roman"/>
          <w:sz w:val="18"/>
          <w:szCs w:val="18"/>
        </w:rPr>
        <w:t>antara</w:t>
      </w:r>
      <w:proofErr w:type="spellEnd"/>
      <w:r w:rsidR="00995BDC" w:rsidRPr="0068369B">
        <w:rPr>
          <w:rFonts w:ascii="Times New Roman" w:hAnsi="Times New Roman"/>
          <w:sz w:val="18"/>
          <w:szCs w:val="18"/>
        </w:rPr>
        <w:t xml:space="preserve"> 99.18</w:t>
      </w:r>
      <w:r w:rsidR="00AD4A5F">
        <w:rPr>
          <w:rFonts w:ascii="Times New Roman" w:hAnsi="Times New Roman"/>
          <w:sz w:val="18"/>
          <w:szCs w:val="18"/>
        </w:rPr>
        <w:t xml:space="preserve"> </w:t>
      </w:r>
      <w:r w:rsidR="00995BDC" w:rsidRPr="0068369B">
        <w:rPr>
          <w:rFonts w:ascii="Times New Roman" w:hAnsi="Times New Roman"/>
          <w:sz w:val="18"/>
          <w:szCs w:val="18"/>
        </w:rPr>
        <w:t>-</w:t>
      </w:r>
      <w:r w:rsidR="00AD4A5F">
        <w:rPr>
          <w:rFonts w:ascii="Times New Roman" w:hAnsi="Times New Roman"/>
          <w:sz w:val="18"/>
          <w:szCs w:val="18"/>
        </w:rPr>
        <w:t xml:space="preserve"> </w:t>
      </w:r>
      <w:r w:rsidR="00995BDC" w:rsidRPr="0068369B">
        <w:rPr>
          <w:rFonts w:ascii="Times New Roman" w:hAnsi="Times New Roman"/>
          <w:sz w:val="18"/>
          <w:szCs w:val="18"/>
        </w:rPr>
        <w:t xml:space="preserve">100.19 </w:t>
      </w:r>
      <w:proofErr w:type="spellStart"/>
      <w:r w:rsidR="00995BDC" w:rsidRPr="0068369B">
        <w:rPr>
          <w:rFonts w:ascii="Times New Roman" w:hAnsi="Times New Roman"/>
          <w:sz w:val="18"/>
          <w:szCs w:val="18"/>
        </w:rPr>
        <w:t>dan</w:t>
      </w:r>
      <w:proofErr w:type="spellEnd"/>
      <w:r w:rsidR="00995BDC" w:rsidRPr="0068369B">
        <w:rPr>
          <w:rFonts w:ascii="Times New Roman" w:hAnsi="Times New Roman"/>
          <w:sz w:val="18"/>
          <w:szCs w:val="18"/>
        </w:rPr>
        <w:t xml:space="preserve"> 99.96</w:t>
      </w:r>
      <w:r w:rsidR="00AD4A5F">
        <w:rPr>
          <w:rFonts w:ascii="Times New Roman" w:hAnsi="Times New Roman"/>
          <w:sz w:val="18"/>
          <w:szCs w:val="18"/>
        </w:rPr>
        <w:t xml:space="preserve"> </w:t>
      </w:r>
      <w:r w:rsidR="00995BDC" w:rsidRPr="0068369B">
        <w:rPr>
          <w:rFonts w:ascii="Times New Roman" w:hAnsi="Times New Roman"/>
          <w:sz w:val="18"/>
          <w:szCs w:val="18"/>
        </w:rPr>
        <w:t>-</w:t>
      </w:r>
      <w:r w:rsidR="00AD4A5F">
        <w:rPr>
          <w:rFonts w:ascii="Times New Roman" w:hAnsi="Times New Roman"/>
          <w:sz w:val="18"/>
          <w:szCs w:val="18"/>
        </w:rPr>
        <w:t xml:space="preserve"> 100.07.</w:t>
      </w:r>
      <w:proofErr w:type="gramEnd"/>
      <w:r w:rsidR="00AD4A5F">
        <w:rPr>
          <w:rFonts w:ascii="Times New Roman" w:hAnsi="Times New Roman"/>
          <w:sz w:val="18"/>
          <w:szCs w:val="18"/>
        </w:rPr>
        <w:t xml:space="preserve"> </w:t>
      </w:r>
      <w:r w:rsidR="00EB5515">
        <w:rPr>
          <w:rFonts w:ascii="Times New Roman" w:hAnsi="Times New Roman"/>
          <w:sz w:val="18"/>
          <w:szCs w:val="18"/>
        </w:rPr>
        <w:t xml:space="preserve">Had </w:t>
      </w:r>
      <w:proofErr w:type="spellStart"/>
      <w:r w:rsidR="00EB5515">
        <w:rPr>
          <w:rFonts w:ascii="Times New Roman" w:hAnsi="Times New Roman"/>
          <w:sz w:val="18"/>
          <w:szCs w:val="18"/>
        </w:rPr>
        <w:t>pengesanan</w:t>
      </w:r>
      <w:proofErr w:type="spellEnd"/>
      <w:r w:rsidR="00EB5515">
        <w:rPr>
          <w:rFonts w:ascii="Times New Roman" w:hAnsi="Times New Roman"/>
          <w:sz w:val="18"/>
          <w:szCs w:val="18"/>
        </w:rPr>
        <w:t xml:space="preserve">, LOD </w:t>
      </w:r>
      <w:proofErr w:type="spellStart"/>
      <w:r w:rsidR="00EB5515">
        <w:rPr>
          <w:rFonts w:ascii="Times New Roman" w:hAnsi="Times New Roman"/>
          <w:sz w:val="18"/>
          <w:szCs w:val="18"/>
        </w:rPr>
        <w:t>bagi</w:t>
      </w:r>
      <w:proofErr w:type="spellEnd"/>
      <w:r w:rsidR="00EB5515">
        <w:rPr>
          <w:rFonts w:ascii="Times New Roman" w:hAnsi="Times New Roman"/>
          <w:sz w:val="18"/>
          <w:szCs w:val="18"/>
        </w:rPr>
        <w:t xml:space="preserve"> </w:t>
      </w:r>
      <w:r w:rsidR="00995BDC" w:rsidRPr="0068369B">
        <w:rPr>
          <w:rFonts w:ascii="Times New Roman" w:hAnsi="Times New Roman"/>
          <w:sz w:val="18"/>
          <w:szCs w:val="18"/>
        </w:rPr>
        <w:t xml:space="preserve">AT </w:t>
      </w:r>
      <w:proofErr w:type="spellStart"/>
      <w:r w:rsidR="00995BDC" w:rsidRPr="0068369B">
        <w:rPr>
          <w:rFonts w:ascii="Times New Roman" w:hAnsi="Times New Roman"/>
          <w:sz w:val="18"/>
          <w:szCs w:val="18"/>
        </w:rPr>
        <w:t>dan</w:t>
      </w:r>
      <w:proofErr w:type="spellEnd"/>
      <w:r w:rsidR="00995BDC" w:rsidRPr="0068369B">
        <w:rPr>
          <w:rFonts w:ascii="Times New Roman" w:hAnsi="Times New Roman"/>
          <w:sz w:val="18"/>
          <w:szCs w:val="18"/>
        </w:rPr>
        <w:t xml:space="preserve"> LU </w:t>
      </w:r>
      <w:proofErr w:type="spellStart"/>
      <w:r w:rsidR="00995BDC" w:rsidRPr="0068369B">
        <w:rPr>
          <w:rFonts w:ascii="Times New Roman" w:hAnsi="Times New Roman"/>
          <w:sz w:val="18"/>
          <w:szCs w:val="18"/>
        </w:rPr>
        <w:t>didapati</w:t>
      </w:r>
      <w:proofErr w:type="spellEnd"/>
      <w:r w:rsidR="00995BDC" w:rsidRPr="0068369B">
        <w:rPr>
          <w:rFonts w:ascii="Times New Roman" w:hAnsi="Times New Roman"/>
          <w:sz w:val="18"/>
          <w:szCs w:val="18"/>
        </w:rPr>
        <w:t xml:space="preserve"> </w:t>
      </w:r>
      <w:proofErr w:type="spellStart"/>
      <w:r w:rsidR="00EB5515">
        <w:rPr>
          <w:rFonts w:ascii="Times New Roman" w:hAnsi="Times New Roman"/>
          <w:sz w:val="18"/>
          <w:szCs w:val="18"/>
        </w:rPr>
        <w:t>pada</w:t>
      </w:r>
      <w:proofErr w:type="spellEnd"/>
      <w:r w:rsidR="00EB5515">
        <w:rPr>
          <w:rFonts w:ascii="Times New Roman" w:hAnsi="Times New Roman"/>
          <w:sz w:val="18"/>
          <w:szCs w:val="18"/>
        </w:rPr>
        <w:t xml:space="preserve"> </w:t>
      </w:r>
      <w:r w:rsidR="00995BDC" w:rsidRPr="0068369B">
        <w:rPr>
          <w:rFonts w:ascii="Times New Roman" w:hAnsi="Times New Roman"/>
          <w:sz w:val="18"/>
          <w:szCs w:val="18"/>
        </w:rPr>
        <w:t>0.</w:t>
      </w:r>
      <w:r w:rsidR="00EB5515">
        <w:rPr>
          <w:rFonts w:ascii="Times New Roman" w:hAnsi="Times New Roman"/>
          <w:sz w:val="18"/>
          <w:szCs w:val="18"/>
        </w:rPr>
        <w:t xml:space="preserve">201 </w:t>
      </w:r>
      <w:proofErr w:type="spellStart"/>
      <w:r w:rsidR="00EB5515">
        <w:rPr>
          <w:rFonts w:ascii="Times New Roman" w:hAnsi="Times New Roman"/>
          <w:sz w:val="18"/>
          <w:szCs w:val="18"/>
        </w:rPr>
        <w:lastRenderedPageBreak/>
        <w:t>dan</w:t>
      </w:r>
      <w:proofErr w:type="spellEnd"/>
      <w:r w:rsidR="00EB5515">
        <w:rPr>
          <w:rFonts w:ascii="Times New Roman" w:hAnsi="Times New Roman"/>
          <w:sz w:val="18"/>
          <w:szCs w:val="18"/>
        </w:rPr>
        <w:t xml:space="preserve"> 2.99 </w:t>
      </w:r>
      <w:proofErr w:type="spellStart"/>
      <w:r w:rsidR="00EB5515">
        <w:rPr>
          <w:rFonts w:ascii="Times New Roman" w:hAnsi="Times New Roman"/>
          <w:sz w:val="18"/>
          <w:szCs w:val="18"/>
        </w:rPr>
        <w:t>μg</w:t>
      </w:r>
      <w:proofErr w:type="spellEnd"/>
      <w:r w:rsidR="00EB5515">
        <w:rPr>
          <w:rFonts w:ascii="Times New Roman" w:hAnsi="Times New Roman"/>
          <w:sz w:val="18"/>
          <w:szCs w:val="18"/>
        </w:rPr>
        <w:t xml:space="preserve">/ml </w:t>
      </w:r>
      <w:proofErr w:type="spellStart"/>
      <w:r w:rsidR="00EB5515">
        <w:rPr>
          <w:rFonts w:ascii="Times New Roman" w:hAnsi="Times New Roman"/>
          <w:sz w:val="18"/>
          <w:szCs w:val="18"/>
        </w:rPr>
        <w:t>dan</w:t>
      </w:r>
      <w:proofErr w:type="spellEnd"/>
      <w:r w:rsidR="00EB5515">
        <w:rPr>
          <w:rFonts w:ascii="Times New Roman" w:hAnsi="Times New Roman"/>
          <w:sz w:val="18"/>
          <w:szCs w:val="18"/>
        </w:rPr>
        <w:t xml:space="preserve"> LOQ </w:t>
      </w:r>
      <w:proofErr w:type="spellStart"/>
      <w:r w:rsidR="00995BDC" w:rsidRPr="0068369B">
        <w:rPr>
          <w:rFonts w:ascii="Times New Roman" w:hAnsi="Times New Roman"/>
          <w:sz w:val="18"/>
          <w:szCs w:val="18"/>
        </w:rPr>
        <w:t>masing-masing</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adalah</w:t>
      </w:r>
      <w:proofErr w:type="spellEnd"/>
      <w:r w:rsidR="00995BDC" w:rsidRPr="0068369B">
        <w:rPr>
          <w:rFonts w:ascii="Times New Roman" w:hAnsi="Times New Roman"/>
          <w:sz w:val="18"/>
          <w:szCs w:val="18"/>
        </w:rPr>
        <w:t xml:space="preserve"> 0.609 </w:t>
      </w:r>
      <w:proofErr w:type="spellStart"/>
      <w:r w:rsidR="00995BDC" w:rsidRPr="0068369B">
        <w:rPr>
          <w:rFonts w:ascii="Times New Roman" w:hAnsi="Times New Roman"/>
          <w:sz w:val="18"/>
          <w:szCs w:val="18"/>
        </w:rPr>
        <w:t>dan</w:t>
      </w:r>
      <w:proofErr w:type="spellEnd"/>
      <w:r w:rsidR="00995BDC" w:rsidRPr="0068369B">
        <w:rPr>
          <w:rFonts w:ascii="Times New Roman" w:hAnsi="Times New Roman"/>
          <w:sz w:val="18"/>
          <w:szCs w:val="18"/>
        </w:rPr>
        <w:t xml:space="preserve"> </w:t>
      </w:r>
      <w:proofErr w:type="gramStart"/>
      <w:r w:rsidR="00995BDC" w:rsidRPr="0068369B">
        <w:rPr>
          <w:rFonts w:ascii="Times New Roman" w:hAnsi="Times New Roman"/>
          <w:sz w:val="18"/>
          <w:szCs w:val="18"/>
        </w:rPr>
        <w:t>9.</w:t>
      </w:r>
      <w:r w:rsidR="00EB5515">
        <w:rPr>
          <w:rFonts w:ascii="Times New Roman" w:hAnsi="Times New Roman"/>
          <w:sz w:val="18"/>
          <w:szCs w:val="18"/>
        </w:rPr>
        <w:t xml:space="preserve">086 </w:t>
      </w:r>
      <w:proofErr w:type="spellStart"/>
      <w:r w:rsidR="00EB5515">
        <w:rPr>
          <w:rFonts w:ascii="Times New Roman" w:hAnsi="Times New Roman"/>
          <w:sz w:val="18"/>
          <w:szCs w:val="18"/>
        </w:rPr>
        <w:t>μg</w:t>
      </w:r>
      <w:proofErr w:type="spellEnd"/>
      <w:r w:rsidR="00EB5515">
        <w:rPr>
          <w:rFonts w:ascii="Times New Roman" w:hAnsi="Times New Roman"/>
          <w:sz w:val="18"/>
          <w:szCs w:val="18"/>
        </w:rPr>
        <w:t>/ml</w:t>
      </w:r>
      <w:proofErr w:type="gramEnd"/>
      <w:r w:rsidR="00EB5515">
        <w:rPr>
          <w:rFonts w:ascii="Times New Roman" w:hAnsi="Times New Roman"/>
          <w:sz w:val="18"/>
          <w:szCs w:val="18"/>
        </w:rPr>
        <w:t xml:space="preserve">.  </w:t>
      </w:r>
      <w:proofErr w:type="spellStart"/>
      <w:r w:rsidR="00EB5515">
        <w:rPr>
          <w:rFonts w:ascii="Times New Roman" w:hAnsi="Times New Roman"/>
          <w:sz w:val="18"/>
          <w:szCs w:val="18"/>
        </w:rPr>
        <w:t>Kaedah</w:t>
      </w:r>
      <w:proofErr w:type="spellEnd"/>
      <w:r w:rsidR="00EB5515">
        <w:rPr>
          <w:rFonts w:ascii="Times New Roman" w:hAnsi="Times New Roman"/>
          <w:sz w:val="18"/>
          <w:szCs w:val="18"/>
        </w:rPr>
        <w:t xml:space="preserve"> </w:t>
      </w:r>
      <w:proofErr w:type="spellStart"/>
      <w:r w:rsidR="00EB5515">
        <w:rPr>
          <w:rFonts w:ascii="Times New Roman" w:hAnsi="Times New Roman"/>
          <w:sz w:val="18"/>
          <w:szCs w:val="18"/>
        </w:rPr>
        <w:t>ini</w:t>
      </w:r>
      <w:proofErr w:type="spellEnd"/>
      <w:r w:rsidR="00EB5515">
        <w:rPr>
          <w:rFonts w:ascii="Times New Roman" w:hAnsi="Times New Roman"/>
          <w:sz w:val="18"/>
          <w:szCs w:val="18"/>
        </w:rPr>
        <w:t xml:space="preserve"> </w:t>
      </w:r>
      <w:proofErr w:type="spellStart"/>
      <w:r w:rsidR="00EB5515">
        <w:rPr>
          <w:rFonts w:ascii="Times New Roman" w:hAnsi="Times New Roman"/>
          <w:sz w:val="18"/>
          <w:szCs w:val="18"/>
        </w:rPr>
        <w:t>didapati</w:t>
      </w:r>
      <w:proofErr w:type="spellEnd"/>
      <w:r w:rsidR="00EB5515">
        <w:rPr>
          <w:rFonts w:ascii="Times New Roman" w:hAnsi="Times New Roman"/>
          <w:sz w:val="18"/>
          <w:szCs w:val="18"/>
        </w:rPr>
        <w:t xml:space="preserve"> </w:t>
      </w:r>
      <w:proofErr w:type="spellStart"/>
      <w:r w:rsidR="00EB5515">
        <w:rPr>
          <w:rFonts w:ascii="Times New Roman" w:hAnsi="Times New Roman"/>
          <w:sz w:val="18"/>
          <w:szCs w:val="18"/>
        </w:rPr>
        <w:t>nilai</w:t>
      </w:r>
      <w:proofErr w:type="spellEnd"/>
      <w:r w:rsidR="00EB5515">
        <w:rPr>
          <w:rFonts w:ascii="Times New Roman" w:hAnsi="Times New Roman"/>
          <w:sz w:val="18"/>
          <w:szCs w:val="18"/>
        </w:rPr>
        <w:t xml:space="preserve"> </w:t>
      </w:r>
      <w:proofErr w:type="spellStart"/>
      <w:r w:rsidR="00EB5515">
        <w:rPr>
          <w:rFonts w:ascii="Times New Roman" w:hAnsi="Times New Roman"/>
          <w:sz w:val="18"/>
          <w:szCs w:val="18"/>
        </w:rPr>
        <w:t>kebolehulangannya</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dengan</w:t>
      </w:r>
      <w:proofErr w:type="spellEnd"/>
      <w:r w:rsidR="00995BDC" w:rsidRPr="0068369B">
        <w:rPr>
          <w:rFonts w:ascii="Times New Roman" w:hAnsi="Times New Roman"/>
          <w:sz w:val="18"/>
          <w:szCs w:val="18"/>
        </w:rPr>
        <w:t xml:space="preserve"> </w:t>
      </w:r>
      <w:proofErr w:type="spellStart"/>
      <w:r w:rsidR="00EB5515">
        <w:rPr>
          <w:rFonts w:ascii="Times New Roman" w:hAnsi="Times New Roman"/>
          <w:sz w:val="18"/>
          <w:szCs w:val="18"/>
        </w:rPr>
        <w:t>kejituan</w:t>
      </w:r>
      <w:proofErr w:type="spellEnd"/>
      <w:r w:rsidR="00EB5515">
        <w:rPr>
          <w:rFonts w:ascii="Times New Roman" w:hAnsi="Times New Roman"/>
          <w:sz w:val="18"/>
          <w:szCs w:val="18"/>
        </w:rPr>
        <w:t xml:space="preserve"> </w:t>
      </w:r>
      <w:proofErr w:type="spellStart"/>
      <w:r w:rsidR="00995BDC" w:rsidRPr="0068369B">
        <w:rPr>
          <w:rFonts w:ascii="Times New Roman" w:hAnsi="Times New Roman"/>
          <w:sz w:val="18"/>
          <w:szCs w:val="18"/>
        </w:rPr>
        <w:t>sisihan</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piawai</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relatif</w:t>
      </w:r>
      <w:proofErr w:type="spellEnd"/>
      <w:r w:rsidR="00995BDC" w:rsidRPr="0068369B">
        <w:rPr>
          <w:rFonts w:ascii="Times New Roman" w:hAnsi="Times New Roman"/>
          <w:sz w:val="18"/>
          <w:szCs w:val="18"/>
        </w:rPr>
        <w:t xml:space="preserve"> (RSD)</w:t>
      </w:r>
      <w:r w:rsidR="00EB5515">
        <w:rPr>
          <w:rFonts w:ascii="Times New Roman" w:hAnsi="Times New Roman"/>
          <w:sz w:val="18"/>
          <w:szCs w:val="18"/>
        </w:rPr>
        <w:t xml:space="preserve"> </w:t>
      </w:r>
      <w:proofErr w:type="spellStart"/>
      <w:r w:rsidR="00EB5515">
        <w:rPr>
          <w:rFonts w:ascii="Times New Roman" w:hAnsi="Times New Roman"/>
          <w:sz w:val="18"/>
          <w:szCs w:val="18"/>
        </w:rPr>
        <w:t>bagi</w:t>
      </w:r>
      <w:proofErr w:type="spellEnd"/>
      <w:r w:rsidR="00EB5515">
        <w:rPr>
          <w:rFonts w:ascii="Times New Roman" w:hAnsi="Times New Roman"/>
          <w:sz w:val="18"/>
          <w:szCs w:val="18"/>
        </w:rPr>
        <w:t xml:space="preserve"> intra </w:t>
      </w:r>
      <w:proofErr w:type="spellStart"/>
      <w:r w:rsidR="00EB5515">
        <w:rPr>
          <w:rFonts w:ascii="Times New Roman" w:hAnsi="Times New Roman"/>
          <w:sz w:val="18"/>
          <w:szCs w:val="18"/>
        </w:rPr>
        <w:t>dan</w:t>
      </w:r>
      <w:proofErr w:type="spellEnd"/>
      <w:r w:rsidR="00EB5515">
        <w:rPr>
          <w:rFonts w:ascii="Times New Roman" w:hAnsi="Times New Roman"/>
          <w:sz w:val="18"/>
          <w:szCs w:val="18"/>
        </w:rPr>
        <w:t xml:space="preserve"> inter – </w:t>
      </w:r>
      <w:proofErr w:type="spellStart"/>
      <w:r w:rsidR="00995BDC" w:rsidRPr="0068369B">
        <w:rPr>
          <w:rFonts w:ascii="Times New Roman" w:hAnsi="Times New Roman"/>
          <w:sz w:val="18"/>
          <w:szCs w:val="18"/>
        </w:rPr>
        <w:t>hari</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kurang</w:t>
      </w:r>
      <w:proofErr w:type="spellEnd"/>
      <w:r w:rsidR="00995BDC" w:rsidRPr="0068369B">
        <w:rPr>
          <w:rFonts w:ascii="Times New Roman" w:hAnsi="Times New Roman"/>
          <w:sz w:val="18"/>
          <w:szCs w:val="18"/>
        </w:rPr>
        <w:t xml:space="preserve"> </w:t>
      </w:r>
      <w:proofErr w:type="spellStart"/>
      <w:r w:rsidR="00995BDC" w:rsidRPr="0068369B">
        <w:rPr>
          <w:rFonts w:ascii="Times New Roman" w:hAnsi="Times New Roman"/>
          <w:sz w:val="18"/>
          <w:szCs w:val="18"/>
        </w:rPr>
        <w:t>daripada</w:t>
      </w:r>
      <w:proofErr w:type="spellEnd"/>
      <w:r w:rsidR="00995BDC" w:rsidRPr="0068369B">
        <w:rPr>
          <w:rFonts w:ascii="Times New Roman" w:hAnsi="Times New Roman"/>
          <w:sz w:val="18"/>
          <w:szCs w:val="18"/>
        </w:rPr>
        <w:t xml:space="preserve"> 2%.</w:t>
      </w:r>
    </w:p>
    <w:p w:rsidR="0068369B" w:rsidRPr="0068369B" w:rsidRDefault="0068369B" w:rsidP="0068369B">
      <w:pPr>
        <w:spacing w:after="0" w:line="240" w:lineRule="auto"/>
        <w:jc w:val="both"/>
        <w:rPr>
          <w:rFonts w:ascii="Times New Roman" w:hAnsi="Times New Roman"/>
          <w:b/>
          <w:sz w:val="18"/>
          <w:szCs w:val="18"/>
        </w:rPr>
      </w:pPr>
    </w:p>
    <w:p w:rsidR="00AE3317" w:rsidRPr="0068369B" w:rsidRDefault="0068369B" w:rsidP="0068369B">
      <w:pPr>
        <w:spacing w:after="0" w:line="240" w:lineRule="auto"/>
        <w:jc w:val="both"/>
        <w:rPr>
          <w:rFonts w:ascii="Times New Roman" w:hAnsi="Times New Roman"/>
          <w:b/>
          <w:sz w:val="18"/>
          <w:szCs w:val="18"/>
        </w:rPr>
      </w:pPr>
      <w:r w:rsidRPr="0068369B">
        <w:rPr>
          <w:rFonts w:ascii="Times New Roman" w:hAnsi="Times New Roman"/>
          <w:b/>
          <w:sz w:val="18"/>
          <w:szCs w:val="18"/>
        </w:rPr>
        <w:t xml:space="preserve">Kata </w:t>
      </w:r>
      <w:proofErr w:type="spellStart"/>
      <w:r w:rsidRPr="0068369B">
        <w:rPr>
          <w:rFonts w:ascii="Times New Roman" w:hAnsi="Times New Roman"/>
          <w:b/>
          <w:sz w:val="18"/>
          <w:szCs w:val="18"/>
        </w:rPr>
        <w:t>kunci</w:t>
      </w:r>
      <w:proofErr w:type="spellEnd"/>
      <w:r w:rsidR="00AE3317" w:rsidRPr="0068369B">
        <w:rPr>
          <w:rFonts w:ascii="Times New Roman" w:hAnsi="Times New Roman"/>
          <w:b/>
          <w:sz w:val="18"/>
          <w:szCs w:val="18"/>
        </w:rPr>
        <w:t xml:space="preserve">: </w:t>
      </w:r>
      <w:proofErr w:type="spellStart"/>
      <w:r w:rsidR="00EB5515" w:rsidRPr="00EB5515">
        <w:rPr>
          <w:rFonts w:ascii="Times New Roman" w:hAnsi="Times New Roman"/>
          <w:bCs/>
          <w:sz w:val="18"/>
          <w:szCs w:val="18"/>
        </w:rPr>
        <w:t>Kombinasi</w:t>
      </w:r>
      <w:proofErr w:type="spellEnd"/>
      <w:r w:rsidR="00EB5515" w:rsidRPr="00EB5515">
        <w:rPr>
          <w:rFonts w:ascii="Times New Roman" w:hAnsi="Times New Roman"/>
          <w:bCs/>
          <w:sz w:val="18"/>
          <w:szCs w:val="18"/>
        </w:rPr>
        <w:t xml:space="preserve"> </w:t>
      </w:r>
      <w:proofErr w:type="spellStart"/>
      <w:r w:rsidR="00EB5515" w:rsidRPr="00EB5515">
        <w:rPr>
          <w:rFonts w:ascii="Times New Roman" w:hAnsi="Times New Roman"/>
          <w:bCs/>
          <w:sz w:val="18"/>
          <w:szCs w:val="18"/>
        </w:rPr>
        <w:t>terapi</w:t>
      </w:r>
      <w:proofErr w:type="spellEnd"/>
      <w:r w:rsidR="00EB5515">
        <w:rPr>
          <w:rFonts w:ascii="Times New Roman" w:hAnsi="Times New Roman"/>
          <w:b/>
          <w:sz w:val="18"/>
          <w:szCs w:val="18"/>
        </w:rPr>
        <w:t xml:space="preserve"> </w:t>
      </w:r>
      <w:proofErr w:type="spellStart"/>
      <w:r w:rsidR="00EB5515">
        <w:rPr>
          <w:rFonts w:ascii="Times New Roman" w:hAnsi="Times New Roman"/>
          <w:sz w:val="18"/>
          <w:szCs w:val="18"/>
        </w:rPr>
        <w:t>b</w:t>
      </w:r>
      <w:r w:rsidR="00AE3317" w:rsidRPr="0068369B">
        <w:rPr>
          <w:rFonts w:ascii="Times New Roman" w:hAnsi="Times New Roman"/>
          <w:sz w:val="18"/>
          <w:szCs w:val="18"/>
        </w:rPr>
        <w:t>erasaskan-art</w:t>
      </w:r>
      <w:r w:rsidR="00EB5515">
        <w:rPr>
          <w:rFonts w:ascii="Times New Roman" w:hAnsi="Times New Roman"/>
          <w:sz w:val="18"/>
          <w:szCs w:val="18"/>
        </w:rPr>
        <w:t>emisinin</w:t>
      </w:r>
      <w:proofErr w:type="spellEnd"/>
      <w:r w:rsidRPr="0068369B">
        <w:rPr>
          <w:rFonts w:ascii="Times New Roman" w:hAnsi="Times New Roman"/>
          <w:sz w:val="18"/>
          <w:szCs w:val="18"/>
        </w:rPr>
        <w:t xml:space="preserve">, </w:t>
      </w:r>
      <w:proofErr w:type="spellStart"/>
      <w:r w:rsidRPr="0068369B">
        <w:rPr>
          <w:rFonts w:ascii="Times New Roman" w:hAnsi="Times New Roman"/>
          <w:sz w:val="18"/>
          <w:szCs w:val="18"/>
        </w:rPr>
        <w:t>Artemether</w:t>
      </w:r>
      <w:proofErr w:type="spellEnd"/>
      <w:r w:rsidRPr="0068369B">
        <w:rPr>
          <w:rFonts w:ascii="Times New Roman" w:hAnsi="Times New Roman"/>
          <w:sz w:val="18"/>
          <w:szCs w:val="18"/>
        </w:rPr>
        <w:t xml:space="preserve">, </w:t>
      </w:r>
      <w:proofErr w:type="spellStart"/>
      <w:r w:rsidRPr="0068369B">
        <w:rPr>
          <w:rFonts w:ascii="Times New Roman" w:hAnsi="Times New Roman"/>
          <w:sz w:val="18"/>
          <w:szCs w:val="18"/>
        </w:rPr>
        <w:t>Lumefantrine</w:t>
      </w:r>
      <w:proofErr w:type="spellEnd"/>
      <w:r w:rsidR="00AE3317" w:rsidRPr="0068369B">
        <w:rPr>
          <w:rFonts w:ascii="Times New Roman" w:hAnsi="Times New Roman"/>
          <w:sz w:val="18"/>
          <w:szCs w:val="18"/>
        </w:rPr>
        <w:t xml:space="preserve">, </w:t>
      </w:r>
      <w:proofErr w:type="spellStart"/>
      <w:r w:rsidR="00AE3317" w:rsidRPr="0068369B">
        <w:rPr>
          <w:rFonts w:ascii="Times New Roman" w:hAnsi="Times New Roman"/>
          <w:sz w:val="18"/>
          <w:szCs w:val="18"/>
        </w:rPr>
        <w:t>kromatografi</w:t>
      </w:r>
      <w:proofErr w:type="spellEnd"/>
      <w:r w:rsidR="00AE3317" w:rsidRPr="0068369B">
        <w:rPr>
          <w:rFonts w:ascii="Times New Roman" w:hAnsi="Times New Roman"/>
          <w:sz w:val="18"/>
          <w:szCs w:val="18"/>
        </w:rPr>
        <w:t xml:space="preserve"> </w:t>
      </w:r>
      <w:proofErr w:type="spellStart"/>
      <w:r w:rsidR="00AE3317" w:rsidRPr="0068369B">
        <w:rPr>
          <w:rFonts w:ascii="Times New Roman" w:hAnsi="Times New Roman"/>
          <w:sz w:val="18"/>
          <w:szCs w:val="18"/>
        </w:rPr>
        <w:t>cecair</w:t>
      </w:r>
      <w:proofErr w:type="spellEnd"/>
      <w:r w:rsidR="00AE3317" w:rsidRPr="0068369B">
        <w:rPr>
          <w:rFonts w:ascii="Times New Roman" w:hAnsi="Times New Roman"/>
          <w:sz w:val="18"/>
          <w:szCs w:val="18"/>
        </w:rPr>
        <w:t xml:space="preserve"> </w:t>
      </w:r>
      <w:proofErr w:type="spellStart"/>
      <w:r w:rsidR="00AE3317" w:rsidRPr="0068369B">
        <w:rPr>
          <w:rFonts w:ascii="Times New Roman" w:hAnsi="Times New Roman"/>
          <w:sz w:val="18"/>
          <w:szCs w:val="18"/>
        </w:rPr>
        <w:t>prestasi</w:t>
      </w:r>
      <w:proofErr w:type="spellEnd"/>
      <w:r w:rsidR="00AE3317" w:rsidRPr="0068369B">
        <w:rPr>
          <w:rFonts w:ascii="Times New Roman" w:hAnsi="Times New Roman"/>
          <w:sz w:val="18"/>
          <w:szCs w:val="18"/>
        </w:rPr>
        <w:t xml:space="preserve"> </w:t>
      </w:r>
      <w:proofErr w:type="spellStart"/>
      <w:r w:rsidR="00AE3317" w:rsidRPr="0068369B">
        <w:rPr>
          <w:rFonts w:ascii="Times New Roman" w:hAnsi="Times New Roman"/>
          <w:sz w:val="18"/>
          <w:szCs w:val="18"/>
        </w:rPr>
        <w:t>tinggi</w:t>
      </w:r>
      <w:proofErr w:type="spellEnd"/>
      <w:r w:rsidR="00AE3317" w:rsidRPr="0068369B">
        <w:rPr>
          <w:rFonts w:ascii="Times New Roman" w:hAnsi="Times New Roman"/>
          <w:sz w:val="18"/>
          <w:szCs w:val="18"/>
        </w:rPr>
        <w:t xml:space="preserve"> </w:t>
      </w:r>
      <w:r w:rsidRPr="0068369B">
        <w:rPr>
          <w:rFonts w:ascii="Times New Roman" w:hAnsi="Times New Roman"/>
          <w:sz w:val="18"/>
          <w:szCs w:val="18"/>
        </w:rPr>
        <w:t xml:space="preserve">  </w:t>
      </w:r>
      <w:r w:rsidR="00EB5515">
        <w:rPr>
          <w:rFonts w:ascii="Times New Roman" w:hAnsi="Times New Roman"/>
          <w:sz w:val="18"/>
          <w:szCs w:val="18"/>
        </w:rPr>
        <w:t xml:space="preserve">(KCPT), </w:t>
      </w:r>
      <w:proofErr w:type="spellStart"/>
      <w:r w:rsidR="00EB5515">
        <w:rPr>
          <w:rFonts w:ascii="Times New Roman" w:hAnsi="Times New Roman"/>
          <w:sz w:val="18"/>
          <w:szCs w:val="18"/>
        </w:rPr>
        <w:t>Validasi</w:t>
      </w:r>
      <w:proofErr w:type="spellEnd"/>
    </w:p>
    <w:p w:rsidR="0068369B" w:rsidRPr="0068369B" w:rsidRDefault="0068369B" w:rsidP="0068369B">
      <w:pPr>
        <w:spacing w:after="0" w:line="240" w:lineRule="auto"/>
        <w:jc w:val="both"/>
        <w:rPr>
          <w:rFonts w:ascii="Times New Roman" w:hAnsi="Times New Roman"/>
          <w:b/>
          <w:sz w:val="18"/>
          <w:szCs w:val="18"/>
        </w:rPr>
      </w:pPr>
    </w:p>
    <w:p w:rsidR="004963EA" w:rsidRPr="0068369B" w:rsidRDefault="0068369B" w:rsidP="0068369B">
      <w:pPr>
        <w:spacing w:after="0" w:line="240" w:lineRule="auto"/>
        <w:jc w:val="center"/>
        <w:rPr>
          <w:rFonts w:ascii="Times New Roman" w:hAnsi="Times New Roman" w:cs="Times New Roman"/>
          <w:b/>
          <w:sz w:val="20"/>
          <w:szCs w:val="20"/>
        </w:rPr>
      </w:pPr>
      <w:r w:rsidRPr="0068369B">
        <w:rPr>
          <w:rFonts w:ascii="Times New Roman" w:hAnsi="Times New Roman" w:cs="Times New Roman"/>
          <w:b/>
          <w:sz w:val="20"/>
          <w:szCs w:val="20"/>
        </w:rPr>
        <w:t>Introduction</w:t>
      </w:r>
    </w:p>
    <w:p w:rsidR="0068369B" w:rsidRPr="0068369B" w:rsidRDefault="004111DC" w:rsidP="0068369B">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eastAsia="Calibri" w:hAnsi="Times New Roman" w:cs="Times New Roman"/>
          <w:sz w:val="20"/>
          <w:szCs w:val="20"/>
        </w:rPr>
        <w:t xml:space="preserve">Due to the widespread </w:t>
      </w:r>
      <w:r w:rsidR="005032D9" w:rsidRPr="0068369B">
        <w:rPr>
          <w:rFonts w:ascii="Times New Roman" w:eastAsia="Calibri" w:hAnsi="Times New Roman" w:cs="Times New Roman"/>
          <w:sz w:val="20"/>
          <w:szCs w:val="20"/>
        </w:rPr>
        <w:t xml:space="preserve">resistance of </w:t>
      </w:r>
      <w:r w:rsidR="008360C5" w:rsidRPr="0068369B">
        <w:rPr>
          <w:rFonts w:ascii="Times New Roman" w:eastAsia="Calibri" w:hAnsi="Times New Roman" w:cs="Times New Roman"/>
          <w:i/>
          <w:sz w:val="20"/>
          <w:szCs w:val="20"/>
        </w:rPr>
        <w:t>Plasmodium falciparum</w:t>
      </w:r>
      <w:r w:rsidR="008360C5" w:rsidRPr="0068369B">
        <w:rPr>
          <w:rFonts w:ascii="Times New Roman" w:eastAsia="Calibri" w:hAnsi="Times New Roman" w:cs="Times New Roman"/>
          <w:sz w:val="20"/>
          <w:szCs w:val="20"/>
        </w:rPr>
        <w:t xml:space="preserve"> to conventional antimalarial drugs, many countries are facing problems regarding the treatment of uncomplicated </w:t>
      </w:r>
      <w:r w:rsidR="00EF4FAB" w:rsidRPr="0068369B">
        <w:rPr>
          <w:rFonts w:ascii="Times New Roman" w:eastAsia="Calibri" w:hAnsi="Times New Roman" w:cs="Times New Roman"/>
          <w:sz w:val="20"/>
          <w:szCs w:val="20"/>
        </w:rPr>
        <w:t>malaria</w:t>
      </w:r>
      <w:r w:rsidR="00EF4FAB" w:rsidRPr="0068369B">
        <w:rPr>
          <w:rFonts w:ascii="Times New Roman" w:hAnsi="Times New Roman" w:cs="Times New Roman"/>
          <w:sz w:val="20"/>
          <w:szCs w:val="20"/>
        </w:rPr>
        <w:t xml:space="preserve"> [</w:t>
      </w:r>
      <w:r w:rsidR="008360C5" w:rsidRPr="0068369B">
        <w:rPr>
          <w:rFonts w:ascii="Times New Roman" w:hAnsi="Times New Roman" w:cs="Times New Roman"/>
          <w:sz w:val="20"/>
          <w:szCs w:val="20"/>
        </w:rPr>
        <w:t>1]</w:t>
      </w:r>
      <w:r w:rsidR="00EF4FAB" w:rsidRPr="0068369B">
        <w:rPr>
          <w:rFonts w:ascii="Times New Roman" w:hAnsi="Times New Roman" w:cs="Times New Roman"/>
          <w:sz w:val="20"/>
          <w:szCs w:val="20"/>
        </w:rPr>
        <w:t>.</w:t>
      </w:r>
      <w:r w:rsidR="008360C5" w:rsidRPr="0068369B">
        <w:rPr>
          <w:rFonts w:ascii="Times New Roman" w:hAnsi="Times New Roman" w:cs="Times New Roman"/>
          <w:sz w:val="20"/>
          <w:szCs w:val="20"/>
        </w:rPr>
        <w:t xml:space="preserve"> The main therapy now recommended by the World Health Organization</w:t>
      </w:r>
      <w:r w:rsidR="00EE77B8" w:rsidRPr="0068369B">
        <w:rPr>
          <w:rFonts w:ascii="Times New Roman" w:hAnsi="Times New Roman" w:cs="Times New Roman"/>
          <w:sz w:val="20"/>
          <w:szCs w:val="20"/>
        </w:rPr>
        <w:t xml:space="preserve"> (WHO)</w:t>
      </w:r>
      <w:r w:rsidR="008360C5" w:rsidRPr="0068369B">
        <w:rPr>
          <w:rFonts w:ascii="Times New Roman" w:hAnsi="Times New Roman" w:cs="Times New Roman"/>
          <w:sz w:val="20"/>
          <w:szCs w:val="20"/>
        </w:rPr>
        <w:t xml:space="preserve"> is </w:t>
      </w:r>
      <w:proofErr w:type="spellStart"/>
      <w:r w:rsidR="008360C5" w:rsidRPr="0068369B">
        <w:rPr>
          <w:rFonts w:ascii="Times New Roman" w:hAnsi="Times New Roman" w:cs="Times New Roman"/>
          <w:sz w:val="20"/>
          <w:szCs w:val="20"/>
        </w:rPr>
        <w:t>artemisinin</w:t>
      </w:r>
      <w:proofErr w:type="spellEnd"/>
      <w:r w:rsidR="008360C5" w:rsidRPr="0068369B">
        <w:rPr>
          <w:rFonts w:ascii="Times New Roman" w:hAnsi="Times New Roman" w:cs="Times New Roman"/>
          <w:sz w:val="20"/>
          <w:szCs w:val="20"/>
        </w:rPr>
        <w:t xml:space="preserve">-based combination therapy (ACT), a combination of an </w:t>
      </w:r>
      <w:proofErr w:type="spellStart"/>
      <w:r w:rsidR="008360C5" w:rsidRPr="0068369B">
        <w:rPr>
          <w:rFonts w:ascii="Times New Roman" w:hAnsi="Times New Roman" w:cs="Times New Roman"/>
          <w:sz w:val="20"/>
          <w:szCs w:val="20"/>
        </w:rPr>
        <w:t>artemisinin</w:t>
      </w:r>
      <w:proofErr w:type="spellEnd"/>
      <w:r w:rsidR="008360C5" w:rsidRPr="0068369B">
        <w:rPr>
          <w:rFonts w:ascii="Times New Roman" w:hAnsi="Times New Roman" w:cs="Times New Roman"/>
          <w:sz w:val="20"/>
          <w:szCs w:val="20"/>
        </w:rPr>
        <w:t xml:space="preserve"> derivative and another structurally-unrelated and slowly-eliminated </w:t>
      </w:r>
      <w:r w:rsidR="006462B7" w:rsidRPr="0068369B">
        <w:rPr>
          <w:rFonts w:ascii="Times New Roman" w:hAnsi="Times New Roman" w:cs="Times New Roman"/>
          <w:sz w:val="20"/>
          <w:szCs w:val="20"/>
        </w:rPr>
        <w:t xml:space="preserve">antimalarial </w:t>
      </w:r>
      <w:proofErr w:type="spellStart"/>
      <w:r w:rsidR="006462B7" w:rsidRPr="0068369B">
        <w:rPr>
          <w:rFonts w:ascii="Times New Roman" w:hAnsi="Times New Roman" w:cs="Times New Roman"/>
          <w:sz w:val="20"/>
          <w:szCs w:val="20"/>
        </w:rPr>
        <w:t>lumefantrine</w:t>
      </w:r>
      <w:proofErr w:type="spellEnd"/>
      <w:r w:rsidR="004820D1" w:rsidRPr="0068369B">
        <w:rPr>
          <w:rFonts w:ascii="Times New Roman" w:hAnsi="Times New Roman" w:cs="Times New Roman"/>
          <w:sz w:val="20"/>
          <w:szCs w:val="20"/>
        </w:rPr>
        <w:t xml:space="preserve"> </w:t>
      </w:r>
      <w:r w:rsidR="00EF4FAB" w:rsidRPr="0068369B">
        <w:rPr>
          <w:rFonts w:ascii="Times New Roman" w:hAnsi="Times New Roman" w:cs="Times New Roman"/>
          <w:sz w:val="20"/>
          <w:szCs w:val="20"/>
        </w:rPr>
        <w:t>[</w:t>
      </w:r>
      <w:r w:rsidR="008360C5" w:rsidRPr="0068369B">
        <w:rPr>
          <w:rFonts w:ascii="Times New Roman" w:hAnsi="Times New Roman" w:cs="Times New Roman"/>
          <w:sz w:val="20"/>
          <w:szCs w:val="20"/>
        </w:rPr>
        <w:t>2]</w:t>
      </w:r>
      <w:r w:rsidR="00EF4FAB" w:rsidRPr="0068369B">
        <w:rPr>
          <w:rFonts w:ascii="Times New Roman" w:hAnsi="Times New Roman" w:cs="Times New Roman"/>
          <w:sz w:val="20"/>
          <w:szCs w:val="20"/>
        </w:rPr>
        <w:t>.</w:t>
      </w:r>
      <w:r w:rsidR="0068369B" w:rsidRPr="0068369B">
        <w:rPr>
          <w:rFonts w:ascii="Times New Roman" w:hAnsi="Times New Roman" w:cs="Times New Roman"/>
          <w:sz w:val="20"/>
          <w:szCs w:val="20"/>
        </w:rPr>
        <w:t xml:space="preserve"> </w:t>
      </w:r>
      <w:r w:rsidR="005032D9" w:rsidRPr="0068369B">
        <w:rPr>
          <w:rFonts w:ascii="Times New Roman" w:hAnsi="Times New Roman" w:cs="Times New Roman"/>
          <w:sz w:val="20"/>
          <w:szCs w:val="20"/>
        </w:rPr>
        <w:t>The advantages of ACT</w:t>
      </w:r>
      <w:r w:rsidR="008360C5" w:rsidRPr="0068369B">
        <w:rPr>
          <w:rFonts w:ascii="Times New Roman" w:hAnsi="Times New Roman" w:cs="Times New Roman"/>
          <w:sz w:val="20"/>
          <w:szCs w:val="20"/>
        </w:rPr>
        <w:t xml:space="preserve"> relate</w:t>
      </w:r>
      <w:r w:rsidR="005032D9" w:rsidRPr="0068369B">
        <w:rPr>
          <w:rFonts w:ascii="Times New Roman" w:hAnsi="Times New Roman" w:cs="Times New Roman"/>
          <w:sz w:val="20"/>
          <w:szCs w:val="20"/>
        </w:rPr>
        <w:t>s</w:t>
      </w:r>
      <w:r w:rsidR="008360C5" w:rsidRPr="0068369B">
        <w:rPr>
          <w:rFonts w:ascii="Times New Roman" w:hAnsi="Times New Roman" w:cs="Times New Roman"/>
          <w:sz w:val="20"/>
          <w:szCs w:val="20"/>
        </w:rPr>
        <w:t xml:space="preserve"> to </w:t>
      </w:r>
      <w:r w:rsidR="005032D9" w:rsidRPr="0068369B">
        <w:rPr>
          <w:rFonts w:ascii="Times New Roman" w:hAnsi="Times New Roman" w:cs="Times New Roman"/>
          <w:sz w:val="20"/>
          <w:szCs w:val="20"/>
        </w:rPr>
        <w:t xml:space="preserve">the properties of </w:t>
      </w:r>
      <w:proofErr w:type="spellStart"/>
      <w:r w:rsidR="005032D9" w:rsidRPr="0068369B">
        <w:rPr>
          <w:rFonts w:ascii="Times New Roman" w:hAnsi="Times New Roman" w:cs="Times New Roman"/>
          <w:sz w:val="20"/>
          <w:szCs w:val="20"/>
        </w:rPr>
        <w:t>artemisinin</w:t>
      </w:r>
      <w:proofErr w:type="spellEnd"/>
      <w:r w:rsidR="005032D9" w:rsidRPr="0068369B">
        <w:rPr>
          <w:rFonts w:ascii="Times New Roman" w:hAnsi="Times New Roman" w:cs="Times New Roman"/>
          <w:sz w:val="20"/>
          <w:szCs w:val="20"/>
        </w:rPr>
        <w:t xml:space="preserve"> compounds, which include rapid reduction of the parasite biomass with fast resolution of clinical symptoms, effectiveness against multidrug-resistant</w:t>
      </w:r>
      <w:r w:rsidR="005032D9" w:rsidRPr="0068369B">
        <w:rPr>
          <w:rFonts w:ascii="Times New Roman" w:hAnsi="Times New Roman" w:cs="Times New Roman"/>
          <w:i/>
          <w:sz w:val="20"/>
          <w:szCs w:val="20"/>
        </w:rPr>
        <w:t xml:space="preserve"> falciparum</w:t>
      </w:r>
      <w:r w:rsidR="005032D9" w:rsidRPr="0068369B">
        <w:rPr>
          <w:rFonts w:ascii="Times New Roman" w:hAnsi="Times New Roman" w:cs="Times New Roman"/>
          <w:sz w:val="20"/>
          <w:szCs w:val="20"/>
        </w:rPr>
        <w:t xml:space="preserve"> malaria, resistance not being documented yet, and a good safety profile. They also reduce gam</w:t>
      </w:r>
      <w:r w:rsidR="00DA4833" w:rsidRPr="0068369B">
        <w:rPr>
          <w:rFonts w:ascii="Times New Roman" w:hAnsi="Times New Roman" w:cs="Times New Roman"/>
          <w:sz w:val="20"/>
          <w:szCs w:val="20"/>
        </w:rPr>
        <w:t xml:space="preserve">etocyte carriage, which in some </w:t>
      </w:r>
      <w:r w:rsidR="005032D9" w:rsidRPr="0068369B">
        <w:rPr>
          <w:rFonts w:ascii="Times New Roman" w:hAnsi="Times New Roman" w:cs="Times New Roman"/>
          <w:sz w:val="20"/>
          <w:szCs w:val="20"/>
        </w:rPr>
        <w:t>settings</w:t>
      </w:r>
      <w:r w:rsidR="00EF4FAB" w:rsidRPr="0068369B">
        <w:rPr>
          <w:rFonts w:ascii="Times New Roman" w:hAnsi="Times New Roman" w:cs="Times New Roman"/>
          <w:sz w:val="20"/>
          <w:szCs w:val="20"/>
        </w:rPr>
        <w:t xml:space="preserve"> may lower malaria </w:t>
      </w:r>
      <w:r w:rsidR="00CB3697" w:rsidRPr="0068369B">
        <w:rPr>
          <w:rFonts w:ascii="Times New Roman" w:hAnsi="Times New Roman" w:cs="Times New Roman"/>
          <w:sz w:val="20"/>
          <w:szCs w:val="20"/>
        </w:rPr>
        <w:t>transmission [</w:t>
      </w:r>
      <w:r w:rsidR="005032D9" w:rsidRPr="0068369B">
        <w:rPr>
          <w:rFonts w:ascii="Times New Roman" w:hAnsi="Times New Roman" w:cs="Times New Roman"/>
          <w:sz w:val="20"/>
          <w:szCs w:val="20"/>
        </w:rPr>
        <w:t>3]</w:t>
      </w:r>
      <w:r w:rsidR="00EF4FAB" w:rsidRPr="0068369B">
        <w:rPr>
          <w:rFonts w:ascii="Times New Roman" w:hAnsi="Times New Roman" w:cs="Times New Roman"/>
          <w:sz w:val="20"/>
          <w:szCs w:val="20"/>
        </w:rPr>
        <w:t>.</w:t>
      </w:r>
      <w:r w:rsidR="004820D1" w:rsidRPr="0068369B">
        <w:rPr>
          <w:rFonts w:ascii="Times New Roman" w:hAnsi="Times New Roman" w:cs="Times New Roman"/>
          <w:sz w:val="20"/>
          <w:szCs w:val="20"/>
        </w:rPr>
        <w:t xml:space="preserve"> </w:t>
      </w:r>
      <w:proofErr w:type="spellStart"/>
      <w:r w:rsidR="005032D9" w:rsidRPr="0068369B">
        <w:rPr>
          <w:rFonts w:ascii="Times New Roman" w:hAnsi="Times New Roman" w:cs="Times New Roman"/>
          <w:sz w:val="20"/>
          <w:szCs w:val="20"/>
        </w:rPr>
        <w:t>Artemether</w:t>
      </w:r>
      <w:proofErr w:type="spellEnd"/>
      <w:r w:rsidR="005032D9" w:rsidRPr="0068369B">
        <w:rPr>
          <w:rFonts w:ascii="Times New Roman" w:hAnsi="Times New Roman" w:cs="Times New Roman"/>
          <w:sz w:val="20"/>
          <w:szCs w:val="20"/>
        </w:rPr>
        <w:t xml:space="preserve"> is chemically (3R,5aS,- 6R,8aS,9R,10S,12R,12aR)-Decahydro-10-methoxy- 3,6,9- </w:t>
      </w:r>
      <w:proofErr w:type="spellStart"/>
      <w:r w:rsidR="005032D9" w:rsidRPr="0068369B">
        <w:rPr>
          <w:rFonts w:ascii="Times New Roman" w:hAnsi="Times New Roman" w:cs="Times New Roman"/>
          <w:sz w:val="20"/>
          <w:szCs w:val="20"/>
        </w:rPr>
        <w:t>trimethyl</w:t>
      </w:r>
      <w:proofErr w:type="spellEnd"/>
      <w:r w:rsidR="005032D9" w:rsidRPr="0068369B">
        <w:rPr>
          <w:rFonts w:ascii="Times New Roman" w:hAnsi="Times New Roman" w:cs="Times New Roman"/>
          <w:sz w:val="20"/>
          <w:szCs w:val="20"/>
        </w:rPr>
        <w:t xml:space="preserve">- 3,12-epoxy-12H-pyrano [4,3-j]-1,2- </w:t>
      </w:r>
      <w:proofErr w:type="spellStart"/>
      <w:r w:rsidR="005032D9" w:rsidRPr="0068369B">
        <w:rPr>
          <w:rFonts w:ascii="Times New Roman" w:hAnsi="Times New Roman" w:cs="Times New Roman"/>
          <w:sz w:val="20"/>
          <w:szCs w:val="20"/>
        </w:rPr>
        <w:t>benzodioxepin</w:t>
      </w:r>
      <w:proofErr w:type="spellEnd"/>
      <w:r w:rsidR="005032D9" w:rsidRPr="0068369B">
        <w:rPr>
          <w:rFonts w:ascii="Times New Roman" w:hAnsi="Times New Roman" w:cs="Times New Roman"/>
          <w:sz w:val="20"/>
          <w:szCs w:val="20"/>
        </w:rPr>
        <w:t xml:space="preserve">[4] and is used as antimalarial agent. </w:t>
      </w:r>
      <w:proofErr w:type="spellStart"/>
      <w:r w:rsidR="005032D9" w:rsidRPr="0068369B">
        <w:rPr>
          <w:rFonts w:ascii="Times New Roman" w:hAnsi="Times New Roman" w:cs="Times New Roman"/>
          <w:sz w:val="20"/>
          <w:szCs w:val="20"/>
        </w:rPr>
        <w:t>Lumefantrine</w:t>
      </w:r>
      <w:proofErr w:type="spellEnd"/>
      <w:r w:rsidR="005032D9" w:rsidRPr="0068369B">
        <w:rPr>
          <w:rFonts w:ascii="Times New Roman" w:hAnsi="Times New Roman" w:cs="Times New Roman"/>
          <w:sz w:val="20"/>
          <w:szCs w:val="20"/>
        </w:rPr>
        <w:t xml:space="preserve"> is chemically 2</w:t>
      </w:r>
      <w:r w:rsidR="00F84D91" w:rsidRPr="0068369B">
        <w:rPr>
          <w:rFonts w:ascii="Times New Roman" w:hAnsi="Times New Roman" w:cs="Times New Roman"/>
          <w:sz w:val="20"/>
          <w:szCs w:val="20"/>
        </w:rPr>
        <w:t>, 7</w:t>
      </w:r>
      <w:r w:rsidR="005032D9" w:rsidRPr="0068369B">
        <w:rPr>
          <w:rFonts w:ascii="Times New Roman" w:hAnsi="Times New Roman" w:cs="Times New Roman"/>
          <w:sz w:val="20"/>
          <w:szCs w:val="20"/>
        </w:rPr>
        <w:t xml:space="preserve">-Dichloro-9-[(4- </w:t>
      </w:r>
      <w:proofErr w:type="spellStart"/>
      <w:r w:rsidR="005032D9" w:rsidRPr="0068369B">
        <w:rPr>
          <w:rFonts w:ascii="Times New Roman" w:hAnsi="Times New Roman" w:cs="Times New Roman"/>
          <w:sz w:val="20"/>
          <w:szCs w:val="20"/>
        </w:rPr>
        <w:t>chlorophenyl</w:t>
      </w:r>
      <w:proofErr w:type="spellEnd"/>
      <w:r w:rsidR="005032D9" w:rsidRPr="0068369B">
        <w:rPr>
          <w:rFonts w:ascii="Times New Roman" w:hAnsi="Times New Roman" w:cs="Times New Roman"/>
          <w:sz w:val="20"/>
          <w:szCs w:val="20"/>
        </w:rPr>
        <w:t>) methylene]-α-[(</w:t>
      </w:r>
      <w:proofErr w:type="spellStart"/>
      <w:r w:rsidR="005032D9" w:rsidRPr="0068369B">
        <w:rPr>
          <w:rFonts w:ascii="Times New Roman" w:hAnsi="Times New Roman" w:cs="Times New Roman"/>
          <w:sz w:val="20"/>
          <w:szCs w:val="20"/>
        </w:rPr>
        <w:t>dibutylamino</w:t>
      </w:r>
      <w:proofErr w:type="spellEnd"/>
      <w:r w:rsidR="005032D9" w:rsidRPr="0068369B">
        <w:rPr>
          <w:rFonts w:ascii="Times New Roman" w:hAnsi="Times New Roman" w:cs="Times New Roman"/>
          <w:sz w:val="20"/>
          <w:szCs w:val="20"/>
        </w:rPr>
        <w:t>) methyl</w:t>
      </w:r>
      <w:r w:rsidR="00F84D91" w:rsidRPr="0068369B">
        <w:rPr>
          <w:rFonts w:ascii="Times New Roman" w:hAnsi="Times New Roman" w:cs="Times New Roman"/>
          <w:sz w:val="20"/>
          <w:szCs w:val="20"/>
        </w:rPr>
        <w:t>] -</w:t>
      </w:r>
      <w:r w:rsidR="005032D9" w:rsidRPr="0068369B">
        <w:rPr>
          <w:rFonts w:ascii="Times New Roman" w:hAnsi="Times New Roman" w:cs="Times New Roman"/>
          <w:sz w:val="20"/>
          <w:szCs w:val="20"/>
        </w:rPr>
        <w:t xml:space="preserve"> 9H-fluorene-4-</w:t>
      </w:r>
      <w:r w:rsidR="00F84D91" w:rsidRPr="0068369B">
        <w:rPr>
          <w:rFonts w:ascii="Times New Roman" w:hAnsi="Times New Roman" w:cs="Times New Roman"/>
          <w:sz w:val="20"/>
          <w:szCs w:val="20"/>
        </w:rPr>
        <w:t>methanol</w:t>
      </w:r>
      <w:r w:rsidR="00F84D91" w:rsidRPr="0068369B">
        <w:rPr>
          <w:rFonts w:ascii="Times New Roman" w:hAnsi="Times New Roman" w:cs="Times New Roman"/>
          <w:sz w:val="20"/>
          <w:szCs w:val="20"/>
          <w:vertAlign w:val="superscript"/>
        </w:rPr>
        <w:t xml:space="preserve"> </w:t>
      </w:r>
      <w:r w:rsidR="00F84D91" w:rsidRPr="0068369B">
        <w:rPr>
          <w:rFonts w:ascii="Times New Roman" w:hAnsi="Times New Roman" w:cs="Times New Roman"/>
          <w:sz w:val="20"/>
          <w:szCs w:val="20"/>
        </w:rPr>
        <w:t>[</w:t>
      </w:r>
      <w:r w:rsidR="005032D9" w:rsidRPr="0068369B">
        <w:rPr>
          <w:rFonts w:ascii="Times New Roman" w:hAnsi="Times New Roman" w:cs="Times New Roman"/>
          <w:sz w:val="20"/>
          <w:szCs w:val="20"/>
        </w:rPr>
        <w:t xml:space="preserve">5] and is used in the treatment of uncomplicated </w:t>
      </w:r>
      <w:r w:rsidR="005032D9" w:rsidRPr="0068369B">
        <w:rPr>
          <w:rFonts w:ascii="Times New Roman" w:hAnsi="Times New Roman" w:cs="Times New Roman"/>
          <w:i/>
          <w:sz w:val="20"/>
          <w:szCs w:val="20"/>
        </w:rPr>
        <w:t xml:space="preserve">falciparum </w:t>
      </w:r>
      <w:r w:rsidR="005032D9" w:rsidRPr="0068369B">
        <w:rPr>
          <w:rFonts w:ascii="Times New Roman" w:hAnsi="Times New Roman" w:cs="Times New Roman"/>
          <w:sz w:val="20"/>
          <w:szCs w:val="20"/>
        </w:rPr>
        <w:t xml:space="preserve">malaria. </w:t>
      </w:r>
    </w:p>
    <w:p w:rsidR="0068369B" w:rsidRPr="0068369B" w:rsidRDefault="0068369B" w:rsidP="0068369B">
      <w:pPr>
        <w:autoSpaceDE w:val="0"/>
        <w:autoSpaceDN w:val="0"/>
        <w:adjustRightInd w:val="0"/>
        <w:spacing w:after="0" w:line="240" w:lineRule="auto"/>
        <w:jc w:val="both"/>
        <w:rPr>
          <w:rFonts w:ascii="Times New Roman" w:hAnsi="Times New Roman" w:cs="Times New Roman"/>
          <w:sz w:val="20"/>
          <w:szCs w:val="20"/>
        </w:rPr>
      </w:pPr>
    </w:p>
    <w:p w:rsidR="005032D9" w:rsidRPr="0068369B" w:rsidRDefault="005032D9" w:rsidP="0068369B">
      <w:pPr>
        <w:autoSpaceDE w:val="0"/>
        <w:autoSpaceDN w:val="0"/>
        <w:adjustRightInd w:val="0"/>
        <w:spacing w:after="0" w:line="240" w:lineRule="auto"/>
        <w:jc w:val="both"/>
        <w:rPr>
          <w:rFonts w:ascii="Times New Roman" w:hAnsi="Times New Roman" w:cs="Times New Roman"/>
          <w:sz w:val="20"/>
          <w:szCs w:val="20"/>
        </w:rPr>
      </w:pPr>
      <w:proofErr w:type="spellStart"/>
      <w:r w:rsidRPr="0068369B">
        <w:rPr>
          <w:rFonts w:ascii="Times New Roman" w:hAnsi="Times New Roman" w:cs="Times New Roman"/>
          <w:sz w:val="20"/>
          <w:szCs w:val="20"/>
        </w:rPr>
        <w:t>Artemether-lumefantrine</w:t>
      </w:r>
      <w:proofErr w:type="spellEnd"/>
      <w:r w:rsidR="00EE77B8" w:rsidRPr="0068369B">
        <w:rPr>
          <w:rFonts w:ascii="Times New Roman" w:hAnsi="Times New Roman" w:cs="Times New Roman"/>
          <w:sz w:val="20"/>
          <w:szCs w:val="20"/>
        </w:rPr>
        <w:t xml:space="preserve"> (AT-LU)</w:t>
      </w:r>
      <w:r w:rsidRPr="0068369B">
        <w:rPr>
          <w:rFonts w:ascii="Times New Roman" w:hAnsi="Times New Roman" w:cs="Times New Roman"/>
          <w:sz w:val="20"/>
          <w:szCs w:val="20"/>
        </w:rPr>
        <w:t xml:space="preserve"> (Fig</w:t>
      </w:r>
      <w:r w:rsidR="0068369B" w:rsidRPr="0068369B">
        <w:rPr>
          <w:rFonts w:ascii="Times New Roman" w:hAnsi="Times New Roman" w:cs="Times New Roman"/>
          <w:sz w:val="20"/>
          <w:szCs w:val="20"/>
        </w:rPr>
        <w:t>ure</w:t>
      </w:r>
      <w:r w:rsidRPr="0068369B">
        <w:rPr>
          <w:rFonts w:ascii="Times New Roman" w:hAnsi="Times New Roman" w:cs="Times New Roman"/>
          <w:sz w:val="20"/>
          <w:szCs w:val="20"/>
        </w:rPr>
        <w:t xml:space="preserve"> 1) is the most common ACT used in malaria endemic areas. The rationale is that </w:t>
      </w:r>
      <w:proofErr w:type="spellStart"/>
      <w:r w:rsidR="00F84D91" w:rsidRPr="0068369B">
        <w:rPr>
          <w:rFonts w:ascii="Times New Roman" w:hAnsi="Times New Roman" w:cs="Times New Roman"/>
          <w:sz w:val="20"/>
          <w:szCs w:val="20"/>
        </w:rPr>
        <w:t>Artemether</w:t>
      </w:r>
      <w:proofErr w:type="spellEnd"/>
      <w:r w:rsidRPr="0068369B">
        <w:rPr>
          <w:rFonts w:ascii="Times New Roman" w:hAnsi="Times New Roman" w:cs="Times New Roman"/>
          <w:sz w:val="20"/>
          <w:szCs w:val="20"/>
        </w:rPr>
        <w:t xml:space="preserve"> will rapidly reduce </w:t>
      </w:r>
      <w:proofErr w:type="spellStart"/>
      <w:r w:rsidRPr="0068369B">
        <w:rPr>
          <w:rFonts w:ascii="Times New Roman" w:hAnsi="Times New Roman" w:cs="Times New Roman"/>
          <w:sz w:val="20"/>
          <w:szCs w:val="20"/>
        </w:rPr>
        <w:t>parasitaemia</w:t>
      </w:r>
      <w:proofErr w:type="spellEnd"/>
      <w:r w:rsidRPr="0068369B">
        <w:rPr>
          <w:rFonts w:ascii="Times New Roman" w:hAnsi="Times New Roman" w:cs="Times New Roman"/>
          <w:sz w:val="20"/>
          <w:szCs w:val="20"/>
        </w:rPr>
        <w:t>, resulting</w:t>
      </w:r>
      <w:r w:rsidR="00F84D91" w:rsidRPr="0068369B">
        <w:rPr>
          <w:rFonts w:ascii="Times New Roman" w:hAnsi="Times New Roman" w:cs="Times New Roman"/>
          <w:sz w:val="20"/>
          <w:szCs w:val="20"/>
        </w:rPr>
        <w:t xml:space="preserve"> in symptomatic relief, and </w:t>
      </w:r>
      <w:proofErr w:type="spellStart"/>
      <w:r w:rsidR="00F84D91" w:rsidRPr="0068369B">
        <w:rPr>
          <w:rFonts w:ascii="Times New Roman" w:hAnsi="Times New Roman" w:cs="Times New Roman"/>
          <w:sz w:val="20"/>
          <w:szCs w:val="20"/>
        </w:rPr>
        <w:t>Lumefantrine</w:t>
      </w:r>
      <w:proofErr w:type="spellEnd"/>
      <w:r w:rsidRPr="0068369B">
        <w:rPr>
          <w:rFonts w:ascii="Times New Roman" w:hAnsi="Times New Roman" w:cs="Times New Roman"/>
          <w:sz w:val="20"/>
          <w:szCs w:val="20"/>
        </w:rPr>
        <w:t xml:space="preserve"> will eliminate the remaining parasites</w:t>
      </w:r>
      <w:r w:rsidRPr="0068369B">
        <w:rPr>
          <w:rFonts w:ascii="Times New Roman" w:hAnsi="Times New Roman" w:cs="Times New Roman"/>
          <w:sz w:val="20"/>
          <w:szCs w:val="20"/>
          <w:vertAlign w:val="superscript"/>
        </w:rPr>
        <w:t xml:space="preserve"> </w:t>
      </w:r>
      <w:r w:rsidRPr="0068369B">
        <w:rPr>
          <w:rFonts w:ascii="Times New Roman" w:hAnsi="Times New Roman" w:cs="Times New Roman"/>
          <w:sz w:val="20"/>
          <w:szCs w:val="20"/>
        </w:rPr>
        <w:t>[6].</w:t>
      </w:r>
      <w:r w:rsidRPr="0068369B">
        <w:rPr>
          <w:rFonts w:ascii="Times New Roman" w:hAnsi="Times New Roman" w:cs="Times New Roman"/>
          <w:sz w:val="20"/>
          <w:szCs w:val="20"/>
          <w:vertAlign w:val="superscript"/>
        </w:rPr>
        <w:t xml:space="preserve"> </w:t>
      </w:r>
      <w:r w:rsidR="00EE77B8" w:rsidRPr="0068369B">
        <w:rPr>
          <w:rFonts w:ascii="Times New Roman" w:hAnsi="Times New Roman" w:cs="Times New Roman"/>
          <w:sz w:val="20"/>
          <w:szCs w:val="20"/>
        </w:rPr>
        <w:t>WHO</w:t>
      </w:r>
      <w:r w:rsidRPr="0068369B">
        <w:rPr>
          <w:rFonts w:ascii="Times New Roman" w:hAnsi="Times New Roman" w:cs="Times New Roman"/>
          <w:sz w:val="20"/>
          <w:szCs w:val="20"/>
        </w:rPr>
        <w:t xml:space="preserve"> recommends this </w:t>
      </w:r>
      <w:r w:rsidR="004820D1" w:rsidRPr="0068369B">
        <w:rPr>
          <w:rFonts w:ascii="Times New Roman" w:hAnsi="Times New Roman" w:cs="Times New Roman"/>
          <w:sz w:val="20"/>
          <w:szCs w:val="20"/>
        </w:rPr>
        <w:t>combination</w:t>
      </w:r>
      <w:r w:rsidRPr="0068369B">
        <w:rPr>
          <w:rFonts w:ascii="Times New Roman" w:hAnsi="Times New Roman" w:cs="Times New Roman"/>
          <w:sz w:val="20"/>
          <w:szCs w:val="20"/>
        </w:rPr>
        <w:t xml:space="preserve"> as first line therapy for </w:t>
      </w:r>
      <w:r w:rsidRPr="0068369B">
        <w:rPr>
          <w:rFonts w:ascii="Times New Roman" w:hAnsi="Times New Roman" w:cs="Times New Roman"/>
          <w:i/>
          <w:sz w:val="20"/>
          <w:szCs w:val="20"/>
        </w:rPr>
        <w:t>falciparum</w:t>
      </w:r>
      <w:r w:rsidRPr="0068369B">
        <w:rPr>
          <w:rFonts w:ascii="Times New Roman" w:hAnsi="Times New Roman" w:cs="Times New Roman"/>
          <w:sz w:val="20"/>
          <w:szCs w:val="20"/>
        </w:rPr>
        <w:t xml:space="preserve"> malaria in endemic </w:t>
      </w:r>
      <w:r w:rsidR="00EF4FAB" w:rsidRPr="0068369B">
        <w:rPr>
          <w:rFonts w:ascii="Times New Roman" w:hAnsi="Times New Roman" w:cs="Times New Roman"/>
          <w:sz w:val="20"/>
          <w:szCs w:val="20"/>
        </w:rPr>
        <w:t>areas [</w:t>
      </w:r>
      <w:r w:rsidRPr="0068369B">
        <w:rPr>
          <w:rFonts w:ascii="Times New Roman" w:hAnsi="Times New Roman" w:cs="Times New Roman"/>
          <w:sz w:val="20"/>
          <w:szCs w:val="20"/>
        </w:rPr>
        <w:t>7]</w:t>
      </w:r>
      <w:proofErr w:type="gramStart"/>
      <w:r w:rsidR="00EF4FAB" w:rsidRPr="0068369B">
        <w:rPr>
          <w:rFonts w:ascii="Times New Roman" w:hAnsi="Times New Roman" w:cs="Times New Roman"/>
          <w:sz w:val="20"/>
          <w:szCs w:val="20"/>
        </w:rPr>
        <w:t>.</w:t>
      </w:r>
      <w:proofErr w:type="gramEnd"/>
      <w:r w:rsidRPr="0068369B">
        <w:rPr>
          <w:rFonts w:ascii="Times New Roman" w:hAnsi="Times New Roman" w:cs="Times New Roman"/>
          <w:sz w:val="20"/>
          <w:szCs w:val="20"/>
          <w:vertAlign w:val="superscript"/>
        </w:rPr>
        <w:t xml:space="preserve"> </w:t>
      </w:r>
      <w:r w:rsidR="009C3DD1" w:rsidRPr="0068369B">
        <w:rPr>
          <w:rFonts w:ascii="Times New Roman" w:hAnsi="Times New Roman" w:cs="Times New Roman"/>
          <w:sz w:val="20"/>
          <w:szCs w:val="20"/>
        </w:rPr>
        <w:t xml:space="preserve"> I</w:t>
      </w:r>
      <w:r w:rsidR="00076000" w:rsidRPr="0068369B">
        <w:rPr>
          <w:rFonts w:ascii="Times New Roman" w:hAnsi="Times New Roman" w:cs="Times New Roman"/>
          <w:sz w:val="20"/>
          <w:szCs w:val="20"/>
        </w:rPr>
        <w:t xml:space="preserve">ncreasing use of </w:t>
      </w:r>
      <w:r w:rsidR="00EE77B8" w:rsidRPr="0068369B">
        <w:rPr>
          <w:rFonts w:ascii="Times New Roman" w:hAnsi="Times New Roman" w:cs="Times New Roman"/>
          <w:sz w:val="20"/>
          <w:szCs w:val="20"/>
        </w:rPr>
        <w:t>(</w:t>
      </w:r>
      <w:r w:rsidR="00076000" w:rsidRPr="0068369B">
        <w:rPr>
          <w:rFonts w:ascii="Times New Roman" w:hAnsi="Times New Roman" w:cs="Times New Roman"/>
          <w:sz w:val="20"/>
          <w:szCs w:val="20"/>
        </w:rPr>
        <w:t>AT</w:t>
      </w:r>
      <w:r w:rsidR="00C92206" w:rsidRPr="0068369B">
        <w:rPr>
          <w:rFonts w:ascii="Times New Roman" w:hAnsi="Times New Roman" w:cs="Times New Roman"/>
          <w:sz w:val="20"/>
          <w:szCs w:val="20"/>
        </w:rPr>
        <w:t>-</w:t>
      </w:r>
      <w:r w:rsidR="00076000" w:rsidRPr="0068369B">
        <w:rPr>
          <w:rFonts w:ascii="Times New Roman" w:hAnsi="Times New Roman" w:cs="Times New Roman"/>
          <w:sz w:val="20"/>
          <w:szCs w:val="20"/>
        </w:rPr>
        <w:t>LU</w:t>
      </w:r>
      <w:r w:rsidR="00EE77B8" w:rsidRPr="0068369B">
        <w:rPr>
          <w:rFonts w:ascii="Times New Roman" w:hAnsi="Times New Roman" w:cs="Times New Roman"/>
          <w:sz w:val="20"/>
          <w:szCs w:val="20"/>
        </w:rPr>
        <w:t>)</w:t>
      </w:r>
      <w:r w:rsidR="00D115ED" w:rsidRPr="0068369B">
        <w:rPr>
          <w:rFonts w:ascii="Times New Roman" w:hAnsi="Times New Roman" w:cs="Times New Roman"/>
          <w:sz w:val="20"/>
          <w:szCs w:val="20"/>
        </w:rPr>
        <w:t xml:space="preserve"> </w:t>
      </w:r>
      <w:r w:rsidR="00227192" w:rsidRPr="0068369B">
        <w:rPr>
          <w:rFonts w:ascii="Times New Roman" w:hAnsi="Times New Roman" w:cs="Times New Roman"/>
          <w:sz w:val="20"/>
          <w:szCs w:val="20"/>
        </w:rPr>
        <w:t xml:space="preserve">combination </w:t>
      </w:r>
      <w:r w:rsidR="00D115ED" w:rsidRPr="0068369B">
        <w:rPr>
          <w:rFonts w:ascii="Times New Roman" w:hAnsi="Times New Roman" w:cs="Times New Roman"/>
          <w:sz w:val="20"/>
          <w:szCs w:val="20"/>
        </w:rPr>
        <w:t>as an</w:t>
      </w:r>
      <w:r w:rsidR="00344431" w:rsidRPr="0068369B">
        <w:rPr>
          <w:rFonts w:ascii="Times New Roman" w:hAnsi="Times New Roman" w:cs="Times New Roman"/>
          <w:sz w:val="20"/>
          <w:szCs w:val="20"/>
        </w:rPr>
        <w:t xml:space="preserve"> </w:t>
      </w:r>
      <w:r w:rsidR="00D115ED" w:rsidRPr="0068369B">
        <w:rPr>
          <w:rFonts w:ascii="Times New Roman" w:hAnsi="Times New Roman" w:cs="Times New Roman"/>
          <w:sz w:val="20"/>
          <w:szCs w:val="20"/>
        </w:rPr>
        <w:t>effective treatment for malaria demands the need of analytical methods to</w:t>
      </w:r>
      <w:r w:rsidR="00344431" w:rsidRPr="0068369B">
        <w:rPr>
          <w:rFonts w:ascii="Times New Roman" w:hAnsi="Times New Roman" w:cs="Times New Roman"/>
          <w:sz w:val="20"/>
          <w:szCs w:val="20"/>
        </w:rPr>
        <w:t xml:space="preserve"> </w:t>
      </w:r>
      <w:r w:rsidR="00D115ED" w:rsidRPr="0068369B">
        <w:rPr>
          <w:rFonts w:ascii="Times New Roman" w:hAnsi="Times New Roman" w:cs="Times New Roman"/>
          <w:sz w:val="20"/>
          <w:szCs w:val="20"/>
        </w:rPr>
        <w:t xml:space="preserve">simultaneously quantify these drugs in tablets in order to evaluate its quality. Some </w:t>
      </w:r>
      <w:r w:rsidR="00227192" w:rsidRPr="0068369B">
        <w:rPr>
          <w:rFonts w:ascii="Times New Roman" w:hAnsi="Times New Roman" w:cs="Times New Roman"/>
          <w:sz w:val="20"/>
          <w:szCs w:val="20"/>
        </w:rPr>
        <w:t>of the studies</w:t>
      </w:r>
      <w:r w:rsidR="00D115ED" w:rsidRPr="0068369B">
        <w:rPr>
          <w:rFonts w:ascii="Times New Roman" w:hAnsi="Times New Roman" w:cs="Times New Roman"/>
          <w:sz w:val="20"/>
          <w:szCs w:val="20"/>
        </w:rPr>
        <w:t xml:space="preserve"> have </w:t>
      </w:r>
      <w:r w:rsidR="0097027F" w:rsidRPr="0068369B">
        <w:rPr>
          <w:rFonts w:ascii="Times New Roman" w:hAnsi="Times New Roman" w:cs="Times New Roman"/>
          <w:sz w:val="20"/>
          <w:szCs w:val="20"/>
        </w:rPr>
        <w:t>described the analysi</w:t>
      </w:r>
      <w:r w:rsidR="00076000" w:rsidRPr="0068369B">
        <w:rPr>
          <w:rFonts w:ascii="Times New Roman" w:hAnsi="Times New Roman" w:cs="Times New Roman"/>
          <w:sz w:val="20"/>
          <w:szCs w:val="20"/>
        </w:rPr>
        <w:t>s of AT</w:t>
      </w:r>
      <w:r w:rsidR="00D115ED" w:rsidRPr="0068369B">
        <w:rPr>
          <w:rFonts w:ascii="Times New Roman" w:hAnsi="Times New Roman" w:cs="Times New Roman"/>
          <w:sz w:val="20"/>
          <w:szCs w:val="20"/>
        </w:rPr>
        <w:t xml:space="preserve"> in plasma, based on HPLC with electrochemical </w:t>
      </w:r>
      <w:r w:rsidR="00344431" w:rsidRPr="0068369B">
        <w:rPr>
          <w:rFonts w:ascii="Times New Roman" w:hAnsi="Times New Roman" w:cs="Times New Roman"/>
          <w:sz w:val="20"/>
          <w:szCs w:val="20"/>
        </w:rPr>
        <w:t>[</w:t>
      </w:r>
      <w:r w:rsidR="00D115ED" w:rsidRPr="0068369B">
        <w:rPr>
          <w:rFonts w:ascii="Times New Roman" w:hAnsi="Times New Roman" w:cs="Times New Roman"/>
          <w:sz w:val="20"/>
          <w:szCs w:val="20"/>
        </w:rPr>
        <w:t>8</w:t>
      </w:r>
      <w:r w:rsidR="00743CD6" w:rsidRPr="0068369B">
        <w:rPr>
          <w:rFonts w:ascii="Times New Roman" w:hAnsi="Times New Roman" w:cs="Times New Roman"/>
          <w:sz w:val="20"/>
          <w:szCs w:val="20"/>
        </w:rPr>
        <w:t>, 10</w:t>
      </w:r>
      <w:r w:rsidR="00D115ED" w:rsidRPr="0068369B">
        <w:rPr>
          <w:rFonts w:ascii="Times New Roman" w:hAnsi="Times New Roman" w:cs="Times New Roman"/>
          <w:sz w:val="20"/>
          <w:szCs w:val="20"/>
        </w:rPr>
        <w:t xml:space="preserve">] or mass spectrometry detection </w:t>
      </w:r>
      <w:r w:rsidR="004B2798" w:rsidRPr="0068369B">
        <w:rPr>
          <w:rFonts w:ascii="Times New Roman" w:hAnsi="Times New Roman" w:cs="Times New Roman"/>
          <w:sz w:val="20"/>
          <w:szCs w:val="20"/>
        </w:rPr>
        <w:t xml:space="preserve">[11]. </w:t>
      </w:r>
      <w:r w:rsidR="00D115ED" w:rsidRPr="0068369B">
        <w:rPr>
          <w:rFonts w:ascii="Times New Roman" w:hAnsi="Times New Roman" w:cs="Times New Roman"/>
          <w:sz w:val="20"/>
          <w:szCs w:val="20"/>
        </w:rPr>
        <w:t xml:space="preserve">Few </w:t>
      </w:r>
      <w:r w:rsidR="00076000" w:rsidRPr="0068369B">
        <w:rPr>
          <w:rFonts w:ascii="Times New Roman" w:hAnsi="Times New Roman" w:cs="Times New Roman"/>
          <w:sz w:val="20"/>
          <w:szCs w:val="20"/>
        </w:rPr>
        <w:t>methods are available to assay AT</w:t>
      </w:r>
      <w:r w:rsidR="00D115ED" w:rsidRPr="0068369B">
        <w:rPr>
          <w:rFonts w:ascii="Times New Roman" w:hAnsi="Times New Roman" w:cs="Times New Roman"/>
          <w:sz w:val="20"/>
          <w:szCs w:val="20"/>
        </w:rPr>
        <w:t xml:space="preserve"> in pharmaceutical products </w:t>
      </w:r>
      <w:r w:rsidR="00344431" w:rsidRPr="0068369B">
        <w:rPr>
          <w:rFonts w:ascii="Times New Roman" w:hAnsi="Times New Roman" w:cs="Times New Roman"/>
          <w:sz w:val="20"/>
          <w:szCs w:val="20"/>
        </w:rPr>
        <w:t>[12, 13</w:t>
      </w:r>
      <w:r w:rsidR="00D115ED" w:rsidRPr="0068369B">
        <w:rPr>
          <w:rFonts w:ascii="Times New Roman" w:hAnsi="Times New Roman" w:cs="Times New Roman"/>
          <w:sz w:val="20"/>
          <w:szCs w:val="20"/>
        </w:rPr>
        <w:t xml:space="preserve">]. The quantitative determination of </w:t>
      </w:r>
      <w:proofErr w:type="spellStart"/>
      <w:r w:rsidR="00D115ED" w:rsidRPr="0068369B">
        <w:rPr>
          <w:rFonts w:ascii="Times New Roman" w:hAnsi="Times New Roman" w:cs="Times New Roman"/>
          <w:sz w:val="20"/>
          <w:szCs w:val="20"/>
        </w:rPr>
        <w:t>lumefantrine</w:t>
      </w:r>
      <w:proofErr w:type="spellEnd"/>
      <w:r w:rsidR="00D115ED" w:rsidRPr="0068369B">
        <w:rPr>
          <w:rFonts w:ascii="Times New Roman" w:hAnsi="Times New Roman" w:cs="Times New Roman"/>
          <w:sz w:val="20"/>
          <w:szCs w:val="20"/>
        </w:rPr>
        <w:t xml:space="preserve"> in plasma has been described using HPLC with UV detection </w:t>
      </w:r>
      <w:r w:rsidR="00344431" w:rsidRPr="0068369B">
        <w:rPr>
          <w:rFonts w:ascii="Times New Roman" w:hAnsi="Times New Roman" w:cs="Times New Roman"/>
          <w:sz w:val="20"/>
          <w:szCs w:val="20"/>
        </w:rPr>
        <w:t>[14</w:t>
      </w:r>
      <w:r w:rsidR="00DA4833" w:rsidRPr="0068369B">
        <w:rPr>
          <w:rFonts w:ascii="Times New Roman" w:hAnsi="Times New Roman" w:cs="Times New Roman"/>
          <w:sz w:val="20"/>
          <w:szCs w:val="20"/>
        </w:rPr>
        <w:t xml:space="preserve">, </w:t>
      </w:r>
      <w:r w:rsidR="00344431" w:rsidRPr="0068369B">
        <w:rPr>
          <w:rFonts w:ascii="Times New Roman" w:hAnsi="Times New Roman" w:cs="Times New Roman"/>
          <w:sz w:val="20"/>
          <w:szCs w:val="20"/>
        </w:rPr>
        <w:t>15</w:t>
      </w:r>
      <w:r w:rsidR="00D115ED" w:rsidRPr="0068369B">
        <w:rPr>
          <w:rFonts w:ascii="Times New Roman" w:hAnsi="Times New Roman" w:cs="Times New Roman"/>
          <w:sz w:val="20"/>
          <w:szCs w:val="20"/>
        </w:rPr>
        <w:t>]. However, there is lack of methods regarding th</w:t>
      </w:r>
      <w:r w:rsidR="00076000" w:rsidRPr="0068369B">
        <w:rPr>
          <w:rFonts w:ascii="Times New Roman" w:hAnsi="Times New Roman" w:cs="Times New Roman"/>
          <w:sz w:val="20"/>
          <w:szCs w:val="20"/>
        </w:rPr>
        <w:t>e simultaneous quantitation of AT and LU</w:t>
      </w:r>
      <w:r w:rsidR="00D115ED" w:rsidRPr="0068369B">
        <w:rPr>
          <w:rFonts w:ascii="Times New Roman" w:hAnsi="Times New Roman" w:cs="Times New Roman"/>
          <w:sz w:val="20"/>
          <w:szCs w:val="20"/>
        </w:rPr>
        <w:t>.</w:t>
      </w:r>
      <w:r w:rsidR="00227192" w:rsidRPr="0068369B">
        <w:rPr>
          <w:rFonts w:ascii="Times New Roman" w:hAnsi="Times New Roman" w:cs="Times New Roman"/>
          <w:sz w:val="20"/>
          <w:szCs w:val="20"/>
        </w:rPr>
        <w:t xml:space="preserve"> </w:t>
      </w:r>
      <w:r w:rsidRPr="0068369B">
        <w:rPr>
          <w:rFonts w:ascii="Times New Roman" w:eastAsia="OneGulliverA" w:hAnsi="Times New Roman" w:cs="Times New Roman"/>
          <w:sz w:val="20"/>
          <w:szCs w:val="20"/>
        </w:rPr>
        <w:t xml:space="preserve">Hence, the aim of this study was to develop and validate a </w:t>
      </w:r>
      <w:r w:rsidR="00EE77B8" w:rsidRPr="0068369B">
        <w:rPr>
          <w:rFonts w:ascii="Times New Roman" w:hAnsi="Times New Roman" w:cs="Times New Roman"/>
          <w:sz w:val="20"/>
          <w:szCs w:val="20"/>
        </w:rPr>
        <w:t>reversed phase-high performance liquid chromatography (</w:t>
      </w:r>
      <w:r w:rsidRPr="0068369B">
        <w:rPr>
          <w:rFonts w:ascii="Times New Roman" w:eastAsia="OneGulliverA" w:hAnsi="Times New Roman" w:cs="Times New Roman"/>
          <w:sz w:val="20"/>
          <w:szCs w:val="20"/>
        </w:rPr>
        <w:t>RP-HPLC</w:t>
      </w:r>
      <w:r w:rsidR="00EE77B8" w:rsidRPr="0068369B">
        <w:rPr>
          <w:rFonts w:ascii="Times New Roman" w:eastAsia="OneGulliverA" w:hAnsi="Times New Roman" w:cs="Times New Roman"/>
          <w:sz w:val="20"/>
          <w:szCs w:val="20"/>
        </w:rPr>
        <w:t>)</w:t>
      </w:r>
      <w:r w:rsidRPr="0068369B">
        <w:rPr>
          <w:rFonts w:ascii="Times New Roman" w:eastAsia="OneGulliverA" w:hAnsi="Times New Roman" w:cs="Times New Roman"/>
          <w:sz w:val="20"/>
          <w:szCs w:val="20"/>
        </w:rPr>
        <w:t xml:space="preserve"> method, using UV detection, to simultaneously quantify </w:t>
      </w:r>
      <w:proofErr w:type="spellStart"/>
      <w:r w:rsidR="0097027F" w:rsidRPr="0068369B">
        <w:rPr>
          <w:rFonts w:ascii="Times New Roman" w:eastAsia="OneGulliverA" w:hAnsi="Times New Roman" w:cs="Times New Roman"/>
          <w:sz w:val="20"/>
          <w:szCs w:val="20"/>
        </w:rPr>
        <w:t>Artemether</w:t>
      </w:r>
      <w:proofErr w:type="spellEnd"/>
      <w:r w:rsidR="00227192" w:rsidRPr="0068369B">
        <w:rPr>
          <w:rFonts w:ascii="Times New Roman" w:eastAsia="OneGulliverA" w:hAnsi="Times New Roman" w:cs="Times New Roman"/>
          <w:sz w:val="20"/>
          <w:szCs w:val="20"/>
        </w:rPr>
        <w:t xml:space="preserve"> </w:t>
      </w:r>
      <w:r w:rsidR="0097027F" w:rsidRPr="0068369B">
        <w:rPr>
          <w:rFonts w:ascii="Times New Roman" w:eastAsia="OneGulliverA" w:hAnsi="Times New Roman" w:cs="Times New Roman"/>
          <w:sz w:val="20"/>
          <w:szCs w:val="20"/>
        </w:rPr>
        <w:t xml:space="preserve">and </w:t>
      </w:r>
      <w:proofErr w:type="spellStart"/>
      <w:r w:rsidR="0097027F" w:rsidRPr="0068369B">
        <w:rPr>
          <w:rFonts w:ascii="Times New Roman" w:eastAsia="OneGulliverA" w:hAnsi="Times New Roman" w:cs="Times New Roman"/>
          <w:sz w:val="20"/>
          <w:szCs w:val="20"/>
        </w:rPr>
        <w:t>L</w:t>
      </w:r>
      <w:r w:rsidRPr="0068369B">
        <w:rPr>
          <w:rFonts w:ascii="Times New Roman" w:eastAsia="OneGulliverA" w:hAnsi="Times New Roman" w:cs="Times New Roman"/>
          <w:sz w:val="20"/>
          <w:szCs w:val="20"/>
        </w:rPr>
        <w:t>umefantrine</w:t>
      </w:r>
      <w:proofErr w:type="spellEnd"/>
      <w:r w:rsidRPr="0068369B">
        <w:rPr>
          <w:rFonts w:ascii="Times New Roman" w:eastAsia="OneGulliverA" w:hAnsi="Times New Roman" w:cs="Times New Roman"/>
          <w:sz w:val="20"/>
          <w:szCs w:val="20"/>
        </w:rPr>
        <w:t xml:space="preserve"> in fixed dose combination tablets.</w:t>
      </w:r>
      <w:r w:rsidR="00EF5688" w:rsidRPr="0068369B">
        <w:rPr>
          <w:rFonts w:ascii="Times New Roman" w:eastAsia="OneGulliverA" w:hAnsi="Times New Roman" w:cs="Times New Roman"/>
          <w:sz w:val="20"/>
          <w:szCs w:val="20"/>
        </w:rPr>
        <w:t xml:space="preserve"> The structure of </w:t>
      </w:r>
      <w:proofErr w:type="spellStart"/>
      <w:r w:rsidR="00EF5688" w:rsidRPr="0068369B">
        <w:rPr>
          <w:rFonts w:ascii="Times New Roman" w:eastAsia="OneGulliverA" w:hAnsi="Times New Roman" w:cs="Times New Roman"/>
          <w:sz w:val="20"/>
          <w:szCs w:val="20"/>
        </w:rPr>
        <w:t>Artemether</w:t>
      </w:r>
      <w:proofErr w:type="spellEnd"/>
      <w:r w:rsidR="00EF5688" w:rsidRPr="0068369B">
        <w:rPr>
          <w:rFonts w:ascii="Times New Roman" w:eastAsia="OneGulliverA" w:hAnsi="Times New Roman" w:cs="Times New Roman"/>
          <w:sz w:val="20"/>
          <w:szCs w:val="20"/>
        </w:rPr>
        <w:t xml:space="preserve"> and </w:t>
      </w:r>
      <w:proofErr w:type="spellStart"/>
      <w:r w:rsidR="00EF5688" w:rsidRPr="0068369B">
        <w:rPr>
          <w:rFonts w:ascii="Times New Roman" w:eastAsia="OneGulliverA" w:hAnsi="Times New Roman" w:cs="Times New Roman"/>
          <w:sz w:val="20"/>
          <w:szCs w:val="20"/>
        </w:rPr>
        <w:t>Lumefantrine</w:t>
      </w:r>
      <w:proofErr w:type="spellEnd"/>
      <w:r w:rsidR="00EF5688" w:rsidRPr="0068369B">
        <w:rPr>
          <w:rFonts w:ascii="Times New Roman" w:eastAsia="OneGulliverA" w:hAnsi="Times New Roman" w:cs="Times New Roman"/>
          <w:sz w:val="20"/>
          <w:szCs w:val="20"/>
        </w:rPr>
        <w:t xml:space="preserve"> is as shown below in Figure 1.</w:t>
      </w:r>
    </w:p>
    <w:p w:rsidR="00D632E7" w:rsidRPr="0068369B" w:rsidRDefault="00D632E7" w:rsidP="0068369B">
      <w:pPr>
        <w:autoSpaceDE w:val="0"/>
        <w:autoSpaceDN w:val="0"/>
        <w:adjustRightInd w:val="0"/>
        <w:spacing w:after="0" w:line="240" w:lineRule="auto"/>
        <w:jc w:val="both"/>
        <w:rPr>
          <w:rFonts w:ascii="Times New Roman" w:hAnsi="Times New Roman"/>
          <w:sz w:val="20"/>
          <w:szCs w:val="20"/>
        </w:rPr>
      </w:pPr>
    </w:p>
    <w:p w:rsidR="00D632E7" w:rsidRPr="0068369B" w:rsidRDefault="00FF78DF" w:rsidP="008360C5">
      <w:pPr>
        <w:autoSpaceDE w:val="0"/>
        <w:autoSpaceDN w:val="0"/>
        <w:adjustRightInd w:val="0"/>
        <w:spacing w:after="0" w:line="480" w:lineRule="auto"/>
        <w:jc w:val="both"/>
        <w:rPr>
          <w:rFonts w:ascii="Times New Roman" w:hAnsi="Times New Roman"/>
          <w:sz w:val="20"/>
          <w:szCs w:val="20"/>
        </w:rPr>
      </w:pPr>
      <w:r w:rsidRPr="0068369B">
        <w:rPr>
          <w:rFonts w:ascii="Times New Roman" w:hAnsi="Times New Roman"/>
          <w:sz w:val="20"/>
          <w:szCs w:val="20"/>
        </w:rPr>
        <w:t xml:space="preserve">            </w:t>
      </w:r>
      <w:r w:rsidR="00D632E7" w:rsidRPr="0068369B">
        <w:rPr>
          <w:rFonts w:ascii="Times New Roman" w:hAnsi="Times New Roman" w:cs="Times New Roman"/>
          <w:noProof/>
          <w:sz w:val="20"/>
          <w:szCs w:val="20"/>
          <w:lang w:eastAsia="zh-CN"/>
        </w:rPr>
        <w:drawing>
          <wp:inline distT="0" distB="0" distL="0" distR="0" wp14:anchorId="3B2EE126" wp14:editId="10805097">
            <wp:extent cx="4648200" cy="232706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655880" cy="2330914"/>
                    </a:xfrm>
                    <a:prstGeom prst="rect">
                      <a:avLst/>
                    </a:prstGeom>
                    <a:noFill/>
                    <a:ln w="9525">
                      <a:noFill/>
                      <a:miter lim="800000"/>
                      <a:headEnd/>
                      <a:tailEnd/>
                    </a:ln>
                  </pic:spPr>
                </pic:pic>
              </a:graphicData>
            </a:graphic>
          </wp:inline>
        </w:drawing>
      </w:r>
    </w:p>
    <w:p w:rsidR="00D632E7" w:rsidRPr="0068369B" w:rsidRDefault="0068369B" w:rsidP="005032D9">
      <w:pPr>
        <w:jc w:val="center"/>
        <w:rPr>
          <w:rFonts w:ascii="Times New Roman" w:hAnsi="Times New Roman" w:cs="Times New Roman"/>
          <w:b/>
          <w:sz w:val="20"/>
          <w:szCs w:val="20"/>
        </w:rPr>
      </w:pPr>
      <w:proofErr w:type="gramStart"/>
      <w:r w:rsidRPr="0068369B">
        <w:rPr>
          <w:rFonts w:ascii="Times New Roman" w:hAnsi="Times New Roman" w:cs="Times New Roman"/>
          <w:sz w:val="20"/>
          <w:szCs w:val="20"/>
        </w:rPr>
        <w:t>Figure 1.</w:t>
      </w:r>
      <w:proofErr w:type="gramEnd"/>
      <w:r w:rsidR="00D632E7" w:rsidRPr="0068369B">
        <w:rPr>
          <w:rFonts w:ascii="Times New Roman" w:hAnsi="Times New Roman" w:cs="Times New Roman"/>
          <w:sz w:val="20"/>
          <w:szCs w:val="20"/>
        </w:rPr>
        <w:t xml:space="preserve"> Structure of </w:t>
      </w:r>
      <w:proofErr w:type="spellStart"/>
      <w:r w:rsidR="00D632E7" w:rsidRPr="0068369B">
        <w:rPr>
          <w:rFonts w:ascii="Times New Roman" w:hAnsi="Times New Roman" w:cs="Times New Roman"/>
          <w:sz w:val="20"/>
          <w:szCs w:val="20"/>
        </w:rPr>
        <w:t>Artemether</w:t>
      </w:r>
      <w:proofErr w:type="spellEnd"/>
      <w:r w:rsidR="00D632E7" w:rsidRPr="0068369B">
        <w:rPr>
          <w:rFonts w:ascii="Times New Roman" w:hAnsi="Times New Roman" w:cs="Times New Roman"/>
          <w:sz w:val="20"/>
          <w:szCs w:val="20"/>
        </w:rPr>
        <w:t xml:space="preserve"> and </w:t>
      </w:r>
      <w:proofErr w:type="spellStart"/>
      <w:r w:rsidR="00D632E7" w:rsidRPr="0068369B">
        <w:rPr>
          <w:rFonts w:ascii="Times New Roman" w:hAnsi="Times New Roman" w:cs="Times New Roman"/>
          <w:sz w:val="20"/>
          <w:szCs w:val="20"/>
        </w:rPr>
        <w:t>Lumefantrine</w:t>
      </w:r>
      <w:proofErr w:type="spellEnd"/>
      <w:r w:rsidR="00D632E7" w:rsidRPr="0068369B">
        <w:rPr>
          <w:rFonts w:ascii="Times New Roman" w:hAnsi="Times New Roman" w:cs="Times New Roman"/>
          <w:b/>
          <w:sz w:val="20"/>
          <w:szCs w:val="20"/>
        </w:rPr>
        <w:t xml:space="preserve"> </w:t>
      </w:r>
    </w:p>
    <w:p w:rsidR="00614CD9" w:rsidRPr="0068369B" w:rsidRDefault="00614CD9" w:rsidP="00E41B2E">
      <w:pPr>
        <w:rPr>
          <w:rFonts w:ascii="Times New Roman" w:hAnsi="Times New Roman" w:cs="Times New Roman"/>
          <w:b/>
          <w:sz w:val="20"/>
          <w:szCs w:val="20"/>
        </w:rPr>
      </w:pPr>
    </w:p>
    <w:p w:rsidR="0068369B" w:rsidRPr="0068369B" w:rsidRDefault="0068369B" w:rsidP="00E41B2E">
      <w:pPr>
        <w:rPr>
          <w:rFonts w:ascii="Times New Roman" w:hAnsi="Times New Roman" w:cs="Times New Roman"/>
          <w:b/>
          <w:sz w:val="20"/>
          <w:szCs w:val="20"/>
        </w:rPr>
      </w:pPr>
    </w:p>
    <w:p w:rsidR="009F6794" w:rsidRPr="0068369B" w:rsidRDefault="009F6794" w:rsidP="0068369B">
      <w:pPr>
        <w:rPr>
          <w:rFonts w:ascii="Times New Roman" w:hAnsi="Times New Roman" w:cs="Times New Roman"/>
          <w:b/>
          <w:sz w:val="20"/>
          <w:szCs w:val="20"/>
        </w:rPr>
      </w:pPr>
    </w:p>
    <w:p w:rsidR="009F6794" w:rsidRPr="0068369B" w:rsidRDefault="00D632E7" w:rsidP="0068369B">
      <w:pPr>
        <w:jc w:val="center"/>
        <w:rPr>
          <w:rFonts w:ascii="Times New Roman" w:hAnsi="Times New Roman" w:cs="Times New Roman"/>
          <w:b/>
          <w:sz w:val="20"/>
          <w:szCs w:val="20"/>
        </w:rPr>
      </w:pPr>
      <w:r w:rsidRPr="0068369B">
        <w:rPr>
          <w:rFonts w:ascii="Times New Roman" w:hAnsi="Times New Roman" w:cs="Times New Roman"/>
          <w:b/>
          <w:sz w:val="20"/>
          <w:szCs w:val="20"/>
        </w:rPr>
        <w:lastRenderedPageBreak/>
        <w:t>Material and Methods</w:t>
      </w:r>
    </w:p>
    <w:p w:rsidR="0031622F" w:rsidRPr="0068369B" w:rsidRDefault="0068369B" w:rsidP="0068369B">
      <w:pPr>
        <w:autoSpaceDE w:val="0"/>
        <w:autoSpaceDN w:val="0"/>
        <w:adjustRightInd w:val="0"/>
        <w:spacing w:after="0" w:line="240" w:lineRule="auto"/>
        <w:rPr>
          <w:rFonts w:ascii="Times New Roman" w:hAnsi="Times New Roman"/>
          <w:b/>
          <w:iCs/>
          <w:sz w:val="20"/>
          <w:szCs w:val="20"/>
        </w:rPr>
      </w:pPr>
      <w:r w:rsidRPr="0068369B">
        <w:rPr>
          <w:rFonts w:ascii="Times New Roman" w:hAnsi="Times New Roman"/>
          <w:b/>
          <w:iCs/>
          <w:sz w:val="20"/>
          <w:szCs w:val="20"/>
        </w:rPr>
        <w:t xml:space="preserve">Reagents </w:t>
      </w:r>
    </w:p>
    <w:p w:rsidR="0068369B" w:rsidRPr="0068369B" w:rsidRDefault="0031622F" w:rsidP="0068369B">
      <w:pPr>
        <w:autoSpaceDE w:val="0"/>
        <w:autoSpaceDN w:val="0"/>
        <w:adjustRightInd w:val="0"/>
        <w:spacing w:after="0" w:line="240" w:lineRule="auto"/>
        <w:jc w:val="both"/>
        <w:rPr>
          <w:rFonts w:ascii="Times New Roman" w:hAnsi="Times New Roman"/>
          <w:sz w:val="20"/>
          <w:szCs w:val="20"/>
        </w:rPr>
      </w:pPr>
      <w:r w:rsidRPr="0068369B">
        <w:rPr>
          <w:rFonts w:ascii="Times New Roman" w:hAnsi="Times New Roman"/>
          <w:sz w:val="20"/>
          <w:szCs w:val="20"/>
        </w:rPr>
        <w:t xml:space="preserve">AT and LU reference standards were obtained as a gift sample from </w:t>
      </w:r>
      <w:proofErr w:type="spellStart"/>
      <w:r w:rsidRPr="0068369B">
        <w:rPr>
          <w:rFonts w:ascii="Times New Roman" w:hAnsi="Times New Roman"/>
          <w:sz w:val="20"/>
          <w:szCs w:val="20"/>
        </w:rPr>
        <w:t>Ipca</w:t>
      </w:r>
      <w:proofErr w:type="spellEnd"/>
      <w:r w:rsidRPr="0068369B">
        <w:rPr>
          <w:rFonts w:ascii="Times New Roman" w:hAnsi="Times New Roman"/>
          <w:sz w:val="20"/>
          <w:szCs w:val="20"/>
        </w:rPr>
        <w:t xml:space="preserve"> </w:t>
      </w:r>
      <w:proofErr w:type="spellStart"/>
      <w:r w:rsidRPr="0068369B">
        <w:rPr>
          <w:rFonts w:ascii="Times New Roman" w:hAnsi="Times New Roman"/>
          <w:sz w:val="20"/>
          <w:szCs w:val="20"/>
        </w:rPr>
        <w:t>Pvt</w:t>
      </w:r>
      <w:proofErr w:type="spellEnd"/>
      <w:r w:rsidRPr="0068369B">
        <w:rPr>
          <w:rFonts w:ascii="Times New Roman" w:hAnsi="Times New Roman"/>
          <w:sz w:val="20"/>
          <w:szCs w:val="20"/>
        </w:rPr>
        <w:t xml:space="preserve"> ltd. Mumbai. Market formulation LUMERAX-80 (AT and LU, combination) from </w:t>
      </w:r>
      <w:proofErr w:type="spellStart"/>
      <w:r w:rsidRPr="0068369B">
        <w:rPr>
          <w:rFonts w:ascii="Times New Roman" w:hAnsi="Times New Roman"/>
          <w:sz w:val="20"/>
          <w:szCs w:val="20"/>
        </w:rPr>
        <w:t>Ipca</w:t>
      </w:r>
      <w:proofErr w:type="spellEnd"/>
      <w:r w:rsidRPr="0068369B">
        <w:rPr>
          <w:rFonts w:ascii="Times New Roman" w:hAnsi="Times New Roman"/>
          <w:sz w:val="20"/>
          <w:szCs w:val="20"/>
        </w:rPr>
        <w:t xml:space="preserve"> Laboratories Ltd, </w:t>
      </w:r>
      <w:proofErr w:type="spellStart"/>
      <w:r w:rsidRPr="0068369B">
        <w:rPr>
          <w:rFonts w:ascii="Times New Roman" w:hAnsi="Times New Roman"/>
          <w:sz w:val="20"/>
          <w:szCs w:val="20"/>
        </w:rPr>
        <w:t>Ratlam</w:t>
      </w:r>
      <w:proofErr w:type="spellEnd"/>
      <w:r w:rsidRPr="0068369B">
        <w:rPr>
          <w:rFonts w:ascii="Times New Roman" w:hAnsi="Times New Roman"/>
          <w:sz w:val="20"/>
          <w:szCs w:val="20"/>
        </w:rPr>
        <w:t xml:space="preserve"> with a l</w:t>
      </w:r>
      <w:r w:rsidR="0097027F" w:rsidRPr="0068369B">
        <w:rPr>
          <w:rFonts w:ascii="Times New Roman" w:hAnsi="Times New Roman"/>
          <w:sz w:val="20"/>
          <w:szCs w:val="20"/>
        </w:rPr>
        <w:t xml:space="preserve">abel claim of 80mg AT and 480mg </w:t>
      </w:r>
      <w:r w:rsidRPr="0068369B">
        <w:rPr>
          <w:rFonts w:ascii="Times New Roman" w:hAnsi="Times New Roman"/>
          <w:sz w:val="20"/>
          <w:szCs w:val="20"/>
        </w:rPr>
        <w:t xml:space="preserve">LU, was purchased. Tetra butyl ammonium hydrogen </w:t>
      </w:r>
      <w:proofErr w:type="spellStart"/>
      <w:r w:rsidR="00743CD6" w:rsidRPr="0068369B">
        <w:rPr>
          <w:rFonts w:ascii="Times New Roman" w:hAnsi="Times New Roman"/>
          <w:sz w:val="20"/>
          <w:szCs w:val="20"/>
        </w:rPr>
        <w:t>sulphate</w:t>
      </w:r>
      <w:proofErr w:type="spellEnd"/>
      <w:r w:rsidR="00743CD6" w:rsidRPr="0068369B">
        <w:rPr>
          <w:rFonts w:ascii="Times New Roman" w:hAnsi="Times New Roman"/>
          <w:sz w:val="20"/>
          <w:szCs w:val="20"/>
        </w:rPr>
        <w:t xml:space="preserve"> of analytical-reagent grade was</w:t>
      </w:r>
      <w:r w:rsidRPr="0068369B">
        <w:rPr>
          <w:rFonts w:ascii="Times New Roman" w:hAnsi="Times New Roman"/>
          <w:sz w:val="20"/>
          <w:szCs w:val="20"/>
        </w:rPr>
        <w:t xml:space="preserve"> purchased from </w:t>
      </w:r>
      <w:proofErr w:type="spellStart"/>
      <w:r w:rsidRPr="0068369B">
        <w:rPr>
          <w:rFonts w:ascii="Times New Roman" w:hAnsi="Times New Roman"/>
          <w:sz w:val="20"/>
          <w:szCs w:val="20"/>
        </w:rPr>
        <w:t>Leonil</w:t>
      </w:r>
      <w:proofErr w:type="spellEnd"/>
      <w:r w:rsidRPr="0068369B">
        <w:rPr>
          <w:rFonts w:ascii="Times New Roman" w:hAnsi="Times New Roman"/>
          <w:sz w:val="20"/>
          <w:szCs w:val="20"/>
        </w:rPr>
        <w:t xml:space="preserve"> Chemicals </w:t>
      </w:r>
      <w:proofErr w:type="spellStart"/>
      <w:r w:rsidRPr="0068369B">
        <w:rPr>
          <w:rFonts w:ascii="Times New Roman" w:hAnsi="Times New Roman"/>
          <w:sz w:val="20"/>
          <w:szCs w:val="20"/>
        </w:rPr>
        <w:t>Pvt</w:t>
      </w:r>
      <w:proofErr w:type="spellEnd"/>
      <w:r w:rsidRPr="0068369B">
        <w:rPr>
          <w:rFonts w:ascii="Times New Roman" w:hAnsi="Times New Roman"/>
          <w:sz w:val="20"/>
          <w:szCs w:val="20"/>
        </w:rPr>
        <w:t xml:space="preserve"> Ltd, Bangalore, India. HPLC grade acetonitrile (ACN) and water were purchased from Merck </w:t>
      </w:r>
      <w:proofErr w:type="spellStart"/>
      <w:r w:rsidRPr="0068369B">
        <w:rPr>
          <w:rFonts w:ascii="Times New Roman" w:hAnsi="Times New Roman"/>
          <w:sz w:val="20"/>
          <w:szCs w:val="20"/>
        </w:rPr>
        <w:t>Specialities</w:t>
      </w:r>
      <w:proofErr w:type="spellEnd"/>
      <w:r w:rsidRPr="0068369B">
        <w:rPr>
          <w:rFonts w:ascii="Times New Roman" w:hAnsi="Times New Roman"/>
          <w:sz w:val="20"/>
          <w:szCs w:val="20"/>
        </w:rPr>
        <w:t xml:space="preserve"> </w:t>
      </w:r>
      <w:proofErr w:type="spellStart"/>
      <w:r w:rsidRPr="0068369B">
        <w:rPr>
          <w:rFonts w:ascii="Times New Roman" w:hAnsi="Times New Roman"/>
          <w:sz w:val="20"/>
          <w:szCs w:val="20"/>
        </w:rPr>
        <w:t>Pvt</w:t>
      </w:r>
      <w:proofErr w:type="spellEnd"/>
      <w:r w:rsidRPr="0068369B">
        <w:rPr>
          <w:rFonts w:ascii="Times New Roman" w:hAnsi="Times New Roman"/>
          <w:sz w:val="20"/>
          <w:szCs w:val="20"/>
        </w:rPr>
        <w:t xml:space="preserve"> Ltd, Mumbai. All buffers and solutions were prepared with HPLC grade water.</w:t>
      </w:r>
    </w:p>
    <w:p w:rsidR="0068369B" w:rsidRPr="0068369B" w:rsidRDefault="0068369B" w:rsidP="0068369B">
      <w:pPr>
        <w:autoSpaceDE w:val="0"/>
        <w:autoSpaceDN w:val="0"/>
        <w:adjustRightInd w:val="0"/>
        <w:spacing w:after="0" w:line="240" w:lineRule="auto"/>
        <w:jc w:val="both"/>
        <w:rPr>
          <w:rFonts w:ascii="Times New Roman" w:hAnsi="Times New Roman"/>
          <w:sz w:val="20"/>
          <w:szCs w:val="20"/>
        </w:rPr>
      </w:pPr>
    </w:p>
    <w:p w:rsidR="0068369B" w:rsidRPr="0068369B" w:rsidRDefault="0031622F" w:rsidP="0068369B">
      <w:pPr>
        <w:autoSpaceDE w:val="0"/>
        <w:autoSpaceDN w:val="0"/>
        <w:adjustRightInd w:val="0"/>
        <w:spacing w:after="0" w:line="240" w:lineRule="auto"/>
        <w:jc w:val="both"/>
        <w:rPr>
          <w:rFonts w:ascii="Times New Roman" w:hAnsi="Times New Roman"/>
          <w:sz w:val="20"/>
          <w:szCs w:val="20"/>
        </w:rPr>
      </w:pPr>
      <w:r w:rsidRPr="0068369B">
        <w:rPr>
          <w:rFonts w:ascii="Times New Roman" w:hAnsi="Times New Roman"/>
          <w:b/>
          <w:iCs/>
          <w:sz w:val="20"/>
          <w:szCs w:val="20"/>
        </w:rPr>
        <w:t>Instrumental</w:t>
      </w:r>
    </w:p>
    <w:p w:rsidR="0068369B" w:rsidRPr="0068369B" w:rsidRDefault="0031622F" w:rsidP="0068369B">
      <w:pPr>
        <w:autoSpaceDE w:val="0"/>
        <w:autoSpaceDN w:val="0"/>
        <w:adjustRightInd w:val="0"/>
        <w:spacing w:after="0" w:line="240" w:lineRule="auto"/>
        <w:jc w:val="both"/>
        <w:rPr>
          <w:rFonts w:ascii="Times New Roman" w:hAnsi="Times New Roman"/>
          <w:sz w:val="20"/>
          <w:szCs w:val="20"/>
        </w:rPr>
      </w:pPr>
      <w:r w:rsidRPr="0068369B">
        <w:rPr>
          <w:rFonts w:ascii="Times New Roman" w:hAnsi="Times New Roman"/>
          <w:sz w:val="20"/>
          <w:szCs w:val="20"/>
        </w:rPr>
        <w:t xml:space="preserve">The separation was carried out using </w:t>
      </w:r>
      <w:r w:rsidR="00EE77B8" w:rsidRPr="0068369B">
        <w:rPr>
          <w:rFonts w:ascii="Times New Roman" w:hAnsi="Times New Roman"/>
          <w:sz w:val="20"/>
          <w:szCs w:val="20"/>
        </w:rPr>
        <w:t xml:space="preserve">A HPLC unit that consisted of a </w:t>
      </w:r>
      <w:r w:rsidRPr="0068369B">
        <w:rPr>
          <w:rFonts w:ascii="Times New Roman" w:hAnsi="Times New Roman"/>
          <w:sz w:val="20"/>
          <w:szCs w:val="20"/>
        </w:rPr>
        <w:t xml:space="preserve">LC-20AT </w:t>
      </w:r>
      <w:r w:rsidR="00DA4833" w:rsidRPr="0068369B">
        <w:rPr>
          <w:rFonts w:ascii="Times New Roman" w:hAnsi="Times New Roman"/>
          <w:sz w:val="20"/>
          <w:szCs w:val="20"/>
        </w:rPr>
        <w:t>Shimadzu pumps</w:t>
      </w:r>
      <w:r w:rsidR="00635543" w:rsidRPr="0068369B">
        <w:rPr>
          <w:rFonts w:ascii="Times New Roman" w:hAnsi="Times New Roman"/>
          <w:sz w:val="20"/>
          <w:szCs w:val="20"/>
        </w:rPr>
        <w:t xml:space="preserve"> combined with a SPD-20A Promine</w:t>
      </w:r>
      <w:r w:rsidRPr="0068369B">
        <w:rPr>
          <w:rFonts w:ascii="Times New Roman" w:hAnsi="Times New Roman"/>
          <w:sz w:val="20"/>
          <w:szCs w:val="20"/>
        </w:rPr>
        <w:t xml:space="preserve">nce UV-VIS detector. The column used was BDS </w:t>
      </w:r>
      <w:proofErr w:type="spellStart"/>
      <w:r w:rsidRPr="0068369B">
        <w:rPr>
          <w:rFonts w:ascii="Times New Roman" w:hAnsi="Times New Roman"/>
          <w:sz w:val="20"/>
          <w:szCs w:val="20"/>
        </w:rPr>
        <w:t>Hypersil</w:t>
      </w:r>
      <w:proofErr w:type="spellEnd"/>
      <w:r w:rsidRPr="0068369B">
        <w:rPr>
          <w:rFonts w:ascii="Times New Roman" w:hAnsi="Times New Roman"/>
          <w:sz w:val="20"/>
          <w:szCs w:val="20"/>
        </w:rPr>
        <w:t xml:space="preserve"> C</w:t>
      </w:r>
      <w:r w:rsidR="00DA4833" w:rsidRPr="0068369B">
        <w:rPr>
          <w:rFonts w:ascii="Times New Roman" w:hAnsi="Times New Roman"/>
          <w:sz w:val="20"/>
          <w:szCs w:val="20"/>
        </w:rPr>
        <w:t>-</w:t>
      </w:r>
      <w:r w:rsidRPr="0068369B">
        <w:rPr>
          <w:rFonts w:ascii="Times New Roman" w:hAnsi="Times New Roman"/>
          <w:sz w:val="20"/>
          <w:szCs w:val="20"/>
        </w:rPr>
        <w:t xml:space="preserve">18 (150×4.6mm </w:t>
      </w:r>
      <w:proofErr w:type="spellStart"/>
      <w:r w:rsidRPr="0068369B">
        <w:rPr>
          <w:rFonts w:ascii="Times New Roman" w:hAnsi="Times New Roman"/>
          <w:sz w:val="20"/>
          <w:szCs w:val="20"/>
        </w:rPr>
        <w:t>i.d.</w:t>
      </w:r>
      <w:proofErr w:type="spellEnd"/>
      <w:r w:rsidRPr="0068369B">
        <w:rPr>
          <w:rFonts w:ascii="Times New Roman" w:hAnsi="Times New Roman"/>
          <w:sz w:val="20"/>
          <w:szCs w:val="20"/>
        </w:rPr>
        <w:t xml:space="preserve">; 3µm particle size). </w:t>
      </w:r>
      <w:proofErr w:type="spellStart"/>
      <w:r w:rsidRPr="0068369B">
        <w:rPr>
          <w:rFonts w:ascii="Times New Roman" w:hAnsi="Times New Roman"/>
          <w:sz w:val="20"/>
          <w:szCs w:val="20"/>
        </w:rPr>
        <w:t>Analyte</w:t>
      </w:r>
      <w:proofErr w:type="spellEnd"/>
      <w:r w:rsidRPr="0068369B">
        <w:rPr>
          <w:rFonts w:ascii="Times New Roman" w:hAnsi="Times New Roman"/>
          <w:sz w:val="20"/>
          <w:szCs w:val="20"/>
        </w:rPr>
        <w:t xml:space="preserve"> weighing was done on a microbalance, Shimadzu AY220. All mobile phase solutions were degassed ultrasonically by “Fast Clean” </w:t>
      </w:r>
      <w:proofErr w:type="spellStart"/>
      <w:r w:rsidR="009F6794" w:rsidRPr="0068369B">
        <w:rPr>
          <w:rFonts w:ascii="Times New Roman" w:hAnsi="Times New Roman"/>
          <w:sz w:val="20"/>
          <w:szCs w:val="20"/>
        </w:rPr>
        <w:t>sonicator</w:t>
      </w:r>
      <w:proofErr w:type="spellEnd"/>
      <w:r w:rsidR="009F6794" w:rsidRPr="0068369B">
        <w:rPr>
          <w:rFonts w:ascii="Times New Roman" w:hAnsi="Times New Roman"/>
          <w:sz w:val="20"/>
          <w:szCs w:val="20"/>
        </w:rPr>
        <w:t xml:space="preserve"> before</w:t>
      </w:r>
      <w:r w:rsidRPr="0068369B">
        <w:rPr>
          <w:rFonts w:ascii="Times New Roman" w:hAnsi="Times New Roman"/>
          <w:sz w:val="20"/>
          <w:szCs w:val="20"/>
        </w:rPr>
        <w:t xml:space="preserve"> use. The HPLC system was controlled by a PC workstation using </w:t>
      </w:r>
      <w:proofErr w:type="spellStart"/>
      <w:r w:rsidRPr="0068369B">
        <w:rPr>
          <w:rFonts w:ascii="Times New Roman" w:hAnsi="Times New Roman"/>
          <w:sz w:val="20"/>
          <w:szCs w:val="20"/>
        </w:rPr>
        <w:t>Spinchrom</w:t>
      </w:r>
      <w:proofErr w:type="spellEnd"/>
      <w:r w:rsidRPr="0068369B">
        <w:rPr>
          <w:rFonts w:ascii="Times New Roman" w:hAnsi="Times New Roman"/>
          <w:sz w:val="20"/>
          <w:szCs w:val="20"/>
        </w:rPr>
        <w:t xml:space="preserve"> </w:t>
      </w:r>
      <w:r w:rsidR="009F6794" w:rsidRPr="0068369B">
        <w:rPr>
          <w:rFonts w:ascii="Times New Roman" w:hAnsi="Times New Roman"/>
          <w:sz w:val="20"/>
          <w:szCs w:val="20"/>
        </w:rPr>
        <w:t>software.</w:t>
      </w:r>
    </w:p>
    <w:p w:rsidR="0068369B" w:rsidRPr="0068369B" w:rsidRDefault="0068369B" w:rsidP="0068369B">
      <w:pPr>
        <w:autoSpaceDE w:val="0"/>
        <w:autoSpaceDN w:val="0"/>
        <w:adjustRightInd w:val="0"/>
        <w:spacing w:after="0" w:line="240" w:lineRule="auto"/>
        <w:jc w:val="both"/>
        <w:rPr>
          <w:rFonts w:ascii="Times New Roman" w:hAnsi="Times New Roman"/>
          <w:sz w:val="20"/>
          <w:szCs w:val="20"/>
        </w:rPr>
      </w:pPr>
    </w:p>
    <w:p w:rsidR="0068369B" w:rsidRPr="0068369B" w:rsidRDefault="0031622F" w:rsidP="0068369B">
      <w:pPr>
        <w:autoSpaceDE w:val="0"/>
        <w:autoSpaceDN w:val="0"/>
        <w:adjustRightInd w:val="0"/>
        <w:spacing w:after="0" w:line="240" w:lineRule="auto"/>
        <w:jc w:val="both"/>
        <w:rPr>
          <w:rFonts w:ascii="Times New Roman" w:hAnsi="Times New Roman" w:cs="Times New Roman"/>
          <w:b/>
          <w:iCs/>
          <w:sz w:val="20"/>
          <w:szCs w:val="20"/>
        </w:rPr>
      </w:pPr>
      <w:r w:rsidRPr="0068369B">
        <w:rPr>
          <w:rFonts w:ascii="Times New Roman" w:hAnsi="Times New Roman" w:cs="Times New Roman"/>
          <w:b/>
          <w:iCs/>
          <w:sz w:val="20"/>
          <w:szCs w:val="20"/>
        </w:rPr>
        <w:t>Chromatographic conditions</w:t>
      </w:r>
    </w:p>
    <w:p w:rsidR="0068369B" w:rsidRPr="0068369B" w:rsidRDefault="00404926" w:rsidP="0068369B">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hAnsi="Times New Roman" w:cs="Times New Roman"/>
          <w:sz w:val="20"/>
          <w:szCs w:val="20"/>
        </w:rPr>
        <w:t xml:space="preserve">The HPLC was operated under isocratic elution with acetonitrile-0.01M </w:t>
      </w:r>
      <w:proofErr w:type="spellStart"/>
      <w:r w:rsidRPr="0068369B">
        <w:rPr>
          <w:rFonts w:ascii="Times New Roman" w:hAnsi="Times New Roman" w:cs="Times New Roman"/>
          <w:sz w:val="20"/>
          <w:szCs w:val="20"/>
        </w:rPr>
        <w:t>tetrabutylammonium</w:t>
      </w:r>
      <w:proofErr w:type="spellEnd"/>
      <w:r w:rsidRPr="0068369B">
        <w:rPr>
          <w:rFonts w:ascii="Times New Roman" w:hAnsi="Times New Roman" w:cs="Times New Roman"/>
          <w:sz w:val="20"/>
          <w:szCs w:val="20"/>
        </w:rPr>
        <w:t xml:space="preserve"> hydrogen </w:t>
      </w:r>
      <w:proofErr w:type="spellStart"/>
      <w:r w:rsidRPr="0068369B">
        <w:rPr>
          <w:rFonts w:ascii="Times New Roman" w:hAnsi="Times New Roman" w:cs="Times New Roman"/>
          <w:sz w:val="20"/>
          <w:szCs w:val="20"/>
        </w:rPr>
        <w:t>sulphate</w:t>
      </w:r>
      <w:proofErr w:type="spellEnd"/>
      <w:r w:rsidRPr="0068369B">
        <w:rPr>
          <w:rFonts w:ascii="Times New Roman" w:hAnsi="Times New Roman" w:cs="Times New Roman"/>
          <w:sz w:val="20"/>
          <w:szCs w:val="20"/>
        </w:rPr>
        <w:t xml:space="preserve"> buffer (80:20, v/v) as a mobile phase at a flow rate of 1.0 ml/min. </w:t>
      </w:r>
      <w:r w:rsidR="0031622F" w:rsidRPr="0068369B">
        <w:rPr>
          <w:rFonts w:ascii="Times New Roman" w:hAnsi="Times New Roman" w:cs="Times New Roman"/>
          <w:sz w:val="20"/>
          <w:szCs w:val="20"/>
        </w:rPr>
        <w:t xml:space="preserve">The mobile phase was premixed, filtered through a 0.45 </w:t>
      </w:r>
      <w:proofErr w:type="spellStart"/>
      <w:r w:rsidR="0031622F" w:rsidRPr="0068369B">
        <w:rPr>
          <w:rFonts w:ascii="Times New Roman" w:hAnsi="Times New Roman" w:cs="Times New Roman"/>
          <w:sz w:val="20"/>
          <w:szCs w:val="20"/>
        </w:rPr>
        <w:t>μm</w:t>
      </w:r>
      <w:proofErr w:type="spellEnd"/>
      <w:r w:rsidR="0031622F" w:rsidRPr="0068369B">
        <w:rPr>
          <w:rFonts w:ascii="Times New Roman" w:hAnsi="Times New Roman" w:cs="Times New Roman"/>
          <w:sz w:val="20"/>
          <w:szCs w:val="20"/>
        </w:rPr>
        <w:t xml:space="preserve"> membrane filter to remove any particulate matter and degassed by sonication</w:t>
      </w:r>
      <w:r w:rsidR="00076000" w:rsidRPr="0068369B">
        <w:rPr>
          <w:rFonts w:ascii="Times New Roman" w:hAnsi="Times New Roman" w:cs="Times New Roman"/>
          <w:sz w:val="20"/>
          <w:szCs w:val="20"/>
        </w:rPr>
        <w:t xml:space="preserve"> before use. The separation of AT and LU</w:t>
      </w:r>
      <w:r w:rsidR="0031622F" w:rsidRPr="0068369B">
        <w:rPr>
          <w:rFonts w:ascii="Times New Roman" w:hAnsi="Times New Roman" w:cs="Times New Roman"/>
          <w:sz w:val="20"/>
          <w:szCs w:val="20"/>
        </w:rPr>
        <w:t xml:space="preserve"> was good</w:t>
      </w:r>
      <w:r w:rsidR="00A7377D" w:rsidRPr="0068369B">
        <w:rPr>
          <w:rFonts w:ascii="Times New Roman" w:hAnsi="Times New Roman" w:cs="Times New Roman"/>
          <w:sz w:val="20"/>
          <w:szCs w:val="20"/>
        </w:rPr>
        <w:t xml:space="preserve"> enough</w:t>
      </w:r>
      <w:r w:rsidR="0031622F" w:rsidRPr="0068369B">
        <w:rPr>
          <w:rFonts w:ascii="Times New Roman" w:hAnsi="Times New Roman" w:cs="Times New Roman"/>
          <w:sz w:val="20"/>
          <w:szCs w:val="20"/>
        </w:rPr>
        <w:t xml:space="preserve"> (Fig</w:t>
      </w:r>
      <w:r w:rsidR="0068369B" w:rsidRPr="0068369B">
        <w:rPr>
          <w:rFonts w:ascii="Times New Roman" w:hAnsi="Times New Roman" w:cs="Times New Roman"/>
          <w:sz w:val="20"/>
          <w:szCs w:val="20"/>
        </w:rPr>
        <w:t>ure</w:t>
      </w:r>
      <w:r w:rsidR="0031622F" w:rsidRPr="0068369B">
        <w:rPr>
          <w:rFonts w:ascii="Times New Roman" w:hAnsi="Times New Roman" w:cs="Times New Roman"/>
          <w:sz w:val="20"/>
          <w:szCs w:val="20"/>
        </w:rPr>
        <w:t xml:space="preserve"> 2) and further it was free from any interference at 222 nm. Hence, the eluted peaks wer</w:t>
      </w:r>
      <w:r w:rsidR="00076000" w:rsidRPr="0068369B">
        <w:rPr>
          <w:rFonts w:ascii="Times New Roman" w:hAnsi="Times New Roman" w:cs="Times New Roman"/>
          <w:sz w:val="20"/>
          <w:szCs w:val="20"/>
        </w:rPr>
        <w:t>e detected at 222 nm for both, AT</w:t>
      </w:r>
      <w:r w:rsidR="0031622F" w:rsidRPr="0068369B">
        <w:rPr>
          <w:rFonts w:ascii="Times New Roman" w:hAnsi="Times New Roman" w:cs="Times New Roman"/>
          <w:sz w:val="20"/>
          <w:szCs w:val="20"/>
        </w:rPr>
        <w:t xml:space="preserve"> an</w:t>
      </w:r>
      <w:r w:rsidR="00076000" w:rsidRPr="0068369B">
        <w:rPr>
          <w:rFonts w:ascii="Times New Roman" w:hAnsi="Times New Roman" w:cs="Times New Roman"/>
          <w:sz w:val="20"/>
          <w:szCs w:val="20"/>
        </w:rPr>
        <w:t>d LU</w:t>
      </w:r>
      <w:r w:rsidR="0097027F" w:rsidRPr="0068369B">
        <w:rPr>
          <w:rFonts w:ascii="Times New Roman" w:hAnsi="Times New Roman" w:cs="Times New Roman"/>
          <w:sz w:val="20"/>
          <w:szCs w:val="20"/>
        </w:rPr>
        <w:t>. Moreover, the effects at</w:t>
      </w:r>
      <w:r w:rsidR="0031622F" w:rsidRPr="0068369B">
        <w:rPr>
          <w:rFonts w:ascii="Times New Roman" w:hAnsi="Times New Roman" w:cs="Times New Roman"/>
          <w:sz w:val="20"/>
          <w:szCs w:val="20"/>
        </w:rPr>
        <w:t xml:space="preserve"> different level</w:t>
      </w:r>
      <w:r w:rsidR="00A7377D" w:rsidRPr="0068369B">
        <w:rPr>
          <w:rFonts w:ascii="Times New Roman" w:hAnsi="Times New Roman" w:cs="Times New Roman"/>
          <w:sz w:val="20"/>
          <w:szCs w:val="20"/>
        </w:rPr>
        <w:t>s</w:t>
      </w:r>
      <w:r w:rsidR="0031622F" w:rsidRPr="0068369B">
        <w:rPr>
          <w:rFonts w:ascii="Times New Roman" w:hAnsi="Times New Roman" w:cs="Times New Roman"/>
          <w:sz w:val="20"/>
          <w:szCs w:val="20"/>
        </w:rPr>
        <w:t xml:space="preserve"> of all these factors were systematically addressed on system suitability parameters such as resolution, theoretical plates, retention time, se</w:t>
      </w:r>
      <w:r w:rsidR="00414CF5" w:rsidRPr="0068369B">
        <w:rPr>
          <w:rFonts w:ascii="Times New Roman" w:hAnsi="Times New Roman" w:cs="Times New Roman"/>
          <w:sz w:val="20"/>
          <w:szCs w:val="20"/>
        </w:rPr>
        <w:t>paration factor, asymmetry, and Height Equivalent to Theoretical Plate (</w:t>
      </w:r>
      <w:r w:rsidR="0031622F" w:rsidRPr="0068369B">
        <w:rPr>
          <w:rFonts w:ascii="Times New Roman" w:hAnsi="Times New Roman" w:cs="Times New Roman"/>
          <w:sz w:val="20"/>
          <w:szCs w:val="20"/>
        </w:rPr>
        <w:t>HETP</w:t>
      </w:r>
      <w:r w:rsidR="00414CF5" w:rsidRPr="0068369B">
        <w:rPr>
          <w:rFonts w:ascii="Times New Roman" w:hAnsi="Times New Roman" w:cs="Times New Roman"/>
          <w:sz w:val="20"/>
          <w:szCs w:val="20"/>
        </w:rPr>
        <w:t>)</w:t>
      </w:r>
      <w:r w:rsidR="0031622F" w:rsidRPr="0068369B">
        <w:rPr>
          <w:rFonts w:ascii="Times New Roman" w:hAnsi="Times New Roman" w:cs="Times New Roman"/>
          <w:sz w:val="20"/>
          <w:szCs w:val="20"/>
        </w:rPr>
        <w:t xml:space="preserve"> etc.</w:t>
      </w:r>
    </w:p>
    <w:p w:rsidR="0068369B" w:rsidRPr="0068369B" w:rsidRDefault="0068369B" w:rsidP="0068369B">
      <w:pPr>
        <w:autoSpaceDE w:val="0"/>
        <w:autoSpaceDN w:val="0"/>
        <w:adjustRightInd w:val="0"/>
        <w:spacing w:after="0" w:line="240" w:lineRule="auto"/>
        <w:jc w:val="both"/>
        <w:rPr>
          <w:rFonts w:ascii="Times New Roman" w:hAnsi="Times New Roman" w:cs="Times New Roman"/>
          <w:sz w:val="20"/>
          <w:szCs w:val="20"/>
        </w:rPr>
      </w:pPr>
    </w:p>
    <w:p w:rsidR="0068369B" w:rsidRPr="0068369B" w:rsidRDefault="0031622F" w:rsidP="0068369B">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hAnsi="Times New Roman"/>
          <w:b/>
          <w:sz w:val="20"/>
          <w:szCs w:val="20"/>
        </w:rPr>
        <w:t>Preparation of buffe</w:t>
      </w:r>
      <w:r w:rsidR="003F42A9" w:rsidRPr="0068369B">
        <w:rPr>
          <w:rFonts w:ascii="Times New Roman" w:hAnsi="Times New Roman"/>
          <w:b/>
          <w:sz w:val="20"/>
          <w:szCs w:val="20"/>
        </w:rPr>
        <w:t>r</w:t>
      </w:r>
    </w:p>
    <w:p w:rsidR="0068369B" w:rsidRPr="0068369B" w:rsidRDefault="0031622F" w:rsidP="0068369B">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hAnsi="Times New Roman"/>
          <w:sz w:val="20"/>
          <w:szCs w:val="20"/>
        </w:rPr>
        <w:t xml:space="preserve">Dissolve 0.33954 </w:t>
      </w:r>
      <w:proofErr w:type="spellStart"/>
      <w:r w:rsidRPr="0068369B">
        <w:rPr>
          <w:rFonts w:ascii="Times New Roman" w:hAnsi="Times New Roman"/>
          <w:sz w:val="20"/>
          <w:szCs w:val="20"/>
        </w:rPr>
        <w:t>gm</w:t>
      </w:r>
      <w:proofErr w:type="spellEnd"/>
      <w:r w:rsidRPr="0068369B">
        <w:rPr>
          <w:rFonts w:ascii="Times New Roman" w:hAnsi="Times New Roman"/>
          <w:sz w:val="20"/>
          <w:szCs w:val="20"/>
        </w:rPr>
        <w:t xml:space="preserve"> of tetra butyl ammonium hydrogen </w:t>
      </w:r>
      <w:proofErr w:type="spellStart"/>
      <w:r w:rsidRPr="0068369B">
        <w:rPr>
          <w:rFonts w:ascii="Times New Roman" w:hAnsi="Times New Roman"/>
          <w:sz w:val="20"/>
          <w:szCs w:val="20"/>
        </w:rPr>
        <w:t>sulphate</w:t>
      </w:r>
      <w:proofErr w:type="spellEnd"/>
      <w:r w:rsidRPr="0068369B">
        <w:rPr>
          <w:rFonts w:ascii="Times New Roman" w:hAnsi="Times New Roman"/>
          <w:sz w:val="20"/>
          <w:szCs w:val="20"/>
        </w:rPr>
        <w:t xml:space="preserve"> in small amount of distilled water, transferred into 100ml vo</w:t>
      </w:r>
      <w:r w:rsidR="005F2425" w:rsidRPr="0068369B">
        <w:rPr>
          <w:rFonts w:ascii="Times New Roman" w:hAnsi="Times New Roman"/>
          <w:sz w:val="20"/>
          <w:szCs w:val="20"/>
        </w:rPr>
        <w:t>lumetric flask and mad</w:t>
      </w:r>
      <w:r w:rsidRPr="0068369B">
        <w:rPr>
          <w:rFonts w:ascii="Times New Roman" w:hAnsi="Times New Roman"/>
          <w:sz w:val="20"/>
          <w:szCs w:val="20"/>
        </w:rPr>
        <w:t>e up to the final volume with HPLC grade water.</w:t>
      </w:r>
    </w:p>
    <w:p w:rsidR="0068369B" w:rsidRPr="0068369B" w:rsidRDefault="0068369B" w:rsidP="0068369B">
      <w:pPr>
        <w:autoSpaceDE w:val="0"/>
        <w:autoSpaceDN w:val="0"/>
        <w:adjustRightInd w:val="0"/>
        <w:spacing w:after="0" w:line="240" w:lineRule="auto"/>
        <w:jc w:val="both"/>
        <w:rPr>
          <w:rFonts w:ascii="Times New Roman" w:hAnsi="Times New Roman" w:cs="Times New Roman"/>
          <w:sz w:val="20"/>
          <w:szCs w:val="20"/>
        </w:rPr>
      </w:pPr>
    </w:p>
    <w:p w:rsidR="0068369B" w:rsidRPr="0068369B" w:rsidRDefault="0031622F" w:rsidP="0068369B">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hAnsi="Times New Roman" w:cs="Times New Roman"/>
          <w:b/>
          <w:sz w:val="20"/>
          <w:szCs w:val="20"/>
        </w:rPr>
        <w:t>Preparation of mobile phase</w:t>
      </w:r>
      <w:r w:rsidRPr="0068369B">
        <w:rPr>
          <w:rFonts w:ascii="Times New Roman" w:hAnsi="Times New Roman" w:cs="Times New Roman"/>
          <w:sz w:val="20"/>
          <w:szCs w:val="20"/>
        </w:rPr>
        <w:t xml:space="preserve"> </w:t>
      </w:r>
    </w:p>
    <w:p w:rsidR="0068369B" w:rsidRPr="0068369B" w:rsidRDefault="0031622F" w:rsidP="0068369B">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hAnsi="Times New Roman" w:cs="Times New Roman"/>
          <w:sz w:val="20"/>
          <w:szCs w:val="20"/>
        </w:rPr>
        <w:t>200ml (20%)</w:t>
      </w:r>
      <w:r w:rsidR="00A7377D" w:rsidRPr="0068369B">
        <w:rPr>
          <w:rFonts w:ascii="Times New Roman" w:hAnsi="Times New Roman" w:cs="Times New Roman"/>
          <w:sz w:val="20"/>
          <w:szCs w:val="20"/>
        </w:rPr>
        <w:t xml:space="preserve"> of the above buffer</w:t>
      </w:r>
      <w:r w:rsidRPr="0068369B">
        <w:rPr>
          <w:rFonts w:ascii="Times New Roman" w:hAnsi="Times New Roman" w:cs="Times New Roman"/>
          <w:sz w:val="20"/>
          <w:szCs w:val="20"/>
        </w:rPr>
        <w:t xml:space="preserve"> </w:t>
      </w:r>
      <w:r w:rsidR="00A7377D" w:rsidRPr="0068369B">
        <w:rPr>
          <w:rFonts w:ascii="Times New Roman" w:hAnsi="Times New Roman" w:cs="Times New Roman"/>
          <w:sz w:val="20"/>
          <w:szCs w:val="20"/>
        </w:rPr>
        <w:t>was mixed with</w:t>
      </w:r>
      <w:r w:rsidRPr="0068369B">
        <w:rPr>
          <w:rFonts w:ascii="Times New Roman" w:hAnsi="Times New Roman" w:cs="Times New Roman"/>
          <w:sz w:val="20"/>
          <w:szCs w:val="20"/>
        </w:rPr>
        <w:t xml:space="preserve"> 800 ml of acetonitrile (80%)</w:t>
      </w:r>
      <w:r w:rsidR="00A5761F" w:rsidRPr="0068369B">
        <w:rPr>
          <w:rFonts w:ascii="Times New Roman" w:hAnsi="Times New Roman" w:cs="Times New Roman"/>
          <w:sz w:val="20"/>
          <w:szCs w:val="20"/>
        </w:rPr>
        <w:t>.</w:t>
      </w:r>
      <w:r w:rsidR="00A5761F" w:rsidRPr="0068369B">
        <w:rPr>
          <w:rFonts w:ascii="Times New Roman" w:hAnsi="Times New Roman" w:cs="Times New Roman"/>
        </w:rPr>
        <w:t xml:space="preserve"> </w:t>
      </w:r>
      <w:r w:rsidR="00A5761F" w:rsidRPr="0068369B">
        <w:rPr>
          <w:rFonts w:ascii="Times New Roman" w:hAnsi="Times New Roman" w:cs="Times New Roman"/>
          <w:sz w:val="20"/>
          <w:szCs w:val="20"/>
        </w:rPr>
        <w:t>Mobile phase will be filtered first using</w:t>
      </w:r>
      <w:r w:rsidR="0039501B" w:rsidRPr="0068369B">
        <w:rPr>
          <w:rFonts w:ascii="Times New Roman" w:hAnsi="Times New Roman" w:cs="Times New Roman"/>
          <w:sz w:val="20"/>
          <w:szCs w:val="20"/>
        </w:rPr>
        <w:t xml:space="preserve"> 0.45 µ</w:t>
      </w:r>
      <w:r w:rsidR="0068369B" w:rsidRPr="0068369B">
        <w:rPr>
          <w:rFonts w:ascii="Times New Roman" w:hAnsi="Times New Roman" w:cs="Times New Roman"/>
          <w:sz w:val="20"/>
          <w:szCs w:val="20"/>
        </w:rPr>
        <w:t>m</w:t>
      </w:r>
      <w:r w:rsidR="00A5761F" w:rsidRPr="0068369B">
        <w:rPr>
          <w:rFonts w:ascii="Times New Roman" w:hAnsi="Times New Roman" w:cs="Times New Roman"/>
          <w:sz w:val="20"/>
          <w:szCs w:val="20"/>
        </w:rPr>
        <w:t xml:space="preserve"> membrane filter and </w:t>
      </w:r>
      <w:r w:rsidR="0039501B" w:rsidRPr="0068369B">
        <w:rPr>
          <w:rFonts w:ascii="Times New Roman" w:hAnsi="Times New Roman" w:cs="Times New Roman"/>
          <w:sz w:val="20"/>
          <w:szCs w:val="20"/>
        </w:rPr>
        <w:t xml:space="preserve">then </w:t>
      </w:r>
      <w:r w:rsidR="00A5761F" w:rsidRPr="0068369B">
        <w:rPr>
          <w:rFonts w:ascii="Times New Roman" w:hAnsi="Times New Roman" w:cs="Times New Roman"/>
          <w:sz w:val="20"/>
          <w:szCs w:val="20"/>
        </w:rPr>
        <w:t>degassed in an ultrasonic</w:t>
      </w:r>
      <w:r w:rsidR="0039501B" w:rsidRPr="0068369B">
        <w:rPr>
          <w:rFonts w:ascii="Times New Roman" w:hAnsi="Times New Roman" w:cs="Times New Roman"/>
          <w:sz w:val="20"/>
          <w:szCs w:val="20"/>
        </w:rPr>
        <w:t xml:space="preserve"> water bath for 5</w:t>
      </w:r>
      <w:r w:rsidR="0068369B" w:rsidRPr="0068369B">
        <w:rPr>
          <w:rFonts w:ascii="Times New Roman" w:hAnsi="Times New Roman" w:cs="Times New Roman"/>
          <w:sz w:val="20"/>
          <w:szCs w:val="20"/>
        </w:rPr>
        <w:t xml:space="preserve"> </w:t>
      </w:r>
      <w:r w:rsidR="0039501B" w:rsidRPr="0068369B">
        <w:rPr>
          <w:rFonts w:ascii="Times New Roman" w:hAnsi="Times New Roman" w:cs="Times New Roman"/>
          <w:sz w:val="20"/>
          <w:szCs w:val="20"/>
        </w:rPr>
        <w:t>minutes</w:t>
      </w:r>
      <w:r w:rsidR="00A5761F" w:rsidRPr="0068369B">
        <w:rPr>
          <w:rFonts w:ascii="Times New Roman" w:hAnsi="Times New Roman" w:cs="Times New Roman"/>
          <w:sz w:val="20"/>
          <w:szCs w:val="20"/>
        </w:rPr>
        <w:t xml:space="preserve"> prior to use</w:t>
      </w:r>
      <w:r w:rsidR="0039501B" w:rsidRPr="0068369B">
        <w:rPr>
          <w:rFonts w:ascii="Times New Roman" w:hAnsi="Times New Roman" w:cs="Times New Roman"/>
          <w:sz w:val="20"/>
          <w:szCs w:val="20"/>
        </w:rPr>
        <w:t>.</w:t>
      </w:r>
    </w:p>
    <w:p w:rsidR="0068369B" w:rsidRPr="0068369B" w:rsidRDefault="0068369B" w:rsidP="0068369B">
      <w:pPr>
        <w:autoSpaceDE w:val="0"/>
        <w:autoSpaceDN w:val="0"/>
        <w:adjustRightInd w:val="0"/>
        <w:spacing w:after="0" w:line="240" w:lineRule="auto"/>
        <w:jc w:val="both"/>
        <w:rPr>
          <w:rFonts w:ascii="Times New Roman" w:hAnsi="Times New Roman" w:cs="Times New Roman"/>
          <w:sz w:val="20"/>
          <w:szCs w:val="20"/>
        </w:rPr>
      </w:pPr>
    </w:p>
    <w:p w:rsidR="0031622F" w:rsidRPr="0068369B" w:rsidRDefault="0031622F" w:rsidP="0068369B">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hAnsi="Times New Roman"/>
          <w:b/>
          <w:sz w:val="20"/>
          <w:szCs w:val="20"/>
        </w:rPr>
        <w:t>Diluent Preparation</w:t>
      </w:r>
    </w:p>
    <w:p w:rsidR="0068369B" w:rsidRPr="0068369B" w:rsidRDefault="0031622F" w:rsidP="0068369B">
      <w:pPr>
        <w:spacing w:after="0" w:line="480" w:lineRule="auto"/>
        <w:jc w:val="both"/>
        <w:rPr>
          <w:rFonts w:ascii="Times New Roman" w:hAnsi="Times New Roman"/>
          <w:sz w:val="20"/>
          <w:szCs w:val="20"/>
        </w:rPr>
      </w:pPr>
      <w:r w:rsidRPr="0068369B">
        <w:rPr>
          <w:rFonts w:ascii="Times New Roman" w:hAnsi="Times New Roman"/>
          <w:sz w:val="20"/>
          <w:szCs w:val="20"/>
        </w:rPr>
        <w:t xml:space="preserve">Mobile phase [0.01M tetra butyl ammonium hydrogen </w:t>
      </w:r>
      <w:proofErr w:type="spellStart"/>
      <w:r w:rsidRPr="0068369B">
        <w:rPr>
          <w:rFonts w:ascii="Times New Roman" w:hAnsi="Times New Roman"/>
          <w:sz w:val="20"/>
          <w:szCs w:val="20"/>
        </w:rPr>
        <w:t>sulphate</w:t>
      </w:r>
      <w:proofErr w:type="spellEnd"/>
      <w:r w:rsidRPr="0068369B">
        <w:rPr>
          <w:rFonts w:ascii="Times New Roman" w:hAnsi="Times New Roman"/>
          <w:sz w:val="20"/>
          <w:szCs w:val="20"/>
        </w:rPr>
        <w:t xml:space="preserve"> &amp; acetonitrile (20:80</w:t>
      </w:r>
      <w:r w:rsidR="00A7377D" w:rsidRPr="0068369B">
        <w:rPr>
          <w:rFonts w:ascii="Times New Roman" w:hAnsi="Times New Roman"/>
          <w:sz w:val="20"/>
          <w:szCs w:val="20"/>
        </w:rPr>
        <w:t>%v/v</w:t>
      </w:r>
      <w:r w:rsidRPr="0068369B">
        <w:rPr>
          <w:rFonts w:ascii="Times New Roman" w:hAnsi="Times New Roman"/>
          <w:sz w:val="20"/>
          <w:szCs w:val="20"/>
        </w:rPr>
        <w:t xml:space="preserve">)] used as </w:t>
      </w:r>
      <w:r w:rsidR="00743CD6" w:rsidRPr="0068369B">
        <w:rPr>
          <w:rFonts w:ascii="Times New Roman" w:hAnsi="Times New Roman"/>
          <w:sz w:val="20"/>
          <w:szCs w:val="20"/>
        </w:rPr>
        <w:t>a diluent</w:t>
      </w:r>
      <w:r w:rsidRPr="0068369B">
        <w:rPr>
          <w:rFonts w:ascii="Times New Roman" w:hAnsi="Times New Roman"/>
          <w:sz w:val="20"/>
          <w:szCs w:val="20"/>
        </w:rPr>
        <w:t>.</w:t>
      </w:r>
    </w:p>
    <w:p w:rsidR="0068369B" w:rsidRPr="0068369B" w:rsidRDefault="0031622F" w:rsidP="0068369B">
      <w:pPr>
        <w:spacing w:after="0" w:line="240" w:lineRule="auto"/>
        <w:jc w:val="both"/>
        <w:rPr>
          <w:rFonts w:ascii="Times New Roman" w:hAnsi="Times New Roman"/>
          <w:sz w:val="20"/>
          <w:szCs w:val="20"/>
        </w:rPr>
      </w:pPr>
      <w:r w:rsidRPr="0068369B">
        <w:rPr>
          <w:rFonts w:ascii="Times New Roman" w:hAnsi="Times New Roman"/>
          <w:b/>
          <w:iCs/>
          <w:sz w:val="20"/>
          <w:szCs w:val="20"/>
        </w:rPr>
        <w:t>Standard solution preparation</w:t>
      </w:r>
    </w:p>
    <w:p w:rsidR="0068369B" w:rsidRPr="0068369B" w:rsidRDefault="0031622F" w:rsidP="0068369B">
      <w:pPr>
        <w:spacing w:after="0" w:line="240" w:lineRule="auto"/>
        <w:jc w:val="both"/>
        <w:rPr>
          <w:rFonts w:ascii="Times New Roman" w:hAnsi="Times New Roman"/>
          <w:sz w:val="20"/>
          <w:szCs w:val="20"/>
        </w:rPr>
      </w:pPr>
      <w:r w:rsidRPr="0068369B">
        <w:rPr>
          <w:rFonts w:ascii="Times New Roman" w:hAnsi="Times New Roman"/>
          <w:sz w:val="20"/>
          <w:szCs w:val="20"/>
        </w:rPr>
        <w:t xml:space="preserve">Accurately </w:t>
      </w:r>
      <w:r w:rsidR="00076000" w:rsidRPr="0068369B">
        <w:rPr>
          <w:rFonts w:ascii="Times New Roman" w:hAnsi="Times New Roman"/>
          <w:sz w:val="20"/>
          <w:szCs w:val="20"/>
        </w:rPr>
        <w:t>weighed and transferred 4mg of AT</w:t>
      </w:r>
      <w:r w:rsidRPr="0068369B">
        <w:rPr>
          <w:rFonts w:ascii="Times New Roman" w:hAnsi="Times New Roman"/>
          <w:sz w:val="20"/>
          <w:szCs w:val="20"/>
        </w:rPr>
        <w:t xml:space="preserve"> </w:t>
      </w:r>
      <w:r w:rsidR="00076000" w:rsidRPr="0068369B">
        <w:rPr>
          <w:rFonts w:ascii="Times New Roman" w:hAnsi="Times New Roman"/>
          <w:sz w:val="20"/>
          <w:szCs w:val="20"/>
        </w:rPr>
        <w:t>reference standard and 24mg of LU</w:t>
      </w:r>
      <w:r w:rsidRPr="0068369B">
        <w:rPr>
          <w:rFonts w:ascii="Times New Roman" w:hAnsi="Times New Roman"/>
          <w:sz w:val="20"/>
          <w:szCs w:val="20"/>
        </w:rPr>
        <w:t xml:space="preserve"> reference standard to 25ml volumetric flask, added appropriate quantity of diluent and </w:t>
      </w:r>
      <w:proofErr w:type="spellStart"/>
      <w:r w:rsidRPr="0068369B">
        <w:rPr>
          <w:rFonts w:ascii="Times New Roman" w:hAnsi="Times New Roman"/>
          <w:sz w:val="20"/>
          <w:szCs w:val="20"/>
        </w:rPr>
        <w:t>sonicate</w:t>
      </w:r>
      <w:r w:rsidR="00A7377D" w:rsidRPr="0068369B">
        <w:rPr>
          <w:rFonts w:ascii="Times New Roman" w:hAnsi="Times New Roman"/>
          <w:sz w:val="20"/>
          <w:szCs w:val="20"/>
        </w:rPr>
        <w:t>d</w:t>
      </w:r>
      <w:proofErr w:type="spellEnd"/>
      <w:r w:rsidRPr="0068369B">
        <w:rPr>
          <w:rFonts w:ascii="Times New Roman" w:hAnsi="Times New Roman"/>
          <w:sz w:val="20"/>
          <w:szCs w:val="20"/>
        </w:rPr>
        <w:t xml:space="preserve"> to dissolve it completely and </w:t>
      </w:r>
      <w:r w:rsidR="00A7377D" w:rsidRPr="0068369B">
        <w:rPr>
          <w:rFonts w:ascii="Times New Roman" w:hAnsi="Times New Roman"/>
          <w:sz w:val="20"/>
          <w:szCs w:val="20"/>
        </w:rPr>
        <w:t xml:space="preserve">the volume was </w:t>
      </w:r>
      <w:r w:rsidRPr="0068369B">
        <w:rPr>
          <w:rFonts w:ascii="Times New Roman" w:hAnsi="Times New Roman"/>
          <w:sz w:val="20"/>
          <w:szCs w:val="20"/>
        </w:rPr>
        <w:t>ma</w:t>
      </w:r>
      <w:r w:rsidR="00A7377D" w:rsidRPr="0068369B">
        <w:rPr>
          <w:rFonts w:ascii="Times New Roman" w:hAnsi="Times New Roman"/>
          <w:sz w:val="20"/>
          <w:szCs w:val="20"/>
        </w:rPr>
        <w:t xml:space="preserve">de </w:t>
      </w:r>
      <w:r w:rsidRPr="0068369B">
        <w:rPr>
          <w:rFonts w:ascii="Times New Roman" w:hAnsi="Times New Roman"/>
          <w:sz w:val="20"/>
          <w:szCs w:val="20"/>
        </w:rPr>
        <w:t xml:space="preserve">up to the mark with </w:t>
      </w:r>
      <w:r w:rsidR="00A7377D" w:rsidRPr="0068369B">
        <w:rPr>
          <w:rFonts w:ascii="Times New Roman" w:hAnsi="Times New Roman"/>
          <w:sz w:val="20"/>
          <w:szCs w:val="20"/>
        </w:rPr>
        <w:t xml:space="preserve">the </w:t>
      </w:r>
      <w:r w:rsidRPr="0068369B">
        <w:rPr>
          <w:rFonts w:ascii="Times New Roman" w:hAnsi="Times New Roman"/>
          <w:sz w:val="20"/>
          <w:szCs w:val="20"/>
        </w:rPr>
        <w:t>same diluent, to ob</w:t>
      </w:r>
      <w:r w:rsidR="00076000" w:rsidRPr="0068369B">
        <w:rPr>
          <w:rFonts w:ascii="Times New Roman" w:hAnsi="Times New Roman"/>
          <w:sz w:val="20"/>
          <w:szCs w:val="20"/>
        </w:rPr>
        <w:t>tain a solution of 160μg/ml of AT and 960μg/ml of LU</w:t>
      </w:r>
      <w:r w:rsidRPr="0068369B">
        <w:rPr>
          <w:rFonts w:ascii="Times New Roman" w:hAnsi="Times New Roman"/>
          <w:sz w:val="20"/>
          <w:szCs w:val="20"/>
        </w:rPr>
        <w:t xml:space="preserve">, resultant solution was ultra </w:t>
      </w:r>
      <w:proofErr w:type="spellStart"/>
      <w:r w:rsidRPr="0068369B">
        <w:rPr>
          <w:rFonts w:ascii="Times New Roman" w:hAnsi="Times New Roman"/>
          <w:sz w:val="20"/>
          <w:szCs w:val="20"/>
        </w:rPr>
        <w:t>sonicated</w:t>
      </w:r>
      <w:proofErr w:type="spellEnd"/>
      <w:r w:rsidRPr="0068369B">
        <w:rPr>
          <w:rFonts w:ascii="Times New Roman" w:hAnsi="Times New Roman"/>
          <w:sz w:val="20"/>
          <w:szCs w:val="20"/>
        </w:rPr>
        <w:t xml:space="preserve"> for 5min and filtered through 0.45µ filter paper.</w:t>
      </w:r>
    </w:p>
    <w:p w:rsidR="0068369B" w:rsidRPr="0068369B" w:rsidRDefault="0068369B" w:rsidP="0068369B">
      <w:pPr>
        <w:spacing w:after="0" w:line="240" w:lineRule="auto"/>
        <w:jc w:val="both"/>
        <w:rPr>
          <w:rFonts w:ascii="Times New Roman" w:hAnsi="Times New Roman"/>
          <w:sz w:val="20"/>
          <w:szCs w:val="20"/>
        </w:rPr>
      </w:pPr>
    </w:p>
    <w:p w:rsidR="0068369B" w:rsidRPr="0068369B" w:rsidRDefault="0031622F" w:rsidP="0068369B">
      <w:pPr>
        <w:spacing w:after="0" w:line="240" w:lineRule="auto"/>
        <w:jc w:val="both"/>
        <w:rPr>
          <w:rFonts w:ascii="Times New Roman" w:hAnsi="Times New Roman"/>
          <w:sz w:val="20"/>
          <w:szCs w:val="20"/>
        </w:rPr>
      </w:pPr>
      <w:r w:rsidRPr="0068369B">
        <w:rPr>
          <w:rFonts w:ascii="Times New Roman" w:hAnsi="Times New Roman"/>
          <w:b/>
          <w:iCs/>
          <w:sz w:val="20"/>
          <w:szCs w:val="20"/>
        </w:rPr>
        <w:t>Sample solution preparation</w:t>
      </w:r>
    </w:p>
    <w:p w:rsidR="00327930" w:rsidRPr="0068369B" w:rsidRDefault="0068369B" w:rsidP="0068369B">
      <w:pPr>
        <w:spacing w:after="0" w:line="240" w:lineRule="auto"/>
        <w:jc w:val="both"/>
        <w:rPr>
          <w:rFonts w:ascii="Times New Roman" w:hAnsi="Times New Roman"/>
          <w:sz w:val="20"/>
          <w:szCs w:val="20"/>
        </w:rPr>
      </w:pPr>
      <w:r w:rsidRPr="0068369B">
        <w:rPr>
          <w:rFonts w:ascii="Times New Roman" w:hAnsi="Times New Roman"/>
          <w:sz w:val="20"/>
          <w:szCs w:val="20"/>
        </w:rPr>
        <w:t>Five t</w:t>
      </w:r>
      <w:r w:rsidR="004D750E" w:rsidRPr="0068369B">
        <w:rPr>
          <w:rFonts w:ascii="Times New Roman" w:hAnsi="Times New Roman"/>
          <w:sz w:val="20"/>
          <w:szCs w:val="20"/>
        </w:rPr>
        <w:t>ablets of AT and LU</w:t>
      </w:r>
      <w:r w:rsidR="0031622F" w:rsidRPr="0068369B">
        <w:rPr>
          <w:rFonts w:ascii="Times New Roman" w:hAnsi="Times New Roman"/>
          <w:sz w:val="20"/>
          <w:szCs w:val="20"/>
        </w:rPr>
        <w:t xml:space="preserve"> were weighed and finely powdered. A quantity equivalent t</w:t>
      </w:r>
      <w:r w:rsidR="004D750E" w:rsidRPr="0068369B">
        <w:rPr>
          <w:rFonts w:ascii="Times New Roman" w:hAnsi="Times New Roman"/>
          <w:sz w:val="20"/>
          <w:szCs w:val="20"/>
        </w:rPr>
        <w:t>o 4mg of AT</w:t>
      </w:r>
      <w:r w:rsidR="00204868" w:rsidRPr="0068369B">
        <w:rPr>
          <w:rFonts w:ascii="Times New Roman" w:hAnsi="Times New Roman"/>
          <w:sz w:val="20"/>
          <w:szCs w:val="20"/>
        </w:rPr>
        <w:t xml:space="preserve"> and 24mg of </w:t>
      </w:r>
      <w:r w:rsidR="004D750E" w:rsidRPr="0068369B">
        <w:rPr>
          <w:rFonts w:ascii="Times New Roman" w:hAnsi="Times New Roman"/>
          <w:sz w:val="20"/>
          <w:szCs w:val="20"/>
        </w:rPr>
        <w:t>LU</w:t>
      </w:r>
      <w:r w:rsidR="0031622F" w:rsidRPr="0068369B">
        <w:rPr>
          <w:rFonts w:ascii="Times New Roman" w:hAnsi="Times New Roman"/>
          <w:sz w:val="20"/>
          <w:szCs w:val="20"/>
        </w:rPr>
        <w:t xml:space="preserve"> was transferred in</w:t>
      </w:r>
      <w:r w:rsidR="00A7377D" w:rsidRPr="0068369B">
        <w:rPr>
          <w:rFonts w:ascii="Times New Roman" w:hAnsi="Times New Roman"/>
          <w:sz w:val="20"/>
          <w:szCs w:val="20"/>
        </w:rPr>
        <w:t>to</w:t>
      </w:r>
      <w:r w:rsidR="0031622F" w:rsidRPr="0068369B">
        <w:rPr>
          <w:rFonts w:ascii="Times New Roman" w:hAnsi="Times New Roman"/>
          <w:sz w:val="20"/>
          <w:szCs w:val="20"/>
        </w:rPr>
        <w:t xml:space="preserve"> </w:t>
      </w:r>
      <w:r w:rsidR="00E60F09" w:rsidRPr="0068369B">
        <w:rPr>
          <w:rFonts w:ascii="Times New Roman" w:hAnsi="Times New Roman"/>
          <w:sz w:val="20"/>
          <w:szCs w:val="20"/>
        </w:rPr>
        <w:t>25</w:t>
      </w:r>
      <w:r w:rsidR="0031622F" w:rsidRPr="0068369B">
        <w:rPr>
          <w:rFonts w:ascii="Times New Roman" w:hAnsi="Times New Roman"/>
          <w:sz w:val="20"/>
          <w:szCs w:val="20"/>
        </w:rPr>
        <w:t xml:space="preserve"> ml volumetric flak and appropriate amount of diluent was added. The contents were </w:t>
      </w:r>
      <w:proofErr w:type="spellStart"/>
      <w:r w:rsidR="0031622F" w:rsidRPr="0068369B">
        <w:rPr>
          <w:rFonts w:ascii="Times New Roman" w:hAnsi="Times New Roman"/>
          <w:sz w:val="20"/>
          <w:szCs w:val="20"/>
        </w:rPr>
        <w:t>sonicated</w:t>
      </w:r>
      <w:proofErr w:type="spellEnd"/>
      <w:r w:rsidR="0031622F" w:rsidRPr="0068369B">
        <w:rPr>
          <w:rFonts w:ascii="Times New Roman" w:hAnsi="Times New Roman"/>
          <w:sz w:val="20"/>
          <w:szCs w:val="20"/>
        </w:rPr>
        <w:t xml:space="preserve"> to dissolve </w:t>
      </w:r>
      <w:r w:rsidR="00AB09DD" w:rsidRPr="0068369B">
        <w:rPr>
          <w:rFonts w:ascii="Times New Roman" w:hAnsi="Times New Roman"/>
          <w:sz w:val="20"/>
          <w:szCs w:val="20"/>
        </w:rPr>
        <w:t xml:space="preserve">AT and LU completely </w:t>
      </w:r>
      <w:r w:rsidR="0031622F" w:rsidRPr="0068369B">
        <w:rPr>
          <w:rFonts w:ascii="Times New Roman" w:hAnsi="Times New Roman"/>
          <w:sz w:val="20"/>
          <w:szCs w:val="20"/>
        </w:rPr>
        <w:t xml:space="preserve">and the volume was made up to the mark with diluent and filtered through 0.45µm </w:t>
      </w:r>
      <w:r w:rsidR="006B6AFE" w:rsidRPr="0068369B">
        <w:rPr>
          <w:rFonts w:ascii="Times New Roman" w:hAnsi="Times New Roman"/>
          <w:sz w:val="20"/>
          <w:szCs w:val="20"/>
        </w:rPr>
        <w:t>membrane</w:t>
      </w:r>
      <w:r w:rsidR="0031622F" w:rsidRPr="0068369B">
        <w:rPr>
          <w:rFonts w:ascii="Times New Roman" w:hAnsi="Times New Roman"/>
          <w:sz w:val="20"/>
          <w:szCs w:val="20"/>
        </w:rPr>
        <w:t xml:space="preserve"> filter. </w:t>
      </w:r>
    </w:p>
    <w:p w:rsidR="0020164A" w:rsidRPr="0068369B" w:rsidRDefault="006B6AFE" w:rsidP="00327930">
      <w:pPr>
        <w:spacing w:after="0" w:line="480" w:lineRule="auto"/>
        <w:jc w:val="both"/>
        <w:rPr>
          <w:rFonts w:ascii="Times New Roman" w:hAnsi="Times New Roman"/>
          <w:sz w:val="20"/>
          <w:szCs w:val="20"/>
        </w:rPr>
      </w:pPr>
      <w:r w:rsidRPr="0068369B">
        <w:rPr>
          <w:rFonts w:ascii="Times New Roman" w:hAnsi="Times New Roman" w:cs="Times New Roman"/>
          <w:b/>
          <w:sz w:val="20"/>
          <w:szCs w:val="20"/>
        </w:rPr>
        <w:t xml:space="preserve"> </w:t>
      </w:r>
    </w:p>
    <w:p w:rsidR="00F3569F" w:rsidRPr="0068369B" w:rsidRDefault="0068369B" w:rsidP="0068369B">
      <w:pPr>
        <w:tabs>
          <w:tab w:val="left" w:pos="3030"/>
          <w:tab w:val="center" w:pos="4513"/>
        </w:tabs>
        <w:spacing w:after="0"/>
        <w:jc w:val="center"/>
        <w:rPr>
          <w:rFonts w:ascii="Times New Roman" w:hAnsi="Times New Roman" w:cs="Times New Roman"/>
          <w:b/>
          <w:bCs/>
          <w:sz w:val="20"/>
          <w:szCs w:val="20"/>
        </w:rPr>
      </w:pPr>
      <w:r w:rsidRPr="0068369B">
        <w:rPr>
          <w:rFonts w:ascii="Times New Roman" w:hAnsi="Times New Roman" w:cs="Times New Roman"/>
          <w:b/>
          <w:bCs/>
          <w:sz w:val="20"/>
          <w:szCs w:val="20"/>
        </w:rPr>
        <w:t>Results and Discussion</w:t>
      </w:r>
    </w:p>
    <w:p w:rsidR="0068369B" w:rsidRPr="0068369B" w:rsidRDefault="0068369B" w:rsidP="0068369B">
      <w:pPr>
        <w:tabs>
          <w:tab w:val="left" w:pos="3030"/>
          <w:tab w:val="center" w:pos="4513"/>
        </w:tabs>
        <w:spacing w:after="0"/>
        <w:jc w:val="center"/>
        <w:rPr>
          <w:rFonts w:ascii="Times New Roman" w:hAnsi="Times New Roman" w:cs="Times New Roman"/>
          <w:b/>
          <w:bCs/>
          <w:sz w:val="20"/>
          <w:szCs w:val="20"/>
        </w:rPr>
      </w:pPr>
    </w:p>
    <w:p w:rsidR="003F42A9" w:rsidRPr="0068369B" w:rsidRDefault="006B6AFE" w:rsidP="0068369B">
      <w:pPr>
        <w:autoSpaceDE w:val="0"/>
        <w:autoSpaceDN w:val="0"/>
        <w:adjustRightInd w:val="0"/>
        <w:spacing w:after="0" w:line="240" w:lineRule="auto"/>
        <w:jc w:val="both"/>
        <w:rPr>
          <w:rFonts w:ascii="Times New Roman" w:hAnsi="Times New Roman" w:cs="Times New Roman"/>
          <w:b/>
          <w:bCs/>
          <w:sz w:val="20"/>
          <w:szCs w:val="20"/>
        </w:rPr>
      </w:pPr>
      <w:r w:rsidRPr="0068369B">
        <w:rPr>
          <w:rFonts w:ascii="Times New Roman" w:hAnsi="Times New Roman" w:cs="Times New Roman"/>
          <w:b/>
          <w:bCs/>
          <w:sz w:val="20"/>
          <w:szCs w:val="20"/>
        </w:rPr>
        <w:t>Optimization of chromatographic conditions</w:t>
      </w:r>
    </w:p>
    <w:p w:rsidR="0068369B" w:rsidRPr="0068369B" w:rsidRDefault="00CF380B" w:rsidP="0068369B">
      <w:pPr>
        <w:pStyle w:val="Default"/>
        <w:jc w:val="both"/>
        <w:rPr>
          <w:color w:val="auto"/>
        </w:rPr>
      </w:pPr>
      <w:r w:rsidRPr="0068369B">
        <w:rPr>
          <w:color w:val="auto"/>
          <w:sz w:val="20"/>
          <w:szCs w:val="20"/>
        </w:rPr>
        <w:t>T</w:t>
      </w:r>
      <w:r w:rsidR="0078620B" w:rsidRPr="0068369B">
        <w:rPr>
          <w:color w:val="auto"/>
          <w:sz w:val="20"/>
          <w:szCs w:val="20"/>
        </w:rPr>
        <w:t xml:space="preserve">he mobile phase conditions, such as the type and composition of the organic modifiers significantly affect the chromatographic separation, therefore before selecting the conditions for optimization, a number of preliminary trials were conducted with different combinations of different organic solvents and buffers at various pH, </w:t>
      </w:r>
      <w:r w:rsidRPr="0068369B">
        <w:rPr>
          <w:color w:val="auto"/>
          <w:sz w:val="20"/>
          <w:szCs w:val="20"/>
        </w:rPr>
        <w:t xml:space="preserve">mobile phase </w:t>
      </w:r>
      <w:r w:rsidR="0078620B" w:rsidRPr="0068369B">
        <w:rPr>
          <w:color w:val="auto"/>
          <w:sz w:val="20"/>
          <w:szCs w:val="20"/>
        </w:rPr>
        <w:t>compositions and flow rate to check the retention time, shape, resolution, and other chromatographic parameters</w:t>
      </w:r>
      <w:r w:rsidRPr="0068369B">
        <w:rPr>
          <w:color w:val="auto"/>
          <w:sz w:val="20"/>
          <w:szCs w:val="20"/>
        </w:rPr>
        <w:t>.</w:t>
      </w:r>
      <w:r w:rsidRPr="0068369B">
        <w:rPr>
          <w:b/>
          <w:bCs/>
          <w:color w:val="auto"/>
          <w:sz w:val="20"/>
          <w:szCs w:val="20"/>
        </w:rPr>
        <w:t xml:space="preserve"> </w:t>
      </w:r>
      <w:r w:rsidR="00B16059" w:rsidRPr="0068369B">
        <w:rPr>
          <w:color w:val="auto"/>
          <w:sz w:val="20"/>
          <w:szCs w:val="20"/>
        </w:rPr>
        <w:t>The chromatographic parameters we</w:t>
      </w:r>
      <w:r w:rsidR="006A5228" w:rsidRPr="0068369B">
        <w:rPr>
          <w:color w:val="auto"/>
          <w:sz w:val="20"/>
          <w:szCs w:val="20"/>
        </w:rPr>
        <w:t xml:space="preserve">re initially evaluated using a </w:t>
      </w:r>
      <w:proofErr w:type="spellStart"/>
      <w:r w:rsidR="006A5228" w:rsidRPr="0068369B">
        <w:rPr>
          <w:color w:val="auto"/>
          <w:sz w:val="20"/>
          <w:szCs w:val="20"/>
        </w:rPr>
        <w:t>inertsil</w:t>
      </w:r>
      <w:proofErr w:type="spellEnd"/>
      <w:r w:rsidR="006A5228" w:rsidRPr="0068369B">
        <w:rPr>
          <w:color w:val="auto"/>
          <w:sz w:val="20"/>
          <w:szCs w:val="20"/>
        </w:rPr>
        <w:t xml:space="preserve"> ODS</w:t>
      </w:r>
      <w:r w:rsidR="00B16059" w:rsidRPr="0068369B">
        <w:rPr>
          <w:color w:val="auto"/>
          <w:sz w:val="20"/>
          <w:szCs w:val="20"/>
        </w:rPr>
        <w:t xml:space="preserve"> </w:t>
      </w:r>
      <w:r w:rsidRPr="0068369B">
        <w:rPr>
          <w:color w:val="auto"/>
          <w:sz w:val="20"/>
          <w:szCs w:val="20"/>
        </w:rPr>
        <w:t xml:space="preserve">C18 </w:t>
      </w:r>
      <w:r w:rsidRPr="0068369B">
        <w:rPr>
          <w:color w:val="auto"/>
          <w:sz w:val="20"/>
          <w:szCs w:val="20"/>
        </w:rPr>
        <w:lastRenderedPageBreak/>
        <w:t>(</w:t>
      </w:r>
      <w:r w:rsidR="008E3B87" w:rsidRPr="0068369B">
        <w:rPr>
          <w:color w:val="auto"/>
          <w:sz w:val="20"/>
          <w:szCs w:val="20"/>
        </w:rPr>
        <w:t>150x4.6</w:t>
      </w:r>
      <w:r w:rsidR="006A5228" w:rsidRPr="0068369B">
        <w:rPr>
          <w:color w:val="auto"/>
          <w:sz w:val="20"/>
          <w:szCs w:val="20"/>
        </w:rPr>
        <w:t>; 5µ</w:t>
      </w:r>
      <w:r w:rsidR="008E3B87" w:rsidRPr="0068369B">
        <w:rPr>
          <w:color w:val="auto"/>
          <w:sz w:val="20"/>
          <w:szCs w:val="20"/>
        </w:rPr>
        <w:t>)</w:t>
      </w:r>
      <w:r w:rsidR="00B16059" w:rsidRPr="0068369B">
        <w:rPr>
          <w:color w:val="auto"/>
          <w:sz w:val="20"/>
          <w:szCs w:val="20"/>
        </w:rPr>
        <w:t xml:space="preserve"> column and a</w:t>
      </w:r>
      <w:r w:rsidR="008E3B87" w:rsidRPr="0068369B">
        <w:rPr>
          <w:color w:val="auto"/>
          <w:sz w:val="20"/>
          <w:szCs w:val="20"/>
        </w:rPr>
        <w:t xml:space="preserve"> </w:t>
      </w:r>
      <w:r w:rsidR="00A2391D" w:rsidRPr="0068369B">
        <w:rPr>
          <w:color w:val="auto"/>
          <w:sz w:val="20"/>
          <w:szCs w:val="20"/>
        </w:rPr>
        <w:t>mobile phase composed of a</w:t>
      </w:r>
      <w:r w:rsidR="00B16059" w:rsidRPr="0068369B">
        <w:rPr>
          <w:color w:val="auto"/>
          <w:sz w:val="20"/>
          <w:szCs w:val="20"/>
        </w:rPr>
        <w:t xml:space="preserve">cetonitrile and </w:t>
      </w:r>
      <w:r w:rsidR="00A2391D" w:rsidRPr="0068369B">
        <w:rPr>
          <w:color w:val="auto"/>
          <w:sz w:val="20"/>
          <w:szCs w:val="20"/>
        </w:rPr>
        <w:t>w</w:t>
      </w:r>
      <w:r w:rsidR="00960A2B" w:rsidRPr="0068369B">
        <w:rPr>
          <w:color w:val="auto"/>
          <w:sz w:val="20"/>
          <w:szCs w:val="20"/>
        </w:rPr>
        <w:t>ater (50:50)</w:t>
      </w:r>
      <w:r w:rsidRPr="0068369B">
        <w:rPr>
          <w:color w:val="auto"/>
          <w:sz w:val="20"/>
          <w:szCs w:val="20"/>
        </w:rPr>
        <w:t>,</w:t>
      </w:r>
      <w:r w:rsidR="00AB09DD" w:rsidRPr="0068369B">
        <w:rPr>
          <w:color w:val="auto"/>
          <w:sz w:val="20"/>
          <w:szCs w:val="20"/>
        </w:rPr>
        <w:t xml:space="preserve"> since no peaks were obtained for </w:t>
      </w:r>
      <w:r w:rsidR="00D253A1" w:rsidRPr="0068369B">
        <w:rPr>
          <w:color w:val="auto"/>
          <w:sz w:val="20"/>
          <w:szCs w:val="20"/>
        </w:rPr>
        <w:t xml:space="preserve">both </w:t>
      </w:r>
      <w:r w:rsidR="00AB09DD" w:rsidRPr="0068369B">
        <w:rPr>
          <w:color w:val="auto"/>
          <w:sz w:val="20"/>
          <w:szCs w:val="20"/>
        </w:rPr>
        <w:t>the drugs</w:t>
      </w:r>
      <w:r w:rsidR="00D253A1" w:rsidRPr="0068369B">
        <w:rPr>
          <w:color w:val="auto"/>
          <w:sz w:val="20"/>
          <w:szCs w:val="20"/>
        </w:rPr>
        <w:t xml:space="preserve">, </w:t>
      </w:r>
      <w:r w:rsidR="00AB09DD" w:rsidRPr="0068369B">
        <w:rPr>
          <w:color w:val="auto"/>
          <w:sz w:val="20"/>
          <w:szCs w:val="20"/>
        </w:rPr>
        <w:t>thus</w:t>
      </w:r>
      <w:r w:rsidR="00D253A1" w:rsidRPr="0068369B">
        <w:rPr>
          <w:color w:val="auto"/>
          <w:sz w:val="20"/>
          <w:szCs w:val="20"/>
        </w:rPr>
        <w:t xml:space="preserve"> water was replaced by </w:t>
      </w:r>
      <w:r w:rsidR="0039501B" w:rsidRPr="0068369B">
        <w:rPr>
          <w:color w:val="auto"/>
          <w:sz w:val="20"/>
          <w:szCs w:val="20"/>
        </w:rPr>
        <w:t xml:space="preserve">a </w:t>
      </w:r>
      <w:r w:rsidR="00D253A1" w:rsidRPr="0068369B">
        <w:rPr>
          <w:color w:val="auto"/>
          <w:sz w:val="20"/>
          <w:szCs w:val="20"/>
        </w:rPr>
        <w:t xml:space="preserve">tetra butyl ammonium hydrogen </w:t>
      </w:r>
      <w:proofErr w:type="spellStart"/>
      <w:r w:rsidR="00D253A1" w:rsidRPr="0068369B">
        <w:rPr>
          <w:color w:val="auto"/>
          <w:sz w:val="20"/>
          <w:szCs w:val="20"/>
        </w:rPr>
        <w:t>sulphate</w:t>
      </w:r>
      <w:proofErr w:type="spellEnd"/>
      <w:r w:rsidR="00D253A1" w:rsidRPr="0068369B">
        <w:rPr>
          <w:color w:val="auto"/>
          <w:sz w:val="20"/>
          <w:szCs w:val="20"/>
        </w:rPr>
        <w:t xml:space="preserve"> (0.01 M)</w:t>
      </w:r>
      <w:r w:rsidR="000D2DA0" w:rsidRPr="0068369B">
        <w:rPr>
          <w:color w:val="auto"/>
          <w:sz w:val="20"/>
          <w:szCs w:val="20"/>
        </w:rPr>
        <w:t>.</w:t>
      </w:r>
      <w:r w:rsidR="006A5228" w:rsidRPr="0068369B">
        <w:rPr>
          <w:color w:val="auto"/>
          <w:sz w:val="20"/>
          <w:szCs w:val="20"/>
        </w:rPr>
        <w:t xml:space="preserve"> M</w:t>
      </w:r>
      <w:r w:rsidR="000D2DA0" w:rsidRPr="0068369B">
        <w:rPr>
          <w:color w:val="auto"/>
          <w:sz w:val="20"/>
          <w:szCs w:val="20"/>
        </w:rPr>
        <w:t xml:space="preserve">ixture of acetonitrile and tetra butyl ammonium hydrogen </w:t>
      </w:r>
      <w:proofErr w:type="spellStart"/>
      <w:r w:rsidR="000D2DA0" w:rsidRPr="0068369B">
        <w:rPr>
          <w:color w:val="auto"/>
          <w:sz w:val="20"/>
          <w:szCs w:val="20"/>
        </w:rPr>
        <w:t>sulphate</w:t>
      </w:r>
      <w:proofErr w:type="spellEnd"/>
      <w:r w:rsidR="000D2DA0" w:rsidRPr="0068369B">
        <w:rPr>
          <w:color w:val="auto"/>
          <w:sz w:val="20"/>
          <w:szCs w:val="20"/>
        </w:rPr>
        <w:t xml:space="preserve"> buffer in</w:t>
      </w:r>
      <w:r w:rsidR="006A5228" w:rsidRPr="0068369B">
        <w:rPr>
          <w:color w:val="auto"/>
          <w:sz w:val="20"/>
          <w:szCs w:val="20"/>
        </w:rPr>
        <w:t xml:space="preserve"> different ratios (60:40, 70:30</w:t>
      </w:r>
      <w:r w:rsidR="000D2DA0" w:rsidRPr="0068369B">
        <w:rPr>
          <w:color w:val="auto"/>
          <w:sz w:val="20"/>
          <w:szCs w:val="20"/>
        </w:rPr>
        <w:t xml:space="preserve"> and 80:20) was</w:t>
      </w:r>
      <w:r w:rsidR="00D253A1" w:rsidRPr="0068369B">
        <w:rPr>
          <w:color w:val="auto"/>
          <w:sz w:val="20"/>
          <w:szCs w:val="20"/>
        </w:rPr>
        <w:t xml:space="preserve"> tried</w:t>
      </w:r>
      <w:r w:rsidR="000D2DA0" w:rsidRPr="0068369B">
        <w:rPr>
          <w:color w:val="auto"/>
          <w:sz w:val="20"/>
          <w:szCs w:val="20"/>
        </w:rPr>
        <w:t xml:space="preserve"> as mobile phase.</w:t>
      </w:r>
      <w:r w:rsidR="00960A2B" w:rsidRPr="0068369B">
        <w:rPr>
          <w:color w:val="auto"/>
          <w:sz w:val="20"/>
          <w:szCs w:val="20"/>
        </w:rPr>
        <w:t xml:space="preserve"> </w:t>
      </w:r>
      <w:r w:rsidR="006B6AFE" w:rsidRPr="0068369B">
        <w:rPr>
          <w:color w:val="auto"/>
          <w:sz w:val="20"/>
          <w:szCs w:val="20"/>
        </w:rPr>
        <w:t>From those experiments the</w:t>
      </w:r>
      <w:r w:rsidR="00A2391D" w:rsidRPr="0068369B">
        <w:rPr>
          <w:color w:val="auto"/>
          <w:sz w:val="20"/>
          <w:szCs w:val="20"/>
        </w:rPr>
        <w:t xml:space="preserve"> mobile phase combination of acetonitrile</w:t>
      </w:r>
      <w:r w:rsidR="006B6AFE" w:rsidRPr="0068369B">
        <w:rPr>
          <w:color w:val="auto"/>
          <w:sz w:val="20"/>
          <w:szCs w:val="20"/>
        </w:rPr>
        <w:t xml:space="preserve"> and </w:t>
      </w:r>
      <w:r w:rsidR="00B16059" w:rsidRPr="0068369B">
        <w:rPr>
          <w:color w:val="auto"/>
          <w:sz w:val="20"/>
          <w:szCs w:val="20"/>
        </w:rPr>
        <w:t xml:space="preserve">tetra butyl ammonium hydrogen </w:t>
      </w:r>
      <w:proofErr w:type="spellStart"/>
      <w:r w:rsidR="00B16059" w:rsidRPr="0068369B">
        <w:rPr>
          <w:color w:val="auto"/>
          <w:sz w:val="20"/>
          <w:szCs w:val="20"/>
        </w:rPr>
        <w:t>sulphate</w:t>
      </w:r>
      <w:proofErr w:type="spellEnd"/>
      <w:r w:rsidR="00B16059" w:rsidRPr="0068369B">
        <w:rPr>
          <w:color w:val="auto"/>
          <w:sz w:val="20"/>
          <w:szCs w:val="20"/>
        </w:rPr>
        <w:t xml:space="preserve"> </w:t>
      </w:r>
      <w:r w:rsidR="006B6AFE" w:rsidRPr="0068369B">
        <w:rPr>
          <w:color w:val="auto"/>
          <w:sz w:val="20"/>
          <w:szCs w:val="20"/>
        </w:rPr>
        <w:t xml:space="preserve">buffer in the </w:t>
      </w:r>
      <w:r w:rsidR="000D2DA0" w:rsidRPr="0068369B">
        <w:rPr>
          <w:color w:val="auto"/>
          <w:sz w:val="20"/>
          <w:szCs w:val="20"/>
        </w:rPr>
        <w:t xml:space="preserve">ratio of 80:20 </w:t>
      </w:r>
      <w:r w:rsidR="006B6AFE" w:rsidRPr="0068369B">
        <w:rPr>
          <w:color w:val="auto"/>
          <w:sz w:val="20"/>
          <w:szCs w:val="20"/>
        </w:rPr>
        <w:t xml:space="preserve">was found to be more </w:t>
      </w:r>
      <w:r w:rsidR="000D2DA0" w:rsidRPr="0068369B">
        <w:rPr>
          <w:color w:val="auto"/>
          <w:sz w:val="20"/>
          <w:szCs w:val="20"/>
        </w:rPr>
        <w:t>appropriate</w:t>
      </w:r>
      <w:r w:rsidR="006B6AFE" w:rsidRPr="0068369B">
        <w:rPr>
          <w:color w:val="auto"/>
          <w:sz w:val="20"/>
          <w:szCs w:val="20"/>
        </w:rPr>
        <w:t>.</w:t>
      </w:r>
      <w:r w:rsidR="00E8057B" w:rsidRPr="0068369B">
        <w:rPr>
          <w:color w:val="auto"/>
        </w:rPr>
        <w:t xml:space="preserve"> </w:t>
      </w:r>
    </w:p>
    <w:p w:rsidR="0068369B" w:rsidRPr="0068369B" w:rsidRDefault="0068369B" w:rsidP="0068369B">
      <w:pPr>
        <w:pStyle w:val="Default"/>
        <w:jc w:val="both"/>
        <w:rPr>
          <w:color w:val="auto"/>
        </w:rPr>
      </w:pPr>
    </w:p>
    <w:p w:rsidR="00E248D7" w:rsidRPr="0068369B" w:rsidRDefault="00E8057B" w:rsidP="0068369B">
      <w:pPr>
        <w:pStyle w:val="Default"/>
        <w:jc w:val="both"/>
        <w:rPr>
          <w:color w:val="auto"/>
          <w:sz w:val="20"/>
          <w:szCs w:val="20"/>
        </w:rPr>
      </w:pPr>
      <w:r w:rsidRPr="0068369B">
        <w:rPr>
          <w:color w:val="auto"/>
          <w:sz w:val="20"/>
          <w:szCs w:val="20"/>
        </w:rPr>
        <w:t xml:space="preserve">The retention time obtained for AT and LU is 4.19 and 5.22 respectively thus indicating the developed method is rapid compared to T.M </w:t>
      </w:r>
      <w:proofErr w:type="spellStart"/>
      <w:r w:rsidR="0091094B" w:rsidRPr="0068369B">
        <w:rPr>
          <w:color w:val="auto"/>
          <w:sz w:val="20"/>
          <w:szCs w:val="20"/>
        </w:rPr>
        <w:t>Kalyankar</w:t>
      </w:r>
      <w:proofErr w:type="spellEnd"/>
      <w:r w:rsidR="0091094B" w:rsidRPr="0068369B">
        <w:rPr>
          <w:color w:val="auto"/>
          <w:sz w:val="20"/>
          <w:szCs w:val="20"/>
        </w:rPr>
        <w:t xml:space="preserve"> </w:t>
      </w:r>
      <w:r w:rsidR="0091094B" w:rsidRPr="0068369B">
        <w:rPr>
          <w:i/>
          <w:color w:val="auto"/>
          <w:sz w:val="20"/>
          <w:szCs w:val="20"/>
        </w:rPr>
        <w:t>et al</w:t>
      </w:r>
      <w:r w:rsidRPr="0068369B">
        <w:rPr>
          <w:color w:val="auto"/>
          <w:sz w:val="20"/>
          <w:szCs w:val="20"/>
        </w:rPr>
        <w:t xml:space="preserve"> method having retention time </w:t>
      </w:r>
      <w:r w:rsidR="0091094B" w:rsidRPr="0068369B">
        <w:rPr>
          <w:color w:val="auto"/>
          <w:sz w:val="20"/>
          <w:szCs w:val="20"/>
        </w:rPr>
        <w:t>of</w:t>
      </w:r>
      <w:r w:rsidRPr="0068369B">
        <w:rPr>
          <w:color w:val="auto"/>
          <w:sz w:val="20"/>
          <w:szCs w:val="20"/>
        </w:rPr>
        <w:t xml:space="preserve"> 6.15 min and 11.31min, for AT and LU respectively</w:t>
      </w:r>
      <w:r w:rsidR="0091094B" w:rsidRPr="0068369B">
        <w:rPr>
          <w:color w:val="auto"/>
          <w:sz w:val="20"/>
          <w:szCs w:val="20"/>
        </w:rPr>
        <w:t xml:space="preserve"> [16], The retention times of </w:t>
      </w:r>
      <w:proofErr w:type="spellStart"/>
      <w:r w:rsidR="0091094B" w:rsidRPr="0068369B">
        <w:rPr>
          <w:color w:val="auto"/>
          <w:sz w:val="20"/>
          <w:szCs w:val="20"/>
        </w:rPr>
        <w:t>Artemether</w:t>
      </w:r>
      <w:proofErr w:type="spellEnd"/>
      <w:r w:rsidR="0091094B" w:rsidRPr="0068369B">
        <w:rPr>
          <w:color w:val="auto"/>
          <w:sz w:val="20"/>
          <w:szCs w:val="20"/>
        </w:rPr>
        <w:t xml:space="preserve"> and </w:t>
      </w:r>
      <w:proofErr w:type="spellStart"/>
      <w:r w:rsidR="0091094B" w:rsidRPr="0068369B">
        <w:rPr>
          <w:color w:val="auto"/>
          <w:sz w:val="20"/>
          <w:szCs w:val="20"/>
        </w:rPr>
        <w:t>Lumefantrine</w:t>
      </w:r>
      <w:proofErr w:type="spellEnd"/>
      <w:r w:rsidR="0091094B" w:rsidRPr="0068369B">
        <w:rPr>
          <w:color w:val="auto"/>
          <w:sz w:val="20"/>
          <w:szCs w:val="20"/>
        </w:rPr>
        <w:t xml:space="preserve"> were 13.888 min and 7.207 min respectively in Sridhar B. </w:t>
      </w:r>
      <w:r w:rsidR="0091094B" w:rsidRPr="0068369B">
        <w:rPr>
          <w:i/>
          <w:color w:val="auto"/>
          <w:sz w:val="20"/>
          <w:szCs w:val="20"/>
        </w:rPr>
        <w:t>et al</w:t>
      </w:r>
      <w:r w:rsidR="0091094B" w:rsidRPr="0068369B">
        <w:rPr>
          <w:color w:val="auto"/>
          <w:sz w:val="20"/>
          <w:szCs w:val="20"/>
        </w:rPr>
        <w:t xml:space="preserve"> method [17]. The retention times were 13.887 and 7.218 </w:t>
      </w:r>
      <w:proofErr w:type="spellStart"/>
      <w:r w:rsidR="0091094B" w:rsidRPr="0068369B">
        <w:rPr>
          <w:color w:val="auto"/>
          <w:sz w:val="20"/>
          <w:szCs w:val="20"/>
        </w:rPr>
        <w:t>mins</w:t>
      </w:r>
      <w:proofErr w:type="spellEnd"/>
      <w:r w:rsidR="0091094B" w:rsidRPr="0068369B">
        <w:rPr>
          <w:color w:val="auto"/>
          <w:sz w:val="20"/>
          <w:szCs w:val="20"/>
        </w:rPr>
        <w:t xml:space="preserve"> for </w:t>
      </w:r>
      <w:proofErr w:type="spellStart"/>
      <w:r w:rsidR="0091094B" w:rsidRPr="0068369B">
        <w:rPr>
          <w:color w:val="auto"/>
          <w:sz w:val="20"/>
          <w:szCs w:val="20"/>
        </w:rPr>
        <w:t>Artemether</w:t>
      </w:r>
      <w:proofErr w:type="spellEnd"/>
      <w:r w:rsidR="0091094B" w:rsidRPr="0068369B">
        <w:rPr>
          <w:color w:val="auto"/>
          <w:sz w:val="20"/>
          <w:szCs w:val="20"/>
        </w:rPr>
        <w:t xml:space="preserve"> and </w:t>
      </w:r>
      <w:proofErr w:type="spellStart"/>
      <w:r w:rsidR="0091094B" w:rsidRPr="0068369B">
        <w:rPr>
          <w:color w:val="auto"/>
          <w:sz w:val="20"/>
          <w:szCs w:val="20"/>
        </w:rPr>
        <w:t>Lumefantrine</w:t>
      </w:r>
      <w:proofErr w:type="spellEnd"/>
      <w:r w:rsidR="0091094B" w:rsidRPr="0068369B">
        <w:rPr>
          <w:color w:val="auto"/>
          <w:sz w:val="20"/>
          <w:szCs w:val="20"/>
        </w:rPr>
        <w:t xml:space="preserve">, respectively in Sunil J. </w:t>
      </w:r>
      <w:r w:rsidR="0091094B" w:rsidRPr="0068369B">
        <w:rPr>
          <w:i/>
          <w:color w:val="auto"/>
          <w:sz w:val="20"/>
          <w:szCs w:val="20"/>
        </w:rPr>
        <w:t>et al</w:t>
      </w:r>
      <w:r w:rsidR="0091094B" w:rsidRPr="0068369B">
        <w:rPr>
          <w:color w:val="auto"/>
          <w:sz w:val="20"/>
          <w:szCs w:val="20"/>
        </w:rPr>
        <w:t xml:space="preserve"> method [18].Thus proving the developed method to be more cost effective, rapid and </w:t>
      </w:r>
      <w:r w:rsidR="002D62E7" w:rsidRPr="0068369B">
        <w:rPr>
          <w:color w:val="auto"/>
          <w:sz w:val="20"/>
          <w:szCs w:val="20"/>
        </w:rPr>
        <w:t>precise.</w:t>
      </w:r>
      <w:r w:rsidR="0068369B" w:rsidRPr="0068369B">
        <w:rPr>
          <w:color w:val="auto"/>
          <w:sz w:val="20"/>
          <w:szCs w:val="20"/>
        </w:rPr>
        <w:t xml:space="preserve"> </w:t>
      </w:r>
      <w:r w:rsidR="00EF5688" w:rsidRPr="0068369B">
        <w:rPr>
          <w:color w:val="auto"/>
          <w:sz w:val="20"/>
          <w:szCs w:val="20"/>
        </w:rPr>
        <w:t xml:space="preserve">A typical chromatogram of </w:t>
      </w:r>
      <w:proofErr w:type="spellStart"/>
      <w:r w:rsidR="00EF5688" w:rsidRPr="0068369B">
        <w:rPr>
          <w:color w:val="auto"/>
          <w:sz w:val="20"/>
          <w:szCs w:val="20"/>
        </w:rPr>
        <w:t>Artemether</w:t>
      </w:r>
      <w:proofErr w:type="spellEnd"/>
      <w:r w:rsidR="00EF5688" w:rsidRPr="0068369B">
        <w:rPr>
          <w:color w:val="auto"/>
          <w:sz w:val="20"/>
          <w:szCs w:val="20"/>
        </w:rPr>
        <w:t xml:space="preserve"> and </w:t>
      </w:r>
      <w:proofErr w:type="spellStart"/>
      <w:r w:rsidR="00EF5688" w:rsidRPr="0068369B">
        <w:rPr>
          <w:color w:val="auto"/>
          <w:sz w:val="20"/>
          <w:szCs w:val="20"/>
        </w:rPr>
        <w:t>Lumefantrine</w:t>
      </w:r>
      <w:proofErr w:type="spellEnd"/>
      <w:r w:rsidR="00EF5688" w:rsidRPr="0068369B">
        <w:rPr>
          <w:color w:val="auto"/>
          <w:sz w:val="20"/>
          <w:szCs w:val="20"/>
        </w:rPr>
        <w:t xml:space="preserve"> is as shown in Figure 2</w:t>
      </w:r>
    </w:p>
    <w:p w:rsidR="00093E68" w:rsidRPr="0068369B" w:rsidRDefault="00093E68" w:rsidP="00CF380B">
      <w:pPr>
        <w:autoSpaceDE w:val="0"/>
        <w:autoSpaceDN w:val="0"/>
        <w:adjustRightInd w:val="0"/>
        <w:spacing w:after="0" w:line="480" w:lineRule="auto"/>
        <w:jc w:val="both"/>
        <w:rPr>
          <w:rFonts w:ascii="Times New Roman" w:hAnsi="Times New Roman" w:cs="Times New Roman"/>
          <w:b/>
          <w:bCs/>
          <w:sz w:val="20"/>
          <w:szCs w:val="20"/>
        </w:rPr>
      </w:pPr>
    </w:p>
    <w:p w:rsidR="00C366FE" w:rsidRPr="0068369B" w:rsidRDefault="0014787B" w:rsidP="0020164A">
      <w:pPr>
        <w:jc w:val="center"/>
        <w:rPr>
          <w:rFonts w:ascii="Times New Roman" w:hAnsi="Times New Roman" w:cs="Times New Roman"/>
          <w:sz w:val="18"/>
          <w:szCs w:val="18"/>
        </w:rPr>
      </w:pPr>
      <w:r w:rsidRPr="0068369B">
        <w:rPr>
          <w:rFonts w:ascii="Times New Roman" w:hAnsi="Times New Roman" w:cs="Times New Roman"/>
          <w:noProof/>
          <w:sz w:val="18"/>
          <w:szCs w:val="18"/>
          <w:lang w:eastAsia="zh-CN"/>
        </w:rPr>
        <w:drawing>
          <wp:inline distT="0" distB="0" distL="0" distR="0" wp14:anchorId="25A065E8" wp14:editId="15723FD6">
            <wp:extent cx="5726417" cy="3505200"/>
            <wp:effectExtent l="19050" t="0" r="763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32145" cy="3508706"/>
                    </a:xfrm>
                    <a:prstGeom prst="rect">
                      <a:avLst/>
                    </a:prstGeom>
                    <a:noFill/>
                    <a:ln w="9525">
                      <a:noFill/>
                      <a:miter lim="800000"/>
                      <a:headEnd/>
                      <a:tailEnd/>
                    </a:ln>
                  </pic:spPr>
                </pic:pic>
              </a:graphicData>
            </a:graphic>
          </wp:inline>
        </w:drawing>
      </w:r>
      <w:r w:rsidR="003F42A9" w:rsidRPr="0068369B">
        <w:rPr>
          <w:rFonts w:ascii="Times New Roman" w:hAnsi="Times New Roman" w:cs="Times New Roman"/>
          <w:sz w:val="18"/>
          <w:szCs w:val="18"/>
        </w:rPr>
        <w:t xml:space="preserve">Figure 2: </w:t>
      </w:r>
      <w:r w:rsidR="0024560C" w:rsidRPr="0068369B">
        <w:rPr>
          <w:rFonts w:ascii="Times New Roman" w:hAnsi="Times New Roman" w:cs="Times New Roman"/>
          <w:sz w:val="18"/>
          <w:szCs w:val="18"/>
        </w:rPr>
        <w:t xml:space="preserve">A typical chromatogram of </w:t>
      </w:r>
      <w:proofErr w:type="spellStart"/>
      <w:r w:rsidR="0024560C" w:rsidRPr="0068369B">
        <w:rPr>
          <w:rFonts w:ascii="Times New Roman" w:hAnsi="Times New Roman" w:cs="Times New Roman"/>
          <w:sz w:val="18"/>
          <w:szCs w:val="18"/>
        </w:rPr>
        <w:t>Artemether</w:t>
      </w:r>
      <w:proofErr w:type="spellEnd"/>
      <w:r w:rsidR="0024560C" w:rsidRPr="0068369B">
        <w:rPr>
          <w:rFonts w:ascii="Times New Roman" w:hAnsi="Times New Roman" w:cs="Times New Roman"/>
          <w:sz w:val="18"/>
          <w:szCs w:val="18"/>
        </w:rPr>
        <w:t xml:space="preserve"> and </w:t>
      </w:r>
      <w:proofErr w:type="spellStart"/>
      <w:r w:rsidR="0024560C" w:rsidRPr="0068369B">
        <w:rPr>
          <w:rFonts w:ascii="Times New Roman" w:hAnsi="Times New Roman" w:cs="Times New Roman"/>
          <w:sz w:val="18"/>
          <w:szCs w:val="18"/>
        </w:rPr>
        <w:t>Lumefantrine</w:t>
      </w:r>
      <w:proofErr w:type="spellEnd"/>
    </w:p>
    <w:p w:rsidR="00327930" w:rsidRPr="0068369B" w:rsidRDefault="00327930" w:rsidP="0020164A">
      <w:pPr>
        <w:jc w:val="center"/>
        <w:rPr>
          <w:rFonts w:ascii="Times New Roman" w:hAnsi="Times New Roman" w:cs="Times New Roman"/>
          <w:sz w:val="18"/>
          <w:szCs w:val="18"/>
        </w:rPr>
      </w:pPr>
    </w:p>
    <w:p w:rsidR="009740F0" w:rsidRPr="0068369B" w:rsidRDefault="0024560C" w:rsidP="0057101D">
      <w:pPr>
        <w:spacing w:after="0" w:line="240" w:lineRule="auto"/>
        <w:rPr>
          <w:rFonts w:ascii="Times New Roman" w:hAnsi="Times New Roman" w:cs="Times New Roman"/>
          <w:b/>
          <w:sz w:val="20"/>
          <w:szCs w:val="20"/>
        </w:rPr>
      </w:pPr>
      <w:r w:rsidRPr="0068369B">
        <w:rPr>
          <w:rFonts w:ascii="Times New Roman" w:hAnsi="Times New Roman" w:cs="Times New Roman"/>
          <w:b/>
          <w:sz w:val="18"/>
          <w:szCs w:val="18"/>
        </w:rPr>
        <w:t>Method Validation</w:t>
      </w:r>
    </w:p>
    <w:p w:rsidR="0057101D" w:rsidRDefault="00AD19B2" w:rsidP="0057101D">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hAnsi="Times New Roman" w:cs="Times New Roman"/>
          <w:sz w:val="20"/>
          <w:szCs w:val="20"/>
        </w:rPr>
        <w:t>Once the chromatographic method was developed and optimized, it must be validated</w:t>
      </w:r>
      <w:r w:rsidR="009740F0" w:rsidRPr="0068369B">
        <w:rPr>
          <w:rFonts w:ascii="Times New Roman" w:hAnsi="Times New Roman" w:cs="Times New Roman"/>
          <w:sz w:val="20"/>
          <w:szCs w:val="20"/>
        </w:rPr>
        <w:t xml:space="preserve">. </w:t>
      </w:r>
      <w:r w:rsidR="00054563" w:rsidRPr="0068369B">
        <w:rPr>
          <w:rFonts w:ascii="Times New Roman" w:hAnsi="Times New Roman" w:cs="Times New Roman"/>
          <w:sz w:val="20"/>
          <w:szCs w:val="20"/>
        </w:rPr>
        <w:t>After optimization of the chromatographic con</w:t>
      </w:r>
      <w:r w:rsidR="00054563" w:rsidRPr="0068369B">
        <w:rPr>
          <w:rFonts w:ascii="Times New Roman" w:hAnsi="Times New Roman" w:cs="Times New Roman"/>
          <w:sz w:val="20"/>
          <w:szCs w:val="20"/>
        </w:rPr>
        <w:softHyphen/>
        <w:t xml:space="preserve">ditions, the parameters of </w:t>
      </w:r>
      <w:r w:rsidR="00C06908" w:rsidRPr="0068369B">
        <w:rPr>
          <w:rFonts w:ascii="Times New Roman" w:hAnsi="Times New Roman" w:cs="Times New Roman"/>
          <w:sz w:val="20"/>
          <w:szCs w:val="20"/>
        </w:rPr>
        <w:t>linearity, precision, accuracy, ruggedness</w:t>
      </w:r>
      <w:r w:rsidR="00054563" w:rsidRPr="0068369B">
        <w:rPr>
          <w:rFonts w:ascii="Times New Roman" w:hAnsi="Times New Roman" w:cs="Times New Roman"/>
          <w:sz w:val="20"/>
          <w:szCs w:val="20"/>
        </w:rPr>
        <w:t>,</w:t>
      </w:r>
      <w:r w:rsidR="00C06908" w:rsidRPr="0068369B">
        <w:rPr>
          <w:rFonts w:ascii="Times New Roman" w:hAnsi="Times New Roman" w:cs="Times New Roman"/>
          <w:sz w:val="20"/>
          <w:szCs w:val="20"/>
        </w:rPr>
        <w:t xml:space="preserve"> </w:t>
      </w:r>
      <w:proofErr w:type="gramStart"/>
      <w:r w:rsidR="00C06908" w:rsidRPr="0068369B">
        <w:rPr>
          <w:rFonts w:ascii="Times New Roman" w:hAnsi="Times New Roman" w:cs="Times New Roman"/>
          <w:sz w:val="20"/>
          <w:szCs w:val="20"/>
        </w:rPr>
        <w:t>robustness</w:t>
      </w:r>
      <w:proofErr w:type="gramEnd"/>
      <w:r w:rsidR="00C06908" w:rsidRPr="0068369B">
        <w:rPr>
          <w:rFonts w:ascii="Times New Roman" w:hAnsi="Times New Roman" w:cs="Times New Roman"/>
          <w:sz w:val="20"/>
          <w:szCs w:val="20"/>
        </w:rPr>
        <w:t>,</w:t>
      </w:r>
      <w:r w:rsidR="00054563" w:rsidRPr="0068369B">
        <w:rPr>
          <w:rFonts w:ascii="Times New Roman" w:hAnsi="Times New Roman" w:cs="Times New Roman"/>
          <w:sz w:val="20"/>
          <w:szCs w:val="20"/>
        </w:rPr>
        <w:t xml:space="preserve"> limit of detec</w:t>
      </w:r>
      <w:r w:rsidR="00054563" w:rsidRPr="0068369B">
        <w:rPr>
          <w:rFonts w:ascii="Times New Roman" w:hAnsi="Times New Roman" w:cs="Times New Roman"/>
          <w:sz w:val="20"/>
          <w:szCs w:val="20"/>
        </w:rPr>
        <w:softHyphen/>
        <w:t>tion and limit of quantitation were evaluated to validate the process</w:t>
      </w:r>
      <w:r w:rsidR="009740F0" w:rsidRPr="0068369B">
        <w:rPr>
          <w:rFonts w:ascii="Times New Roman" w:hAnsi="Times New Roman" w:cs="Times New Roman"/>
          <w:sz w:val="20"/>
          <w:szCs w:val="20"/>
        </w:rPr>
        <w:t xml:space="preserve">. </w:t>
      </w:r>
      <w:r w:rsidRPr="0068369B">
        <w:rPr>
          <w:rFonts w:ascii="Times New Roman" w:hAnsi="Times New Roman" w:cs="Times New Roman"/>
          <w:sz w:val="20"/>
          <w:szCs w:val="20"/>
        </w:rPr>
        <w:t>The</w:t>
      </w:r>
      <w:r w:rsidR="00054563" w:rsidRPr="0068369B">
        <w:rPr>
          <w:rFonts w:ascii="Times New Roman" w:hAnsi="Times New Roman" w:cs="Times New Roman"/>
          <w:sz w:val="20"/>
          <w:szCs w:val="20"/>
        </w:rPr>
        <w:t xml:space="preserve"> </w:t>
      </w:r>
      <w:r w:rsidRPr="0068369B">
        <w:rPr>
          <w:rFonts w:ascii="Times New Roman" w:hAnsi="Times New Roman" w:cs="Times New Roman"/>
          <w:sz w:val="20"/>
          <w:szCs w:val="20"/>
        </w:rPr>
        <w:t>validation of an anal</w:t>
      </w:r>
      <w:r w:rsidR="00054563" w:rsidRPr="0068369B">
        <w:rPr>
          <w:rFonts w:ascii="Times New Roman" w:hAnsi="Times New Roman" w:cs="Times New Roman"/>
          <w:sz w:val="20"/>
          <w:szCs w:val="20"/>
        </w:rPr>
        <w:t xml:space="preserve">ytical method verifies that the </w:t>
      </w:r>
      <w:r w:rsidRPr="0068369B">
        <w:rPr>
          <w:rFonts w:ascii="Times New Roman" w:hAnsi="Times New Roman" w:cs="Times New Roman"/>
          <w:sz w:val="20"/>
          <w:szCs w:val="20"/>
        </w:rPr>
        <w:t>characteristics of the method satisfy the</w:t>
      </w:r>
      <w:r w:rsidR="00054563" w:rsidRPr="0068369B">
        <w:rPr>
          <w:rFonts w:ascii="Times New Roman" w:hAnsi="Times New Roman" w:cs="Times New Roman"/>
          <w:sz w:val="20"/>
          <w:szCs w:val="20"/>
        </w:rPr>
        <w:t xml:space="preserve"> </w:t>
      </w:r>
      <w:r w:rsidRPr="0068369B">
        <w:rPr>
          <w:rFonts w:ascii="Times New Roman" w:hAnsi="Times New Roman" w:cs="Times New Roman"/>
          <w:sz w:val="20"/>
          <w:szCs w:val="20"/>
        </w:rPr>
        <w:t xml:space="preserve">requirements of the application domain. The proposed method was validated </w:t>
      </w:r>
      <w:r w:rsidR="00054563" w:rsidRPr="0068369B">
        <w:rPr>
          <w:rFonts w:ascii="Times New Roman" w:hAnsi="Times New Roman" w:cs="Times New Roman"/>
          <w:sz w:val="20"/>
          <w:szCs w:val="20"/>
        </w:rPr>
        <w:t>as per</w:t>
      </w:r>
      <w:r w:rsidRPr="0068369B">
        <w:rPr>
          <w:rFonts w:ascii="Times New Roman" w:hAnsi="Times New Roman" w:cs="Times New Roman"/>
          <w:sz w:val="20"/>
          <w:szCs w:val="20"/>
        </w:rPr>
        <w:t xml:space="preserve"> IC</w:t>
      </w:r>
      <w:r w:rsidR="00054563" w:rsidRPr="0068369B">
        <w:rPr>
          <w:rFonts w:ascii="Times New Roman" w:hAnsi="Times New Roman" w:cs="Times New Roman"/>
          <w:sz w:val="20"/>
          <w:szCs w:val="20"/>
        </w:rPr>
        <w:t>H Guidelines</w:t>
      </w:r>
      <w:r w:rsidR="00EF5688" w:rsidRPr="0068369B">
        <w:rPr>
          <w:rFonts w:ascii="Times New Roman" w:hAnsi="Times New Roman" w:cs="Times New Roman"/>
          <w:sz w:val="20"/>
          <w:szCs w:val="20"/>
        </w:rPr>
        <w:t xml:space="preserve"> </w:t>
      </w:r>
      <w:r w:rsidR="007110B6" w:rsidRPr="0068369B">
        <w:rPr>
          <w:rFonts w:ascii="Times New Roman" w:hAnsi="Times New Roman" w:cs="Times New Roman"/>
          <w:sz w:val="20"/>
          <w:szCs w:val="20"/>
        </w:rPr>
        <w:t>[19</w:t>
      </w:r>
      <w:r w:rsidR="00C366FE" w:rsidRPr="0068369B">
        <w:rPr>
          <w:rFonts w:ascii="Times New Roman" w:hAnsi="Times New Roman" w:cs="Times New Roman"/>
          <w:sz w:val="20"/>
          <w:szCs w:val="20"/>
        </w:rPr>
        <w:t>]</w:t>
      </w:r>
      <w:r w:rsidR="0039501B" w:rsidRPr="0068369B">
        <w:rPr>
          <w:rFonts w:ascii="Times New Roman" w:hAnsi="Times New Roman" w:cs="Times New Roman"/>
          <w:sz w:val="20"/>
          <w:szCs w:val="20"/>
        </w:rPr>
        <w:t>.</w:t>
      </w:r>
    </w:p>
    <w:p w:rsidR="0057101D" w:rsidRDefault="0057101D" w:rsidP="0057101D">
      <w:pPr>
        <w:autoSpaceDE w:val="0"/>
        <w:autoSpaceDN w:val="0"/>
        <w:adjustRightInd w:val="0"/>
        <w:spacing w:after="0" w:line="240" w:lineRule="auto"/>
        <w:jc w:val="both"/>
        <w:rPr>
          <w:rFonts w:ascii="Times New Roman" w:hAnsi="Times New Roman" w:cs="Times New Roman"/>
          <w:sz w:val="20"/>
          <w:szCs w:val="20"/>
        </w:rPr>
      </w:pPr>
    </w:p>
    <w:p w:rsidR="0057101D" w:rsidRDefault="00875ECB" w:rsidP="0057101D">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hAnsi="Times New Roman" w:cs="Times New Roman"/>
          <w:b/>
          <w:sz w:val="20"/>
          <w:szCs w:val="20"/>
        </w:rPr>
        <w:t>System suitability</w:t>
      </w:r>
    </w:p>
    <w:p w:rsidR="00EF5688" w:rsidRPr="0068369B" w:rsidRDefault="004724E6" w:rsidP="0057101D">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eastAsia="Times New Roman" w:hAnsi="Times New Roman" w:cs="Times New Roman"/>
          <w:bCs/>
          <w:sz w:val="20"/>
          <w:szCs w:val="20"/>
        </w:rPr>
        <w:t>System suitability</w:t>
      </w:r>
      <w:r w:rsidR="005F0FA6" w:rsidRPr="0068369B">
        <w:rPr>
          <w:rFonts w:ascii="Times New Roman" w:eastAsia="Times New Roman" w:hAnsi="Times New Roman" w:cs="Times New Roman"/>
          <w:bCs/>
          <w:sz w:val="20"/>
          <w:szCs w:val="20"/>
        </w:rPr>
        <w:t xml:space="preserve"> tests are an integral part of chromatographic method. They were used </w:t>
      </w:r>
      <w:r w:rsidR="009C0D44" w:rsidRPr="0068369B">
        <w:rPr>
          <w:rFonts w:ascii="Times New Roman" w:eastAsia="Times New Roman" w:hAnsi="Times New Roman" w:cs="Times New Roman"/>
          <w:bCs/>
          <w:sz w:val="20"/>
          <w:szCs w:val="20"/>
        </w:rPr>
        <w:t xml:space="preserve">to </w:t>
      </w:r>
      <w:r w:rsidR="00A2391D" w:rsidRPr="0068369B">
        <w:rPr>
          <w:rFonts w:ascii="Times New Roman" w:eastAsia="Times New Roman" w:hAnsi="Times New Roman" w:cs="Times New Roman"/>
          <w:bCs/>
          <w:sz w:val="20"/>
          <w:szCs w:val="20"/>
        </w:rPr>
        <w:t xml:space="preserve">verify </w:t>
      </w:r>
      <w:r w:rsidR="005F0FA6" w:rsidRPr="0068369B">
        <w:rPr>
          <w:rFonts w:ascii="Times New Roman" w:eastAsia="Times New Roman" w:hAnsi="Times New Roman" w:cs="Times New Roman"/>
          <w:bCs/>
          <w:sz w:val="20"/>
          <w:szCs w:val="20"/>
        </w:rPr>
        <w:t>the</w:t>
      </w:r>
      <w:r w:rsidR="00CD535C" w:rsidRPr="0068369B">
        <w:rPr>
          <w:rFonts w:ascii="Times New Roman" w:eastAsia="Times New Roman" w:hAnsi="Times New Roman" w:cs="Times New Roman"/>
          <w:bCs/>
          <w:sz w:val="20"/>
          <w:szCs w:val="20"/>
        </w:rPr>
        <w:t xml:space="preserve"> adequate</w:t>
      </w:r>
      <w:r w:rsidR="005F0FA6" w:rsidRPr="0068369B">
        <w:rPr>
          <w:rFonts w:ascii="Times New Roman" w:eastAsia="Times New Roman" w:hAnsi="Times New Roman" w:cs="Times New Roman"/>
          <w:bCs/>
          <w:sz w:val="20"/>
          <w:szCs w:val="20"/>
        </w:rPr>
        <w:t xml:space="preserve"> </w:t>
      </w:r>
      <w:r w:rsidRPr="0068369B">
        <w:rPr>
          <w:rFonts w:ascii="Times New Roman" w:eastAsia="Times New Roman" w:hAnsi="Times New Roman" w:cs="Times New Roman"/>
          <w:bCs/>
          <w:sz w:val="20"/>
          <w:szCs w:val="20"/>
        </w:rPr>
        <w:t>reproducibility</w:t>
      </w:r>
      <w:r w:rsidR="00CD535C" w:rsidRPr="0068369B">
        <w:rPr>
          <w:rFonts w:ascii="Times New Roman" w:eastAsia="Times New Roman" w:hAnsi="Times New Roman" w:cs="Times New Roman"/>
          <w:bCs/>
          <w:sz w:val="20"/>
          <w:szCs w:val="20"/>
        </w:rPr>
        <w:t xml:space="preserve"> of chromatographic system </w:t>
      </w:r>
      <w:r w:rsidR="005F0FA6" w:rsidRPr="0068369B">
        <w:rPr>
          <w:rFonts w:ascii="Times New Roman" w:eastAsia="Times New Roman" w:hAnsi="Times New Roman" w:cs="Times New Roman"/>
          <w:bCs/>
          <w:sz w:val="20"/>
          <w:szCs w:val="20"/>
        </w:rPr>
        <w:t xml:space="preserve">for analysis. </w:t>
      </w:r>
      <w:r w:rsidR="00CD535C" w:rsidRPr="0068369B">
        <w:rPr>
          <w:rFonts w:ascii="Times New Roman" w:hAnsi="Times New Roman" w:cs="Times New Roman"/>
          <w:sz w:val="20"/>
          <w:szCs w:val="20"/>
        </w:rPr>
        <w:t xml:space="preserve">To ascertain its effectiveness, system suitability tests were carried out on freshly prepared standard stock solution of </w:t>
      </w:r>
      <w:proofErr w:type="spellStart"/>
      <w:r w:rsidR="00CD535C" w:rsidRPr="0068369B">
        <w:rPr>
          <w:rFonts w:ascii="Times New Roman" w:hAnsi="Times New Roman" w:cs="Times New Roman"/>
          <w:sz w:val="20"/>
          <w:szCs w:val="20"/>
        </w:rPr>
        <w:t>Artemether</w:t>
      </w:r>
      <w:proofErr w:type="spellEnd"/>
      <w:r w:rsidR="00CD535C" w:rsidRPr="0068369B">
        <w:rPr>
          <w:rFonts w:ascii="Times New Roman" w:hAnsi="Times New Roman" w:cs="Times New Roman"/>
          <w:sz w:val="20"/>
          <w:szCs w:val="20"/>
        </w:rPr>
        <w:t xml:space="preserve"> and </w:t>
      </w:r>
      <w:proofErr w:type="spellStart"/>
      <w:r w:rsidR="00CD535C" w:rsidRPr="0068369B">
        <w:rPr>
          <w:rFonts w:ascii="Times New Roman" w:hAnsi="Times New Roman" w:cs="Times New Roman"/>
          <w:sz w:val="20"/>
          <w:szCs w:val="20"/>
        </w:rPr>
        <w:t>Lumefantrine</w:t>
      </w:r>
      <w:proofErr w:type="spellEnd"/>
      <w:r w:rsidR="00CD535C" w:rsidRPr="0068369B">
        <w:rPr>
          <w:rFonts w:ascii="Times New Roman" w:eastAsia="Times New Roman" w:hAnsi="Times New Roman" w:cs="Times New Roman"/>
          <w:bCs/>
          <w:sz w:val="20"/>
          <w:szCs w:val="20"/>
        </w:rPr>
        <w:t xml:space="preserve"> </w:t>
      </w:r>
      <w:r w:rsidR="004168F0" w:rsidRPr="0068369B">
        <w:rPr>
          <w:rFonts w:ascii="Times New Roman" w:hAnsi="Times New Roman" w:cs="Times New Roman"/>
          <w:sz w:val="20"/>
          <w:szCs w:val="20"/>
        </w:rPr>
        <w:t xml:space="preserve">and the </w:t>
      </w:r>
      <w:r w:rsidRPr="0068369B">
        <w:rPr>
          <w:rFonts w:ascii="Times New Roman" w:hAnsi="Times New Roman" w:cs="Times New Roman"/>
          <w:sz w:val="20"/>
          <w:szCs w:val="20"/>
        </w:rPr>
        <w:t>parameters like</w:t>
      </w:r>
      <w:r w:rsidR="004168F0" w:rsidRPr="0068369B">
        <w:rPr>
          <w:rFonts w:ascii="Times New Roman" w:hAnsi="Times New Roman" w:cs="Times New Roman"/>
          <w:sz w:val="20"/>
          <w:szCs w:val="20"/>
        </w:rPr>
        <w:t xml:space="preserve"> column efficiency, resolution, </w:t>
      </w:r>
      <w:r w:rsidRPr="0068369B">
        <w:rPr>
          <w:rFonts w:ascii="Times New Roman" w:hAnsi="Times New Roman" w:cs="Times New Roman"/>
          <w:sz w:val="20"/>
          <w:szCs w:val="20"/>
        </w:rPr>
        <w:t xml:space="preserve">peak area </w:t>
      </w:r>
      <w:r w:rsidR="004168F0" w:rsidRPr="0068369B">
        <w:rPr>
          <w:rFonts w:ascii="Times New Roman" w:hAnsi="Times New Roman" w:cs="Times New Roman"/>
          <w:sz w:val="20"/>
          <w:szCs w:val="20"/>
        </w:rPr>
        <w:t xml:space="preserve">and tailing factor of the peaks </w:t>
      </w:r>
      <w:r w:rsidRPr="0068369B">
        <w:rPr>
          <w:rFonts w:ascii="Times New Roman" w:hAnsi="Times New Roman" w:cs="Times New Roman"/>
          <w:sz w:val="20"/>
          <w:szCs w:val="20"/>
        </w:rPr>
        <w:t>were calculated. For all</w:t>
      </w:r>
      <w:r w:rsidR="000B632A" w:rsidRPr="0068369B">
        <w:rPr>
          <w:rFonts w:ascii="Times New Roman" w:hAnsi="Times New Roman" w:cs="Times New Roman"/>
          <w:sz w:val="20"/>
          <w:szCs w:val="20"/>
        </w:rPr>
        <w:t xml:space="preserve"> the</w:t>
      </w:r>
      <w:r w:rsidRPr="0068369B">
        <w:rPr>
          <w:rFonts w:ascii="Times New Roman" w:hAnsi="Times New Roman" w:cs="Times New Roman"/>
          <w:sz w:val="20"/>
          <w:szCs w:val="20"/>
        </w:rPr>
        <w:t xml:space="preserve"> sample</w:t>
      </w:r>
      <w:r w:rsidR="000B632A" w:rsidRPr="0068369B">
        <w:rPr>
          <w:rFonts w:ascii="Times New Roman" w:hAnsi="Times New Roman" w:cs="Times New Roman"/>
          <w:sz w:val="20"/>
          <w:szCs w:val="20"/>
        </w:rPr>
        <w:t>s</w:t>
      </w:r>
      <w:r w:rsidRPr="0068369B">
        <w:rPr>
          <w:rFonts w:ascii="Times New Roman" w:hAnsi="Times New Roman" w:cs="Times New Roman"/>
          <w:sz w:val="20"/>
          <w:szCs w:val="20"/>
        </w:rPr>
        <w:t xml:space="preserve"> </w:t>
      </w:r>
      <w:r w:rsidR="00265C53" w:rsidRPr="0068369B">
        <w:rPr>
          <w:rFonts w:ascii="Times New Roman" w:hAnsi="Times New Roman" w:cs="Times New Roman"/>
          <w:sz w:val="20"/>
          <w:szCs w:val="20"/>
        </w:rPr>
        <w:t>analyzed</w:t>
      </w:r>
      <w:r w:rsidRPr="0068369B">
        <w:rPr>
          <w:rFonts w:ascii="Times New Roman" w:hAnsi="Times New Roman" w:cs="Times New Roman"/>
          <w:sz w:val="20"/>
          <w:szCs w:val="20"/>
        </w:rPr>
        <w:t>, the efficiency, %RSD and USP tailing factor were found</w:t>
      </w:r>
      <w:r w:rsidR="000B632A" w:rsidRPr="0068369B">
        <w:rPr>
          <w:rFonts w:ascii="Times New Roman" w:hAnsi="Times New Roman" w:cs="Times New Roman"/>
          <w:sz w:val="20"/>
          <w:szCs w:val="20"/>
        </w:rPr>
        <w:t xml:space="preserve"> to be</w:t>
      </w:r>
      <w:r w:rsidRPr="0068369B">
        <w:rPr>
          <w:rFonts w:ascii="Times New Roman" w:hAnsi="Times New Roman" w:cs="Times New Roman"/>
          <w:sz w:val="20"/>
          <w:szCs w:val="20"/>
        </w:rPr>
        <w:t xml:space="preserve"> ≥ 2000 theoretical plate</w:t>
      </w:r>
      <w:r w:rsidR="00265C53" w:rsidRPr="0068369B">
        <w:rPr>
          <w:rFonts w:ascii="Times New Roman" w:hAnsi="Times New Roman" w:cs="Times New Roman"/>
          <w:sz w:val="20"/>
          <w:szCs w:val="20"/>
        </w:rPr>
        <w:t>s</w:t>
      </w:r>
      <w:r w:rsidRPr="0068369B">
        <w:rPr>
          <w:rFonts w:ascii="Times New Roman" w:hAnsi="Times New Roman" w:cs="Times New Roman"/>
          <w:sz w:val="20"/>
          <w:szCs w:val="20"/>
        </w:rPr>
        <w:t xml:space="preserve">, ≤ 2% and ≤ 2 respectively.  </w:t>
      </w:r>
      <w:r w:rsidR="00EF5688" w:rsidRPr="0068369B">
        <w:rPr>
          <w:rFonts w:ascii="Times New Roman" w:hAnsi="Times New Roman" w:cs="Times New Roman"/>
          <w:sz w:val="20"/>
          <w:szCs w:val="20"/>
        </w:rPr>
        <w:t xml:space="preserve">System suitability test results are as shown in </w:t>
      </w:r>
      <w:r w:rsidR="00EF5688" w:rsidRPr="0068369B">
        <w:rPr>
          <w:rFonts w:ascii="Times New Roman" w:hAnsi="Times New Roman" w:cs="Times New Roman"/>
          <w:bCs/>
          <w:sz w:val="20"/>
          <w:szCs w:val="20"/>
        </w:rPr>
        <w:t>Table 1.</w:t>
      </w:r>
    </w:p>
    <w:p w:rsidR="00BD7187" w:rsidRPr="0068369B" w:rsidRDefault="00BD7187" w:rsidP="00EF5688">
      <w:pPr>
        <w:autoSpaceDE w:val="0"/>
        <w:autoSpaceDN w:val="0"/>
        <w:adjustRightInd w:val="0"/>
        <w:spacing w:after="0" w:line="480" w:lineRule="auto"/>
        <w:jc w:val="center"/>
        <w:rPr>
          <w:rFonts w:ascii="Times New Roman" w:hAnsi="Times New Roman" w:cs="Times New Roman"/>
          <w:bCs/>
          <w:sz w:val="20"/>
          <w:szCs w:val="20"/>
        </w:rPr>
      </w:pPr>
    </w:p>
    <w:p w:rsidR="00327930" w:rsidRPr="0068369B" w:rsidRDefault="00EF5688" w:rsidP="00EF5688">
      <w:pPr>
        <w:autoSpaceDE w:val="0"/>
        <w:autoSpaceDN w:val="0"/>
        <w:adjustRightInd w:val="0"/>
        <w:spacing w:after="0" w:line="480" w:lineRule="auto"/>
        <w:jc w:val="center"/>
        <w:rPr>
          <w:rFonts w:ascii="Times New Roman" w:hAnsi="Times New Roman" w:cs="Times New Roman"/>
          <w:sz w:val="20"/>
          <w:szCs w:val="20"/>
        </w:rPr>
      </w:pPr>
      <w:r w:rsidRPr="0068369B">
        <w:rPr>
          <w:rFonts w:ascii="Times New Roman" w:hAnsi="Times New Roman" w:cs="Times New Roman"/>
          <w:bCs/>
          <w:sz w:val="20"/>
          <w:szCs w:val="20"/>
        </w:rPr>
        <w:lastRenderedPageBreak/>
        <w:t>Table 1</w:t>
      </w:r>
      <w:r w:rsidR="00FF78DF" w:rsidRPr="0068369B">
        <w:rPr>
          <w:rFonts w:ascii="Times New Roman" w:hAnsi="Times New Roman" w:cs="Times New Roman"/>
          <w:sz w:val="20"/>
          <w:szCs w:val="20"/>
        </w:rPr>
        <w:t xml:space="preserve">: System suitability test for </w:t>
      </w:r>
      <w:proofErr w:type="spellStart"/>
      <w:r w:rsidR="00FF78DF" w:rsidRPr="0068369B">
        <w:rPr>
          <w:rFonts w:ascii="Times New Roman" w:hAnsi="Times New Roman" w:cs="Times New Roman"/>
          <w:sz w:val="20"/>
          <w:szCs w:val="20"/>
        </w:rPr>
        <w:t>Artemether</w:t>
      </w:r>
      <w:proofErr w:type="spellEnd"/>
      <w:r w:rsidR="00FF78DF" w:rsidRPr="0068369B">
        <w:rPr>
          <w:rFonts w:ascii="Times New Roman" w:hAnsi="Times New Roman" w:cs="Times New Roman"/>
          <w:sz w:val="20"/>
          <w:szCs w:val="20"/>
        </w:rPr>
        <w:t xml:space="preserve"> and </w:t>
      </w:r>
      <w:proofErr w:type="spellStart"/>
      <w:r w:rsidR="00FF78DF" w:rsidRPr="0068369B">
        <w:rPr>
          <w:rFonts w:ascii="Times New Roman" w:hAnsi="Times New Roman" w:cs="Times New Roman"/>
          <w:sz w:val="20"/>
          <w:szCs w:val="20"/>
        </w:rPr>
        <w:t>Lumefantrine</w:t>
      </w:r>
      <w:proofErr w:type="spellEnd"/>
    </w:p>
    <w:tbl>
      <w:tblPr>
        <w:tblStyle w:val="TableGrid"/>
        <w:tblW w:w="8859" w:type="dxa"/>
        <w:jc w:val="center"/>
        <w:tblInd w:w="55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87"/>
        <w:gridCol w:w="993"/>
        <w:gridCol w:w="1368"/>
        <w:gridCol w:w="981"/>
        <w:gridCol w:w="1087"/>
        <w:gridCol w:w="994"/>
        <w:gridCol w:w="1368"/>
        <w:gridCol w:w="981"/>
      </w:tblGrid>
      <w:tr w:rsidR="004724E6" w:rsidRPr="0068369B" w:rsidTr="005E520C">
        <w:trPr>
          <w:trHeight w:val="507"/>
          <w:jc w:val="center"/>
        </w:trPr>
        <w:tc>
          <w:tcPr>
            <w:tcW w:w="4429" w:type="dxa"/>
            <w:gridSpan w:val="4"/>
          </w:tcPr>
          <w:p w:rsidR="004724E6" w:rsidRPr="0068369B" w:rsidRDefault="004724E6" w:rsidP="00093E68">
            <w:pPr>
              <w:jc w:val="center"/>
              <w:rPr>
                <w:rFonts w:ascii="Times New Roman" w:hAnsi="Times New Roman" w:cs="Times New Roman"/>
                <w:b/>
                <w:sz w:val="20"/>
                <w:szCs w:val="20"/>
              </w:rPr>
            </w:pPr>
            <w:proofErr w:type="spellStart"/>
            <w:r w:rsidRPr="0068369B">
              <w:rPr>
                <w:rFonts w:ascii="Times New Roman" w:hAnsi="Times New Roman" w:cs="Times New Roman"/>
                <w:b/>
                <w:sz w:val="20"/>
                <w:szCs w:val="20"/>
              </w:rPr>
              <w:t>Artemether</w:t>
            </w:r>
            <w:proofErr w:type="spellEnd"/>
          </w:p>
        </w:tc>
        <w:tc>
          <w:tcPr>
            <w:tcW w:w="4430" w:type="dxa"/>
            <w:gridSpan w:val="4"/>
          </w:tcPr>
          <w:p w:rsidR="004724E6" w:rsidRPr="0068369B" w:rsidRDefault="004724E6" w:rsidP="00093E68">
            <w:pPr>
              <w:jc w:val="center"/>
              <w:rPr>
                <w:rFonts w:ascii="Times New Roman" w:hAnsi="Times New Roman" w:cs="Times New Roman"/>
                <w:b/>
                <w:sz w:val="20"/>
                <w:szCs w:val="20"/>
              </w:rPr>
            </w:pPr>
            <w:proofErr w:type="spellStart"/>
            <w:r w:rsidRPr="0068369B">
              <w:rPr>
                <w:rFonts w:ascii="Times New Roman" w:hAnsi="Times New Roman" w:cs="Times New Roman"/>
                <w:b/>
                <w:sz w:val="20"/>
                <w:szCs w:val="20"/>
              </w:rPr>
              <w:t>Lumefantrine</w:t>
            </w:r>
            <w:proofErr w:type="spellEnd"/>
          </w:p>
          <w:p w:rsidR="004724E6" w:rsidRPr="0068369B" w:rsidRDefault="004724E6" w:rsidP="00093E68">
            <w:pPr>
              <w:jc w:val="center"/>
              <w:rPr>
                <w:rFonts w:ascii="Times New Roman" w:hAnsi="Times New Roman" w:cs="Times New Roman"/>
                <w:b/>
                <w:sz w:val="20"/>
                <w:szCs w:val="20"/>
              </w:rPr>
            </w:pPr>
          </w:p>
        </w:tc>
      </w:tr>
      <w:tr w:rsidR="004724E6" w:rsidRPr="0068369B" w:rsidTr="005E520C">
        <w:trPr>
          <w:trHeight w:val="534"/>
          <w:jc w:val="center"/>
        </w:trPr>
        <w:tc>
          <w:tcPr>
            <w:tcW w:w="1087" w:type="dxa"/>
          </w:tcPr>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b/>
                <w:sz w:val="20"/>
                <w:szCs w:val="20"/>
              </w:rPr>
              <w:t>Area</w:t>
            </w:r>
          </w:p>
          <w:p w:rsidR="0020164A" w:rsidRPr="0068369B" w:rsidRDefault="0020164A" w:rsidP="00093E68">
            <w:pPr>
              <w:jc w:val="center"/>
              <w:rPr>
                <w:rFonts w:ascii="Times New Roman" w:hAnsi="Times New Roman" w:cs="Times New Roman"/>
                <w:b/>
                <w:sz w:val="20"/>
                <w:szCs w:val="20"/>
              </w:rPr>
            </w:pPr>
            <w:r w:rsidRPr="0068369B">
              <w:rPr>
                <w:rFonts w:ascii="Times New Roman" w:hAnsi="Times New Roman" w:cs="Times New Roman"/>
                <w:b/>
                <w:sz w:val="20"/>
                <w:szCs w:val="20"/>
              </w:rPr>
              <w:t>(mV)</w:t>
            </w:r>
          </w:p>
        </w:tc>
        <w:tc>
          <w:tcPr>
            <w:tcW w:w="993" w:type="dxa"/>
          </w:tcPr>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b/>
                <w:sz w:val="20"/>
                <w:szCs w:val="20"/>
              </w:rPr>
              <w:t>RT</w:t>
            </w:r>
          </w:p>
        </w:tc>
        <w:tc>
          <w:tcPr>
            <w:tcW w:w="1368" w:type="dxa"/>
          </w:tcPr>
          <w:p w:rsidR="004724E6" w:rsidRPr="0068369B" w:rsidRDefault="00CD535C" w:rsidP="00093E68">
            <w:pPr>
              <w:jc w:val="center"/>
              <w:rPr>
                <w:rFonts w:ascii="Times New Roman" w:hAnsi="Times New Roman" w:cs="Times New Roman"/>
                <w:b/>
                <w:sz w:val="20"/>
                <w:szCs w:val="20"/>
              </w:rPr>
            </w:pPr>
            <w:r w:rsidRPr="0068369B">
              <w:rPr>
                <w:rFonts w:ascii="Times New Roman" w:hAnsi="Times New Roman" w:cs="Times New Roman"/>
                <w:b/>
                <w:sz w:val="20"/>
                <w:szCs w:val="20"/>
              </w:rPr>
              <w:t>TF</w:t>
            </w:r>
          </w:p>
        </w:tc>
        <w:tc>
          <w:tcPr>
            <w:tcW w:w="981" w:type="dxa"/>
          </w:tcPr>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b/>
                <w:sz w:val="20"/>
                <w:szCs w:val="20"/>
              </w:rPr>
              <w:t>TP</w:t>
            </w:r>
          </w:p>
        </w:tc>
        <w:tc>
          <w:tcPr>
            <w:tcW w:w="1087" w:type="dxa"/>
          </w:tcPr>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b/>
                <w:sz w:val="20"/>
                <w:szCs w:val="20"/>
              </w:rPr>
              <w:t>Area</w:t>
            </w:r>
          </w:p>
          <w:p w:rsidR="0020164A" w:rsidRPr="0068369B" w:rsidRDefault="0020164A" w:rsidP="00093E68">
            <w:pPr>
              <w:jc w:val="center"/>
              <w:rPr>
                <w:rFonts w:ascii="Times New Roman" w:hAnsi="Times New Roman" w:cs="Times New Roman"/>
                <w:b/>
                <w:sz w:val="20"/>
                <w:szCs w:val="20"/>
              </w:rPr>
            </w:pPr>
            <w:r w:rsidRPr="0068369B">
              <w:rPr>
                <w:rFonts w:ascii="Times New Roman" w:hAnsi="Times New Roman" w:cs="Times New Roman"/>
                <w:b/>
                <w:sz w:val="20"/>
                <w:szCs w:val="20"/>
              </w:rPr>
              <w:t>(mV)</w:t>
            </w:r>
          </w:p>
        </w:tc>
        <w:tc>
          <w:tcPr>
            <w:tcW w:w="994" w:type="dxa"/>
          </w:tcPr>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b/>
                <w:sz w:val="20"/>
                <w:szCs w:val="20"/>
              </w:rPr>
              <w:t>RT</w:t>
            </w:r>
          </w:p>
        </w:tc>
        <w:tc>
          <w:tcPr>
            <w:tcW w:w="1368" w:type="dxa"/>
          </w:tcPr>
          <w:p w:rsidR="004724E6" w:rsidRPr="0068369B" w:rsidRDefault="00CD535C" w:rsidP="00093E68">
            <w:pPr>
              <w:jc w:val="center"/>
              <w:rPr>
                <w:rFonts w:ascii="Times New Roman" w:hAnsi="Times New Roman" w:cs="Times New Roman"/>
                <w:b/>
                <w:sz w:val="20"/>
                <w:szCs w:val="20"/>
              </w:rPr>
            </w:pPr>
            <w:r w:rsidRPr="0068369B">
              <w:rPr>
                <w:rFonts w:ascii="Times New Roman" w:hAnsi="Times New Roman" w:cs="Times New Roman"/>
                <w:b/>
                <w:sz w:val="20"/>
                <w:szCs w:val="20"/>
              </w:rPr>
              <w:t>TF</w:t>
            </w:r>
          </w:p>
          <w:p w:rsidR="004724E6" w:rsidRPr="0068369B" w:rsidRDefault="004724E6" w:rsidP="00093E68">
            <w:pPr>
              <w:jc w:val="center"/>
              <w:rPr>
                <w:rFonts w:ascii="Times New Roman" w:hAnsi="Times New Roman" w:cs="Times New Roman"/>
                <w:b/>
                <w:sz w:val="20"/>
                <w:szCs w:val="20"/>
              </w:rPr>
            </w:pPr>
          </w:p>
          <w:p w:rsidR="004724E6" w:rsidRPr="0068369B" w:rsidRDefault="004724E6" w:rsidP="00093E68">
            <w:pPr>
              <w:jc w:val="center"/>
              <w:rPr>
                <w:rFonts w:ascii="Times New Roman" w:hAnsi="Times New Roman" w:cs="Times New Roman"/>
                <w:b/>
                <w:sz w:val="20"/>
                <w:szCs w:val="20"/>
              </w:rPr>
            </w:pPr>
          </w:p>
        </w:tc>
        <w:tc>
          <w:tcPr>
            <w:tcW w:w="981" w:type="dxa"/>
          </w:tcPr>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b/>
                <w:sz w:val="20"/>
                <w:szCs w:val="20"/>
              </w:rPr>
              <w:t>TP</w:t>
            </w:r>
          </w:p>
        </w:tc>
      </w:tr>
      <w:tr w:rsidR="004724E6" w:rsidRPr="0068369B" w:rsidTr="005E520C">
        <w:trPr>
          <w:trHeight w:val="284"/>
          <w:jc w:val="center"/>
        </w:trPr>
        <w:tc>
          <w:tcPr>
            <w:tcW w:w="1087" w:type="dxa"/>
          </w:tcPr>
          <w:p w:rsidR="004724E6" w:rsidRPr="0068369B" w:rsidRDefault="004724E6" w:rsidP="00093E68">
            <w:pPr>
              <w:jc w:val="center"/>
              <w:rPr>
                <w:rFonts w:ascii="Times New Roman" w:hAnsi="Times New Roman" w:cs="Times New Roman"/>
                <w:b/>
                <w:sz w:val="20"/>
                <w:szCs w:val="20"/>
              </w:rPr>
            </w:pPr>
          </w:p>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sz w:val="20"/>
                <w:szCs w:val="20"/>
              </w:rPr>
              <w:t>1448.917</w:t>
            </w:r>
          </w:p>
        </w:tc>
        <w:tc>
          <w:tcPr>
            <w:tcW w:w="993" w:type="dxa"/>
          </w:tcPr>
          <w:p w:rsidR="004724E6" w:rsidRPr="0068369B" w:rsidRDefault="004724E6" w:rsidP="00093E68">
            <w:pPr>
              <w:jc w:val="center"/>
              <w:rPr>
                <w:rFonts w:ascii="Times New Roman" w:hAnsi="Times New Roman" w:cs="Times New Roman"/>
                <w:b/>
                <w:sz w:val="20"/>
                <w:szCs w:val="20"/>
              </w:rPr>
            </w:pPr>
          </w:p>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sz w:val="20"/>
                <w:szCs w:val="20"/>
              </w:rPr>
              <w:t>4.190</w:t>
            </w:r>
          </w:p>
        </w:tc>
        <w:tc>
          <w:tcPr>
            <w:tcW w:w="1368" w:type="dxa"/>
          </w:tcPr>
          <w:p w:rsidR="004724E6" w:rsidRPr="0068369B" w:rsidRDefault="004724E6" w:rsidP="00093E68">
            <w:pPr>
              <w:jc w:val="center"/>
              <w:rPr>
                <w:rFonts w:ascii="Times New Roman" w:hAnsi="Times New Roman" w:cs="Times New Roman"/>
                <w:b/>
                <w:sz w:val="20"/>
                <w:szCs w:val="20"/>
              </w:rPr>
            </w:pPr>
          </w:p>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sz w:val="20"/>
                <w:szCs w:val="20"/>
              </w:rPr>
              <w:t>1.258</w:t>
            </w:r>
          </w:p>
        </w:tc>
        <w:tc>
          <w:tcPr>
            <w:tcW w:w="981" w:type="dxa"/>
          </w:tcPr>
          <w:p w:rsidR="004724E6" w:rsidRPr="0068369B" w:rsidRDefault="004724E6" w:rsidP="00093E68">
            <w:pPr>
              <w:jc w:val="center"/>
              <w:rPr>
                <w:rFonts w:ascii="Times New Roman" w:hAnsi="Times New Roman" w:cs="Times New Roman"/>
                <w:b/>
                <w:sz w:val="20"/>
                <w:szCs w:val="20"/>
              </w:rPr>
            </w:pPr>
          </w:p>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sz w:val="20"/>
                <w:szCs w:val="20"/>
              </w:rPr>
              <w:t>5755</w:t>
            </w:r>
          </w:p>
        </w:tc>
        <w:tc>
          <w:tcPr>
            <w:tcW w:w="1087" w:type="dxa"/>
          </w:tcPr>
          <w:p w:rsidR="004724E6" w:rsidRPr="0068369B" w:rsidRDefault="004724E6" w:rsidP="00093E68">
            <w:pPr>
              <w:jc w:val="center"/>
              <w:rPr>
                <w:rFonts w:ascii="Times New Roman" w:hAnsi="Times New Roman" w:cs="Times New Roman"/>
                <w:b/>
                <w:sz w:val="20"/>
                <w:szCs w:val="20"/>
              </w:rPr>
            </w:pPr>
          </w:p>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sz w:val="20"/>
                <w:szCs w:val="20"/>
              </w:rPr>
              <w:t>3994.438</w:t>
            </w:r>
          </w:p>
        </w:tc>
        <w:tc>
          <w:tcPr>
            <w:tcW w:w="994" w:type="dxa"/>
          </w:tcPr>
          <w:p w:rsidR="004724E6" w:rsidRPr="0068369B" w:rsidRDefault="004724E6" w:rsidP="00093E68">
            <w:pPr>
              <w:jc w:val="center"/>
              <w:rPr>
                <w:rFonts w:ascii="Times New Roman" w:hAnsi="Times New Roman" w:cs="Times New Roman"/>
                <w:b/>
                <w:sz w:val="20"/>
                <w:szCs w:val="20"/>
              </w:rPr>
            </w:pPr>
          </w:p>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sz w:val="20"/>
                <w:szCs w:val="20"/>
              </w:rPr>
              <w:t>5.227</w:t>
            </w:r>
          </w:p>
        </w:tc>
        <w:tc>
          <w:tcPr>
            <w:tcW w:w="1368" w:type="dxa"/>
          </w:tcPr>
          <w:p w:rsidR="004724E6" w:rsidRPr="0068369B" w:rsidRDefault="004724E6" w:rsidP="00093E68">
            <w:pPr>
              <w:jc w:val="center"/>
              <w:rPr>
                <w:rFonts w:ascii="Times New Roman" w:hAnsi="Times New Roman" w:cs="Times New Roman"/>
                <w:b/>
                <w:sz w:val="20"/>
                <w:szCs w:val="20"/>
              </w:rPr>
            </w:pPr>
          </w:p>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sz w:val="20"/>
                <w:szCs w:val="20"/>
              </w:rPr>
              <w:t>1.538</w:t>
            </w:r>
          </w:p>
        </w:tc>
        <w:tc>
          <w:tcPr>
            <w:tcW w:w="981" w:type="dxa"/>
          </w:tcPr>
          <w:p w:rsidR="004724E6" w:rsidRPr="0068369B" w:rsidRDefault="004724E6" w:rsidP="00093E68">
            <w:pPr>
              <w:jc w:val="center"/>
              <w:rPr>
                <w:rFonts w:ascii="Times New Roman" w:hAnsi="Times New Roman" w:cs="Times New Roman"/>
                <w:b/>
                <w:sz w:val="20"/>
                <w:szCs w:val="20"/>
              </w:rPr>
            </w:pPr>
          </w:p>
          <w:p w:rsidR="004724E6" w:rsidRPr="0068369B" w:rsidRDefault="004724E6" w:rsidP="00093E68">
            <w:pPr>
              <w:jc w:val="center"/>
              <w:rPr>
                <w:rFonts w:ascii="Times New Roman" w:hAnsi="Times New Roman" w:cs="Times New Roman"/>
                <w:b/>
                <w:sz w:val="20"/>
                <w:szCs w:val="20"/>
              </w:rPr>
            </w:pPr>
            <w:r w:rsidRPr="0068369B">
              <w:rPr>
                <w:rFonts w:ascii="Times New Roman" w:hAnsi="Times New Roman" w:cs="Times New Roman"/>
                <w:sz w:val="20"/>
                <w:szCs w:val="20"/>
              </w:rPr>
              <w:t>5037</w:t>
            </w:r>
          </w:p>
        </w:tc>
      </w:tr>
    </w:tbl>
    <w:p w:rsidR="002B15AA" w:rsidRPr="0068369B" w:rsidRDefault="002B15AA" w:rsidP="002B15AA">
      <w:pPr>
        <w:autoSpaceDE w:val="0"/>
        <w:autoSpaceDN w:val="0"/>
        <w:adjustRightInd w:val="0"/>
        <w:spacing w:after="0" w:line="480" w:lineRule="auto"/>
        <w:jc w:val="center"/>
        <w:rPr>
          <w:rFonts w:ascii="Times New Roman" w:hAnsi="Times New Roman" w:cs="Times New Roman"/>
          <w:bCs/>
          <w:sz w:val="20"/>
          <w:szCs w:val="20"/>
        </w:rPr>
      </w:pPr>
    </w:p>
    <w:p w:rsidR="002B15AA" w:rsidRPr="0068369B" w:rsidRDefault="00BD2056" w:rsidP="0057101D">
      <w:pPr>
        <w:autoSpaceDE w:val="0"/>
        <w:autoSpaceDN w:val="0"/>
        <w:adjustRightInd w:val="0"/>
        <w:spacing w:after="0" w:line="240" w:lineRule="auto"/>
        <w:rPr>
          <w:rFonts w:ascii="Times New Roman" w:hAnsi="Times New Roman" w:cs="Times New Roman"/>
          <w:b/>
          <w:sz w:val="20"/>
          <w:szCs w:val="20"/>
        </w:rPr>
      </w:pPr>
      <w:r w:rsidRPr="0068369B">
        <w:rPr>
          <w:rFonts w:ascii="Times New Roman" w:hAnsi="Times New Roman" w:cs="Times New Roman"/>
          <w:b/>
          <w:sz w:val="20"/>
          <w:szCs w:val="20"/>
        </w:rPr>
        <w:t>Linearity</w:t>
      </w:r>
    </w:p>
    <w:p w:rsidR="00EF5688" w:rsidRPr="0068369B" w:rsidRDefault="00CD535C" w:rsidP="0057101D">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hAnsi="Times New Roman" w:cs="Times New Roman"/>
          <w:sz w:val="20"/>
          <w:szCs w:val="20"/>
        </w:rPr>
        <w:t xml:space="preserve">The </w:t>
      </w:r>
      <w:r w:rsidR="00442C7A" w:rsidRPr="0068369B">
        <w:rPr>
          <w:rFonts w:ascii="Times New Roman" w:hAnsi="Times New Roman" w:cs="Times New Roman"/>
          <w:sz w:val="20"/>
          <w:szCs w:val="20"/>
        </w:rPr>
        <w:t>standard solutions containing 3.2</w:t>
      </w:r>
      <w:r w:rsidRPr="0068369B">
        <w:rPr>
          <w:rFonts w:ascii="Times New Roman" w:hAnsi="Times New Roman" w:cs="Times New Roman"/>
          <w:sz w:val="20"/>
          <w:szCs w:val="20"/>
        </w:rPr>
        <w:t xml:space="preserve"> </w:t>
      </w:r>
      <w:proofErr w:type="spellStart"/>
      <w:r w:rsidRPr="0068369B">
        <w:rPr>
          <w:rFonts w:ascii="Times New Roman" w:hAnsi="Times New Roman" w:cs="Times New Roman"/>
          <w:sz w:val="20"/>
          <w:szCs w:val="20"/>
        </w:rPr>
        <w:t>μ</w:t>
      </w:r>
      <w:r w:rsidR="00442C7A" w:rsidRPr="0068369B">
        <w:rPr>
          <w:rFonts w:ascii="Times New Roman" w:hAnsi="Times New Roman" w:cs="Times New Roman"/>
          <w:sz w:val="20"/>
          <w:szCs w:val="20"/>
        </w:rPr>
        <w:t>g</w:t>
      </w:r>
      <w:proofErr w:type="spellEnd"/>
      <w:r w:rsidR="00442C7A" w:rsidRPr="0068369B">
        <w:rPr>
          <w:rFonts w:ascii="Times New Roman" w:hAnsi="Times New Roman" w:cs="Times New Roman"/>
          <w:sz w:val="20"/>
          <w:szCs w:val="20"/>
        </w:rPr>
        <w:t xml:space="preserve">/ml to 19.2 </w:t>
      </w:r>
      <w:proofErr w:type="spellStart"/>
      <w:r w:rsidRPr="0068369B">
        <w:rPr>
          <w:rFonts w:ascii="Times New Roman" w:hAnsi="Times New Roman" w:cs="Times New Roman"/>
          <w:sz w:val="20"/>
          <w:szCs w:val="20"/>
        </w:rPr>
        <w:t>μ</w:t>
      </w:r>
      <w:r w:rsidR="004D750E" w:rsidRPr="0068369B">
        <w:rPr>
          <w:rFonts w:ascii="Times New Roman" w:hAnsi="Times New Roman" w:cs="Times New Roman"/>
          <w:sz w:val="20"/>
          <w:szCs w:val="20"/>
        </w:rPr>
        <w:t>g</w:t>
      </w:r>
      <w:proofErr w:type="spellEnd"/>
      <w:r w:rsidR="004D750E" w:rsidRPr="0068369B">
        <w:rPr>
          <w:rFonts w:ascii="Times New Roman" w:hAnsi="Times New Roman" w:cs="Times New Roman"/>
          <w:sz w:val="20"/>
          <w:szCs w:val="20"/>
        </w:rPr>
        <w:t>/ml of AT</w:t>
      </w:r>
      <w:r w:rsidR="00442C7A" w:rsidRPr="0068369B">
        <w:rPr>
          <w:rFonts w:ascii="Times New Roman" w:hAnsi="Times New Roman" w:cs="Times New Roman"/>
          <w:sz w:val="20"/>
          <w:szCs w:val="20"/>
        </w:rPr>
        <w:t xml:space="preserve"> and 19.2</w:t>
      </w:r>
      <w:r w:rsidRPr="0068369B">
        <w:rPr>
          <w:rFonts w:ascii="Times New Roman" w:hAnsi="Times New Roman" w:cs="Times New Roman"/>
          <w:sz w:val="20"/>
          <w:szCs w:val="20"/>
        </w:rPr>
        <w:t xml:space="preserve"> </w:t>
      </w:r>
      <w:proofErr w:type="spellStart"/>
      <w:r w:rsidRPr="0068369B">
        <w:rPr>
          <w:rFonts w:ascii="Times New Roman" w:hAnsi="Times New Roman" w:cs="Times New Roman"/>
          <w:sz w:val="20"/>
          <w:szCs w:val="20"/>
        </w:rPr>
        <w:t>μ</w:t>
      </w:r>
      <w:r w:rsidR="00442C7A" w:rsidRPr="0068369B">
        <w:rPr>
          <w:rFonts w:ascii="Times New Roman" w:hAnsi="Times New Roman" w:cs="Times New Roman"/>
          <w:sz w:val="20"/>
          <w:szCs w:val="20"/>
        </w:rPr>
        <w:t>g</w:t>
      </w:r>
      <w:proofErr w:type="spellEnd"/>
      <w:r w:rsidR="00442C7A" w:rsidRPr="0068369B">
        <w:rPr>
          <w:rFonts w:ascii="Times New Roman" w:hAnsi="Times New Roman" w:cs="Times New Roman"/>
          <w:sz w:val="20"/>
          <w:szCs w:val="20"/>
        </w:rPr>
        <w:t>/ml to 115.2</w:t>
      </w:r>
      <w:r w:rsidR="004D750E" w:rsidRPr="0068369B">
        <w:rPr>
          <w:rFonts w:ascii="Times New Roman" w:hAnsi="Times New Roman" w:cs="Times New Roman"/>
          <w:sz w:val="20"/>
          <w:szCs w:val="20"/>
        </w:rPr>
        <w:t xml:space="preserve">μg/ml of LU </w:t>
      </w:r>
      <w:r w:rsidRPr="0068369B">
        <w:rPr>
          <w:rFonts w:ascii="Times New Roman" w:hAnsi="Times New Roman" w:cs="Times New Roman"/>
          <w:sz w:val="20"/>
          <w:szCs w:val="20"/>
        </w:rPr>
        <w:t>in</w:t>
      </w:r>
      <w:r w:rsidR="00442C7A" w:rsidRPr="0068369B">
        <w:rPr>
          <w:rFonts w:ascii="Times New Roman" w:hAnsi="Times New Roman" w:cs="Times New Roman"/>
          <w:sz w:val="20"/>
          <w:szCs w:val="20"/>
        </w:rPr>
        <w:t xml:space="preserve"> </w:t>
      </w:r>
      <w:r w:rsidRPr="0068369B">
        <w:rPr>
          <w:rFonts w:ascii="Times New Roman" w:hAnsi="Times New Roman" w:cs="Times New Roman"/>
          <w:sz w:val="20"/>
          <w:szCs w:val="20"/>
        </w:rPr>
        <w:t>each</w:t>
      </w:r>
      <w:r w:rsidR="00442C7A" w:rsidRPr="0068369B">
        <w:rPr>
          <w:rFonts w:ascii="Times New Roman" w:hAnsi="Times New Roman" w:cs="Times New Roman"/>
          <w:sz w:val="20"/>
          <w:szCs w:val="20"/>
        </w:rPr>
        <w:t xml:space="preserve"> linearity level were prepared and </w:t>
      </w:r>
      <w:r w:rsidRPr="0068369B">
        <w:rPr>
          <w:rFonts w:ascii="Times New Roman" w:hAnsi="Times New Roman" w:cs="Times New Roman"/>
          <w:sz w:val="20"/>
          <w:szCs w:val="20"/>
        </w:rPr>
        <w:t>injected. In the simultaneous</w:t>
      </w:r>
      <w:r w:rsidR="00442C7A" w:rsidRPr="0068369B">
        <w:rPr>
          <w:rFonts w:ascii="Times New Roman" w:hAnsi="Times New Roman" w:cs="Times New Roman"/>
          <w:sz w:val="20"/>
          <w:szCs w:val="20"/>
        </w:rPr>
        <w:t xml:space="preserve"> </w:t>
      </w:r>
      <w:r w:rsidRPr="0068369B">
        <w:rPr>
          <w:rFonts w:ascii="Times New Roman" w:hAnsi="Times New Roman" w:cs="Times New Roman"/>
          <w:sz w:val="20"/>
          <w:szCs w:val="20"/>
        </w:rPr>
        <w:t>deter</w:t>
      </w:r>
      <w:r w:rsidR="00442C7A" w:rsidRPr="0068369B">
        <w:rPr>
          <w:rFonts w:ascii="Times New Roman" w:hAnsi="Times New Roman" w:cs="Times New Roman"/>
          <w:sz w:val="20"/>
          <w:szCs w:val="20"/>
        </w:rPr>
        <w:t>mination, the calibration curves</w:t>
      </w:r>
      <w:r w:rsidRPr="0068369B">
        <w:rPr>
          <w:rFonts w:ascii="Times New Roman" w:hAnsi="Times New Roman" w:cs="Times New Roman"/>
          <w:sz w:val="20"/>
          <w:szCs w:val="20"/>
        </w:rPr>
        <w:t xml:space="preserve"> were found to be</w:t>
      </w:r>
      <w:r w:rsidR="00442C7A" w:rsidRPr="0068369B">
        <w:rPr>
          <w:rFonts w:ascii="Times New Roman" w:hAnsi="Times New Roman" w:cs="Times New Roman"/>
          <w:sz w:val="20"/>
          <w:szCs w:val="20"/>
        </w:rPr>
        <w:t xml:space="preserve"> linear for both the </w:t>
      </w:r>
      <w:proofErr w:type="spellStart"/>
      <w:r w:rsidRPr="0068369B">
        <w:rPr>
          <w:rFonts w:ascii="Times New Roman" w:hAnsi="Times New Roman" w:cs="Times New Roman"/>
          <w:sz w:val="20"/>
          <w:szCs w:val="20"/>
        </w:rPr>
        <w:t>analytes</w:t>
      </w:r>
      <w:proofErr w:type="spellEnd"/>
      <w:r w:rsidRPr="0068369B">
        <w:rPr>
          <w:rFonts w:ascii="Times New Roman" w:hAnsi="Times New Roman" w:cs="Times New Roman"/>
          <w:sz w:val="20"/>
          <w:szCs w:val="20"/>
        </w:rPr>
        <w:t xml:space="preserve"> in the mentioned</w:t>
      </w:r>
      <w:r w:rsidR="00442C7A" w:rsidRPr="0068369B">
        <w:rPr>
          <w:rFonts w:ascii="Times New Roman" w:hAnsi="Times New Roman" w:cs="Times New Roman"/>
          <w:sz w:val="20"/>
          <w:szCs w:val="20"/>
        </w:rPr>
        <w:t xml:space="preserve"> </w:t>
      </w:r>
      <w:r w:rsidRPr="0068369B">
        <w:rPr>
          <w:rFonts w:ascii="Times New Roman" w:hAnsi="Times New Roman" w:cs="Times New Roman"/>
          <w:sz w:val="20"/>
          <w:szCs w:val="20"/>
        </w:rPr>
        <w:t xml:space="preserve">concentrations. </w:t>
      </w:r>
      <w:r w:rsidR="00442C7A" w:rsidRPr="0068369B">
        <w:rPr>
          <w:rFonts w:ascii="Times New Roman" w:hAnsi="Times New Roman" w:cs="Times New Roman"/>
          <w:sz w:val="20"/>
          <w:szCs w:val="20"/>
        </w:rPr>
        <w:t>The analytical curve with peak area versus concen</w:t>
      </w:r>
      <w:r w:rsidR="00442C7A" w:rsidRPr="0068369B">
        <w:rPr>
          <w:rFonts w:ascii="Times New Roman" w:hAnsi="Times New Roman" w:cs="Times New Roman"/>
          <w:sz w:val="20"/>
          <w:szCs w:val="20"/>
        </w:rPr>
        <w:softHyphen/>
        <w:t xml:space="preserve">tration was plotted and the obtained data were subjected to regression analysis. </w:t>
      </w:r>
      <w:r w:rsidRPr="0068369B">
        <w:rPr>
          <w:rFonts w:ascii="Times New Roman" w:hAnsi="Times New Roman" w:cs="Times New Roman"/>
          <w:sz w:val="20"/>
          <w:szCs w:val="20"/>
        </w:rPr>
        <w:t>The coefficient of correlation</w:t>
      </w:r>
      <w:r w:rsidR="0039501B" w:rsidRPr="0068369B">
        <w:rPr>
          <w:rFonts w:ascii="Times New Roman" w:hAnsi="Times New Roman" w:cs="Times New Roman"/>
          <w:sz w:val="20"/>
          <w:szCs w:val="20"/>
        </w:rPr>
        <w:t xml:space="preserve"> </w:t>
      </w:r>
      <w:r w:rsidR="0039501B" w:rsidRPr="0068369B">
        <w:rPr>
          <w:rFonts w:ascii="Times New Roman" w:hAnsi="Times New Roman"/>
          <w:sz w:val="18"/>
          <w:szCs w:val="18"/>
        </w:rPr>
        <w:t>(r</w:t>
      </w:r>
      <w:r w:rsidR="0039501B" w:rsidRPr="0068369B">
        <w:rPr>
          <w:rFonts w:ascii="Times New Roman" w:hAnsi="Times New Roman"/>
          <w:sz w:val="18"/>
          <w:szCs w:val="18"/>
          <w:vertAlign w:val="superscript"/>
        </w:rPr>
        <w:t>2</w:t>
      </w:r>
      <w:r w:rsidR="0039501B" w:rsidRPr="0068369B">
        <w:rPr>
          <w:rFonts w:ascii="Times New Roman" w:hAnsi="Times New Roman"/>
          <w:sz w:val="18"/>
          <w:szCs w:val="18"/>
        </w:rPr>
        <w:t>)</w:t>
      </w:r>
      <w:r w:rsidRPr="0068369B">
        <w:rPr>
          <w:rFonts w:ascii="Times New Roman" w:hAnsi="Times New Roman" w:cs="Times New Roman"/>
          <w:sz w:val="20"/>
          <w:szCs w:val="20"/>
        </w:rPr>
        <w:t xml:space="preserve"> was</w:t>
      </w:r>
      <w:r w:rsidR="00442C7A" w:rsidRPr="0068369B">
        <w:rPr>
          <w:rFonts w:ascii="Times New Roman" w:hAnsi="Times New Roman" w:cs="Times New Roman"/>
          <w:sz w:val="20"/>
          <w:szCs w:val="20"/>
        </w:rPr>
        <w:t xml:space="preserve"> </w:t>
      </w:r>
      <w:r w:rsidRPr="0068369B">
        <w:rPr>
          <w:rFonts w:ascii="Times New Roman" w:hAnsi="Times New Roman" w:cs="Times New Roman"/>
          <w:sz w:val="20"/>
          <w:szCs w:val="20"/>
        </w:rPr>
        <w:t>fou</w:t>
      </w:r>
      <w:r w:rsidR="00A2391D" w:rsidRPr="0068369B">
        <w:rPr>
          <w:rFonts w:ascii="Times New Roman" w:hAnsi="Times New Roman" w:cs="Times New Roman"/>
          <w:sz w:val="20"/>
          <w:szCs w:val="20"/>
        </w:rPr>
        <w:t>nd to b</w:t>
      </w:r>
      <w:r w:rsidR="004D750E" w:rsidRPr="0068369B">
        <w:rPr>
          <w:rFonts w:ascii="Times New Roman" w:hAnsi="Times New Roman" w:cs="Times New Roman"/>
          <w:sz w:val="20"/>
          <w:szCs w:val="20"/>
        </w:rPr>
        <w:t>e 0.999 for AT and LU</w:t>
      </w:r>
      <w:r w:rsidRPr="0068369B">
        <w:rPr>
          <w:rFonts w:ascii="Times New Roman" w:hAnsi="Times New Roman" w:cs="Times New Roman"/>
          <w:sz w:val="20"/>
          <w:szCs w:val="20"/>
        </w:rPr>
        <w:t xml:space="preserve">. </w:t>
      </w:r>
      <w:r w:rsidR="00EF5688" w:rsidRPr="0068369B">
        <w:rPr>
          <w:rFonts w:ascii="Times New Roman" w:hAnsi="Times New Roman" w:cs="Times New Roman"/>
          <w:sz w:val="20"/>
          <w:szCs w:val="20"/>
        </w:rPr>
        <w:t xml:space="preserve">Calibration curve of </w:t>
      </w:r>
      <w:proofErr w:type="spellStart"/>
      <w:r w:rsidR="00EF5688" w:rsidRPr="0068369B">
        <w:rPr>
          <w:rFonts w:ascii="Times New Roman" w:hAnsi="Times New Roman" w:cs="Times New Roman"/>
          <w:sz w:val="20"/>
          <w:szCs w:val="20"/>
        </w:rPr>
        <w:t>Artemether</w:t>
      </w:r>
      <w:proofErr w:type="spellEnd"/>
      <w:r w:rsidR="00DB01E2" w:rsidRPr="0068369B">
        <w:rPr>
          <w:rFonts w:ascii="Times New Roman" w:hAnsi="Times New Roman" w:cs="Times New Roman"/>
          <w:sz w:val="20"/>
          <w:szCs w:val="20"/>
        </w:rPr>
        <w:t xml:space="preserve"> and </w:t>
      </w:r>
      <w:proofErr w:type="spellStart"/>
      <w:r w:rsidR="00DB01E2" w:rsidRPr="0068369B">
        <w:rPr>
          <w:rFonts w:ascii="Times New Roman" w:hAnsi="Times New Roman" w:cs="Times New Roman"/>
          <w:sz w:val="20"/>
          <w:szCs w:val="20"/>
        </w:rPr>
        <w:t>Lumefantrine</w:t>
      </w:r>
      <w:proofErr w:type="spellEnd"/>
      <w:r w:rsidR="00EF5688" w:rsidRPr="0068369B">
        <w:rPr>
          <w:rFonts w:ascii="Times New Roman" w:hAnsi="Times New Roman" w:cs="Times New Roman"/>
          <w:sz w:val="20"/>
          <w:szCs w:val="20"/>
        </w:rPr>
        <w:t xml:space="preserve"> at 222 nm is shown in </w:t>
      </w:r>
      <w:r w:rsidR="00EF5688" w:rsidRPr="0068369B">
        <w:rPr>
          <w:rFonts w:ascii="Times New Roman" w:hAnsi="Times New Roman" w:cs="Times New Roman"/>
          <w:bCs/>
          <w:sz w:val="20"/>
          <w:szCs w:val="20"/>
        </w:rPr>
        <w:t xml:space="preserve">Figure 3 </w:t>
      </w:r>
      <w:r w:rsidR="00DB01E2" w:rsidRPr="0068369B">
        <w:rPr>
          <w:rFonts w:ascii="Times New Roman" w:hAnsi="Times New Roman" w:cs="Times New Roman"/>
          <w:bCs/>
          <w:sz w:val="20"/>
          <w:szCs w:val="20"/>
        </w:rPr>
        <w:t>and 4 re</w:t>
      </w:r>
      <w:r w:rsidR="0057101D">
        <w:rPr>
          <w:rFonts w:ascii="Times New Roman" w:hAnsi="Times New Roman" w:cs="Times New Roman"/>
          <w:bCs/>
          <w:sz w:val="20"/>
          <w:szCs w:val="20"/>
        </w:rPr>
        <w:t>s</w:t>
      </w:r>
      <w:r w:rsidR="00DB01E2" w:rsidRPr="0068369B">
        <w:rPr>
          <w:rFonts w:ascii="Times New Roman" w:hAnsi="Times New Roman" w:cs="Times New Roman"/>
          <w:bCs/>
          <w:sz w:val="20"/>
          <w:szCs w:val="20"/>
        </w:rPr>
        <w:t xml:space="preserve">pectively and </w:t>
      </w:r>
      <w:r w:rsidR="00DB01E2" w:rsidRPr="0068369B">
        <w:rPr>
          <w:rFonts w:ascii="Times New Roman" w:hAnsi="Times New Roman" w:cs="Times New Roman"/>
          <w:sz w:val="20"/>
          <w:szCs w:val="20"/>
        </w:rPr>
        <w:t xml:space="preserve">Linearity result for </w:t>
      </w:r>
      <w:proofErr w:type="spellStart"/>
      <w:r w:rsidR="00DB01E2" w:rsidRPr="0068369B">
        <w:rPr>
          <w:rFonts w:ascii="Times New Roman" w:hAnsi="Times New Roman" w:cs="Times New Roman"/>
          <w:sz w:val="20"/>
          <w:szCs w:val="20"/>
        </w:rPr>
        <w:t>Artemether</w:t>
      </w:r>
      <w:proofErr w:type="spellEnd"/>
      <w:r w:rsidR="00DB01E2" w:rsidRPr="0068369B">
        <w:rPr>
          <w:rFonts w:ascii="Times New Roman" w:hAnsi="Times New Roman" w:cs="Times New Roman"/>
          <w:sz w:val="20"/>
          <w:szCs w:val="20"/>
        </w:rPr>
        <w:t xml:space="preserve"> and </w:t>
      </w:r>
      <w:proofErr w:type="spellStart"/>
      <w:r w:rsidR="00DB01E2" w:rsidRPr="0068369B">
        <w:rPr>
          <w:rFonts w:ascii="Times New Roman" w:hAnsi="Times New Roman" w:cs="Times New Roman"/>
          <w:sz w:val="20"/>
          <w:szCs w:val="20"/>
        </w:rPr>
        <w:t>Lumefantrine</w:t>
      </w:r>
      <w:proofErr w:type="spellEnd"/>
      <w:r w:rsidR="00DB01E2" w:rsidRPr="0068369B">
        <w:rPr>
          <w:rFonts w:ascii="Times New Roman" w:hAnsi="Times New Roman" w:cs="Times New Roman"/>
          <w:sz w:val="20"/>
          <w:szCs w:val="20"/>
        </w:rPr>
        <w:t xml:space="preserve"> is as shown in Table 2 and Table 3 re</w:t>
      </w:r>
      <w:r w:rsidR="0057101D">
        <w:rPr>
          <w:rFonts w:ascii="Times New Roman" w:hAnsi="Times New Roman" w:cs="Times New Roman"/>
          <w:sz w:val="20"/>
          <w:szCs w:val="20"/>
        </w:rPr>
        <w:t>s</w:t>
      </w:r>
      <w:r w:rsidR="00DB01E2" w:rsidRPr="0068369B">
        <w:rPr>
          <w:rFonts w:ascii="Times New Roman" w:hAnsi="Times New Roman" w:cs="Times New Roman"/>
          <w:sz w:val="20"/>
          <w:szCs w:val="20"/>
        </w:rPr>
        <w:t>pectively.</w:t>
      </w:r>
    </w:p>
    <w:p w:rsidR="00BD7187" w:rsidRPr="0068369B" w:rsidRDefault="00BD7187" w:rsidP="00EF5688">
      <w:pPr>
        <w:autoSpaceDE w:val="0"/>
        <w:autoSpaceDN w:val="0"/>
        <w:adjustRightInd w:val="0"/>
        <w:spacing w:after="0" w:line="480" w:lineRule="auto"/>
        <w:jc w:val="both"/>
        <w:rPr>
          <w:rFonts w:ascii="Times New Roman" w:hAnsi="Times New Roman" w:cs="Times New Roman"/>
          <w:sz w:val="20"/>
          <w:szCs w:val="20"/>
        </w:rPr>
      </w:pPr>
    </w:p>
    <w:p w:rsidR="00BD7187" w:rsidRPr="0068369B" w:rsidRDefault="00DB01E2" w:rsidP="00180E72">
      <w:pPr>
        <w:autoSpaceDE w:val="0"/>
        <w:autoSpaceDN w:val="0"/>
        <w:adjustRightInd w:val="0"/>
        <w:spacing w:after="0" w:line="480" w:lineRule="auto"/>
        <w:jc w:val="both"/>
        <w:rPr>
          <w:rFonts w:ascii="Times New Roman" w:hAnsi="Times New Roman" w:cs="Times New Roman"/>
          <w:sz w:val="20"/>
          <w:szCs w:val="20"/>
        </w:rPr>
      </w:pPr>
      <w:r w:rsidRPr="0068369B">
        <w:rPr>
          <w:rFonts w:ascii="Times New Roman" w:hAnsi="Times New Roman" w:cs="Times New Roman"/>
          <w:noProof/>
          <w:sz w:val="20"/>
          <w:szCs w:val="20"/>
          <w:lang w:eastAsia="zh-CN"/>
        </w:rPr>
        <w:drawing>
          <wp:inline distT="0" distB="0" distL="0" distR="0" wp14:anchorId="5B07C451" wp14:editId="54032D84">
            <wp:extent cx="5686425" cy="276225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D7187" w:rsidRPr="0068369B" w:rsidRDefault="00BD7187" w:rsidP="00BD7187">
      <w:pPr>
        <w:tabs>
          <w:tab w:val="left" w:pos="7245"/>
        </w:tabs>
        <w:rPr>
          <w:rFonts w:ascii="Times New Roman" w:hAnsi="Times New Roman" w:cs="Times New Roman"/>
          <w:sz w:val="20"/>
          <w:szCs w:val="20"/>
        </w:rPr>
      </w:pPr>
    </w:p>
    <w:tbl>
      <w:tblPr>
        <w:tblpPr w:leftFromText="180" w:rightFromText="180" w:vertAnchor="text" w:horzAnchor="margin" w:tblpY="950"/>
        <w:tblW w:w="9284" w:type="dxa"/>
        <w:tblBorders>
          <w:top w:val="single" w:sz="4" w:space="0" w:color="auto"/>
          <w:bottom w:val="single" w:sz="4" w:space="0" w:color="auto"/>
          <w:insideH w:val="single" w:sz="4" w:space="0" w:color="auto"/>
        </w:tblBorders>
        <w:tblLook w:val="04A0" w:firstRow="1" w:lastRow="0" w:firstColumn="1" w:lastColumn="0" w:noHBand="0" w:noVBand="1"/>
      </w:tblPr>
      <w:tblGrid>
        <w:gridCol w:w="2579"/>
        <w:gridCol w:w="3964"/>
        <w:gridCol w:w="2741"/>
      </w:tblGrid>
      <w:tr w:rsidR="0057101D" w:rsidRPr="0068369B" w:rsidTr="0057101D">
        <w:trPr>
          <w:trHeight w:val="251"/>
        </w:trPr>
        <w:tc>
          <w:tcPr>
            <w:tcW w:w="2579" w:type="dxa"/>
            <w:tcBorders>
              <w:bottom w:val="single" w:sz="4" w:space="0" w:color="auto"/>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b/>
                <w:bCs/>
                <w:sz w:val="20"/>
                <w:szCs w:val="20"/>
              </w:rPr>
            </w:pPr>
            <w:r w:rsidRPr="0068369B">
              <w:rPr>
                <w:rFonts w:ascii="Times New Roman" w:eastAsia="Times New Roman" w:hAnsi="Times New Roman" w:cs="Times New Roman"/>
                <w:b/>
                <w:bCs/>
                <w:sz w:val="20"/>
                <w:szCs w:val="20"/>
              </w:rPr>
              <w:t>S</w:t>
            </w:r>
            <w:r w:rsidR="0057101D">
              <w:rPr>
                <w:rFonts w:ascii="Times New Roman" w:eastAsia="Times New Roman" w:hAnsi="Times New Roman" w:cs="Times New Roman"/>
                <w:b/>
                <w:bCs/>
                <w:sz w:val="20"/>
                <w:szCs w:val="20"/>
              </w:rPr>
              <w:t xml:space="preserve">ample </w:t>
            </w:r>
            <w:r w:rsidRPr="0068369B">
              <w:rPr>
                <w:rFonts w:ascii="Times New Roman" w:eastAsia="Times New Roman" w:hAnsi="Times New Roman" w:cs="Times New Roman"/>
                <w:b/>
                <w:bCs/>
                <w:sz w:val="20"/>
                <w:szCs w:val="20"/>
              </w:rPr>
              <w:t>No.</w:t>
            </w:r>
          </w:p>
        </w:tc>
        <w:tc>
          <w:tcPr>
            <w:tcW w:w="3964" w:type="dxa"/>
            <w:tcBorders>
              <w:bottom w:val="single" w:sz="4" w:space="0" w:color="auto"/>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b/>
                <w:bCs/>
                <w:sz w:val="20"/>
                <w:szCs w:val="20"/>
              </w:rPr>
            </w:pPr>
            <w:r w:rsidRPr="0068369B">
              <w:rPr>
                <w:rFonts w:ascii="Times New Roman" w:eastAsia="Times New Roman" w:hAnsi="Times New Roman" w:cs="Times New Roman"/>
                <w:b/>
                <w:bCs/>
                <w:sz w:val="20"/>
                <w:szCs w:val="20"/>
              </w:rPr>
              <w:t>Concentration (µg/ml)</w:t>
            </w:r>
          </w:p>
        </w:tc>
        <w:tc>
          <w:tcPr>
            <w:tcW w:w="2741" w:type="dxa"/>
            <w:tcBorders>
              <w:bottom w:val="single" w:sz="4" w:space="0" w:color="auto"/>
            </w:tcBorders>
            <w:shd w:val="clear" w:color="auto" w:fill="auto"/>
            <w:noWrap/>
            <w:vAlign w:val="bottom"/>
            <w:hideMark/>
          </w:tcPr>
          <w:p w:rsidR="0057101D" w:rsidRPr="0068369B" w:rsidRDefault="00327930" w:rsidP="0057101D">
            <w:pPr>
              <w:spacing w:after="0" w:line="240" w:lineRule="auto"/>
              <w:jc w:val="center"/>
              <w:rPr>
                <w:rFonts w:ascii="Times New Roman" w:eastAsia="Times New Roman" w:hAnsi="Times New Roman" w:cs="Times New Roman"/>
                <w:b/>
                <w:bCs/>
                <w:sz w:val="20"/>
                <w:szCs w:val="20"/>
              </w:rPr>
            </w:pPr>
            <w:r w:rsidRPr="0068369B">
              <w:rPr>
                <w:rFonts w:ascii="Times New Roman" w:eastAsia="Times New Roman" w:hAnsi="Times New Roman" w:cs="Times New Roman"/>
                <w:b/>
                <w:bCs/>
                <w:sz w:val="20"/>
                <w:szCs w:val="20"/>
              </w:rPr>
              <w:t>Area(mV)</w:t>
            </w:r>
          </w:p>
        </w:tc>
      </w:tr>
      <w:tr w:rsidR="0057101D" w:rsidRPr="0068369B" w:rsidTr="0057101D">
        <w:trPr>
          <w:trHeight w:val="251"/>
        </w:trPr>
        <w:tc>
          <w:tcPr>
            <w:tcW w:w="2579" w:type="dxa"/>
            <w:tcBorders>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1</w:t>
            </w:r>
          </w:p>
        </w:tc>
        <w:tc>
          <w:tcPr>
            <w:tcW w:w="3964" w:type="dxa"/>
            <w:tcBorders>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3.2</w:t>
            </w:r>
          </w:p>
        </w:tc>
        <w:tc>
          <w:tcPr>
            <w:tcW w:w="2741" w:type="dxa"/>
            <w:tcBorders>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53.537</w:t>
            </w:r>
          </w:p>
        </w:tc>
      </w:tr>
      <w:tr w:rsidR="0057101D" w:rsidRPr="0068369B" w:rsidTr="0057101D">
        <w:trPr>
          <w:trHeight w:val="251"/>
        </w:trPr>
        <w:tc>
          <w:tcPr>
            <w:tcW w:w="2579" w:type="dxa"/>
            <w:tcBorders>
              <w:top w:val="nil"/>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2</w:t>
            </w:r>
          </w:p>
        </w:tc>
        <w:tc>
          <w:tcPr>
            <w:tcW w:w="3964" w:type="dxa"/>
            <w:tcBorders>
              <w:top w:val="nil"/>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6.4</w:t>
            </w:r>
          </w:p>
        </w:tc>
        <w:tc>
          <w:tcPr>
            <w:tcW w:w="2741" w:type="dxa"/>
            <w:tcBorders>
              <w:top w:val="nil"/>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92.728</w:t>
            </w:r>
          </w:p>
        </w:tc>
      </w:tr>
      <w:tr w:rsidR="0057101D" w:rsidRPr="0068369B" w:rsidTr="0057101D">
        <w:trPr>
          <w:trHeight w:val="251"/>
        </w:trPr>
        <w:tc>
          <w:tcPr>
            <w:tcW w:w="2579" w:type="dxa"/>
            <w:tcBorders>
              <w:top w:val="nil"/>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3</w:t>
            </w:r>
          </w:p>
        </w:tc>
        <w:tc>
          <w:tcPr>
            <w:tcW w:w="3964" w:type="dxa"/>
            <w:tcBorders>
              <w:top w:val="nil"/>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9.6</w:t>
            </w:r>
          </w:p>
        </w:tc>
        <w:tc>
          <w:tcPr>
            <w:tcW w:w="2741" w:type="dxa"/>
            <w:tcBorders>
              <w:top w:val="nil"/>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144.805</w:t>
            </w:r>
          </w:p>
        </w:tc>
      </w:tr>
      <w:tr w:rsidR="0057101D" w:rsidRPr="0068369B" w:rsidTr="0057101D">
        <w:trPr>
          <w:trHeight w:val="251"/>
        </w:trPr>
        <w:tc>
          <w:tcPr>
            <w:tcW w:w="2579" w:type="dxa"/>
            <w:tcBorders>
              <w:top w:val="nil"/>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4</w:t>
            </w:r>
          </w:p>
        </w:tc>
        <w:tc>
          <w:tcPr>
            <w:tcW w:w="3964" w:type="dxa"/>
            <w:tcBorders>
              <w:top w:val="nil"/>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12.8</w:t>
            </w:r>
          </w:p>
        </w:tc>
        <w:tc>
          <w:tcPr>
            <w:tcW w:w="2741" w:type="dxa"/>
            <w:tcBorders>
              <w:top w:val="nil"/>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189.063</w:t>
            </w:r>
          </w:p>
        </w:tc>
      </w:tr>
      <w:tr w:rsidR="0057101D" w:rsidRPr="0068369B" w:rsidTr="0057101D">
        <w:trPr>
          <w:trHeight w:val="251"/>
        </w:trPr>
        <w:tc>
          <w:tcPr>
            <w:tcW w:w="2579" w:type="dxa"/>
            <w:tcBorders>
              <w:top w:val="nil"/>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5</w:t>
            </w:r>
          </w:p>
        </w:tc>
        <w:tc>
          <w:tcPr>
            <w:tcW w:w="3964" w:type="dxa"/>
            <w:tcBorders>
              <w:top w:val="nil"/>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16</w:t>
            </w:r>
          </w:p>
        </w:tc>
        <w:tc>
          <w:tcPr>
            <w:tcW w:w="2741" w:type="dxa"/>
            <w:tcBorders>
              <w:top w:val="nil"/>
              <w:bottom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239.394</w:t>
            </w:r>
          </w:p>
        </w:tc>
      </w:tr>
      <w:tr w:rsidR="0057101D" w:rsidRPr="0068369B" w:rsidTr="0057101D">
        <w:trPr>
          <w:trHeight w:val="251"/>
        </w:trPr>
        <w:tc>
          <w:tcPr>
            <w:tcW w:w="2579" w:type="dxa"/>
            <w:tcBorders>
              <w:top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6</w:t>
            </w:r>
          </w:p>
        </w:tc>
        <w:tc>
          <w:tcPr>
            <w:tcW w:w="3964" w:type="dxa"/>
            <w:tcBorders>
              <w:top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19.2</w:t>
            </w:r>
          </w:p>
        </w:tc>
        <w:tc>
          <w:tcPr>
            <w:tcW w:w="2741" w:type="dxa"/>
            <w:tcBorders>
              <w:top w:val="nil"/>
            </w:tcBorders>
            <w:shd w:val="clear" w:color="auto" w:fill="auto"/>
            <w:noWrap/>
            <w:vAlign w:val="bottom"/>
            <w:hideMark/>
          </w:tcPr>
          <w:p w:rsidR="00327930" w:rsidRPr="0068369B" w:rsidRDefault="00327930" w:rsidP="00FF78DF">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283.343</w:t>
            </w:r>
          </w:p>
        </w:tc>
      </w:tr>
    </w:tbl>
    <w:p w:rsidR="00F118BD" w:rsidRPr="0068369B" w:rsidRDefault="00886F49" w:rsidP="0057101D">
      <w:pPr>
        <w:autoSpaceDE w:val="0"/>
        <w:autoSpaceDN w:val="0"/>
        <w:adjustRightInd w:val="0"/>
        <w:spacing w:after="0" w:line="480" w:lineRule="auto"/>
        <w:jc w:val="center"/>
        <w:rPr>
          <w:rFonts w:ascii="Times New Roman" w:hAnsi="Times New Roman" w:cs="Times New Roman"/>
          <w:sz w:val="20"/>
          <w:szCs w:val="20"/>
        </w:rPr>
      </w:pPr>
      <w:r w:rsidRPr="0068369B">
        <w:rPr>
          <w:rFonts w:ascii="Times New Roman" w:hAnsi="Times New Roman" w:cs="Times New Roman"/>
          <w:bCs/>
          <w:sz w:val="20"/>
          <w:szCs w:val="20"/>
        </w:rPr>
        <w:t>Figure 3:</w:t>
      </w:r>
      <w:r w:rsidRPr="0068369B">
        <w:rPr>
          <w:rFonts w:ascii="Times New Roman" w:hAnsi="Times New Roman" w:cs="Times New Roman"/>
          <w:b/>
          <w:bCs/>
          <w:sz w:val="20"/>
          <w:szCs w:val="20"/>
        </w:rPr>
        <w:t xml:space="preserve"> </w:t>
      </w:r>
      <w:r w:rsidRPr="0068369B">
        <w:rPr>
          <w:rFonts w:ascii="Times New Roman" w:hAnsi="Times New Roman" w:cs="Times New Roman"/>
          <w:sz w:val="20"/>
          <w:szCs w:val="20"/>
        </w:rPr>
        <w:t xml:space="preserve">Calibration curve of </w:t>
      </w:r>
      <w:proofErr w:type="spellStart"/>
      <w:r w:rsidRPr="0068369B">
        <w:rPr>
          <w:rFonts w:ascii="Times New Roman" w:hAnsi="Times New Roman" w:cs="Times New Roman"/>
          <w:sz w:val="20"/>
          <w:szCs w:val="20"/>
        </w:rPr>
        <w:t>Artemether</w:t>
      </w:r>
      <w:proofErr w:type="spellEnd"/>
      <w:r w:rsidRPr="0068369B">
        <w:rPr>
          <w:rFonts w:ascii="Times New Roman" w:hAnsi="Times New Roman" w:cs="Times New Roman"/>
          <w:sz w:val="20"/>
          <w:szCs w:val="20"/>
        </w:rPr>
        <w:t xml:space="preserve"> at 222 nm</w:t>
      </w:r>
    </w:p>
    <w:p w:rsidR="00FF78DF" w:rsidRPr="0068369B" w:rsidRDefault="00FF78DF" w:rsidP="00FF78DF">
      <w:pPr>
        <w:autoSpaceDE w:val="0"/>
        <w:autoSpaceDN w:val="0"/>
        <w:adjustRightInd w:val="0"/>
        <w:spacing w:after="0" w:line="480" w:lineRule="auto"/>
        <w:jc w:val="center"/>
        <w:rPr>
          <w:rFonts w:ascii="Times New Roman" w:hAnsi="Times New Roman" w:cs="Times New Roman"/>
          <w:sz w:val="20"/>
          <w:szCs w:val="20"/>
        </w:rPr>
      </w:pPr>
      <w:r w:rsidRPr="0068369B">
        <w:rPr>
          <w:rFonts w:ascii="Times New Roman" w:hAnsi="Times New Roman" w:cs="Times New Roman"/>
          <w:sz w:val="20"/>
          <w:szCs w:val="20"/>
        </w:rPr>
        <w:t xml:space="preserve">Table 2: Linearity result for </w:t>
      </w:r>
      <w:proofErr w:type="spellStart"/>
      <w:r w:rsidRPr="0068369B">
        <w:rPr>
          <w:rFonts w:ascii="Times New Roman" w:hAnsi="Times New Roman" w:cs="Times New Roman"/>
          <w:sz w:val="20"/>
          <w:szCs w:val="20"/>
        </w:rPr>
        <w:t>Artemether</w:t>
      </w:r>
      <w:proofErr w:type="spellEnd"/>
    </w:p>
    <w:p w:rsidR="00FF78DF" w:rsidRPr="0068369B" w:rsidRDefault="00FF78DF" w:rsidP="00DB01E2">
      <w:pPr>
        <w:autoSpaceDE w:val="0"/>
        <w:autoSpaceDN w:val="0"/>
        <w:adjustRightInd w:val="0"/>
        <w:spacing w:after="0" w:line="480" w:lineRule="auto"/>
        <w:rPr>
          <w:rFonts w:ascii="Times New Roman" w:hAnsi="Times New Roman" w:cs="Times New Roman"/>
          <w:sz w:val="20"/>
          <w:szCs w:val="20"/>
        </w:rPr>
      </w:pPr>
    </w:p>
    <w:p w:rsidR="00611D76" w:rsidRPr="0068369B" w:rsidRDefault="00886F49" w:rsidP="00611D76">
      <w:pPr>
        <w:autoSpaceDE w:val="0"/>
        <w:autoSpaceDN w:val="0"/>
        <w:adjustRightInd w:val="0"/>
        <w:spacing w:after="0" w:line="480" w:lineRule="auto"/>
        <w:jc w:val="center"/>
        <w:rPr>
          <w:rFonts w:ascii="Times New Roman" w:hAnsi="Times New Roman" w:cs="Times New Roman"/>
          <w:bCs/>
          <w:sz w:val="20"/>
          <w:szCs w:val="20"/>
        </w:rPr>
      </w:pPr>
      <w:r w:rsidRPr="0068369B">
        <w:rPr>
          <w:rFonts w:ascii="Times New Roman" w:hAnsi="Times New Roman" w:cs="Times New Roman"/>
          <w:b/>
          <w:bCs/>
          <w:i/>
          <w:noProof/>
          <w:sz w:val="20"/>
          <w:szCs w:val="20"/>
          <w:lang w:eastAsia="zh-CN"/>
        </w:rPr>
        <w:lastRenderedPageBreak/>
        <w:drawing>
          <wp:inline distT="0" distB="0" distL="0" distR="0" wp14:anchorId="18F615D8" wp14:editId="33B0C0BB">
            <wp:extent cx="5419725" cy="2771775"/>
            <wp:effectExtent l="19050" t="0" r="9525"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3317" w:rsidRPr="0068369B" w:rsidRDefault="00093E68" w:rsidP="00DB01E2">
      <w:pPr>
        <w:autoSpaceDE w:val="0"/>
        <w:autoSpaceDN w:val="0"/>
        <w:adjustRightInd w:val="0"/>
        <w:spacing w:after="0" w:line="480" w:lineRule="auto"/>
        <w:jc w:val="center"/>
        <w:rPr>
          <w:rFonts w:ascii="Times New Roman" w:hAnsi="Times New Roman" w:cs="Times New Roman"/>
          <w:sz w:val="20"/>
          <w:szCs w:val="20"/>
        </w:rPr>
      </w:pPr>
      <w:proofErr w:type="gramStart"/>
      <w:r w:rsidRPr="0068369B">
        <w:rPr>
          <w:rFonts w:ascii="Times New Roman" w:hAnsi="Times New Roman" w:cs="Times New Roman"/>
          <w:bCs/>
          <w:sz w:val="20"/>
          <w:szCs w:val="20"/>
        </w:rPr>
        <w:t>Figure 4</w:t>
      </w:r>
      <w:r w:rsidR="0057101D">
        <w:rPr>
          <w:rFonts w:ascii="Times New Roman" w:hAnsi="Times New Roman" w:cs="Times New Roman"/>
          <w:bCs/>
          <w:sz w:val="20"/>
          <w:szCs w:val="20"/>
        </w:rPr>
        <w:t>.</w:t>
      </w:r>
      <w:proofErr w:type="gramEnd"/>
      <w:r w:rsidR="0057101D">
        <w:rPr>
          <w:rFonts w:ascii="Times New Roman" w:hAnsi="Times New Roman" w:cs="Times New Roman"/>
          <w:bCs/>
          <w:sz w:val="20"/>
          <w:szCs w:val="20"/>
        </w:rPr>
        <w:t xml:space="preserve"> </w:t>
      </w:r>
      <w:r w:rsidRPr="0068369B">
        <w:rPr>
          <w:rFonts w:ascii="Times New Roman" w:hAnsi="Times New Roman" w:cs="Times New Roman"/>
          <w:sz w:val="20"/>
          <w:szCs w:val="20"/>
        </w:rPr>
        <w:t xml:space="preserve">Calibration curve of </w:t>
      </w:r>
      <w:proofErr w:type="spellStart"/>
      <w:r w:rsidRPr="0068369B">
        <w:rPr>
          <w:rFonts w:ascii="Times New Roman" w:hAnsi="Times New Roman" w:cs="Times New Roman"/>
          <w:sz w:val="20"/>
          <w:szCs w:val="20"/>
        </w:rPr>
        <w:t>Lumefantrine</w:t>
      </w:r>
      <w:proofErr w:type="spellEnd"/>
      <w:r w:rsidRPr="0068369B">
        <w:rPr>
          <w:rFonts w:ascii="Times New Roman" w:hAnsi="Times New Roman" w:cs="Times New Roman"/>
          <w:sz w:val="20"/>
          <w:szCs w:val="20"/>
        </w:rPr>
        <w:t xml:space="preserve"> at 222</w:t>
      </w:r>
      <w:r w:rsidR="00DB01E2" w:rsidRPr="0068369B">
        <w:rPr>
          <w:rFonts w:ascii="Times New Roman" w:hAnsi="Times New Roman" w:cs="Times New Roman"/>
          <w:sz w:val="20"/>
          <w:szCs w:val="20"/>
        </w:rPr>
        <w:t xml:space="preserve"> nm</w:t>
      </w:r>
    </w:p>
    <w:p w:rsidR="00204868" w:rsidRPr="0068369B" w:rsidRDefault="00033E6C" w:rsidP="0057101D">
      <w:pPr>
        <w:autoSpaceDE w:val="0"/>
        <w:autoSpaceDN w:val="0"/>
        <w:adjustRightInd w:val="0"/>
        <w:spacing w:after="0" w:line="480" w:lineRule="auto"/>
        <w:jc w:val="center"/>
        <w:rPr>
          <w:rFonts w:ascii="Times New Roman" w:hAnsi="Times New Roman" w:cs="Times New Roman"/>
          <w:sz w:val="20"/>
          <w:szCs w:val="20"/>
        </w:rPr>
      </w:pPr>
      <w:r w:rsidRPr="0068369B">
        <w:rPr>
          <w:rFonts w:ascii="Times New Roman" w:hAnsi="Times New Roman" w:cs="Times New Roman"/>
          <w:sz w:val="20"/>
          <w:szCs w:val="20"/>
        </w:rPr>
        <w:t xml:space="preserve">Table 3: Linearity result for </w:t>
      </w:r>
      <w:proofErr w:type="spellStart"/>
      <w:r w:rsidRPr="0068369B">
        <w:rPr>
          <w:rFonts w:ascii="Times New Roman" w:hAnsi="Times New Roman" w:cs="Times New Roman"/>
          <w:sz w:val="20"/>
          <w:szCs w:val="20"/>
        </w:rPr>
        <w:t>Lumefantrine</w:t>
      </w:r>
      <w:proofErr w:type="spellEnd"/>
    </w:p>
    <w:tbl>
      <w:tblPr>
        <w:tblpPr w:leftFromText="180" w:rightFromText="180" w:vertAnchor="text" w:horzAnchor="margin" w:tblpY="182"/>
        <w:tblW w:w="9277" w:type="dxa"/>
        <w:tblBorders>
          <w:top w:val="single" w:sz="4" w:space="0" w:color="auto"/>
          <w:bottom w:val="single" w:sz="4" w:space="0" w:color="auto"/>
          <w:insideH w:val="single" w:sz="4" w:space="0" w:color="auto"/>
        </w:tblBorders>
        <w:tblLook w:val="04A0" w:firstRow="1" w:lastRow="0" w:firstColumn="1" w:lastColumn="0" w:noHBand="0" w:noVBand="1"/>
      </w:tblPr>
      <w:tblGrid>
        <w:gridCol w:w="2559"/>
        <w:gridCol w:w="3937"/>
        <w:gridCol w:w="2781"/>
      </w:tblGrid>
      <w:tr w:rsidR="0057101D" w:rsidRPr="0068369B" w:rsidTr="0057101D">
        <w:trPr>
          <w:trHeight w:val="251"/>
        </w:trPr>
        <w:tc>
          <w:tcPr>
            <w:tcW w:w="2559" w:type="dxa"/>
            <w:tcBorders>
              <w:bottom w:val="single" w:sz="4" w:space="0" w:color="auto"/>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Sample </w:t>
            </w:r>
            <w:r w:rsidRPr="0068369B">
              <w:rPr>
                <w:rFonts w:ascii="Times New Roman" w:eastAsia="Times New Roman" w:hAnsi="Times New Roman" w:cs="Times New Roman"/>
                <w:b/>
                <w:bCs/>
                <w:sz w:val="20"/>
                <w:szCs w:val="20"/>
              </w:rPr>
              <w:t>No</w:t>
            </w:r>
            <w:r>
              <w:rPr>
                <w:rFonts w:ascii="Times New Roman" w:eastAsia="Times New Roman" w:hAnsi="Times New Roman" w:cs="Times New Roman"/>
                <w:b/>
                <w:bCs/>
                <w:sz w:val="20"/>
                <w:szCs w:val="20"/>
              </w:rPr>
              <w:t>.</w:t>
            </w:r>
          </w:p>
        </w:tc>
        <w:tc>
          <w:tcPr>
            <w:tcW w:w="3937" w:type="dxa"/>
            <w:tcBorders>
              <w:bottom w:val="single" w:sz="4" w:space="0" w:color="auto"/>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b/>
                <w:bCs/>
                <w:sz w:val="20"/>
                <w:szCs w:val="20"/>
              </w:rPr>
            </w:pPr>
            <w:r w:rsidRPr="0068369B">
              <w:rPr>
                <w:rFonts w:ascii="Times New Roman" w:eastAsia="Times New Roman" w:hAnsi="Times New Roman" w:cs="Times New Roman"/>
                <w:b/>
                <w:bCs/>
                <w:sz w:val="20"/>
                <w:szCs w:val="20"/>
              </w:rPr>
              <w:t>Concentration(µg/ml)</w:t>
            </w:r>
          </w:p>
        </w:tc>
        <w:tc>
          <w:tcPr>
            <w:tcW w:w="2781" w:type="dxa"/>
            <w:tcBorders>
              <w:bottom w:val="single" w:sz="4" w:space="0" w:color="auto"/>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b/>
                <w:bCs/>
                <w:sz w:val="20"/>
                <w:szCs w:val="20"/>
              </w:rPr>
            </w:pPr>
            <w:r w:rsidRPr="0068369B">
              <w:rPr>
                <w:rFonts w:ascii="Times New Roman" w:eastAsia="Times New Roman" w:hAnsi="Times New Roman" w:cs="Times New Roman"/>
                <w:b/>
                <w:bCs/>
                <w:sz w:val="20"/>
                <w:szCs w:val="20"/>
              </w:rPr>
              <w:t>Area(mV)</w:t>
            </w:r>
          </w:p>
        </w:tc>
      </w:tr>
      <w:tr w:rsidR="0057101D" w:rsidRPr="0068369B" w:rsidTr="0057101D">
        <w:trPr>
          <w:trHeight w:val="251"/>
        </w:trPr>
        <w:tc>
          <w:tcPr>
            <w:tcW w:w="2559" w:type="dxa"/>
            <w:tcBorders>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1</w:t>
            </w:r>
          </w:p>
        </w:tc>
        <w:tc>
          <w:tcPr>
            <w:tcW w:w="3937" w:type="dxa"/>
            <w:tcBorders>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19.2</w:t>
            </w:r>
          </w:p>
        </w:tc>
        <w:tc>
          <w:tcPr>
            <w:tcW w:w="2781" w:type="dxa"/>
            <w:tcBorders>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1222.24</w:t>
            </w:r>
          </w:p>
        </w:tc>
      </w:tr>
      <w:tr w:rsidR="0057101D" w:rsidRPr="0068369B" w:rsidTr="0057101D">
        <w:trPr>
          <w:trHeight w:val="251"/>
        </w:trPr>
        <w:tc>
          <w:tcPr>
            <w:tcW w:w="2559" w:type="dxa"/>
            <w:tcBorders>
              <w:top w:val="nil"/>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2</w:t>
            </w:r>
          </w:p>
        </w:tc>
        <w:tc>
          <w:tcPr>
            <w:tcW w:w="3937" w:type="dxa"/>
            <w:tcBorders>
              <w:top w:val="nil"/>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38.4</w:t>
            </w:r>
          </w:p>
        </w:tc>
        <w:tc>
          <w:tcPr>
            <w:tcW w:w="2781" w:type="dxa"/>
            <w:tcBorders>
              <w:top w:val="nil"/>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2048.86</w:t>
            </w:r>
          </w:p>
        </w:tc>
      </w:tr>
      <w:tr w:rsidR="0057101D" w:rsidRPr="0068369B" w:rsidTr="0057101D">
        <w:trPr>
          <w:trHeight w:val="251"/>
        </w:trPr>
        <w:tc>
          <w:tcPr>
            <w:tcW w:w="2559" w:type="dxa"/>
            <w:tcBorders>
              <w:top w:val="nil"/>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3</w:t>
            </w:r>
          </w:p>
        </w:tc>
        <w:tc>
          <w:tcPr>
            <w:tcW w:w="3937" w:type="dxa"/>
            <w:tcBorders>
              <w:top w:val="nil"/>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57.6</w:t>
            </w:r>
          </w:p>
        </w:tc>
        <w:tc>
          <w:tcPr>
            <w:tcW w:w="2781" w:type="dxa"/>
            <w:tcBorders>
              <w:top w:val="nil"/>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3236.655</w:t>
            </w:r>
          </w:p>
        </w:tc>
      </w:tr>
      <w:tr w:rsidR="0057101D" w:rsidRPr="0068369B" w:rsidTr="0057101D">
        <w:trPr>
          <w:trHeight w:val="251"/>
        </w:trPr>
        <w:tc>
          <w:tcPr>
            <w:tcW w:w="2559" w:type="dxa"/>
            <w:tcBorders>
              <w:top w:val="nil"/>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4</w:t>
            </w:r>
          </w:p>
        </w:tc>
        <w:tc>
          <w:tcPr>
            <w:tcW w:w="3937" w:type="dxa"/>
            <w:tcBorders>
              <w:top w:val="nil"/>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76.8</w:t>
            </w:r>
          </w:p>
        </w:tc>
        <w:tc>
          <w:tcPr>
            <w:tcW w:w="2781" w:type="dxa"/>
            <w:tcBorders>
              <w:top w:val="nil"/>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4283.966</w:t>
            </w:r>
          </w:p>
        </w:tc>
      </w:tr>
      <w:tr w:rsidR="0057101D" w:rsidRPr="0068369B" w:rsidTr="0057101D">
        <w:trPr>
          <w:trHeight w:val="251"/>
        </w:trPr>
        <w:tc>
          <w:tcPr>
            <w:tcW w:w="2559" w:type="dxa"/>
            <w:tcBorders>
              <w:top w:val="nil"/>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5</w:t>
            </w:r>
          </w:p>
        </w:tc>
        <w:tc>
          <w:tcPr>
            <w:tcW w:w="3937" w:type="dxa"/>
            <w:tcBorders>
              <w:top w:val="nil"/>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96</w:t>
            </w:r>
          </w:p>
        </w:tc>
        <w:tc>
          <w:tcPr>
            <w:tcW w:w="2781" w:type="dxa"/>
            <w:tcBorders>
              <w:top w:val="nil"/>
              <w:bottom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5331.527</w:t>
            </w:r>
          </w:p>
        </w:tc>
      </w:tr>
      <w:tr w:rsidR="0057101D" w:rsidRPr="0068369B" w:rsidTr="0057101D">
        <w:trPr>
          <w:trHeight w:val="251"/>
        </w:trPr>
        <w:tc>
          <w:tcPr>
            <w:tcW w:w="2559" w:type="dxa"/>
            <w:tcBorders>
              <w:top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6</w:t>
            </w:r>
          </w:p>
        </w:tc>
        <w:tc>
          <w:tcPr>
            <w:tcW w:w="3937" w:type="dxa"/>
            <w:tcBorders>
              <w:top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115.2</w:t>
            </w:r>
          </w:p>
        </w:tc>
        <w:tc>
          <w:tcPr>
            <w:tcW w:w="2781" w:type="dxa"/>
            <w:tcBorders>
              <w:top w:val="nil"/>
            </w:tcBorders>
            <w:shd w:val="clear" w:color="auto" w:fill="auto"/>
            <w:noWrap/>
            <w:vAlign w:val="bottom"/>
            <w:hideMark/>
          </w:tcPr>
          <w:p w:rsidR="0057101D" w:rsidRPr="0068369B" w:rsidRDefault="0057101D" w:rsidP="0057101D">
            <w:pPr>
              <w:spacing w:after="0" w:line="24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6317.871</w:t>
            </w:r>
          </w:p>
        </w:tc>
      </w:tr>
    </w:tbl>
    <w:p w:rsidR="00204868" w:rsidRPr="0068369B" w:rsidRDefault="00204868" w:rsidP="00033E6C">
      <w:pPr>
        <w:autoSpaceDE w:val="0"/>
        <w:autoSpaceDN w:val="0"/>
        <w:adjustRightInd w:val="0"/>
        <w:spacing w:after="0" w:line="480" w:lineRule="auto"/>
        <w:jc w:val="center"/>
        <w:rPr>
          <w:rFonts w:ascii="Times New Roman" w:hAnsi="Times New Roman" w:cs="Times New Roman"/>
          <w:sz w:val="20"/>
          <w:szCs w:val="20"/>
        </w:rPr>
      </w:pPr>
    </w:p>
    <w:p w:rsidR="00033E6C" w:rsidRPr="0068369B" w:rsidRDefault="00033E6C" w:rsidP="0057101D">
      <w:pPr>
        <w:autoSpaceDE w:val="0"/>
        <w:autoSpaceDN w:val="0"/>
        <w:adjustRightInd w:val="0"/>
        <w:spacing w:after="0" w:line="240" w:lineRule="auto"/>
        <w:rPr>
          <w:rFonts w:ascii="Times New Roman" w:hAnsi="Times New Roman" w:cs="Times New Roman"/>
          <w:b/>
          <w:sz w:val="20"/>
          <w:szCs w:val="20"/>
        </w:rPr>
      </w:pPr>
      <w:r w:rsidRPr="0068369B">
        <w:rPr>
          <w:rFonts w:ascii="Times New Roman" w:hAnsi="Times New Roman" w:cs="Times New Roman"/>
          <w:b/>
          <w:sz w:val="20"/>
          <w:szCs w:val="20"/>
        </w:rPr>
        <w:t>Precision</w:t>
      </w:r>
    </w:p>
    <w:p w:rsidR="00327930" w:rsidRPr="0068369B" w:rsidRDefault="00CD394A" w:rsidP="0057101D">
      <w:pPr>
        <w:pStyle w:val="Default"/>
        <w:jc w:val="both"/>
        <w:rPr>
          <w:color w:val="auto"/>
        </w:rPr>
      </w:pPr>
      <w:r w:rsidRPr="0068369B">
        <w:rPr>
          <w:color w:val="auto"/>
          <w:sz w:val="20"/>
          <w:szCs w:val="20"/>
        </w:rPr>
        <w:t>The precision of the method was demonstrated by inter</w:t>
      </w:r>
      <w:r w:rsidR="000B632A" w:rsidRPr="0068369B">
        <w:rPr>
          <w:color w:val="auto"/>
          <w:sz w:val="20"/>
          <w:szCs w:val="20"/>
        </w:rPr>
        <w:t>-</w:t>
      </w:r>
      <w:r w:rsidRPr="0068369B">
        <w:rPr>
          <w:color w:val="auto"/>
          <w:sz w:val="20"/>
          <w:szCs w:val="20"/>
        </w:rPr>
        <w:t>day and intra</w:t>
      </w:r>
      <w:r w:rsidR="000B632A" w:rsidRPr="0068369B">
        <w:rPr>
          <w:color w:val="auto"/>
          <w:sz w:val="20"/>
          <w:szCs w:val="20"/>
        </w:rPr>
        <w:t>-</w:t>
      </w:r>
      <w:r w:rsidRPr="0068369B">
        <w:rPr>
          <w:color w:val="auto"/>
          <w:sz w:val="20"/>
          <w:szCs w:val="20"/>
        </w:rPr>
        <w:t xml:space="preserve">day variation studies. </w:t>
      </w:r>
      <w:r w:rsidR="0039501B" w:rsidRPr="0068369B">
        <w:rPr>
          <w:color w:val="auto"/>
          <w:sz w:val="20"/>
          <w:szCs w:val="20"/>
        </w:rPr>
        <w:t xml:space="preserve">The intra-day precision was evaluated by injecting six times each of the standard solution </w:t>
      </w:r>
      <w:r w:rsidR="00D11719" w:rsidRPr="0068369B">
        <w:rPr>
          <w:rFonts w:eastAsia="OneGulliverA"/>
          <w:color w:val="auto"/>
          <w:sz w:val="20"/>
          <w:szCs w:val="20"/>
        </w:rPr>
        <w:t>i.e.16µg/ml</w:t>
      </w:r>
      <w:r w:rsidR="00F57EA4" w:rsidRPr="0068369B">
        <w:rPr>
          <w:rFonts w:eastAsia="OneGulliverA"/>
          <w:color w:val="auto"/>
          <w:sz w:val="20"/>
          <w:szCs w:val="20"/>
        </w:rPr>
        <w:t xml:space="preserve"> </w:t>
      </w:r>
      <w:r w:rsidR="00D11719" w:rsidRPr="0068369B">
        <w:rPr>
          <w:rFonts w:eastAsia="OneGulliverA"/>
          <w:color w:val="auto"/>
          <w:sz w:val="20"/>
          <w:szCs w:val="20"/>
        </w:rPr>
        <w:t xml:space="preserve">of </w:t>
      </w:r>
      <w:r w:rsidR="004D750E" w:rsidRPr="0068369B">
        <w:rPr>
          <w:rFonts w:eastAsia="OneGulliverA"/>
          <w:color w:val="auto"/>
          <w:sz w:val="20"/>
          <w:szCs w:val="20"/>
        </w:rPr>
        <w:t xml:space="preserve">AT </w:t>
      </w:r>
      <w:r w:rsidR="00F57EA4" w:rsidRPr="0068369B">
        <w:rPr>
          <w:rFonts w:eastAsia="OneGulliverA"/>
          <w:color w:val="auto"/>
          <w:sz w:val="20"/>
          <w:szCs w:val="20"/>
        </w:rPr>
        <w:t xml:space="preserve">and </w:t>
      </w:r>
      <w:r w:rsidR="00D11719" w:rsidRPr="0068369B">
        <w:rPr>
          <w:rFonts w:eastAsia="OneGulliverA"/>
          <w:color w:val="auto"/>
          <w:sz w:val="20"/>
          <w:szCs w:val="20"/>
        </w:rPr>
        <w:t xml:space="preserve">96µg/ml of </w:t>
      </w:r>
      <w:r w:rsidR="00F57EA4" w:rsidRPr="0068369B">
        <w:rPr>
          <w:rFonts w:eastAsia="OneGulliverA"/>
          <w:color w:val="auto"/>
          <w:sz w:val="20"/>
          <w:szCs w:val="20"/>
        </w:rPr>
        <w:t>L</w:t>
      </w:r>
      <w:r w:rsidR="004D750E" w:rsidRPr="0068369B">
        <w:rPr>
          <w:rFonts w:eastAsia="OneGulliverA"/>
          <w:color w:val="auto"/>
          <w:sz w:val="20"/>
          <w:szCs w:val="20"/>
        </w:rPr>
        <w:t>U</w:t>
      </w:r>
      <w:r w:rsidR="00D11719" w:rsidRPr="0068369B">
        <w:rPr>
          <w:rFonts w:eastAsia="OneGulliverA"/>
          <w:color w:val="auto"/>
          <w:sz w:val="20"/>
          <w:szCs w:val="20"/>
        </w:rPr>
        <w:t>. Similarly, the</w:t>
      </w:r>
      <w:r w:rsidR="00F57EA4" w:rsidRPr="0068369B">
        <w:rPr>
          <w:rFonts w:eastAsia="OneGulliverA"/>
          <w:color w:val="auto"/>
          <w:sz w:val="20"/>
          <w:szCs w:val="20"/>
        </w:rPr>
        <w:t xml:space="preserve"> </w:t>
      </w:r>
      <w:r w:rsidR="00D11719" w:rsidRPr="0068369B">
        <w:rPr>
          <w:rFonts w:eastAsia="OneGulliverA"/>
          <w:color w:val="auto"/>
          <w:sz w:val="20"/>
          <w:szCs w:val="20"/>
        </w:rPr>
        <w:t xml:space="preserve">inter-day </w:t>
      </w:r>
      <w:r w:rsidR="00A53E20" w:rsidRPr="0068369B">
        <w:rPr>
          <w:rFonts w:eastAsia="OneGulliverA"/>
          <w:color w:val="auto"/>
          <w:sz w:val="20"/>
          <w:szCs w:val="20"/>
        </w:rPr>
        <w:t>precision was evaluated in five</w:t>
      </w:r>
      <w:r w:rsidR="00D11719" w:rsidRPr="0068369B">
        <w:rPr>
          <w:rFonts w:eastAsia="OneGulliverA"/>
          <w:color w:val="auto"/>
          <w:sz w:val="20"/>
          <w:szCs w:val="20"/>
        </w:rPr>
        <w:t xml:space="preserve"> consecutive days. The </w:t>
      </w:r>
      <w:r w:rsidR="004D750E" w:rsidRPr="0068369B">
        <w:rPr>
          <w:rFonts w:eastAsia="OneGulliverA"/>
          <w:color w:val="auto"/>
          <w:sz w:val="20"/>
          <w:szCs w:val="20"/>
        </w:rPr>
        <w:t>AT</w:t>
      </w:r>
      <w:r w:rsidR="00F57EA4" w:rsidRPr="0068369B">
        <w:rPr>
          <w:rFonts w:eastAsia="OneGulliverA"/>
          <w:color w:val="auto"/>
          <w:sz w:val="20"/>
          <w:szCs w:val="20"/>
        </w:rPr>
        <w:t xml:space="preserve"> and L</w:t>
      </w:r>
      <w:r w:rsidR="004D750E" w:rsidRPr="0068369B">
        <w:rPr>
          <w:rFonts w:eastAsia="OneGulliverA"/>
          <w:color w:val="auto"/>
          <w:sz w:val="20"/>
          <w:szCs w:val="20"/>
        </w:rPr>
        <w:t xml:space="preserve">U </w:t>
      </w:r>
      <w:r w:rsidR="00D11719" w:rsidRPr="0068369B">
        <w:rPr>
          <w:rFonts w:eastAsia="OneGulliverA"/>
          <w:color w:val="auto"/>
          <w:sz w:val="20"/>
          <w:szCs w:val="20"/>
        </w:rPr>
        <w:t>concentrations were</w:t>
      </w:r>
      <w:r w:rsidR="00F57EA4" w:rsidRPr="0068369B">
        <w:rPr>
          <w:rFonts w:eastAsia="OneGulliverA"/>
          <w:color w:val="auto"/>
          <w:sz w:val="20"/>
          <w:szCs w:val="20"/>
        </w:rPr>
        <w:t xml:space="preserve"> </w:t>
      </w:r>
      <w:r w:rsidR="00D11719" w:rsidRPr="0068369B">
        <w:rPr>
          <w:rFonts w:eastAsia="OneGulliverA"/>
          <w:color w:val="auto"/>
          <w:sz w:val="20"/>
          <w:szCs w:val="20"/>
        </w:rPr>
        <w:t>determined and the relative standard deviations (R.S.D.) were calculated.</w:t>
      </w:r>
      <w:r w:rsidR="00985573" w:rsidRPr="0068369B">
        <w:rPr>
          <w:color w:val="auto"/>
          <w:sz w:val="20"/>
          <w:szCs w:val="20"/>
        </w:rPr>
        <w:t xml:space="preserve"> Intra-day and Inter-day precision result for </w:t>
      </w:r>
      <w:proofErr w:type="spellStart"/>
      <w:r w:rsidR="00985573" w:rsidRPr="0068369B">
        <w:rPr>
          <w:color w:val="auto"/>
          <w:sz w:val="20"/>
          <w:szCs w:val="20"/>
        </w:rPr>
        <w:t>Artemether</w:t>
      </w:r>
      <w:proofErr w:type="spellEnd"/>
      <w:r w:rsidR="00985573" w:rsidRPr="0068369B">
        <w:rPr>
          <w:color w:val="auto"/>
          <w:sz w:val="20"/>
          <w:szCs w:val="20"/>
        </w:rPr>
        <w:t xml:space="preserve"> and </w:t>
      </w:r>
      <w:proofErr w:type="spellStart"/>
      <w:r w:rsidR="00985573" w:rsidRPr="0068369B">
        <w:rPr>
          <w:color w:val="auto"/>
          <w:sz w:val="20"/>
          <w:szCs w:val="20"/>
        </w:rPr>
        <w:t>Lumefantrine</w:t>
      </w:r>
      <w:proofErr w:type="spellEnd"/>
      <w:r w:rsidR="00985573" w:rsidRPr="0068369B">
        <w:rPr>
          <w:color w:val="auto"/>
          <w:sz w:val="20"/>
          <w:szCs w:val="20"/>
        </w:rPr>
        <w:t xml:space="preserve"> is as shown in Table 4 and Table 5 re</w:t>
      </w:r>
      <w:r w:rsidR="0057101D">
        <w:rPr>
          <w:color w:val="auto"/>
          <w:sz w:val="20"/>
          <w:szCs w:val="20"/>
        </w:rPr>
        <w:t>s</w:t>
      </w:r>
      <w:r w:rsidR="00985573" w:rsidRPr="0068369B">
        <w:rPr>
          <w:color w:val="auto"/>
          <w:sz w:val="20"/>
          <w:szCs w:val="20"/>
        </w:rPr>
        <w:t>pectively.</w:t>
      </w:r>
    </w:p>
    <w:p w:rsidR="00A5761F" w:rsidRPr="0068369B" w:rsidRDefault="00A5761F" w:rsidP="00A5761F">
      <w:pPr>
        <w:autoSpaceDE w:val="0"/>
        <w:autoSpaceDN w:val="0"/>
        <w:adjustRightInd w:val="0"/>
        <w:spacing w:after="0" w:line="480" w:lineRule="auto"/>
        <w:jc w:val="center"/>
        <w:rPr>
          <w:rFonts w:ascii="Times New Roman" w:hAnsi="Times New Roman" w:cs="Times New Roman"/>
          <w:sz w:val="20"/>
          <w:szCs w:val="20"/>
        </w:rPr>
      </w:pPr>
    </w:p>
    <w:p w:rsidR="00AE3317" w:rsidRPr="0068369B" w:rsidRDefault="00A5761F" w:rsidP="00A5761F">
      <w:pPr>
        <w:autoSpaceDE w:val="0"/>
        <w:autoSpaceDN w:val="0"/>
        <w:adjustRightInd w:val="0"/>
        <w:spacing w:after="0" w:line="480" w:lineRule="auto"/>
        <w:jc w:val="center"/>
        <w:rPr>
          <w:rFonts w:ascii="Times New Roman" w:hAnsi="Times New Roman" w:cs="Times New Roman"/>
          <w:sz w:val="20"/>
          <w:szCs w:val="20"/>
        </w:rPr>
      </w:pPr>
      <w:proofErr w:type="gramStart"/>
      <w:r w:rsidRPr="0068369B">
        <w:rPr>
          <w:rFonts w:ascii="Times New Roman" w:hAnsi="Times New Roman" w:cs="Times New Roman"/>
          <w:sz w:val="20"/>
          <w:szCs w:val="20"/>
        </w:rPr>
        <w:t>Table 4</w:t>
      </w:r>
      <w:r w:rsidR="0057101D">
        <w:rPr>
          <w:rFonts w:ascii="Times New Roman" w:hAnsi="Times New Roman" w:cs="Times New Roman"/>
          <w:sz w:val="20"/>
          <w:szCs w:val="20"/>
        </w:rPr>
        <w:t>.</w:t>
      </w:r>
      <w:proofErr w:type="gramEnd"/>
      <w:r w:rsidRPr="0068369B">
        <w:rPr>
          <w:rFonts w:ascii="Times New Roman" w:hAnsi="Times New Roman" w:cs="Times New Roman"/>
          <w:sz w:val="20"/>
          <w:szCs w:val="20"/>
        </w:rPr>
        <w:t xml:space="preserve"> Intra-day precision result for </w:t>
      </w:r>
      <w:proofErr w:type="spellStart"/>
      <w:r w:rsidRPr="0068369B">
        <w:rPr>
          <w:rFonts w:ascii="Times New Roman" w:hAnsi="Times New Roman" w:cs="Times New Roman"/>
          <w:sz w:val="20"/>
          <w:szCs w:val="20"/>
        </w:rPr>
        <w:t>Artemether</w:t>
      </w:r>
      <w:proofErr w:type="spellEnd"/>
      <w:r w:rsidRPr="0068369B">
        <w:rPr>
          <w:rFonts w:ascii="Times New Roman" w:hAnsi="Times New Roman" w:cs="Times New Roman"/>
          <w:sz w:val="20"/>
          <w:szCs w:val="20"/>
        </w:rPr>
        <w:t xml:space="preserve"> and </w:t>
      </w:r>
      <w:proofErr w:type="spellStart"/>
      <w:r w:rsidRPr="0068369B">
        <w:rPr>
          <w:rFonts w:ascii="Times New Roman" w:hAnsi="Times New Roman" w:cs="Times New Roman"/>
          <w:sz w:val="20"/>
          <w:szCs w:val="20"/>
        </w:rPr>
        <w:t>Lumefantrine</w:t>
      </w:r>
      <w:proofErr w:type="spellEnd"/>
    </w:p>
    <w:tbl>
      <w:tblPr>
        <w:tblStyle w:val="TableGrid"/>
        <w:tblpPr w:leftFromText="180" w:rightFromText="180" w:vertAnchor="text" w:horzAnchor="margin" w:tblpY="224"/>
        <w:tblW w:w="5000" w:type="pct"/>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2339"/>
        <w:gridCol w:w="390"/>
        <w:gridCol w:w="1908"/>
        <w:gridCol w:w="1349"/>
        <w:gridCol w:w="1908"/>
        <w:gridCol w:w="1349"/>
      </w:tblGrid>
      <w:tr w:rsidR="0057101D" w:rsidRPr="0068369B" w:rsidTr="0057101D">
        <w:trPr>
          <w:trHeight w:val="627"/>
        </w:trPr>
        <w:tc>
          <w:tcPr>
            <w:tcW w:w="1265" w:type="pct"/>
            <w:tcBorders>
              <w:left w:val="nil"/>
              <w:bottom w:val="nil"/>
              <w:right w:val="nil"/>
            </w:tcBorders>
          </w:tcPr>
          <w:p w:rsidR="0057101D" w:rsidRPr="0068369B" w:rsidRDefault="0057101D" w:rsidP="00204868">
            <w:pPr>
              <w:jc w:val="center"/>
              <w:rPr>
                <w:rFonts w:ascii="Times New Roman" w:hAnsi="Times New Roman" w:cs="Times New Roman"/>
                <w:b/>
                <w:sz w:val="20"/>
                <w:szCs w:val="20"/>
              </w:rPr>
            </w:pPr>
            <w:r>
              <w:rPr>
                <w:rFonts w:ascii="Times New Roman" w:hAnsi="Times New Roman" w:cs="Times New Roman"/>
                <w:b/>
                <w:sz w:val="20"/>
                <w:szCs w:val="20"/>
              </w:rPr>
              <w:t>Injection No.</w:t>
            </w:r>
          </w:p>
        </w:tc>
        <w:tc>
          <w:tcPr>
            <w:tcW w:w="211" w:type="pct"/>
            <w:tcBorders>
              <w:left w:val="nil"/>
              <w:bottom w:val="nil"/>
              <w:right w:val="nil"/>
            </w:tcBorders>
          </w:tcPr>
          <w:p w:rsidR="0057101D" w:rsidRPr="0068369B" w:rsidRDefault="0057101D" w:rsidP="00204868">
            <w:pPr>
              <w:jc w:val="center"/>
              <w:rPr>
                <w:rFonts w:ascii="Times New Roman" w:hAnsi="Times New Roman" w:cs="Times New Roman"/>
                <w:b/>
                <w:sz w:val="20"/>
                <w:szCs w:val="20"/>
              </w:rPr>
            </w:pPr>
          </w:p>
        </w:tc>
        <w:tc>
          <w:tcPr>
            <w:tcW w:w="1762" w:type="pct"/>
            <w:gridSpan w:val="2"/>
            <w:tcBorders>
              <w:left w:val="nil"/>
              <w:bottom w:val="nil"/>
              <w:right w:val="nil"/>
            </w:tcBorders>
          </w:tcPr>
          <w:p w:rsidR="0057101D" w:rsidRPr="0068369B" w:rsidRDefault="0057101D" w:rsidP="0057101D">
            <w:pPr>
              <w:jc w:val="center"/>
              <w:rPr>
                <w:rFonts w:ascii="Times New Roman" w:hAnsi="Times New Roman" w:cs="Times New Roman"/>
                <w:b/>
                <w:sz w:val="20"/>
                <w:szCs w:val="20"/>
              </w:rPr>
            </w:pPr>
            <w:proofErr w:type="spellStart"/>
            <w:r w:rsidRPr="0068369B">
              <w:rPr>
                <w:rFonts w:ascii="Times New Roman" w:hAnsi="Times New Roman" w:cs="Times New Roman"/>
                <w:b/>
                <w:sz w:val="20"/>
                <w:szCs w:val="20"/>
              </w:rPr>
              <w:t>Artemether</w:t>
            </w:r>
            <w:proofErr w:type="spellEnd"/>
          </w:p>
        </w:tc>
        <w:tc>
          <w:tcPr>
            <w:tcW w:w="1762" w:type="pct"/>
            <w:gridSpan w:val="2"/>
            <w:tcBorders>
              <w:left w:val="nil"/>
              <w:bottom w:val="nil"/>
              <w:right w:val="nil"/>
            </w:tcBorders>
          </w:tcPr>
          <w:p w:rsidR="0057101D" w:rsidRPr="0068369B" w:rsidRDefault="0057101D" w:rsidP="0057101D">
            <w:pPr>
              <w:jc w:val="center"/>
              <w:rPr>
                <w:rFonts w:ascii="Times New Roman" w:hAnsi="Times New Roman" w:cs="Times New Roman"/>
                <w:b/>
                <w:sz w:val="20"/>
                <w:szCs w:val="20"/>
              </w:rPr>
            </w:pPr>
            <w:proofErr w:type="spellStart"/>
            <w:r w:rsidRPr="0068369B">
              <w:rPr>
                <w:rFonts w:ascii="Times New Roman" w:hAnsi="Times New Roman" w:cs="Times New Roman"/>
                <w:b/>
                <w:sz w:val="20"/>
                <w:szCs w:val="20"/>
              </w:rPr>
              <w:t>Lumefantrine</w:t>
            </w:r>
            <w:proofErr w:type="spellEnd"/>
          </w:p>
        </w:tc>
      </w:tr>
      <w:tr w:rsidR="0057101D" w:rsidRPr="0068369B" w:rsidTr="00FB548F">
        <w:trPr>
          <w:trHeight w:val="404"/>
        </w:trPr>
        <w:tc>
          <w:tcPr>
            <w:tcW w:w="1265" w:type="pct"/>
            <w:tcBorders>
              <w:top w:val="nil"/>
              <w:left w:val="nil"/>
              <w:bottom w:val="single" w:sz="4" w:space="0" w:color="auto"/>
            </w:tcBorders>
          </w:tcPr>
          <w:p w:rsidR="0057101D" w:rsidRPr="0068369B" w:rsidRDefault="0057101D" w:rsidP="00204868">
            <w:pPr>
              <w:jc w:val="center"/>
              <w:rPr>
                <w:rFonts w:ascii="Times New Roman" w:hAnsi="Times New Roman" w:cs="Times New Roman"/>
                <w:b/>
                <w:sz w:val="20"/>
                <w:szCs w:val="20"/>
              </w:rPr>
            </w:pPr>
          </w:p>
        </w:tc>
        <w:tc>
          <w:tcPr>
            <w:tcW w:w="211" w:type="pct"/>
            <w:tcBorders>
              <w:top w:val="nil"/>
              <w:left w:val="nil"/>
              <w:bottom w:val="single" w:sz="4" w:space="0" w:color="auto"/>
            </w:tcBorders>
          </w:tcPr>
          <w:p w:rsidR="0057101D" w:rsidRPr="0068369B" w:rsidRDefault="0057101D" w:rsidP="00204868">
            <w:pPr>
              <w:jc w:val="center"/>
              <w:rPr>
                <w:rFonts w:ascii="Times New Roman" w:hAnsi="Times New Roman" w:cs="Times New Roman"/>
                <w:b/>
                <w:sz w:val="20"/>
                <w:szCs w:val="20"/>
              </w:rPr>
            </w:pPr>
          </w:p>
        </w:tc>
        <w:tc>
          <w:tcPr>
            <w:tcW w:w="1032" w:type="pct"/>
            <w:tcBorders>
              <w:top w:val="single" w:sz="4" w:space="0" w:color="auto"/>
              <w:left w:val="nil"/>
              <w:bottom w:val="single" w:sz="4" w:space="0" w:color="auto"/>
            </w:tcBorders>
          </w:tcPr>
          <w:p w:rsidR="0057101D" w:rsidRPr="0068369B" w:rsidRDefault="0057101D" w:rsidP="0057101D">
            <w:pPr>
              <w:jc w:val="center"/>
              <w:rPr>
                <w:rFonts w:ascii="Times New Roman" w:hAnsi="Times New Roman" w:cs="Times New Roman"/>
                <w:b/>
                <w:sz w:val="20"/>
                <w:szCs w:val="20"/>
              </w:rPr>
            </w:pPr>
            <w:r w:rsidRPr="0068369B">
              <w:rPr>
                <w:rFonts w:ascii="Times New Roman" w:hAnsi="Times New Roman" w:cs="Times New Roman"/>
                <w:b/>
                <w:sz w:val="20"/>
                <w:szCs w:val="20"/>
              </w:rPr>
              <w:t>Area(mV)</w:t>
            </w:r>
          </w:p>
        </w:tc>
        <w:tc>
          <w:tcPr>
            <w:tcW w:w="730" w:type="pct"/>
            <w:tcBorders>
              <w:top w:val="single" w:sz="4" w:space="0" w:color="auto"/>
              <w:bottom w:val="single" w:sz="4" w:space="0" w:color="auto"/>
            </w:tcBorders>
          </w:tcPr>
          <w:p w:rsidR="0057101D" w:rsidRPr="0068369B" w:rsidRDefault="0057101D" w:rsidP="0057101D">
            <w:pPr>
              <w:jc w:val="center"/>
              <w:rPr>
                <w:rFonts w:ascii="Times New Roman" w:hAnsi="Times New Roman" w:cs="Times New Roman"/>
                <w:b/>
                <w:sz w:val="20"/>
                <w:szCs w:val="20"/>
              </w:rPr>
            </w:pPr>
            <w:r w:rsidRPr="0068369B">
              <w:rPr>
                <w:rFonts w:ascii="Times New Roman" w:hAnsi="Times New Roman" w:cs="Times New Roman"/>
                <w:b/>
                <w:sz w:val="20"/>
                <w:szCs w:val="20"/>
              </w:rPr>
              <w:t>RT</w:t>
            </w:r>
          </w:p>
        </w:tc>
        <w:tc>
          <w:tcPr>
            <w:tcW w:w="1032" w:type="pct"/>
            <w:tcBorders>
              <w:top w:val="single" w:sz="4" w:space="0" w:color="auto"/>
              <w:bottom w:val="single" w:sz="4" w:space="0" w:color="auto"/>
            </w:tcBorders>
          </w:tcPr>
          <w:p w:rsidR="0057101D" w:rsidRPr="0068369B" w:rsidRDefault="0057101D" w:rsidP="0057101D">
            <w:pPr>
              <w:jc w:val="center"/>
              <w:rPr>
                <w:rFonts w:ascii="Times New Roman" w:hAnsi="Times New Roman" w:cs="Times New Roman"/>
                <w:b/>
                <w:sz w:val="20"/>
                <w:szCs w:val="20"/>
              </w:rPr>
            </w:pPr>
            <w:r w:rsidRPr="0068369B">
              <w:rPr>
                <w:rFonts w:ascii="Times New Roman" w:hAnsi="Times New Roman" w:cs="Times New Roman"/>
                <w:b/>
                <w:sz w:val="20"/>
                <w:szCs w:val="20"/>
              </w:rPr>
              <w:t>Area(mV)</w:t>
            </w:r>
          </w:p>
        </w:tc>
        <w:tc>
          <w:tcPr>
            <w:tcW w:w="730" w:type="pct"/>
            <w:tcBorders>
              <w:top w:val="single" w:sz="4" w:space="0" w:color="auto"/>
              <w:bottom w:val="single" w:sz="4" w:space="0" w:color="auto"/>
              <w:right w:val="nil"/>
            </w:tcBorders>
          </w:tcPr>
          <w:p w:rsidR="0057101D" w:rsidRPr="0068369B" w:rsidRDefault="0057101D" w:rsidP="0057101D">
            <w:pPr>
              <w:jc w:val="center"/>
              <w:rPr>
                <w:rFonts w:ascii="Times New Roman" w:hAnsi="Times New Roman" w:cs="Times New Roman"/>
                <w:b/>
                <w:sz w:val="20"/>
                <w:szCs w:val="20"/>
              </w:rPr>
            </w:pPr>
            <w:r w:rsidRPr="0068369B">
              <w:rPr>
                <w:rFonts w:ascii="Times New Roman" w:hAnsi="Times New Roman" w:cs="Times New Roman"/>
                <w:b/>
                <w:sz w:val="20"/>
                <w:szCs w:val="20"/>
              </w:rPr>
              <w:t>RT</w:t>
            </w:r>
          </w:p>
        </w:tc>
      </w:tr>
      <w:tr w:rsidR="0057101D" w:rsidRPr="0068369B" w:rsidTr="00FB548F">
        <w:trPr>
          <w:trHeight w:val="383"/>
        </w:trPr>
        <w:tc>
          <w:tcPr>
            <w:tcW w:w="1265" w:type="pct"/>
            <w:tcBorders>
              <w:left w:val="nil"/>
              <w:bottom w:val="nil"/>
            </w:tcBorders>
          </w:tcPr>
          <w:p w:rsidR="0057101D" w:rsidRPr="0068369B" w:rsidRDefault="0057101D" w:rsidP="00204868">
            <w:pPr>
              <w:jc w:val="center"/>
              <w:rPr>
                <w:rFonts w:ascii="Times New Roman" w:hAnsi="Times New Roman" w:cs="Times New Roman"/>
                <w:sz w:val="20"/>
                <w:szCs w:val="20"/>
              </w:rPr>
            </w:pPr>
            <w:r>
              <w:rPr>
                <w:rFonts w:ascii="Times New Roman" w:hAnsi="Times New Roman" w:cs="Times New Roman"/>
                <w:sz w:val="20"/>
                <w:szCs w:val="20"/>
              </w:rPr>
              <w:t>1</w:t>
            </w:r>
          </w:p>
        </w:tc>
        <w:tc>
          <w:tcPr>
            <w:tcW w:w="211" w:type="pct"/>
            <w:tcBorders>
              <w:left w:val="nil"/>
              <w:bottom w:val="nil"/>
            </w:tcBorders>
          </w:tcPr>
          <w:p w:rsidR="0057101D" w:rsidRPr="0068369B" w:rsidRDefault="0057101D" w:rsidP="00204868">
            <w:pPr>
              <w:jc w:val="center"/>
              <w:rPr>
                <w:rFonts w:ascii="Times New Roman" w:hAnsi="Times New Roman" w:cs="Times New Roman"/>
                <w:sz w:val="20"/>
                <w:szCs w:val="20"/>
              </w:rPr>
            </w:pPr>
          </w:p>
        </w:tc>
        <w:tc>
          <w:tcPr>
            <w:tcW w:w="1032" w:type="pct"/>
            <w:tcBorders>
              <w:left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238.008</w:t>
            </w:r>
          </w:p>
        </w:tc>
        <w:tc>
          <w:tcPr>
            <w:tcW w:w="730" w:type="pct"/>
            <w:tcBorders>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4.343</w:t>
            </w:r>
          </w:p>
        </w:tc>
        <w:tc>
          <w:tcPr>
            <w:tcW w:w="1032" w:type="pct"/>
            <w:tcBorders>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5372.668</w:t>
            </w:r>
          </w:p>
        </w:tc>
        <w:tc>
          <w:tcPr>
            <w:tcW w:w="730" w:type="pct"/>
            <w:tcBorders>
              <w:bottom w:val="nil"/>
              <w:right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5.490</w:t>
            </w:r>
          </w:p>
        </w:tc>
      </w:tr>
      <w:tr w:rsidR="0057101D" w:rsidRPr="0068369B" w:rsidTr="00FB548F">
        <w:trPr>
          <w:trHeight w:val="354"/>
        </w:trPr>
        <w:tc>
          <w:tcPr>
            <w:tcW w:w="1265" w:type="pct"/>
            <w:tcBorders>
              <w:top w:val="nil"/>
              <w:left w:val="nil"/>
              <w:bottom w:val="nil"/>
            </w:tcBorders>
          </w:tcPr>
          <w:p w:rsidR="0057101D" w:rsidRPr="0068369B" w:rsidRDefault="0057101D" w:rsidP="00204868">
            <w:pPr>
              <w:jc w:val="center"/>
              <w:rPr>
                <w:rFonts w:ascii="Times New Roman" w:hAnsi="Times New Roman" w:cs="Times New Roman"/>
                <w:sz w:val="20"/>
                <w:szCs w:val="20"/>
              </w:rPr>
            </w:pPr>
            <w:r>
              <w:rPr>
                <w:rFonts w:ascii="Times New Roman" w:hAnsi="Times New Roman" w:cs="Times New Roman"/>
                <w:sz w:val="20"/>
                <w:szCs w:val="20"/>
              </w:rPr>
              <w:t>2</w:t>
            </w:r>
          </w:p>
        </w:tc>
        <w:tc>
          <w:tcPr>
            <w:tcW w:w="211" w:type="pct"/>
            <w:tcBorders>
              <w:top w:val="nil"/>
              <w:left w:val="nil"/>
              <w:bottom w:val="nil"/>
            </w:tcBorders>
          </w:tcPr>
          <w:p w:rsidR="0057101D" w:rsidRPr="0068369B" w:rsidRDefault="0057101D" w:rsidP="00204868">
            <w:pPr>
              <w:jc w:val="center"/>
              <w:rPr>
                <w:rFonts w:ascii="Times New Roman" w:hAnsi="Times New Roman" w:cs="Times New Roman"/>
                <w:sz w:val="20"/>
                <w:szCs w:val="20"/>
              </w:rPr>
            </w:pPr>
          </w:p>
        </w:tc>
        <w:tc>
          <w:tcPr>
            <w:tcW w:w="1032" w:type="pct"/>
            <w:tcBorders>
              <w:top w:val="nil"/>
              <w:left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238.749</w:t>
            </w:r>
          </w:p>
        </w:tc>
        <w:tc>
          <w:tcPr>
            <w:tcW w:w="730" w:type="pct"/>
            <w:tcBorders>
              <w:top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4.360</w:t>
            </w:r>
          </w:p>
        </w:tc>
        <w:tc>
          <w:tcPr>
            <w:tcW w:w="1032" w:type="pct"/>
            <w:tcBorders>
              <w:top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5373.642</w:t>
            </w:r>
          </w:p>
        </w:tc>
        <w:tc>
          <w:tcPr>
            <w:tcW w:w="730" w:type="pct"/>
            <w:tcBorders>
              <w:top w:val="nil"/>
              <w:bottom w:val="nil"/>
              <w:right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5.513</w:t>
            </w:r>
          </w:p>
        </w:tc>
      </w:tr>
      <w:tr w:rsidR="0057101D" w:rsidRPr="0068369B" w:rsidTr="00FB548F">
        <w:trPr>
          <w:trHeight w:val="336"/>
        </w:trPr>
        <w:tc>
          <w:tcPr>
            <w:tcW w:w="1265" w:type="pct"/>
            <w:tcBorders>
              <w:top w:val="nil"/>
              <w:left w:val="nil"/>
              <w:bottom w:val="nil"/>
            </w:tcBorders>
          </w:tcPr>
          <w:p w:rsidR="0057101D" w:rsidRPr="0068369B" w:rsidRDefault="0057101D" w:rsidP="00204868">
            <w:pPr>
              <w:jc w:val="center"/>
              <w:rPr>
                <w:rFonts w:ascii="Times New Roman" w:hAnsi="Times New Roman" w:cs="Times New Roman"/>
                <w:sz w:val="20"/>
                <w:szCs w:val="20"/>
              </w:rPr>
            </w:pPr>
            <w:r>
              <w:rPr>
                <w:rFonts w:ascii="Times New Roman" w:hAnsi="Times New Roman" w:cs="Times New Roman"/>
                <w:sz w:val="20"/>
                <w:szCs w:val="20"/>
              </w:rPr>
              <w:t>3</w:t>
            </w:r>
          </w:p>
        </w:tc>
        <w:tc>
          <w:tcPr>
            <w:tcW w:w="211" w:type="pct"/>
            <w:tcBorders>
              <w:top w:val="nil"/>
              <w:left w:val="nil"/>
              <w:bottom w:val="nil"/>
            </w:tcBorders>
          </w:tcPr>
          <w:p w:rsidR="0057101D" w:rsidRPr="0068369B" w:rsidRDefault="0057101D" w:rsidP="00204868">
            <w:pPr>
              <w:jc w:val="center"/>
              <w:rPr>
                <w:rFonts w:ascii="Times New Roman" w:hAnsi="Times New Roman" w:cs="Times New Roman"/>
                <w:sz w:val="20"/>
                <w:szCs w:val="20"/>
              </w:rPr>
            </w:pPr>
          </w:p>
        </w:tc>
        <w:tc>
          <w:tcPr>
            <w:tcW w:w="1032" w:type="pct"/>
            <w:tcBorders>
              <w:top w:val="nil"/>
              <w:left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241.630</w:t>
            </w:r>
          </w:p>
        </w:tc>
        <w:tc>
          <w:tcPr>
            <w:tcW w:w="730" w:type="pct"/>
            <w:tcBorders>
              <w:top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4.357</w:t>
            </w:r>
          </w:p>
        </w:tc>
        <w:tc>
          <w:tcPr>
            <w:tcW w:w="1032" w:type="pct"/>
            <w:tcBorders>
              <w:top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5373.611</w:t>
            </w:r>
          </w:p>
        </w:tc>
        <w:tc>
          <w:tcPr>
            <w:tcW w:w="730" w:type="pct"/>
            <w:tcBorders>
              <w:top w:val="nil"/>
              <w:bottom w:val="nil"/>
              <w:right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5.510</w:t>
            </w:r>
          </w:p>
        </w:tc>
      </w:tr>
      <w:tr w:rsidR="0057101D" w:rsidRPr="0068369B" w:rsidTr="00FB548F">
        <w:trPr>
          <w:trHeight w:val="309"/>
        </w:trPr>
        <w:tc>
          <w:tcPr>
            <w:tcW w:w="1265" w:type="pct"/>
            <w:tcBorders>
              <w:top w:val="nil"/>
              <w:left w:val="nil"/>
              <w:bottom w:val="nil"/>
            </w:tcBorders>
          </w:tcPr>
          <w:p w:rsidR="0057101D" w:rsidRPr="0068369B" w:rsidRDefault="0057101D" w:rsidP="00204868">
            <w:pPr>
              <w:jc w:val="center"/>
              <w:rPr>
                <w:rFonts w:ascii="Times New Roman" w:hAnsi="Times New Roman" w:cs="Times New Roman"/>
                <w:sz w:val="20"/>
                <w:szCs w:val="20"/>
              </w:rPr>
            </w:pPr>
            <w:r>
              <w:rPr>
                <w:rFonts w:ascii="Times New Roman" w:hAnsi="Times New Roman" w:cs="Times New Roman"/>
                <w:sz w:val="20"/>
                <w:szCs w:val="20"/>
              </w:rPr>
              <w:t>4</w:t>
            </w:r>
          </w:p>
        </w:tc>
        <w:tc>
          <w:tcPr>
            <w:tcW w:w="211" w:type="pct"/>
            <w:tcBorders>
              <w:top w:val="nil"/>
              <w:left w:val="nil"/>
              <w:bottom w:val="nil"/>
            </w:tcBorders>
          </w:tcPr>
          <w:p w:rsidR="0057101D" w:rsidRPr="0068369B" w:rsidRDefault="0057101D" w:rsidP="00204868">
            <w:pPr>
              <w:jc w:val="center"/>
              <w:rPr>
                <w:rFonts w:ascii="Times New Roman" w:hAnsi="Times New Roman" w:cs="Times New Roman"/>
                <w:sz w:val="20"/>
                <w:szCs w:val="20"/>
              </w:rPr>
            </w:pPr>
          </w:p>
        </w:tc>
        <w:tc>
          <w:tcPr>
            <w:tcW w:w="1032" w:type="pct"/>
            <w:tcBorders>
              <w:top w:val="nil"/>
              <w:left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240.339</w:t>
            </w:r>
          </w:p>
        </w:tc>
        <w:tc>
          <w:tcPr>
            <w:tcW w:w="730" w:type="pct"/>
            <w:tcBorders>
              <w:top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4.340</w:t>
            </w:r>
          </w:p>
        </w:tc>
        <w:tc>
          <w:tcPr>
            <w:tcW w:w="1032" w:type="pct"/>
            <w:tcBorders>
              <w:top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5367.166</w:t>
            </w:r>
          </w:p>
        </w:tc>
        <w:tc>
          <w:tcPr>
            <w:tcW w:w="730" w:type="pct"/>
            <w:tcBorders>
              <w:top w:val="nil"/>
              <w:bottom w:val="nil"/>
              <w:right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5.487</w:t>
            </w:r>
          </w:p>
        </w:tc>
      </w:tr>
      <w:tr w:rsidR="0057101D" w:rsidRPr="0068369B" w:rsidTr="00FB548F">
        <w:trPr>
          <w:trHeight w:val="273"/>
        </w:trPr>
        <w:tc>
          <w:tcPr>
            <w:tcW w:w="1265" w:type="pct"/>
            <w:tcBorders>
              <w:top w:val="nil"/>
              <w:left w:val="nil"/>
              <w:bottom w:val="nil"/>
            </w:tcBorders>
          </w:tcPr>
          <w:p w:rsidR="0057101D" w:rsidRPr="0068369B" w:rsidRDefault="0057101D" w:rsidP="00204868">
            <w:pPr>
              <w:jc w:val="center"/>
              <w:rPr>
                <w:rFonts w:ascii="Times New Roman" w:hAnsi="Times New Roman" w:cs="Times New Roman"/>
                <w:sz w:val="20"/>
                <w:szCs w:val="20"/>
              </w:rPr>
            </w:pPr>
            <w:r>
              <w:rPr>
                <w:rFonts w:ascii="Times New Roman" w:hAnsi="Times New Roman" w:cs="Times New Roman"/>
                <w:sz w:val="20"/>
                <w:szCs w:val="20"/>
              </w:rPr>
              <w:t>5</w:t>
            </w:r>
          </w:p>
        </w:tc>
        <w:tc>
          <w:tcPr>
            <w:tcW w:w="211" w:type="pct"/>
            <w:tcBorders>
              <w:top w:val="nil"/>
              <w:left w:val="nil"/>
              <w:bottom w:val="nil"/>
            </w:tcBorders>
          </w:tcPr>
          <w:p w:rsidR="0057101D" w:rsidRPr="0068369B" w:rsidRDefault="0057101D" w:rsidP="00204868">
            <w:pPr>
              <w:jc w:val="center"/>
              <w:rPr>
                <w:rFonts w:ascii="Times New Roman" w:hAnsi="Times New Roman" w:cs="Times New Roman"/>
                <w:sz w:val="20"/>
                <w:szCs w:val="20"/>
              </w:rPr>
            </w:pPr>
          </w:p>
        </w:tc>
        <w:tc>
          <w:tcPr>
            <w:tcW w:w="1032" w:type="pct"/>
            <w:tcBorders>
              <w:top w:val="nil"/>
              <w:left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238.402</w:t>
            </w:r>
          </w:p>
        </w:tc>
        <w:tc>
          <w:tcPr>
            <w:tcW w:w="730" w:type="pct"/>
            <w:tcBorders>
              <w:top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4.350</w:t>
            </w:r>
          </w:p>
        </w:tc>
        <w:tc>
          <w:tcPr>
            <w:tcW w:w="1032" w:type="pct"/>
            <w:tcBorders>
              <w:top w:val="nil"/>
              <w:bottom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5365.531</w:t>
            </w:r>
          </w:p>
        </w:tc>
        <w:tc>
          <w:tcPr>
            <w:tcW w:w="730" w:type="pct"/>
            <w:tcBorders>
              <w:top w:val="nil"/>
              <w:bottom w:val="nil"/>
              <w:right w:val="nil"/>
            </w:tcBorders>
            <w:vAlign w:val="bottom"/>
          </w:tcPr>
          <w:p w:rsidR="0057101D" w:rsidRPr="0068369B" w:rsidRDefault="0057101D" w:rsidP="00204868">
            <w:pPr>
              <w:jc w:val="center"/>
              <w:rPr>
                <w:rFonts w:ascii="Times New Roman" w:hAnsi="Times New Roman" w:cs="Times New Roman"/>
                <w:sz w:val="20"/>
                <w:szCs w:val="20"/>
              </w:rPr>
            </w:pPr>
            <w:r w:rsidRPr="0068369B">
              <w:rPr>
                <w:rFonts w:ascii="Times New Roman" w:hAnsi="Times New Roman" w:cs="Times New Roman"/>
                <w:sz w:val="20"/>
                <w:szCs w:val="20"/>
              </w:rPr>
              <w:t>5.493</w:t>
            </w:r>
          </w:p>
        </w:tc>
      </w:tr>
      <w:tr w:rsidR="0057101D" w:rsidRPr="0068369B" w:rsidTr="00FB548F">
        <w:trPr>
          <w:trHeight w:val="336"/>
        </w:trPr>
        <w:tc>
          <w:tcPr>
            <w:tcW w:w="1265" w:type="pct"/>
            <w:tcBorders>
              <w:top w:val="nil"/>
              <w:left w:val="nil"/>
              <w:bottom w:val="nil"/>
            </w:tcBorders>
          </w:tcPr>
          <w:p w:rsidR="0057101D" w:rsidRPr="00FB548F" w:rsidRDefault="00FB548F" w:rsidP="00FB548F">
            <w:pPr>
              <w:jc w:val="center"/>
              <w:rPr>
                <w:rFonts w:ascii="Times New Roman" w:hAnsi="Times New Roman" w:cs="Times New Roman"/>
                <w:b/>
                <w:bCs/>
                <w:sz w:val="20"/>
                <w:szCs w:val="20"/>
              </w:rPr>
            </w:pPr>
            <w:r w:rsidRPr="00FB548F">
              <w:rPr>
                <w:rFonts w:ascii="Times New Roman" w:hAnsi="Times New Roman" w:cs="Times New Roman"/>
                <w:b/>
                <w:bCs/>
                <w:sz w:val="20"/>
                <w:szCs w:val="20"/>
              </w:rPr>
              <w:lastRenderedPageBreak/>
              <w:t>Average</w:t>
            </w:r>
          </w:p>
        </w:tc>
        <w:tc>
          <w:tcPr>
            <w:tcW w:w="211" w:type="pct"/>
            <w:tcBorders>
              <w:top w:val="nil"/>
              <w:left w:val="nil"/>
              <w:bottom w:val="nil"/>
            </w:tcBorders>
          </w:tcPr>
          <w:p w:rsidR="0057101D" w:rsidRPr="0068369B" w:rsidRDefault="0057101D" w:rsidP="00A00FE3">
            <w:pPr>
              <w:jc w:val="center"/>
              <w:rPr>
                <w:rFonts w:ascii="Times New Roman" w:hAnsi="Times New Roman" w:cs="Times New Roman"/>
                <w:sz w:val="20"/>
                <w:szCs w:val="20"/>
              </w:rPr>
            </w:pPr>
          </w:p>
        </w:tc>
        <w:tc>
          <w:tcPr>
            <w:tcW w:w="1032" w:type="pct"/>
            <w:tcBorders>
              <w:top w:val="nil"/>
              <w:left w:val="nil"/>
              <w:bottom w:val="nil"/>
            </w:tcBorders>
            <w:vAlign w:val="bottom"/>
          </w:tcPr>
          <w:p w:rsidR="0057101D" w:rsidRPr="0068369B" w:rsidRDefault="0057101D" w:rsidP="00A00FE3">
            <w:pPr>
              <w:jc w:val="center"/>
              <w:rPr>
                <w:rFonts w:ascii="Times New Roman" w:hAnsi="Times New Roman" w:cs="Times New Roman"/>
                <w:sz w:val="20"/>
                <w:szCs w:val="20"/>
              </w:rPr>
            </w:pPr>
            <w:r w:rsidRPr="0068369B">
              <w:rPr>
                <w:rFonts w:ascii="Times New Roman" w:hAnsi="Times New Roman" w:cs="Times New Roman"/>
                <w:sz w:val="20"/>
                <w:szCs w:val="20"/>
              </w:rPr>
              <w:t>239.4256</w:t>
            </w:r>
          </w:p>
        </w:tc>
        <w:tc>
          <w:tcPr>
            <w:tcW w:w="730" w:type="pct"/>
            <w:tcBorders>
              <w:top w:val="nil"/>
              <w:bottom w:val="nil"/>
            </w:tcBorders>
            <w:vAlign w:val="bottom"/>
          </w:tcPr>
          <w:p w:rsidR="0057101D" w:rsidRPr="0068369B" w:rsidRDefault="0057101D" w:rsidP="00A00FE3">
            <w:pPr>
              <w:jc w:val="center"/>
              <w:rPr>
                <w:rFonts w:ascii="Times New Roman" w:hAnsi="Times New Roman" w:cs="Times New Roman"/>
                <w:sz w:val="20"/>
                <w:szCs w:val="20"/>
              </w:rPr>
            </w:pPr>
            <w:r w:rsidRPr="0068369B">
              <w:rPr>
                <w:rFonts w:ascii="Times New Roman" w:hAnsi="Times New Roman" w:cs="Times New Roman"/>
                <w:sz w:val="20"/>
                <w:szCs w:val="20"/>
              </w:rPr>
              <w:t>4.35</w:t>
            </w:r>
          </w:p>
        </w:tc>
        <w:tc>
          <w:tcPr>
            <w:tcW w:w="1032" w:type="pct"/>
            <w:tcBorders>
              <w:top w:val="nil"/>
              <w:bottom w:val="nil"/>
            </w:tcBorders>
            <w:vAlign w:val="bottom"/>
          </w:tcPr>
          <w:p w:rsidR="0057101D" w:rsidRPr="0068369B" w:rsidRDefault="0057101D" w:rsidP="00A00FE3">
            <w:pPr>
              <w:jc w:val="center"/>
              <w:rPr>
                <w:rFonts w:ascii="Times New Roman" w:hAnsi="Times New Roman" w:cs="Times New Roman"/>
                <w:sz w:val="20"/>
                <w:szCs w:val="20"/>
              </w:rPr>
            </w:pPr>
            <w:r w:rsidRPr="0068369B">
              <w:rPr>
                <w:rFonts w:ascii="Times New Roman" w:hAnsi="Times New Roman" w:cs="Times New Roman"/>
                <w:sz w:val="20"/>
                <w:szCs w:val="20"/>
              </w:rPr>
              <w:t>5370.5236</w:t>
            </w:r>
          </w:p>
        </w:tc>
        <w:tc>
          <w:tcPr>
            <w:tcW w:w="730" w:type="pct"/>
            <w:tcBorders>
              <w:top w:val="nil"/>
              <w:bottom w:val="nil"/>
              <w:right w:val="nil"/>
            </w:tcBorders>
            <w:vAlign w:val="bottom"/>
          </w:tcPr>
          <w:p w:rsidR="0057101D" w:rsidRPr="0068369B" w:rsidRDefault="0057101D" w:rsidP="00A00FE3">
            <w:pPr>
              <w:jc w:val="center"/>
              <w:rPr>
                <w:rFonts w:ascii="Times New Roman" w:hAnsi="Times New Roman" w:cs="Times New Roman"/>
                <w:sz w:val="20"/>
                <w:szCs w:val="20"/>
              </w:rPr>
            </w:pPr>
            <w:r w:rsidRPr="0068369B">
              <w:rPr>
                <w:rFonts w:ascii="Times New Roman" w:hAnsi="Times New Roman" w:cs="Times New Roman"/>
                <w:sz w:val="20"/>
                <w:szCs w:val="20"/>
              </w:rPr>
              <w:t>5.4986</w:t>
            </w:r>
          </w:p>
        </w:tc>
      </w:tr>
      <w:tr w:rsidR="0057101D" w:rsidRPr="0068369B" w:rsidTr="00FB548F">
        <w:trPr>
          <w:trHeight w:val="300"/>
        </w:trPr>
        <w:tc>
          <w:tcPr>
            <w:tcW w:w="1265" w:type="pct"/>
            <w:tcBorders>
              <w:top w:val="nil"/>
              <w:left w:val="nil"/>
              <w:bottom w:val="nil"/>
            </w:tcBorders>
          </w:tcPr>
          <w:p w:rsidR="0057101D" w:rsidRPr="00FB548F" w:rsidRDefault="00FB548F" w:rsidP="00A00FE3">
            <w:pPr>
              <w:jc w:val="center"/>
              <w:rPr>
                <w:rFonts w:ascii="Times New Roman" w:hAnsi="Times New Roman" w:cs="Times New Roman"/>
                <w:b/>
                <w:bCs/>
                <w:sz w:val="20"/>
                <w:szCs w:val="20"/>
              </w:rPr>
            </w:pPr>
            <w:r w:rsidRPr="00FB548F">
              <w:rPr>
                <w:rFonts w:ascii="Times New Roman" w:hAnsi="Times New Roman" w:cs="Times New Roman"/>
                <w:b/>
                <w:bCs/>
                <w:sz w:val="20"/>
                <w:szCs w:val="20"/>
              </w:rPr>
              <w:t>SD</w:t>
            </w:r>
          </w:p>
        </w:tc>
        <w:tc>
          <w:tcPr>
            <w:tcW w:w="211" w:type="pct"/>
            <w:tcBorders>
              <w:top w:val="nil"/>
              <w:left w:val="nil"/>
              <w:bottom w:val="nil"/>
            </w:tcBorders>
          </w:tcPr>
          <w:p w:rsidR="0057101D" w:rsidRPr="0068369B" w:rsidRDefault="0057101D" w:rsidP="00A00FE3">
            <w:pPr>
              <w:jc w:val="center"/>
              <w:rPr>
                <w:rFonts w:ascii="Times New Roman" w:hAnsi="Times New Roman" w:cs="Times New Roman"/>
                <w:sz w:val="20"/>
                <w:szCs w:val="20"/>
              </w:rPr>
            </w:pPr>
          </w:p>
        </w:tc>
        <w:tc>
          <w:tcPr>
            <w:tcW w:w="1032" w:type="pct"/>
            <w:tcBorders>
              <w:top w:val="nil"/>
              <w:left w:val="nil"/>
              <w:bottom w:val="nil"/>
            </w:tcBorders>
            <w:vAlign w:val="bottom"/>
          </w:tcPr>
          <w:p w:rsidR="0057101D" w:rsidRPr="0068369B" w:rsidRDefault="0057101D" w:rsidP="00A00FE3">
            <w:pPr>
              <w:jc w:val="center"/>
              <w:rPr>
                <w:rFonts w:ascii="Times New Roman" w:hAnsi="Times New Roman" w:cs="Times New Roman"/>
                <w:sz w:val="20"/>
                <w:szCs w:val="20"/>
              </w:rPr>
            </w:pPr>
            <w:r w:rsidRPr="0068369B">
              <w:rPr>
                <w:rFonts w:ascii="Times New Roman" w:hAnsi="Times New Roman" w:cs="Times New Roman"/>
                <w:sz w:val="20"/>
                <w:szCs w:val="20"/>
              </w:rPr>
              <w:t>1.517</w:t>
            </w:r>
          </w:p>
        </w:tc>
        <w:tc>
          <w:tcPr>
            <w:tcW w:w="730" w:type="pct"/>
            <w:tcBorders>
              <w:top w:val="nil"/>
              <w:bottom w:val="nil"/>
            </w:tcBorders>
            <w:vAlign w:val="bottom"/>
          </w:tcPr>
          <w:p w:rsidR="0057101D" w:rsidRPr="0068369B" w:rsidRDefault="0057101D" w:rsidP="00A00FE3">
            <w:pPr>
              <w:jc w:val="center"/>
              <w:rPr>
                <w:rFonts w:ascii="Times New Roman" w:hAnsi="Times New Roman" w:cs="Times New Roman"/>
                <w:sz w:val="20"/>
                <w:szCs w:val="20"/>
              </w:rPr>
            </w:pPr>
            <w:r w:rsidRPr="0068369B">
              <w:rPr>
                <w:rFonts w:ascii="Times New Roman" w:hAnsi="Times New Roman" w:cs="Times New Roman"/>
                <w:sz w:val="20"/>
                <w:szCs w:val="20"/>
              </w:rPr>
              <w:t>0.0086</w:t>
            </w:r>
          </w:p>
        </w:tc>
        <w:tc>
          <w:tcPr>
            <w:tcW w:w="1032" w:type="pct"/>
            <w:tcBorders>
              <w:top w:val="nil"/>
              <w:bottom w:val="nil"/>
            </w:tcBorders>
            <w:vAlign w:val="bottom"/>
          </w:tcPr>
          <w:p w:rsidR="0057101D" w:rsidRPr="0068369B" w:rsidRDefault="0057101D" w:rsidP="00A00FE3">
            <w:pPr>
              <w:jc w:val="center"/>
              <w:rPr>
                <w:rFonts w:ascii="Times New Roman" w:hAnsi="Times New Roman" w:cs="Times New Roman"/>
                <w:sz w:val="20"/>
                <w:szCs w:val="20"/>
              </w:rPr>
            </w:pPr>
            <w:r w:rsidRPr="0068369B">
              <w:rPr>
                <w:rFonts w:ascii="Times New Roman" w:hAnsi="Times New Roman" w:cs="Times New Roman"/>
                <w:sz w:val="20"/>
                <w:szCs w:val="20"/>
              </w:rPr>
              <w:t>3.874</w:t>
            </w:r>
          </w:p>
        </w:tc>
        <w:tc>
          <w:tcPr>
            <w:tcW w:w="730" w:type="pct"/>
            <w:tcBorders>
              <w:top w:val="nil"/>
              <w:bottom w:val="nil"/>
              <w:right w:val="nil"/>
            </w:tcBorders>
            <w:vAlign w:val="bottom"/>
          </w:tcPr>
          <w:p w:rsidR="0057101D" w:rsidRPr="0068369B" w:rsidRDefault="0057101D" w:rsidP="00A00FE3">
            <w:pPr>
              <w:jc w:val="center"/>
              <w:rPr>
                <w:rFonts w:ascii="Times New Roman" w:hAnsi="Times New Roman" w:cs="Times New Roman"/>
                <w:sz w:val="20"/>
                <w:szCs w:val="20"/>
              </w:rPr>
            </w:pPr>
            <w:r w:rsidRPr="0068369B">
              <w:rPr>
                <w:rFonts w:ascii="Times New Roman" w:hAnsi="Times New Roman" w:cs="Times New Roman"/>
                <w:sz w:val="20"/>
                <w:szCs w:val="20"/>
              </w:rPr>
              <w:t>0.012</w:t>
            </w:r>
          </w:p>
        </w:tc>
      </w:tr>
      <w:tr w:rsidR="0057101D" w:rsidRPr="0068369B" w:rsidTr="00FB548F">
        <w:trPr>
          <w:trHeight w:val="302"/>
        </w:trPr>
        <w:tc>
          <w:tcPr>
            <w:tcW w:w="1265" w:type="pct"/>
            <w:tcBorders>
              <w:top w:val="nil"/>
              <w:left w:val="nil"/>
            </w:tcBorders>
          </w:tcPr>
          <w:p w:rsidR="0057101D" w:rsidRPr="00FB548F" w:rsidRDefault="00FB548F" w:rsidP="00A00FE3">
            <w:pPr>
              <w:jc w:val="center"/>
              <w:rPr>
                <w:rFonts w:ascii="Times New Roman" w:hAnsi="Times New Roman" w:cs="Times New Roman"/>
                <w:b/>
                <w:bCs/>
                <w:sz w:val="20"/>
                <w:szCs w:val="20"/>
              </w:rPr>
            </w:pPr>
            <w:r w:rsidRPr="00FB548F">
              <w:rPr>
                <w:rFonts w:ascii="Times New Roman" w:hAnsi="Times New Roman" w:cs="Times New Roman"/>
                <w:b/>
                <w:bCs/>
                <w:sz w:val="20"/>
                <w:szCs w:val="20"/>
              </w:rPr>
              <w:t>% RSD</w:t>
            </w:r>
          </w:p>
        </w:tc>
        <w:tc>
          <w:tcPr>
            <w:tcW w:w="211" w:type="pct"/>
            <w:tcBorders>
              <w:top w:val="nil"/>
              <w:left w:val="nil"/>
            </w:tcBorders>
          </w:tcPr>
          <w:p w:rsidR="0057101D" w:rsidRPr="0068369B" w:rsidRDefault="0057101D" w:rsidP="00A00FE3">
            <w:pPr>
              <w:jc w:val="center"/>
              <w:rPr>
                <w:rFonts w:ascii="Times New Roman" w:hAnsi="Times New Roman" w:cs="Times New Roman"/>
                <w:bCs/>
                <w:sz w:val="20"/>
                <w:szCs w:val="20"/>
              </w:rPr>
            </w:pPr>
          </w:p>
        </w:tc>
        <w:tc>
          <w:tcPr>
            <w:tcW w:w="1032" w:type="pct"/>
            <w:tcBorders>
              <w:top w:val="nil"/>
              <w:left w:val="nil"/>
            </w:tcBorders>
            <w:vAlign w:val="bottom"/>
          </w:tcPr>
          <w:p w:rsidR="0057101D" w:rsidRPr="0068369B" w:rsidRDefault="0057101D" w:rsidP="00A00FE3">
            <w:pPr>
              <w:jc w:val="center"/>
              <w:rPr>
                <w:rFonts w:ascii="Times New Roman" w:hAnsi="Times New Roman" w:cs="Times New Roman"/>
                <w:bCs/>
                <w:sz w:val="20"/>
                <w:szCs w:val="20"/>
              </w:rPr>
            </w:pPr>
            <w:r w:rsidRPr="0068369B">
              <w:rPr>
                <w:rFonts w:ascii="Times New Roman" w:hAnsi="Times New Roman" w:cs="Times New Roman"/>
                <w:bCs/>
                <w:sz w:val="20"/>
                <w:szCs w:val="20"/>
              </w:rPr>
              <w:t>0.63</w:t>
            </w:r>
          </w:p>
        </w:tc>
        <w:tc>
          <w:tcPr>
            <w:tcW w:w="730" w:type="pct"/>
            <w:tcBorders>
              <w:top w:val="nil"/>
            </w:tcBorders>
            <w:vAlign w:val="bottom"/>
          </w:tcPr>
          <w:p w:rsidR="0057101D" w:rsidRPr="0068369B" w:rsidRDefault="0057101D" w:rsidP="00A00FE3">
            <w:pPr>
              <w:jc w:val="center"/>
              <w:rPr>
                <w:rFonts w:ascii="Times New Roman" w:hAnsi="Times New Roman" w:cs="Times New Roman"/>
                <w:bCs/>
                <w:sz w:val="20"/>
                <w:szCs w:val="20"/>
              </w:rPr>
            </w:pPr>
            <w:r w:rsidRPr="0068369B">
              <w:rPr>
                <w:rFonts w:ascii="Times New Roman" w:hAnsi="Times New Roman" w:cs="Times New Roman"/>
                <w:bCs/>
                <w:sz w:val="20"/>
                <w:szCs w:val="20"/>
              </w:rPr>
              <w:t>0.19</w:t>
            </w:r>
          </w:p>
        </w:tc>
        <w:tc>
          <w:tcPr>
            <w:tcW w:w="1032" w:type="pct"/>
            <w:tcBorders>
              <w:top w:val="nil"/>
            </w:tcBorders>
            <w:vAlign w:val="bottom"/>
          </w:tcPr>
          <w:p w:rsidR="0057101D" w:rsidRPr="0068369B" w:rsidRDefault="0057101D" w:rsidP="00A00FE3">
            <w:pPr>
              <w:jc w:val="center"/>
              <w:rPr>
                <w:rFonts w:ascii="Times New Roman" w:hAnsi="Times New Roman" w:cs="Times New Roman"/>
                <w:sz w:val="20"/>
                <w:szCs w:val="20"/>
              </w:rPr>
            </w:pPr>
            <w:r w:rsidRPr="0068369B">
              <w:rPr>
                <w:rFonts w:ascii="Times New Roman" w:hAnsi="Times New Roman" w:cs="Times New Roman"/>
                <w:sz w:val="20"/>
                <w:szCs w:val="20"/>
              </w:rPr>
              <w:t>0.072</w:t>
            </w:r>
          </w:p>
        </w:tc>
        <w:tc>
          <w:tcPr>
            <w:tcW w:w="730" w:type="pct"/>
            <w:tcBorders>
              <w:top w:val="nil"/>
              <w:right w:val="nil"/>
            </w:tcBorders>
            <w:vAlign w:val="bottom"/>
          </w:tcPr>
          <w:p w:rsidR="0057101D" w:rsidRPr="0068369B" w:rsidRDefault="0057101D" w:rsidP="00A00FE3">
            <w:pPr>
              <w:jc w:val="center"/>
              <w:rPr>
                <w:rFonts w:ascii="Times New Roman" w:hAnsi="Times New Roman" w:cs="Times New Roman"/>
                <w:sz w:val="20"/>
                <w:szCs w:val="20"/>
              </w:rPr>
            </w:pPr>
            <w:r w:rsidRPr="0068369B">
              <w:rPr>
                <w:rFonts w:ascii="Times New Roman" w:hAnsi="Times New Roman" w:cs="Times New Roman"/>
                <w:sz w:val="20"/>
                <w:szCs w:val="20"/>
              </w:rPr>
              <w:t>0.21</w:t>
            </w:r>
          </w:p>
        </w:tc>
      </w:tr>
    </w:tbl>
    <w:p w:rsidR="00A5761F" w:rsidRPr="0068369B" w:rsidRDefault="00A5761F" w:rsidP="00FB548F">
      <w:pPr>
        <w:autoSpaceDE w:val="0"/>
        <w:autoSpaceDN w:val="0"/>
        <w:adjustRightInd w:val="0"/>
        <w:spacing w:after="0" w:line="480" w:lineRule="auto"/>
        <w:rPr>
          <w:rFonts w:ascii="Times New Roman" w:hAnsi="Times New Roman" w:cs="Times New Roman"/>
          <w:sz w:val="20"/>
          <w:szCs w:val="20"/>
        </w:rPr>
      </w:pPr>
    </w:p>
    <w:p w:rsidR="00A5761F" w:rsidRPr="0068369B" w:rsidRDefault="00A5761F" w:rsidP="00A5761F">
      <w:pPr>
        <w:autoSpaceDE w:val="0"/>
        <w:autoSpaceDN w:val="0"/>
        <w:adjustRightInd w:val="0"/>
        <w:spacing w:after="0" w:line="480" w:lineRule="auto"/>
        <w:jc w:val="center"/>
        <w:rPr>
          <w:rFonts w:ascii="Times New Roman" w:hAnsi="Times New Roman" w:cs="Times New Roman"/>
          <w:sz w:val="20"/>
          <w:szCs w:val="20"/>
        </w:rPr>
      </w:pPr>
      <w:proofErr w:type="gramStart"/>
      <w:r w:rsidRPr="0068369B">
        <w:rPr>
          <w:rFonts w:ascii="Times New Roman" w:hAnsi="Times New Roman" w:cs="Times New Roman"/>
          <w:sz w:val="20"/>
          <w:szCs w:val="20"/>
        </w:rPr>
        <w:t>Table 5</w:t>
      </w:r>
      <w:r w:rsidR="00FB548F">
        <w:rPr>
          <w:rFonts w:ascii="Times New Roman" w:hAnsi="Times New Roman" w:cs="Times New Roman"/>
          <w:sz w:val="20"/>
          <w:szCs w:val="20"/>
        </w:rPr>
        <w:t>.</w:t>
      </w:r>
      <w:proofErr w:type="gramEnd"/>
      <w:r w:rsidRPr="0068369B">
        <w:rPr>
          <w:rFonts w:ascii="Times New Roman" w:hAnsi="Times New Roman" w:cs="Times New Roman"/>
          <w:sz w:val="20"/>
          <w:szCs w:val="20"/>
        </w:rPr>
        <w:t xml:space="preserve"> Inter-day precision result for </w:t>
      </w:r>
      <w:proofErr w:type="spellStart"/>
      <w:r w:rsidRPr="0068369B">
        <w:rPr>
          <w:rFonts w:ascii="Times New Roman" w:hAnsi="Times New Roman" w:cs="Times New Roman"/>
          <w:sz w:val="20"/>
          <w:szCs w:val="20"/>
        </w:rPr>
        <w:t>Artemether</w:t>
      </w:r>
      <w:proofErr w:type="spellEnd"/>
      <w:r w:rsidRPr="0068369B">
        <w:rPr>
          <w:rFonts w:ascii="Times New Roman" w:hAnsi="Times New Roman" w:cs="Times New Roman"/>
          <w:sz w:val="20"/>
          <w:szCs w:val="20"/>
        </w:rPr>
        <w:t xml:space="preserve"> and </w:t>
      </w:r>
      <w:proofErr w:type="spellStart"/>
      <w:r w:rsidRPr="0068369B">
        <w:rPr>
          <w:rFonts w:ascii="Times New Roman" w:hAnsi="Times New Roman" w:cs="Times New Roman"/>
          <w:sz w:val="20"/>
          <w:szCs w:val="20"/>
        </w:rPr>
        <w:t>Lumefantrine</w:t>
      </w:r>
      <w:proofErr w:type="spellEnd"/>
    </w:p>
    <w:tbl>
      <w:tblPr>
        <w:tblStyle w:val="TableGrid"/>
        <w:tblpPr w:leftFromText="180" w:rightFromText="180" w:vertAnchor="text" w:horzAnchor="margin" w:tblpXSpec="center" w:tblpY="205"/>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63"/>
        <w:gridCol w:w="1845"/>
        <w:gridCol w:w="1645"/>
        <w:gridCol w:w="1845"/>
        <w:gridCol w:w="1645"/>
      </w:tblGrid>
      <w:tr w:rsidR="00FB548F" w:rsidRPr="0068369B" w:rsidTr="00FB548F">
        <w:trPr>
          <w:trHeight w:val="498"/>
        </w:trPr>
        <w:tc>
          <w:tcPr>
            <w:tcW w:w="1224" w:type="pct"/>
            <w:vMerge w:val="restart"/>
          </w:tcPr>
          <w:p w:rsidR="00FB548F" w:rsidRPr="0068369B" w:rsidRDefault="00FB548F" w:rsidP="00093E68">
            <w:pPr>
              <w:jc w:val="center"/>
              <w:rPr>
                <w:rFonts w:ascii="Times New Roman" w:hAnsi="Times New Roman" w:cs="Times New Roman"/>
                <w:b/>
                <w:sz w:val="20"/>
                <w:szCs w:val="20"/>
              </w:rPr>
            </w:pPr>
            <w:r>
              <w:rPr>
                <w:rFonts w:ascii="Times New Roman" w:hAnsi="Times New Roman" w:cs="Times New Roman"/>
                <w:b/>
                <w:sz w:val="20"/>
                <w:szCs w:val="20"/>
              </w:rPr>
              <w:t>Injection No.</w:t>
            </w:r>
          </w:p>
        </w:tc>
        <w:tc>
          <w:tcPr>
            <w:tcW w:w="1888" w:type="pct"/>
            <w:gridSpan w:val="2"/>
          </w:tcPr>
          <w:p w:rsidR="00FB548F" w:rsidRPr="0068369B" w:rsidRDefault="00FB548F" w:rsidP="00FB548F">
            <w:pPr>
              <w:jc w:val="center"/>
              <w:rPr>
                <w:rFonts w:ascii="Times New Roman" w:hAnsi="Times New Roman" w:cs="Times New Roman"/>
                <w:b/>
                <w:sz w:val="20"/>
                <w:szCs w:val="20"/>
              </w:rPr>
            </w:pPr>
          </w:p>
          <w:p w:rsidR="00FB548F" w:rsidRPr="0068369B" w:rsidRDefault="00FB548F" w:rsidP="00FB548F">
            <w:pPr>
              <w:jc w:val="center"/>
              <w:rPr>
                <w:rFonts w:ascii="Times New Roman" w:hAnsi="Times New Roman" w:cs="Times New Roman"/>
                <w:b/>
                <w:sz w:val="20"/>
                <w:szCs w:val="20"/>
              </w:rPr>
            </w:pPr>
            <w:proofErr w:type="spellStart"/>
            <w:r w:rsidRPr="0068369B">
              <w:rPr>
                <w:rFonts w:ascii="Times New Roman" w:hAnsi="Times New Roman" w:cs="Times New Roman"/>
                <w:b/>
                <w:sz w:val="20"/>
                <w:szCs w:val="20"/>
              </w:rPr>
              <w:t>Artemether</w:t>
            </w:r>
            <w:proofErr w:type="spellEnd"/>
          </w:p>
        </w:tc>
        <w:tc>
          <w:tcPr>
            <w:tcW w:w="1888" w:type="pct"/>
            <w:gridSpan w:val="2"/>
          </w:tcPr>
          <w:p w:rsidR="00FB548F" w:rsidRPr="0068369B" w:rsidRDefault="00FB548F" w:rsidP="00FB548F">
            <w:pPr>
              <w:jc w:val="center"/>
              <w:rPr>
                <w:rFonts w:ascii="Times New Roman" w:hAnsi="Times New Roman" w:cs="Times New Roman"/>
                <w:b/>
                <w:sz w:val="20"/>
                <w:szCs w:val="20"/>
              </w:rPr>
            </w:pPr>
          </w:p>
          <w:p w:rsidR="00FB548F" w:rsidRPr="0068369B" w:rsidRDefault="00FB548F" w:rsidP="00FB548F">
            <w:pPr>
              <w:jc w:val="center"/>
              <w:rPr>
                <w:rFonts w:ascii="Times New Roman" w:hAnsi="Times New Roman" w:cs="Times New Roman"/>
                <w:b/>
                <w:sz w:val="20"/>
                <w:szCs w:val="20"/>
              </w:rPr>
            </w:pPr>
            <w:proofErr w:type="spellStart"/>
            <w:r w:rsidRPr="0068369B">
              <w:rPr>
                <w:rFonts w:ascii="Times New Roman" w:hAnsi="Times New Roman" w:cs="Times New Roman"/>
                <w:b/>
                <w:sz w:val="20"/>
                <w:szCs w:val="20"/>
              </w:rPr>
              <w:t>Lumefantrine</w:t>
            </w:r>
            <w:proofErr w:type="spellEnd"/>
          </w:p>
        </w:tc>
      </w:tr>
      <w:tr w:rsidR="00FB548F" w:rsidRPr="0068369B" w:rsidTr="00FB548F">
        <w:trPr>
          <w:trHeight w:val="560"/>
        </w:trPr>
        <w:tc>
          <w:tcPr>
            <w:tcW w:w="1224" w:type="pct"/>
            <w:vMerge/>
            <w:tcBorders>
              <w:bottom w:val="single" w:sz="4" w:space="0" w:color="auto"/>
            </w:tcBorders>
          </w:tcPr>
          <w:p w:rsidR="00FB548F" w:rsidRPr="0068369B" w:rsidRDefault="00FB548F" w:rsidP="00093E68">
            <w:pPr>
              <w:jc w:val="center"/>
              <w:rPr>
                <w:rFonts w:ascii="Times New Roman" w:hAnsi="Times New Roman" w:cs="Times New Roman"/>
                <w:b/>
                <w:sz w:val="20"/>
                <w:szCs w:val="20"/>
              </w:rPr>
            </w:pPr>
          </w:p>
        </w:tc>
        <w:tc>
          <w:tcPr>
            <w:tcW w:w="998" w:type="pct"/>
            <w:tcBorders>
              <w:bottom w:val="single" w:sz="4" w:space="0" w:color="auto"/>
            </w:tcBorders>
          </w:tcPr>
          <w:p w:rsidR="00FB548F" w:rsidRPr="0068369B" w:rsidRDefault="00FB548F" w:rsidP="00093E68">
            <w:pPr>
              <w:jc w:val="center"/>
              <w:rPr>
                <w:rFonts w:ascii="Times New Roman" w:hAnsi="Times New Roman" w:cs="Times New Roman"/>
                <w:b/>
                <w:sz w:val="20"/>
                <w:szCs w:val="20"/>
              </w:rPr>
            </w:pPr>
          </w:p>
          <w:p w:rsidR="00FB548F" w:rsidRPr="0068369B" w:rsidRDefault="00FB548F" w:rsidP="00093E68">
            <w:pPr>
              <w:jc w:val="center"/>
              <w:rPr>
                <w:rFonts w:ascii="Times New Roman" w:hAnsi="Times New Roman" w:cs="Times New Roman"/>
                <w:b/>
                <w:sz w:val="20"/>
                <w:szCs w:val="20"/>
              </w:rPr>
            </w:pPr>
            <w:r w:rsidRPr="0068369B">
              <w:rPr>
                <w:rFonts w:ascii="Times New Roman" w:hAnsi="Times New Roman" w:cs="Times New Roman"/>
                <w:b/>
                <w:sz w:val="20"/>
                <w:szCs w:val="20"/>
              </w:rPr>
              <w:t>Area(mV)</w:t>
            </w:r>
          </w:p>
        </w:tc>
        <w:tc>
          <w:tcPr>
            <w:tcW w:w="890" w:type="pct"/>
            <w:tcBorders>
              <w:bottom w:val="single" w:sz="4" w:space="0" w:color="auto"/>
            </w:tcBorders>
          </w:tcPr>
          <w:p w:rsidR="00FB548F" w:rsidRPr="0068369B" w:rsidRDefault="009831C1" w:rsidP="00FB548F">
            <w:pPr>
              <w:jc w:val="center"/>
              <w:rPr>
                <w:rFonts w:ascii="Times New Roman" w:hAnsi="Times New Roman" w:cs="Times New Roman"/>
                <w:b/>
                <w:sz w:val="20"/>
                <w:szCs w:val="20"/>
              </w:rPr>
            </w:pPr>
            <w:r>
              <w:rPr>
                <w:rFonts w:ascii="Times New Roman" w:hAnsi="Times New Roman" w:cs="Times New Roman"/>
                <w:b/>
                <w:noProof/>
                <w:sz w:val="20"/>
                <w:szCs w:val="20"/>
              </w:rPr>
              <w:pict>
                <v:shapetype id="_x0000_t32" coordsize="21600,21600" o:spt="32" o:oned="t" path="m,l21600,21600e" filled="f">
                  <v:path arrowok="t" fillok="f" o:connecttype="none"/>
                  <o:lock v:ext="edit" shapetype="t"/>
                </v:shapetype>
                <v:shape id="_x0000_s1034" type="#_x0000_t32" style="position:absolute;left:0;text-align:left;margin-left:72.85pt;margin-top:-.15pt;width:58.5pt;height:0;z-index:251665408;mso-position-horizontal-relative:text;mso-position-vertical-relative:text" o:connectortype="straight"/>
              </w:pict>
            </w:r>
          </w:p>
          <w:p w:rsidR="00FB548F" w:rsidRPr="0068369B" w:rsidRDefault="00FB548F" w:rsidP="00FB548F">
            <w:pPr>
              <w:jc w:val="center"/>
              <w:rPr>
                <w:rFonts w:ascii="Times New Roman" w:hAnsi="Times New Roman" w:cs="Times New Roman"/>
                <w:b/>
                <w:sz w:val="20"/>
                <w:szCs w:val="20"/>
              </w:rPr>
            </w:pPr>
            <w:r w:rsidRPr="0068369B">
              <w:rPr>
                <w:rFonts w:ascii="Times New Roman" w:hAnsi="Times New Roman" w:cs="Times New Roman"/>
                <w:b/>
                <w:sz w:val="20"/>
                <w:szCs w:val="20"/>
              </w:rPr>
              <w:t>RT</w:t>
            </w:r>
          </w:p>
        </w:tc>
        <w:tc>
          <w:tcPr>
            <w:tcW w:w="998" w:type="pct"/>
            <w:tcBorders>
              <w:bottom w:val="single" w:sz="4" w:space="0" w:color="auto"/>
            </w:tcBorders>
          </w:tcPr>
          <w:p w:rsidR="00FB548F" w:rsidRPr="0068369B" w:rsidRDefault="00FB548F" w:rsidP="00FB548F">
            <w:pPr>
              <w:jc w:val="center"/>
              <w:rPr>
                <w:rFonts w:ascii="Times New Roman" w:hAnsi="Times New Roman" w:cs="Times New Roman"/>
                <w:b/>
                <w:sz w:val="20"/>
                <w:szCs w:val="20"/>
              </w:rPr>
            </w:pPr>
          </w:p>
          <w:p w:rsidR="00FB548F" w:rsidRPr="0068369B" w:rsidRDefault="00FB548F" w:rsidP="00FB548F">
            <w:pPr>
              <w:jc w:val="center"/>
              <w:rPr>
                <w:rFonts w:ascii="Times New Roman" w:hAnsi="Times New Roman" w:cs="Times New Roman"/>
                <w:b/>
                <w:sz w:val="20"/>
                <w:szCs w:val="20"/>
              </w:rPr>
            </w:pPr>
            <w:r w:rsidRPr="0068369B">
              <w:rPr>
                <w:rFonts w:ascii="Times New Roman" w:hAnsi="Times New Roman" w:cs="Times New Roman"/>
                <w:b/>
                <w:sz w:val="20"/>
                <w:szCs w:val="20"/>
              </w:rPr>
              <w:t>Area(mV)</w:t>
            </w:r>
          </w:p>
        </w:tc>
        <w:tc>
          <w:tcPr>
            <w:tcW w:w="890" w:type="pct"/>
            <w:tcBorders>
              <w:bottom w:val="single" w:sz="4" w:space="0" w:color="auto"/>
            </w:tcBorders>
          </w:tcPr>
          <w:p w:rsidR="00FB548F" w:rsidRPr="0068369B" w:rsidRDefault="00FB548F" w:rsidP="00FB548F">
            <w:pPr>
              <w:jc w:val="center"/>
              <w:rPr>
                <w:rFonts w:ascii="Times New Roman" w:hAnsi="Times New Roman" w:cs="Times New Roman"/>
                <w:b/>
                <w:sz w:val="20"/>
                <w:szCs w:val="20"/>
              </w:rPr>
            </w:pPr>
          </w:p>
          <w:p w:rsidR="00FB548F" w:rsidRPr="0068369B" w:rsidRDefault="00FB548F" w:rsidP="00FB548F">
            <w:pPr>
              <w:jc w:val="center"/>
              <w:rPr>
                <w:rFonts w:ascii="Times New Roman" w:hAnsi="Times New Roman" w:cs="Times New Roman"/>
                <w:b/>
                <w:sz w:val="20"/>
                <w:szCs w:val="20"/>
              </w:rPr>
            </w:pPr>
            <w:r w:rsidRPr="0068369B">
              <w:rPr>
                <w:rFonts w:ascii="Times New Roman" w:hAnsi="Times New Roman" w:cs="Times New Roman"/>
                <w:b/>
                <w:sz w:val="20"/>
                <w:szCs w:val="20"/>
              </w:rPr>
              <w:t>RT</w:t>
            </w:r>
          </w:p>
        </w:tc>
      </w:tr>
      <w:tr w:rsidR="00FB548F" w:rsidRPr="0068369B" w:rsidTr="00FB548F">
        <w:trPr>
          <w:trHeight w:val="318"/>
        </w:trPr>
        <w:tc>
          <w:tcPr>
            <w:tcW w:w="1224" w:type="pct"/>
            <w:tcBorders>
              <w:bottom w:val="nil"/>
            </w:tcBorders>
          </w:tcPr>
          <w:p w:rsidR="00FB548F" w:rsidRPr="0068369B" w:rsidRDefault="00FB548F" w:rsidP="00FB548F">
            <w:pPr>
              <w:jc w:val="center"/>
              <w:rPr>
                <w:rFonts w:ascii="Times New Roman" w:hAnsi="Times New Roman" w:cs="Times New Roman"/>
                <w:b/>
                <w:sz w:val="20"/>
                <w:szCs w:val="20"/>
              </w:rPr>
            </w:pPr>
            <w:r>
              <w:rPr>
                <w:rFonts w:ascii="Times New Roman" w:hAnsi="Times New Roman" w:cs="Times New Roman"/>
                <w:b/>
                <w:sz w:val="20"/>
                <w:szCs w:val="20"/>
              </w:rPr>
              <w:t>1</w:t>
            </w:r>
          </w:p>
        </w:tc>
        <w:tc>
          <w:tcPr>
            <w:tcW w:w="998" w:type="pct"/>
            <w:tcBorders>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241.313</w:t>
            </w:r>
          </w:p>
        </w:tc>
        <w:tc>
          <w:tcPr>
            <w:tcW w:w="890" w:type="pct"/>
            <w:tcBorders>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4.353</w:t>
            </w:r>
          </w:p>
        </w:tc>
        <w:tc>
          <w:tcPr>
            <w:tcW w:w="998" w:type="pct"/>
            <w:tcBorders>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5477.071</w:t>
            </w:r>
          </w:p>
        </w:tc>
        <w:tc>
          <w:tcPr>
            <w:tcW w:w="890" w:type="pct"/>
            <w:tcBorders>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5.487</w:t>
            </w:r>
          </w:p>
        </w:tc>
      </w:tr>
      <w:tr w:rsidR="00FB548F" w:rsidRPr="0068369B" w:rsidTr="00FB548F">
        <w:trPr>
          <w:trHeight w:val="301"/>
        </w:trPr>
        <w:tc>
          <w:tcPr>
            <w:tcW w:w="1224" w:type="pct"/>
            <w:tcBorders>
              <w:top w:val="nil"/>
              <w:bottom w:val="nil"/>
            </w:tcBorders>
          </w:tcPr>
          <w:p w:rsidR="00FB548F" w:rsidRPr="0068369B" w:rsidRDefault="00FB548F" w:rsidP="00FB548F">
            <w:pPr>
              <w:jc w:val="center"/>
              <w:rPr>
                <w:rFonts w:ascii="Times New Roman" w:hAnsi="Times New Roman" w:cs="Times New Roman"/>
                <w:b/>
                <w:sz w:val="20"/>
                <w:szCs w:val="20"/>
              </w:rPr>
            </w:pPr>
            <w:r>
              <w:rPr>
                <w:rFonts w:ascii="Times New Roman" w:hAnsi="Times New Roman" w:cs="Times New Roman"/>
                <w:b/>
                <w:sz w:val="20"/>
                <w:szCs w:val="20"/>
              </w:rPr>
              <w:t>2</w:t>
            </w:r>
          </w:p>
        </w:tc>
        <w:tc>
          <w:tcPr>
            <w:tcW w:w="998"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241.049</w:t>
            </w:r>
          </w:p>
        </w:tc>
        <w:tc>
          <w:tcPr>
            <w:tcW w:w="890"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4.33</w:t>
            </w:r>
          </w:p>
        </w:tc>
        <w:tc>
          <w:tcPr>
            <w:tcW w:w="998"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5376.734</w:t>
            </w:r>
          </w:p>
        </w:tc>
        <w:tc>
          <w:tcPr>
            <w:tcW w:w="890"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5.46</w:t>
            </w:r>
          </w:p>
        </w:tc>
      </w:tr>
      <w:tr w:rsidR="00FB548F" w:rsidRPr="0068369B" w:rsidTr="00FB548F">
        <w:trPr>
          <w:trHeight w:val="318"/>
        </w:trPr>
        <w:tc>
          <w:tcPr>
            <w:tcW w:w="1224" w:type="pct"/>
            <w:tcBorders>
              <w:top w:val="nil"/>
              <w:bottom w:val="nil"/>
            </w:tcBorders>
          </w:tcPr>
          <w:p w:rsidR="00FB548F" w:rsidRPr="0068369B" w:rsidRDefault="00FB548F" w:rsidP="00FB548F">
            <w:pPr>
              <w:jc w:val="center"/>
              <w:rPr>
                <w:rFonts w:ascii="Times New Roman" w:hAnsi="Times New Roman" w:cs="Times New Roman"/>
                <w:b/>
                <w:sz w:val="20"/>
                <w:szCs w:val="20"/>
              </w:rPr>
            </w:pPr>
            <w:r>
              <w:rPr>
                <w:rFonts w:ascii="Times New Roman" w:hAnsi="Times New Roman" w:cs="Times New Roman"/>
                <w:b/>
                <w:sz w:val="20"/>
                <w:szCs w:val="20"/>
              </w:rPr>
              <w:t>3</w:t>
            </w:r>
          </w:p>
        </w:tc>
        <w:tc>
          <w:tcPr>
            <w:tcW w:w="998"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239.156</w:t>
            </w:r>
          </w:p>
        </w:tc>
        <w:tc>
          <w:tcPr>
            <w:tcW w:w="890"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4.347</w:t>
            </w:r>
          </w:p>
        </w:tc>
        <w:tc>
          <w:tcPr>
            <w:tcW w:w="998"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5374.384</w:t>
            </w:r>
          </w:p>
        </w:tc>
        <w:tc>
          <w:tcPr>
            <w:tcW w:w="890"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5.487</w:t>
            </w:r>
          </w:p>
        </w:tc>
      </w:tr>
      <w:tr w:rsidR="00FB548F" w:rsidRPr="0068369B" w:rsidTr="00FB548F">
        <w:trPr>
          <w:trHeight w:val="318"/>
        </w:trPr>
        <w:tc>
          <w:tcPr>
            <w:tcW w:w="1224" w:type="pct"/>
            <w:tcBorders>
              <w:top w:val="nil"/>
              <w:bottom w:val="nil"/>
            </w:tcBorders>
          </w:tcPr>
          <w:p w:rsidR="00FB548F" w:rsidRPr="0068369B" w:rsidRDefault="00FB548F" w:rsidP="00FB548F">
            <w:pPr>
              <w:jc w:val="center"/>
              <w:rPr>
                <w:rFonts w:ascii="Times New Roman" w:hAnsi="Times New Roman" w:cs="Times New Roman"/>
                <w:b/>
                <w:sz w:val="20"/>
                <w:szCs w:val="20"/>
              </w:rPr>
            </w:pPr>
            <w:r>
              <w:rPr>
                <w:rFonts w:ascii="Times New Roman" w:hAnsi="Times New Roman" w:cs="Times New Roman"/>
                <w:b/>
                <w:sz w:val="20"/>
                <w:szCs w:val="20"/>
              </w:rPr>
              <w:t>4</w:t>
            </w:r>
          </w:p>
        </w:tc>
        <w:tc>
          <w:tcPr>
            <w:tcW w:w="998"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240.222</w:t>
            </w:r>
          </w:p>
        </w:tc>
        <w:tc>
          <w:tcPr>
            <w:tcW w:w="890"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4.353</w:t>
            </w:r>
          </w:p>
        </w:tc>
        <w:tc>
          <w:tcPr>
            <w:tcW w:w="998"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5361.259</w:t>
            </w:r>
          </w:p>
        </w:tc>
        <w:tc>
          <w:tcPr>
            <w:tcW w:w="890"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5.493</w:t>
            </w:r>
          </w:p>
        </w:tc>
      </w:tr>
      <w:tr w:rsidR="00FB548F" w:rsidRPr="0068369B" w:rsidTr="00FB548F">
        <w:trPr>
          <w:trHeight w:val="318"/>
        </w:trPr>
        <w:tc>
          <w:tcPr>
            <w:tcW w:w="1224" w:type="pct"/>
            <w:tcBorders>
              <w:top w:val="nil"/>
              <w:bottom w:val="nil"/>
            </w:tcBorders>
          </w:tcPr>
          <w:p w:rsidR="00FB548F" w:rsidRPr="0068369B" w:rsidRDefault="00FB548F" w:rsidP="00FB548F">
            <w:pPr>
              <w:jc w:val="center"/>
              <w:rPr>
                <w:rFonts w:ascii="Times New Roman" w:hAnsi="Times New Roman" w:cs="Times New Roman"/>
                <w:b/>
                <w:sz w:val="20"/>
                <w:szCs w:val="20"/>
              </w:rPr>
            </w:pPr>
            <w:r>
              <w:rPr>
                <w:rFonts w:ascii="Times New Roman" w:hAnsi="Times New Roman" w:cs="Times New Roman"/>
                <w:b/>
                <w:sz w:val="20"/>
                <w:szCs w:val="20"/>
              </w:rPr>
              <w:t>5</w:t>
            </w:r>
          </w:p>
        </w:tc>
        <w:tc>
          <w:tcPr>
            <w:tcW w:w="998"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239.739</w:t>
            </w:r>
          </w:p>
        </w:tc>
        <w:tc>
          <w:tcPr>
            <w:tcW w:w="890"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4.343</w:t>
            </w:r>
          </w:p>
        </w:tc>
        <w:tc>
          <w:tcPr>
            <w:tcW w:w="998"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5357.487</w:t>
            </w:r>
          </w:p>
        </w:tc>
        <w:tc>
          <w:tcPr>
            <w:tcW w:w="890"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5.487</w:t>
            </w:r>
          </w:p>
        </w:tc>
      </w:tr>
      <w:tr w:rsidR="00FB548F" w:rsidRPr="0068369B" w:rsidTr="00FB548F">
        <w:trPr>
          <w:trHeight w:val="318"/>
        </w:trPr>
        <w:tc>
          <w:tcPr>
            <w:tcW w:w="1224" w:type="pct"/>
            <w:tcBorders>
              <w:top w:val="nil"/>
              <w:bottom w:val="nil"/>
            </w:tcBorders>
          </w:tcPr>
          <w:p w:rsidR="00FB548F" w:rsidRPr="0068369B" w:rsidRDefault="00FB548F" w:rsidP="00FB548F">
            <w:pPr>
              <w:jc w:val="center"/>
              <w:rPr>
                <w:rFonts w:ascii="Times New Roman" w:hAnsi="Times New Roman" w:cs="Times New Roman"/>
                <w:b/>
                <w:sz w:val="20"/>
                <w:szCs w:val="20"/>
              </w:rPr>
            </w:pPr>
            <w:r>
              <w:rPr>
                <w:rFonts w:ascii="Times New Roman" w:hAnsi="Times New Roman" w:cs="Times New Roman"/>
                <w:b/>
                <w:sz w:val="20"/>
                <w:szCs w:val="20"/>
              </w:rPr>
              <w:t>Average</w:t>
            </w:r>
          </w:p>
        </w:tc>
        <w:tc>
          <w:tcPr>
            <w:tcW w:w="998"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240.2958</w:t>
            </w:r>
          </w:p>
        </w:tc>
        <w:tc>
          <w:tcPr>
            <w:tcW w:w="890"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4.3452</w:t>
            </w:r>
          </w:p>
        </w:tc>
        <w:tc>
          <w:tcPr>
            <w:tcW w:w="998"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5389.387</w:t>
            </w:r>
          </w:p>
        </w:tc>
        <w:tc>
          <w:tcPr>
            <w:tcW w:w="890"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5.4828</w:t>
            </w:r>
          </w:p>
        </w:tc>
      </w:tr>
      <w:tr w:rsidR="00FB548F" w:rsidRPr="0068369B" w:rsidTr="00FB548F">
        <w:trPr>
          <w:trHeight w:val="348"/>
        </w:trPr>
        <w:tc>
          <w:tcPr>
            <w:tcW w:w="1224" w:type="pct"/>
            <w:tcBorders>
              <w:top w:val="nil"/>
              <w:bottom w:val="nil"/>
            </w:tcBorders>
          </w:tcPr>
          <w:p w:rsidR="00FB548F" w:rsidRPr="0068369B" w:rsidRDefault="00FB548F" w:rsidP="00FB548F">
            <w:pPr>
              <w:jc w:val="center"/>
              <w:rPr>
                <w:rFonts w:ascii="Times New Roman" w:hAnsi="Times New Roman" w:cs="Times New Roman"/>
                <w:b/>
                <w:sz w:val="20"/>
                <w:szCs w:val="20"/>
              </w:rPr>
            </w:pPr>
            <w:r w:rsidRPr="0068369B">
              <w:rPr>
                <w:rFonts w:ascii="Times New Roman" w:hAnsi="Times New Roman" w:cs="Times New Roman"/>
                <w:b/>
                <w:sz w:val="20"/>
                <w:szCs w:val="20"/>
              </w:rPr>
              <w:t>SD</w:t>
            </w:r>
          </w:p>
        </w:tc>
        <w:tc>
          <w:tcPr>
            <w:tcW w:w="998"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0.896747</w:t>
            </w:r>
          </w:p>
        </w:tc>
        <w:tc>
          <w:tcPr>
            <w:tcW w:w="890"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0.009497</w:t>
            </w:r>
          </w:p>
        </w:tc>
        <w:tc>
          <w:tcPr>
            <w:tcW w:w="998"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49.7053</w:t>
            </w:r>
          </w:p>
        </w:tc>
        <w:tc>
          <w:tcPr>
            <w:tcW w:w="890" w:type="pct"/>
            <w:tcBorders>
              <w:top w:val="nil"/>
              <w:bottom w:val="nil"/>
            </w:tcBorders>
            <w:vAlign w:val="bottom"/>
          </w:tcPr>
          <w:p w:rsidR="00FB548F" w:rsidRPr="0068369B" w:rsidRDefault="00FB548F" w:rsidP="00FB548F">
            <w:pPr>
              <w:jc w:val="center"/>
              <w:rPr>
                <w:rFonts w:ascii="Times New Roman" w:hAnsi="Times New Roman" w:cs="Times New Roman"/>
                <w:sz w:val="20"/>
                <w:szCs w:val="20"/>
              </w:rPr>
            </w:pPr>
            <w:r w:rsidRPr="0068369B">
              <w:rPr>
                <w:rFonts w:ascii="Times New Roman" w:hAnsi="Times New Roman" w:cs="Times New Roman"/>
                <w:sz w:val="20"/>
                <w:szCs w:val="20"/>
              </w:rPr>
              <w:t>0.013008</w:t>
            </w:r>
          </w:p>
        </w:tc>
      </w:tr>
      <w:tr w:rsidR="00FB548F" w:rsidRPr="0068369B" w:rsidTr="00FB548F">
        <w:trPr>
          <w:trHeight w:val="232"/>
        </w:trPr>
        <w:tc>
          <w:tcPr>
            <w:tcW w:w="1224" w:type="pct"/>
            <w:tcBorders>
              <w:top w:val="nil"/>
            </w:tcBorders>
          </w:tcPr>
          <w:p w:rsidR="00FB548F" w:rsidRPr="0068369B" w:rsidRDefault="00FB548F" w:rsidP="00FB548F">
            <w:pPr>
              <w:jc w:val="center"/>
              <w:rPr>
                <w:rFonts w:ascii="Times New Roman" w:hAnsi="Times New Roman" w:cs="Times New Roman"/>
                <w:b/>
                <w:sz w:val="20"/>
                <w:szCs w:val="20"/>
              </w:rPr>
            </w:pPr>
          </w:p>
          <w:p w:rsidR="00FB548F" w:rsidRPr="0068369B" w:rsidRDefault="00FB548F" w:rsidP="00FB548F">
            <w:pPr>
              <w:jc w:val="center"/>
              <w:rPr>
                <w:rFonts w:ascii="Times New Roman" w:hAnsi="Times New Roman" w:cs="Times New Roman"/>
                <w:b/>
                <w:sz w:val="20"/>
                <w:szCs w:val="20"/>
              </w:rPr>
            </w:pPr>
            <w:r w:rsidRPr="0068369B">
              <w:rPr>
                <w:rFonts w:ascii="Times New Roman" w:hAnsi="Times New Roman" w:cs="Times New Roman"/>
                <w:b/>
                <w:sz w:val="20"/>
                <w:szCs w:val="20"/>
              </w:rPr>
              <w:t>%RSD</w:t>
            </w:r>
          </w:p>
        </w:tc>
        <w:tc>
          <w:tcPr>
            <w:tcW w:w="998" w:type="pct"/>
            <w:tcBorders>
              <w:top w:val="nil"/>
            </w:tcBorders>
            <w:vAlign w:val="bottom"/>
          </w:tcPr>
          <w:p w:rsidR="00FB548F" w:rsidRPr="0068369B" w:rsidRDefault="00FB548F" w:rsidP="00FB548F">
            <w:pPr>
              <w:jc w:val="center"/>
              <w:rPr>
                <w:rFonts w:ascii="Times New Roman" w:hAnsi="Times New Roman" w:cs="Times New Roman"/>
                <w:bCs/>
                <w:sz w:val="20"/>
                <w:szCs w:val="20"/>
              </w:rPr>
            </w:pPr>
            <w:r w:rsidRPr="0068369B">
              <w:rPr>
                <w:rFonts w:ascii="Times New Roman" w:hAnsi="Times New Roman" w:cs="Times New Roman"/>
                <w:bCs/>
                <w:sz w:val="20"/>
                <w:szCs w:val="20"/>
              </w:rPr>
              <w:t>0.37</w:t>
            </w:r>
          </w:p>
        </w:tc>
        <w:tc>
          <w:tcPr>
            <w:tcW w:w="890" w:type="pct"/>
            <w:tcBorders>
              <w:top w:val="nil"/>
            </w:tcBorders>
            <w:vAlign w:val="bottom"/>
          </w:tcPr>
          <w:p w:rsidR="00FB548F" w:rsidRPr="0068369B" w:rsidRDefault="00FB548F" w:rsidP="00FB548F">
            <w:pPr>
              <w:jc w:val="center"/>
              <w:rPr>
                <w:rFonts w:ascii="Times New Roman" w:hAnsi="Times New Roman" w:cs="Times New Roman"/>
                <w:bCs/>
                <w:sz w:val="20"/>
                <w:szCs w:val="20"/>
              </w:rPr>
            </w:pPr>
            <w:r w:rsidRPr="0068369B">
              <w:rPr>
                <w:rFonts w:ascii="Times New Roman" w:hAnsi="Times New Roman" w:cs="Times New Roman"/>
                <w:bCs/>
                <w:sz w:val="20"/>
                <w:szCs w:val="20"/>
              </w:rPr>
              <w:t>0.22</w:t>
            </w:r>
          </w:p>
        </w:tc>
        <w:tc>
          <w:tcPr>
            <w:tcW w:w="998" w:type="pct"/>
            <w:tcBorders>
              <w:top w:val="nil"/>
            </w:tcBorders>
            <w:vAlign w:val="bottom"/>
          </w:tcPr>
          <w:p w:rsidR="00FB548F" w:rsidRPr="0068369B" w:rsidRDefault="00FB548F" w:rsidP="00FB548F">
            <w:pPr>
              <w:jc w:val="center"/>
              <w:rPr>
                <w:rFonts w:ascii="Times New Roman" w:hAnsi="Times New Roman" w:cs="Times New Roman"/>
                <w:bCs/>
                <w:sz w:val="20"/>
                <w:szCs w:val="20"/>
              </w:rPr>
            </w:pPr>
            <w:r w:rsidRPr="0068369B">
              <w:rPr>
                <w:rFonts w:ascii="Times New Roman" w:hAnsi="Times New Roman" w:cs="Times New Roman"/>
                <w:bCs/>
                <w:sz w:val="20"/>
                <w:szCs w:val="20"/>
              </w:rPr>
              <w:t>0.92</w:t>
            </w:r>
          </w:p>
        </w:tc>
        <w:tc>
          <w:tcPr>
            <w:tcW w:w="890" w:type="pct"/>
            <w:tcBorders>
              <w:top w:val="nil"/>
            </w:tcBorders>
            <w:vAlign w:val="bottom"/>
          </w:tcPr>
          <w:p w:rsidR="00FB548F" w:rsidRPr="0068369B" w:rsidRDefault="00FB548F" w:rsidP="00FB548F">
            <w:pPr>
              <w:jc w:val="center"/>
              <w:rPr>
                <w:rFonts w:ascii="Times New Roman" w:hAnsi="Times New Roman" w:cs="Times New Roman"/>
                <w:bCs/>
                <w:sz w:val="20"/>
                <w:szCs w:val="20"/>
              </w:rPr>
            </w:pPr>
            <w:r w:rsidRPr="0068369B">
              <w:rPr>
                <w:rFonts w:ascii="Times New Roman" w:hAnsi="Times New Roman" w:cs="Times New Roman"/>
                <w:bCs/>
                <w:sz w:val="20"/>
                <w:szCs w:val="20"/>
              </w:rPr>
              <w:t>0.24</w:t>
            </w:r>
          </w:p>
        </w:tc>
      </w:tr>
    </w:tbl>
    <w:p w:rsidR="0020164A" w:rsidRPr="0068369B" w:rsidRDefault="0020164A" w:rsidP="00327930">
      <w:pPr>
        <w:autoSpaceDE w:val="0"/>
        <w:autoSpaceDN w:val="0"/>
        <w:adjustRightInd w:val="0"/>
        <w:spacing w:after="0" w:line="480" w:lineRule="auto"/>
        <w:rPr>
          <w:rFonts w:ascii="Times New Roman" w:hAnsi="Times New Roman" w:cs="Times New Roman"/>
          <w:sz w:val="20"/>
          <w:szCs w:val="20"/>
        </w:rPr>
      </w:pPr>
    </w:p>
    <w:p w:rsidR="00BB58D6" w:rsidRPr="0068369B" w:rsidRDefault="002A7EAF" w:rsidP="00FB548F">
      <w:pPr>
        <w:autoSpaceDE w:val="0"/>
        <w:autoSpaceDN w:val="0"/>
        <w:adjustRightInd w:val="0"/>
        <w:spacing w:after="0" w:line="240" w:lineRule="auto"/>
        <w:jc w:val="both"/>
        <w:rPr>
          <w:rFonts w:ascii="Times New Roman" w:hAnsi="Times New Roman" w:cs="Times New Roman"/>
          <w:b/>
          <w:sz w:val="20"/>
          <w:szCs w:val="20"/>
        </w:rPr>
      </w:pPr>
      <w:r w:rsidRPr="0068369B">
        <w:rPr>
          <w:rFonts w:ascii="Times New Roman" w:hAnsi="Times New Roman" w:cs="Times New Roman"/>
          <w:b/>
          <w:sz w:val="20"/>
          <w:szCs w:val="20"/>
        </w:rPr>
        <w:t>Accuracy</w:t>
      </w:r>
    </w:p>
    <w:p w:rsidR="0020164A" w:rsidRDefault="00DC7C7F" w:rsidP="00FB548F">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hAnsi="Times New Roman" w:cs="Times New Roman"/>
          <w:sz w:val="20"/>
          <w:szCs w:val="20"/>
        </w:rPr>
        <w:t xml:space="preserve">For studying the accuracy of the proposed analytical method, and for </w:t>
      </w:r>
      <w:r w:rsidR="00A00FE3" w:rsidRPr="0068369B">
        <w:rPr>
          <w:rFonts w:ascii="Times New Roman" w:hAnsi="Times New Roman" w:cs="Times New Roman"/>
          <w:sz w:val="20"/>
          <w:szCs w:val="20"/>
        </w:rPr>
        <w:t>detecting</w:t>
      </w:r>
      <w:r w:rsidRPr="0068369B">
        <w:rPr>
          <w:rFonts w:ascii="Times New Roman" w:hAnsi="Times New Roman" w:cs="Times New Roman"/>
          <w:sz w:val="20"/>
          <w:szCs w:val="20"/>
        </w:rPr>
        <w:t xml:space="preserve"> the interference</w:t>
      </w:r>
      <w:r w:rsidR="000C15BE" w:rsidRPr="0068369B">
        <w:rPr>
          <w:rFonts w:ascii="Times New Roman" w:hAnsi="Times New Roman" w:cs="Times New Roman"/>
          <w:sz w:val="20"/>
          <w:szCs w:val="20"/>
        </w:rPr>
        <w:t xml:space="preserve"> </w:t>
      </w:r>
      <w:r w:rsidR="00223481" w:rsidRPr="0068369B">
        <w:rPr>
          <w:rFonts w:ascii="Times New Roman" w:hAnsi="Times New Roman" w:cs="Times New Roman"/>
          <w:sz w:val="20"/>
          <w:szCs w:val="20"/>
        </w:rPr>
        <w:t xml:space="preserve">from excipients </w:t>
      </w:r>
      <w:r w:rsidRPr="0068369B">
        <w:rPr>
          <w:rFonts w:ascii="Times New Roman" w:hAnsi="Times New Roman" w:cs="Times New Roman"/>
          <w:sz w:val="20"/>
          <w:szCs w:val="20"/>
        </w:rPr>
        <w:t>used in the dosage forms, recovery experiments were carried out by the standard</w:t>
      </w:r>
      <w:r w:rsidR="000C15BE" w:rsidRPr="0068369B">
        <w:rPr>
          <w:rFonts w:ascii="Times New Roman" w:hAnsi="Times New Roman" w:cs="Times New Roman"/>
          <w:sz w:val="20"/>
          <w:szCs w:val="20"/>
        </w:rPr>
        <w:t xml:space="preserve"> </w:t>
      </w:r>
      <w:r w:rsidRPr="0068369B">
        <w:rPr>
          <w:rFonts w:ascii="Times New Roman" w:hAnsi="Times New Roman" w:cs="Times New Roman"/>
          <w:sz w:val="20"/>
          <w:szCs w:val="20"/>
        </w:rPr>
        <w:t>addition method.</w:t>
      </w:r>
      <w:r w:rsidR="002A7EAF" w:rsidRPr="0068369B">
        <w:rPr>
          <w:rFonts w:ascii="Times New Roman" w:hAnsi="Times New Roman" w:cs="Times New Roman"/>
          <w:sz w:val="20"/>
          <w:szCs w:val="20"/>
        </w:rPr>
        <w:t xml:space="preserve"> </w:t>
      </w:r>
      <w:r w:rsidR="00223481" w:rsidRPr="0068369B">
        <w:rPr>
          <w:rFonts w:ascii="Times New Roman" w:hAnsi="Times New Roman" w:cs="Times New Roman"/>
          <w:sz w:val="20"/>
          <w:szCs w:val="20"/>
        </w:rPr>
        <w:t>Known concentration of working standard was added to the fixed concentration of the pre-analyzed tablet solution. Percent recovery was calculated by comparing the area before and after the addition of working standard. For both the drugs, recovery was performed in the same way. The recovery studies were performed in triplicate. At 80%, 100% and 120% level and the percentage recovery was calculated. Perc</w:t>
      </w:r>
      <w:r w:rsidR="00985573" w:rsidRPr="0068369B">
        <w:rPr>
          <w:rFonts w:ascii="Times New Roman" w:hAnsi="Times New Roman" w:cs="Times New Roman"/>
          <w:sz w:val="20"/>
          <w:szCs w:val="20"/>
        </w:rPr>
        <w:t xml:space="preserve">ent recovery indicates that the </w:t>
      </w:r>
      <w:r w:rsidR="00223481" w:rsidRPr="0068369B">
        <w:rPr>
          <w:rFonts w:ascii="Times New Roman" w:hAnsi="Times New Roman" w:cs="Times New Roman"/>
          <w:sz w:val="20"/>
          <w:szCs w:val="20"/>
        </w:rPr>
        <w:t>method was accurate</w:t>
      </w:r>
      <w:r w:rsidR="00E60F09" w:rsidRPr="0068369B">
        <w:rPr>
          <w:rFonts w:ascii="Times New Roman" w:hAnsi="Times New Roman" w:cs="Times New Roman"/>
          <w:sz w:val="20"/>
          <w:szCs w:val="20"/>
        </w:rPr>
        <w:t>.</w:t>
      </w:r>
      <w:r w:rsidR="00985573" w:rsidRPr="0068369B">
        <w:rPr>
          <w:rFonts w:ascii="Times New Roman" w:hAnsi="Times New Roman" w:cs="Times New Roman"/>
          <w:sz w:val="20"/>
          <w:szCs w:val="20"/>
        </w:rPr>
        <w:t xml:space="preserve"> Recovery results for </w:t>
      </w:r>
      <w:proofErr w:type="spellStart"/>
      <w:r w:rsidR="00985573" w:rsidRPr="0068369B">
        <w:rPr>
          <w:rFonts w:ascii="Times New Roman" w:hAnsi="Times New Roman" w:cs="Times New Roman"/>
          <w:sz w:val="20"/>
          <w:szCs w:val="20"/>
        </w:rPr>
        <w:t>Artemether</w:t>
      </w:r>
      <w:proofErr w:type="spellEnd"/>
      <w:r w:rsidR="00985573" w:rsidRPr="0068369B">
        <w:rPr>
          <w:rFonts w:ascii="Times New Roman" w:hAnsi="Times New Roman" w:cs="Times New Roman"/>
          <w:sz w:val="20"/>
          <w:szCs w:val="20"/>
        </w:rPr>
        <w:t xml:space="preserve"> and </w:t>
      </w:r>
      <w:proofErr w:type="spellStart"/>
      <w:r w:rsidR="00985573" w:rsidRPr="0068369B">
        <w:rPr>
          <w:rFonts w:ascii="Times New Roman" w:hAnsi="Times New Roman" w:cs="Times New Roman"/>
          <w:sz w:val="20"/>
          <w:szCs w:val="20"/>
        </w:rPr>
        <w:t>Lumefantrine</w:t>
      </w:r>
      <w:proofErr w:type="spellEnd"/>
      <w:r w:rsidR="00985573" w:rsidRPr="0068369B">
        <w:rPr>
          <w:rFonts w:ascii="Times New Roman" w:hAnsi="Times New Roman" w:cs="Times New Roman"/>
          <w:sz w:val="20"/>
          <w:szCs w:val="20"/>
        </w:rPr>
        <w:t xml:space="preserve"> is as shown in Table 6 and Table 7 respectively.</w:t>
      </w:r>
    </w:p>
    <w:p w:rsidR="00FB548F" w:rsidRPr="0068369B" w:rsidRDefault="00FB548F" w:rsidP="00FB548F">
      <w:pPr>
        <w:autoSpaceDE w:val="0"/>
        <w:autoSpaceDN w:val="0"/>
        <w:adjustRightInd w:val="0"/>
        <w:spacing w:after="0" w:line="240" w:lineRule="auto"/>
        <w:jc w:val="both"/>
        <w:rPr>
          <w:rFonts w:ascii="Times New Roman" w:hAnsi="Times New Roman" w:cs="Times New Roman"/>
          <w:sz w:val="20"/>
          <w:szCs w:val="20"/>
        </w:rPr>
      </w:pPr>
    </w:p>
    <w:p w:rsidR="00AE3317" w:rsidRPr="0068369B" w:rsidRDefault="00A5761F" w:rsidP="00A5761F">
      <w:pPr>
        <w:autoSpaceDE w:val="0"/>
        <w:autoSpaceDN w:val="0"/>
        <w:adjustRightInd w:val="0"/>
        <w:spacing w:after="0" w:line="480" w:lineRule="auto"/>
        <w:jc w:val="center"/>
        <w:rPr>
          <w:rFonts w:ascii="Times New Roman" w:hAnsi="Times New Roman" w:cs="Times New Roman"/>
          <w:sz w:val="20"/>
          <w:szCs w:val="20"/>
        </w:rPr>
      </w:pPr>
      <w:proofErr w:type="gramStart"/>
      <w:r w:rsidRPr="0068369B">
        <w:rPr>
          <w:rFonts w:ascii="Times New Roman" w:hAnsi="Times New Roman" w:cs="Times New Roman"/>
          <w:sz w:val="20"/>
          <w:szCs w:val="20"/>
        </w:rPr>
        <w:t>Table 6</w:t>
      </w:r>
      <w:r w:rsidR="00FB548F">
        <w:rPr>
          <w:rFonts w:ascii="Times New Roman" w:hAnsi="Times New Roman" w:cs="Times New Roman"/>
          <w:sz w:val="20"/>
          <w:szCs w:val="20"/>
        </w:rPr>
        <w:t>.</w:t>
      </w:r>
      <w:proofErr w:type="gramEnd"/>
      <w:r w:rsidRPr="0068369B">
        <w:rPr>
          <w:rFonts w:ascii="Times New Roman" w:hAnsi="Times New Roman" w:cs="Times New Roman"/>
          <w:sz w:val="20"/>
          <w:szCs w:val="20"/>
        </w:rPr>
        <w:t xml:space="preserve"> Recovery results for </w:t>
      </w:r>
      <w:proofErr w:type="spellStart"/>
      <w:r w:rsidRPr="0068369B">
        <w:rPr>
          <w:rFonts w:ascii="Times New Roman" w:hAnsi="Times New Roman" w:cs="Times New Roman"/>
          <w:sz w:val="20"/>
          <w:szCs w:val="20"/>
        </w:rPr>
        <w:t>Artemether</w:t>
      </w:r>
      <w:proofErr w:type="spellEnd"/>
    </w:p>
    <w:tbl>
      <w:tblPr>
        <w:tblStyle w:val="TableGrid"/>
        <w:tblW w:w="9244" w:type="dxa"/>
        <w:jc w:val="center"/>
        <w:tblInd w:w="56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05"/>
        <w:gridCol w:w="1205"/>
        <w:gridCol w:w="1205"/>
        <w:gridCol w:w="1205"/>
        <w:gridCol w:w="1205"/>
        <w:gridCol w:w="1205"/>
        <w:gridCol w:w="2014"/>
      </w:tblGrid>
      <w:tr w:rsidR="00FB548F" w:rsidRPr="0068369B" w:rsidTr="00FB548F">
        <w:trPr>
          <w:trHeight w:val="737"/>
          <w:jc w:val="center"/>
        </w:trPr>
        <w:tc>
          <w:tcPr>
            <w:tcW w:w="1205" w:type="dxa"/>
            <w:tcBorders>
              <w:bottom w:val="single" w:sz="4" w:space="0" w:color="auto"/>
            </w:tcBorders>
          </w:tcPr>
          <w:p w:rsidR="00A00FE3" w:rsidRPr="0068369B" w:rsidRDefault="00A00FE3" w:rsidP="007F3036">
            <w:pPr>
              <w:jc w:val="center"/>
              <w:rPr>
                <w:rFonts w:ascii="Times New Roman" w:hAnsi="Times New Roman" w:cs="Times New Roman"/>
                <w:b/>
                <w:sz w:val="20"/>
                <w:szCs w:val="20"/>
              </w:rPr>
            </w:pPr>
          </w:p>
          <w:p w:rsidR="00223481" w:rsidRPr="0068369B" w:rsidRDefault="00223481" w:rsidP="007F3036">
            <w:pPr>
              <w:jc w:val="center"/>
              <w:rPr>
                <w:rFonts w:ascii="Times New Roman" w:hAnsi="Times New Roman" w:cs="Times New Roman"/>
                <w:b/>
                <w:sz w:val="20"/>
                <w:szCs w:val="20"/>
              </w:rPr>
            </w:pPr>
            <w:r w:rsidRPr="0068369B">
              <w:rPr>
                <w:rFonts w:ascii="Times New Roman" w:hAnsi="Times New Roman" w:cs="Times New Roman"/>
                <w:b/>
                <w:sz w:val="20"/>
                <w:szCs w:val="20"/>
              </w:rPr>
              <w:t>Accuracy level</w:t>
            </w:r>
            <w:r w:rsidR="00FB548F">
              <w:rPr>
                <w:rFonts w:ascii="Times New Roman" w:hAnsi="Times New Roman" w:cs="Times New Roman"/>
                <w:b/>
                <w:sz w:val="20"/>
                <w:szCs w:val="20"/>
              </w:rPr>
              <w:t xml:space="preserve"> (%)</w:t>
            </w:r>
          </w:p>
        </w:tc>
        <w:tc>
          <w:tcPr>
            <w:tcW w:w="1205" w:type="dxa"/>
            <w:tcBorders>
              <w:bottom w:val="single" w:sz="4" w:space="0" w:color="auto"/>
            </w:tcBorders>
          </w:tcPr>
          <w:p w:rsidR="00A00FE3" w:rsidRPr="0068369B" w:rsidRDefault="00A00FE3" w:rsidP="007F3036">
            <w:pPr>
              <w:jc w:val="center"/>
              <w:rPr>
                <w:rFonts w:ascii="Times New Roman" w:hAnsi="Times New Roman" w:cs="Times New Roman"/>
                <w:b/>
                <w:sz w:val="20"/>
                <w:szCs w:val="20"/>
              </w:rPr>
            </w:pPr>
          </w:p>
          <w:p w:rsidR="00223481" w:rsidRPr="0068369B" w:rsidRDefault="00FB548F" w:rsidP="007F3036">
            <w:pPr>
              <w:jc w:val="center"/>
              <w:rPr>
                <w:rFonts w:ascii="Times New Roman" w:hAnsi="Times New Roman" w:cs="Times New Roman"/>
                <w:b/>
                <w:sz w:val="20"/>
                <w:szCs w:val="20"/>
              </w:rPr>
            </w:pPr>
            <w:r>
              <w:rPr>
                <w:rFonts w:ascii="Times New Roman" w:hAnsi="Times New Roman" w:cs="Times New Roman"/>
                <w:b/>
                <w:sz w:val="20"/>
                <w:szCs w:val="20"/>
              </w:rPr>
              <w:t>Amount</w:t>
            </w:r>
            <w:r w:rsidR="00C72E46" w:rsidRPr="0068369B">
              <w:rPr>
                <w:rFonts w:ascii="Times New Roman" w:hAnsi="Times New Roman" w:cs="Times New Roman"/>
                <w:b/>
                <w:sz w:val="20"/>
                <w:szCs w:val="20"/>
              </w:rPr>
              <w:t xml:space="preserve"> added in µ</w:t>
            </w:r>
            <w:r w:rsidR="00223481" w:rsidRPr="0068369B">
              <w:rPr>
                <w:rFonts w:ascii="Times New Roman" w:hAnsi="Times New Roman" w:cs="Times New Roman"/>
                <w:b/>
                <w:sz w:val="20"/>
                <w:szCs w:val="20"/>
              </w:rPr>
              <w:t>g</w:t>
            </w:r>
          </w:p>
        </w:tc>
        <w:tc>
          <w:tcPr>
            <w:tcW w:w="1205" w:type="dxa"/>
            <w:tcBorders>
              <w:bottom w:val="single" w:sz="4" w:space="0" w:color="auto"/>
            </w:tcBorders>
          </w:tcPr>
          <w:p w:rsidR="00A00FE3" w:rsidRPr="0068369B" w:rsidRDefault="00A00FE3" w:rsidP="007F3036">
            <w:pPr>
              <w:jc w:val="center"/>
              <w:rPr>
                <w:rFonts w:ascii="Times New Roman" w:hAnsi="Times New Roman" w:cs="Times New Roman"/>
                <w:b/>
                <w:sz w:val="20"/>
                <w:szCs w:val="20"/>
              </w:rPr>
            </w:pPr>
          </w:p>
          <w:p w:rsidR="00223481" w:rsidRPr="0068369B" w:rsidRDefault="00223481" w:rsidP="007F3036">
            <w:pPr>
              <w:jc w:val="center"/>
              <w:rPr>
                <w:rFonts w:ascii="Times New Roman" w:hAnsi="Times New Roman" w:cs="Times New Roman"/>
                <w:b/>
                <w:sz w:val="20"/>
                <w:szCs w:val="20"/>
              </w:rPr>
            </w:pPr>
            <w:r w:rsidRPr="0068369B">
              <w:rPr>
                <w:rFonts w:ascii="Times New Roman" w:hAnsi="Times New Roman" w:cs="Times New Roman"/>
                <w:b/>
                <w:sz w:val="20"/>
                <w:szCs w:val="20"/>
              </w:rPr>
              <w:t>Area</w:t>
            </w:r>
          </w:p>
        </w:tc>
        <w:tc>
          <w:tcPr>
            <w:tcW w:w="1205" w:type="dxa"/>
            <w:tcBorders>
              <w:bottom w:val="single" w:sz="4" w:space="0" w:color="auto"/>
            </w:tcBorders>
          </w:tcPr>
          <w:p w:rsidR="00223481" w:rsidRPr="0068369B" w:rsidRDefault="00FB548F" w:rsidP="007F3036">
            <w:pPr>
              <w:jc w:val="center"/>
              <w:rPr>
                <w:rFonts w:ascii="Times New Roman" w:hAnsi="Times New Roman" w:cs="Times New Roman"/>
                <w:b/>
                <w:sz w:val="20"/>
                <w:szCs w:val="20"/>
              </w:rPr>
            </w:pPr>
            <w:r>
              <w:rPr>
                <w:rFonts w:ascii="Times New Roman" w:hAnsi="Times New Roman" w:cs="Times New Roman"/>
                <w:b/>
                <w:sz w:val="20"/>
                <w:szCs w:val="20"/>
              </w:rPr>
              <w:t>Amount</w:t>
            </w:r>
            <w:r w:rsidR="00223481" w:rsidRPr="0068369B">
              <w:rPr>
                <w:rFonts w:ascii="Times New Roman" w:hAnsi="Times New Roman" w:cs="Times New Roman"/>
                <w:b/>
                <w:sz w:val="20"/>
                <w:szCs w:val="20"/>
              </w:rPr>
              <w:t xml:space="preserve"> recovered in </w:t>
            </w:r>
            <w:r w:rsidR="00C72E46" w:rsidRPr="0068369B">
              <w:rPr>
                <w:rFonts w:ascii="Times New Roman" w:hAnsi="Times New Roman" w:cs="Times New Roman"/>
                <w:b/>
                <w:sz w:val="20"/>
                <w:szCs w:val="20"/>
              </w:rPr>
              <w:t xml:space="preserve">µg </w:t>
            </w:r>
            <w:r>
              <w:rPr>
                <w:rFonts w:ascii="Times New Roman" w:hAnsi="Times New Roman" w:cs="Times New Roman"/>
                <w:b/>
                <w:sz w:val="20"/>
                <w:szCs w:val="20"/>
              </w:rPr>
              <w:t>(Average</w:t>
            </w:r>
            <w:r w:rsidR="00223481" w:rsidRPr="0068369B">
              <w:rPr>
                <w:rFonts w:ascii="Times New Roman" w:hAnsi="Times New Roman" w:cs="Times New Roman"/>
                <w:b/>
                <w:sz w:val="20"/>
                <w:szCs w:val="20"/>
              </w:rPr>
              <w:t>)</w:t>
            </w:r>
          </w:p>
        </w:tc>
        <w:tc>
          <w:tcPr>
            <w:tcW w:w="1205" w:type="dxa"/>
            <w:tcBorders>
              <w:bottom w:val="single" w:sz="4" w:space="0" w:color="auto"/>
            </w:tcBorders>
          </w:tcPr>
          <w:p w:rsidR="00223481" w:rsidRPr="0068369B" w:rsidRDefault="00FB548F" w:rsidP="007F3036">
            <w:pPr>
              <w:jc w:val="center"/>
              <w:rPr>
                <w:rFonts w:ascii="Times New Roman" w:hAnsi="Times New Roman" w:cs="Times New Roman"/>
                <w:b/>
                <w:sz w:val="20"/>
                <w:szCs w:val="20"/>
              </w:rPr>
            </w:pPr>
            <w:r>
              <w:rPr>
                <w:rFonts w:ascii="Times New Roman" w:hAnsi="Times New Roman" w:cs="Times New Roman"/>
                <w:b/>
                <w:sz w:val="20"/>
                <w:szCs w:val="20"/>
              </w:rPr>
              <w:t>% Recovery (Average</w:t>
            </w:r>
            <w:r w:rsidR="00223481" w:rsidRPr="0068369B">
              <w:rPr>
                <w:rFonts w:ascii="Times New Roman" w:hAnsi="Times New Roman" w:cs="Times New Roman"/>
                <w:b/>
                <w:sz w:val="20"/>
                <w:szCs w:val="20"/>
              </w:rPr>
              <w:t>)</w:t>
            </w:r>
          </w:p>
        </w:tc>
        <w:tc>
          <w:tcPr>
            <w:tcW w:w="1205" w:type="dxa"/>
            <w:tcBorders>
              <w:bottom w:val="single" w:sz="4" w:space="0" w:color="auto"/>
            </w:tcBorders>
          </w:tcPr>
          <w:p w:rsidR="00A00FE3" w:rsidRPr="0068369B" w:rsidRDefault="00A00FE3" w:rsidP="007F3036">
            <w:pPr>
              <w:jc w:val="center"/>
              <w:rPr>
                <w:rFonts w:ascii="Times New Roman" w:hAnsi="Times New Roman" w:cs="Times New Roman"/>
                <w:b/>
                <w:sz w:val="20"/>
                <w:szCs w:val="20"/>
              </w:rPr>
            </w:pPr>
          </w:p>
          <w:p w:rsidR="00223481" w:rsidRPr="0068369B" w:rsidRDefault="00223481" w:rsidP="007F3036">
            <w:pPr>
              <w:jc w:val="center"/>
              <w:rPr>
                <w:rFonts w:ascii="Times New Roman" w:hAnsi="Times New Roman" w:cs="Times New Roman"/>
                <w:b/>
                <w:sz w:val="20"/>
                <w:szCs w:val="20"/>
              </w:rPr>
            </w:pPr>
            <w:r w:rsidRPr="0068369B">
              <w:rPr>
                <w:rFonts w:ascii="Times New Roman" w:hAnsi="Times New Roman" w:cs="Times New Roman"/>
                <w:b/>
                <w:sz w:val="20"/>
                <w:szCs w:val="20"/>
              </w:rPr>
              <w:t>SD</w:t>
            </w:r>
          </w:p>
        </w:tc>
        <w:tc>
          <w:tcPr>
            <w:tcW w:w="2014" w:type="dxa"/>
            <w:tcBorders>
              <w:bottom w:val="single" w:sz="4" w:space="0" w:color="auto"/>
            </w:tcBorders>
          </w:tcPr>
          <w:p w:rsidR="00A00FE3" w:rsidRPr="0068369B" w:rsidRDefault="00A00FE3" w:rsidP="007F3036">
            <w:pPr>
              <w:jc w:val="center"/>
              <w:rPr>
                <w:rFonts w:ascii="Times New Roman" w:hAnsi="Times New Roman" w:cs="Times New Roman"/>
                <w:b/>
                <w:sz w:val="20"/>
                <w:szCs w:val="20"/>
              </w:rPr>
            </w:pPr>
          </w:p>
          <w:p w:rsidR="00223481" w:rsidRPr="0068369B" w:rsidRDefault="00223481" w:rsidP="007F3036">
            <w:pPr>
              <w:jc w:val="center"/>
              <w:rPr>
                <w:rFonts w:ascii="Times New Roman" w:hAnsi="Times New Roman" w:cs="Times New Roman"/>
                <w:b/>
                <w:sz w:val="20"/>
                <w:szCs w:val="20"/>
              </w:rPr>
            </w:pPr>
            <w:r w:rsidRPr="0068369B">
              <w:rPr>
                <w:rFonts w:ascii="Times New Roman" w:hAnsi="Times New Roman" w:cs="Times New Roman"/>
                <w:b/>
                <w:sz w:val="20"/>
                <w:szCs w:val="20"/>
              </w:rPr>
              <w:t>%RSD</w:t>
            </w:r>
          </w:p>
        </w:tc>
      </w:tr>
      <w:tr w:rsidR="00FB548F" w:rsidRPr="0068369B" w:rsidTr="00FB548F">
        <w:trPr>
          <w:trHeight w:val="469"/>
          <w:jc w:val="center"/>
        </w:trPr>
        <w:tc>
          <w:tcPr>
            <w:tcW w:w="1205" w:type="dxa"/>
            <w:tcBorders>
              <w:bottom w:val="nil"/>
            </w:tcBorders>
          </w:tcPr>
          <w:p w:rsidR="005E520C" w:rsidRPr="0068369B" w:rsidRDefault="005E520C" w:rsidP="00076000">
            <w:pPr>
              <w:jc w:val="center"/>
              <w:rPr>
                <w:rFonts w:ascii="Times New Roman" w:hAnsi="Times New Roman" w:cs="Times New Roman"/>
                <w:sz w:val="20"/>
                <w:szCs w:val="20"/>
              </w:rPr>
            </w:pPr>
          </w:p>
          <w:p w:rsidR="00223481" w:rsidRPr="0068369B" w:rsidRDefault="00FB548F" w:rsidP="00076000">
            <w:pPr>
              <w:jc w:val="center"/>
              <w:rPr>
                <w:rFonts w:ascii="Times New Roman" w:hAnsi="Times New Roman" w:cs="Times New Roman"/>
                <w:sz w:val="20"/>
                <w:szCs w:val="20"/>
              </w:rPr>
            </w:pPr>
            <w:r>
              <w:rPr>
                <w:rFonts w:ascii="Times New Roman" w:hAnsi="Times New Roman" w:cs="Times New Roman"/>
                <w:sz w:val="20"/>
                <w:szCs w:val="20"/>
              </w:rPr>
              <w:t>80</w:t>
            </w:r>
          </w:p>
        </w:tc>
        <w:tc>
          <w:tcPr>
            <w:tcW w:w="1205" w:type="dxa"/>
            <w:tcBorders>
              <w:bottom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14.4</w:t>
            </w:r>
          </w:p>
        </w:tc>
        <w:tc>
          <w:tcPr>
            <w:tcW w:w="1205" w:type="dxa"/>
            <w:tcBorders>
              <w:bottom w:val="nil"/>
            </w:tcBorders>
            <w:vAlign w:val="bottom"/>
          </w:tcPr>
          <w:p w:rsidR="00223481" w:rsidRPr="0068369B" w:rsidRDefault="00223481" w:rsidP="00076000">
            <w:pPr>
              <w:jc w:val="center"/>
              <w:rPr>
                <w:rFonts w:ascii="Times New Roman" w:hAnsi="Times New Roman" w:cs="Times New Roman"/>
                <w:bCs/>
                <w:sz w:val="20"/>
                <w:szCs w:val="20"/>
              </w:rPr>
            </w:pPr>
            <w:r w:rsidRPr="0068369B">
              <w:rPr>
                <w:rFonts w:ascii="Times New Roman" w:hAnsi="Times New Roman" w:cs="Times New Roman"/>
                <w:bCs/>
                <w:sz w:val="20"/>
                <w:szCs w:val="20"/>
              </w:rPr>
              <w:t>218.152</w:t>
            </w:r>
          </w:p>
        </w:tc>
        <w:tc>
          <w:tcPr>
            <w:tcW w:w="1205" w:type="dxa"/>
            <w:tcBorders>
              <w:bottom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14.29</w:t>
            </w:r>
          </w:p>
        </w:tc>
        <w:tc>
          <w:tcPr>
            <w:tcW w:w="1205" w:type="dxa"/>
            <w:tcBorders>
              <w:bottom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99.25</w:t>
            </w:r>
          </w:p>
        </w:tc>
        <w:tc>
          <w:tcPr>
            <w:tcW w:w="1205" w:type="dxa"/>
            <w:tcBorders>
              <w:bottom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1.511</w:t>
            </w:r>
          </w:p>
        </w:tc>
        <w:tc>
          <w:tcPr>
            <w:tcW w:w="2014" w:type="dxa"/>
            <w:tcBorders>
              <w:bottom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0.697</w:t>
            </w:r>
          </w:p>
        </w:tc>
      </w:tr>
      <w:tr w:rsidR="00FB548F" w:rsidRPr="0068369B" w:rsidTr="00FB548F">
        <w:trPr>
          <w:trHeight w:val="469"/>
          <w:jc w:val="center"/>
        </w:trPr>
        <w:tc>
          <w:tcPr>
            <w:tcW w:w="1205" w:type="dxa"/>
            <w:tcBorders>
              <w:top w:val="nil"/>
              <w:bottom w:val="nil"/>
            </w:tcBorders>
          </w:tcPr>
          <w:p w:rsidR="005E520C" w:rsidRPr="0068369B" w:rsidRDefault="005E520C" w:rsidP="00076000">
            <w:pPr>
              <w:jc w:val="center"/>
              <w:rPr>
                <w:rFonts w:ascii="Times New Roman" w:hAnsi="Times New Roman" w:cs="Times New Roman"/>
                <w:sz w:val="20"/>
                <w:szCs w:val="20"/>
              </w:rPr>
            </w:pPr>
          </w:p>
          <w:p w:rsidR="00223481" w:rsidRPr="0068369B" w:rsidRDefault="00FB548F" w:rsidP="00076000">
            <w:pPr>
              <w:jc w:val="center"/>
              <w:rPr>
                <w:rFonts w:ascii="Times New Roman" w:hAnsi="Times New Roman" w:cs="Times New Roman"/>
                <w:sz w:val="20"/>
                <w:szCs w:val="20"/>
              </w:rPr>
            </w:pPr>
            <w:r>
              <w:rPr>
                <w:rFonts w:ascii="Times New Roman" w:hAnsi="Times New Roman" w:cs="Times New Roman"/>
                <w:sz w:val="20"/>
                <w:szCs w:val="20"/>
              </w:rPr>
              <w:t>100</w:t>
            </w:r>
          </w:p>
        </w:tc>
        <w:tc>
          <w:tcPr>
            <w:tcW w:w="1205" w:type="dxa"/>
            <w:tcBorders>
              <w:top w:val="nil"/>
              <w:bottom w:val="nil"/>
            </w:tcBorders>
          </w:tcPr>
          <w:p w:rsidR="005E520C" w:rsidRPr="0068369B" w:rsidRDefault="005E520C"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17.6</w:t>
            </w:r>
          </w:p>
        </w:tc>
        <w:tc>
          <w:tcPr>
            <w:tcW w:w="1205" w:type="dxa"/>
            <w:tcBorders>
              <w:top w:val="nil"/>
              <w:bottom w:val="nil"/>
            </w:tcBorders>
            <w:vAlign w:val="bottom"/>
          </w:tcPr>
          <w:p w:rsidR="00223481" w:rsidRPr="0068369B" w:rsidRDefault="00223481" w:rsidP="00076000">
            <w:pPr>
              <w:jc w:val="center"/>
              <w:rPr>
                <w:rFonts w:ascii="Times New Roman" w:hAnsi="Times New Roman" w:cs="Times New Roman"/>
                <w:bCs/>
                <w:sz w:val="20"/>
                <w:szCs w:val="20"/>
              </w:rPr>
            </w:pPr>
            <w:r w:rsidRPr="0068369B">
              <w:rPr>
                <w:rFonts w:ascii="Times New Roman" w:hAnsi="Times New Roman" w:cs="Times New Roman"/>
                <w:bCs/>
                <w:sz w:val="20"/>
                <w:szCs w:val="20"/>
              </w:rPr>
              <w:t>264.151</w:t>
            </w:r>
          </w:p>
        </w:tc>
        <w:tc>
          <w:tcPr>
            <w:tcW w:w="1205" w:type="dxa"/>
            <w:tcBorders>
              <w:top w:val="nil"/>
              <w:bottom w:val="nil"/>
            </w:tcBorders>
          </w:tcPr>
          <w:p w:rsidR="005E520C" w:rsidRPr="0068369B" w:rsidRDefault="005E520C"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17.46</w:t>
            </w:r>
          </w:p>
        </w:tc>
        <w:tc>
          <w:tcPr>
            <w:tcW w:w="1205" w:type="dxa"/>
            <w:tcBorders>
              <w:top w:val="nil"/>
              <w:bottom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99.18</w:t>
            </w:r>
          </w:p>
        </w:tc>
        <w:tc>
          <w:tcPr>
            <w:tcW w:w="1205" w:type="dxa"/>
            <w:tcBorders>
              <w:top w:val="nil"/>
              <w:bottom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0.815</w:t>
            </w:r>
          </w:p>
        </w:tc>
        <w:tc>
          <w:tcPr>
            <w:tcW w:w="2014" w:type="dxa"/>
            <w:tcBorders>
              <w:top w:val="nil"/>
              <w:bottom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0.308</w:t>
            </w:r>
          </w:p>
        </w:tc>
      </w:tr>
      <w:tr w:rsidR="00FB548F" w:rsidRPr="0068369B" w:rsidTr="00FB548F">
        <w:trPr>
          <w:trHeight w:val="469"/>
          <w:jc w:val="center"/>
        </w:trPr>
        <w:tc>
          <w:tcPr>
            <w:tcW w:w="1205" w:type="dxa"/>
            <w:tcBorders>
              <w:top w:val="nil"/>
            </w:tcBorders>
          </w:tcPr>
          <w:p w:rsidR="005E520C" w:rsidRPr="0068369B" w:rsidRDefault="005E520C" w:rsidP="00076000">
            <w:pPr>
              <w:jc w:val="center"/>
              <w:rPr>
                <w:rFonts w:ascii="Times New Roman" w:hAnsi="Times New Roman" w:cs="Times New Roman"/>
                <w:sz w:val="20"/>
                <w:szCs w:val="20"/>
              </w:rPr>
            </w:pPr>
          </w:p>
          <w:p w:rsidR="00223481" w:rsidRPr="0068369B" w:rsidRDefault="00FB548F" w:rsidP="00076000">
            <w:pPr>
              <w:jc w:val="center"/>
              <w:rPr>
                <w:rFonts w:ascii="Times New Roman" w:hAnsi="Times New Roman" w:cs="Times New Roman"/>
                <w:sz w:val="20"/>
                <w:szCs w:val="20"/>
              </w:rPr>
            </w:pPr>
            <w:r>
              <w:rPr>
                <w:rFonts w:ascii="Times New Roman" w:hAnsi="Times New Roman" w:cs="Times New Roman"/>
                <w:sz w:val="20"/>
                <w:szCs w:val="20"/>
              </w:rPr>
              <w:t>120</w:t>
            </w:r>
          </w:p>
        </w:tc>
        <w:tc>
          <w:tcPr>
            <w:tcW w:w="1205" w:type="dxa"/>
            <w:tcBorders>
              <w:top w:val="nil"/>
            </w:tcBorders>
          </w:tcPr>
          <w:p w:rsidR="005E520C" w:rsidRPr="0068369B" w:rsidRDefault="005E520C"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20.8</w:t>
            </w:r>
          </w:p>
        </w:tc>
        <w:tc>
          <w:tcPr>
            <w:tcW w:w="1205" w:type="dxa"/>
            <w:tcBorders>
              <w:top w:val="nil"/>
            </w:tcBorders>
            <w:vAlign w:val="bottom"/>
          </w:tcPr>
          <w:p w:rsidR="00223481" w:rsidRPr="0068369B" w:rsidRDefault="00223481" w:rsidP="00076000">
            <w:pPr>
              <w:jc w:val="center"/>
              <w:rPr>
                <w:rFonts w:ascii="Times New Roman" w:hAnsi="Times New Roman" w:cs="Times New Roman"/>
                <w:bCs/>
                <w:sz w:val="20"/>
                <w:szCs w:val="20"/>
              </w:rPr>
            </w:pPr>
            <w:r w:rsidRPr="0068369B">
              <w:rPr>
                <w:rFonts w:ascii="Times New Roman" w:hAnsi="Times New Roman" w:cs="Times New Roman"/>
                <w:bCs/>
                <w:sz w:val="20"/>
                <w:szCs w:val="20"/>
              </w:rPr>
              <w:t>316.796</w:t>
            </w:r>
          </w:p>
        </w:tc>
        <w:tc>
          <w:tcPr>
            <w:tcW w:w="1205" w:type="dxa"/>
            <w:tcBorders>
              <w:top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20.84</w:t>
            </w:r>
          </w:p>
        </w:tc>
        <w:tc>
          <w:tcPr>
            <w:tcW w:w="1205" w:type="dxa"/>
            <w:tcBorders>
              <w:top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100.19</w:t>
            </w:r>
          </w:p>
        </w:tc>
        <w:tc>
          <w:tcPr>
            <w:tcW w:w="1205" w:type="dxa"/>
            <w:tcBorders>
              <w:top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1.732</w:t>
            </w:r>
          </w:p>
        </w:tc>
        <w:tc>
          <w:tcPr>
            <w:tcW w:w="2014" w:type="dxa"/>
            <w:tcBorders>
              <w:top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0.548</w:t>
            </w:r>
          </w:p>
        </w:tc>
      </w:tr>
    </w:tbl>
    <w:p w:rsidR="00985573" w:rsidRDefault="00985573" w:rsidP="00985573">
      <w:pPr>
        <w:autoSpaceDE w:val="0"/>
        <w:autoSpaceDN w:val="0"/>
        <w:adjustRightInd w:val="0"/>
        <w:spacing w:after="0" w:line="480" w:lineRule="auto"/>
        <w:rPr>
          <w:rFonts w:ascii="Times New Roman" w:eastAsia="OneGulliverA" w:hAnsi="Times New Roman" w:cs="Times New Roman"/>
          <w:b/>
          <w:sz w:val="20"/>
          <w:szCs w:val="20"/>
        </w:rPr>
      </w:pPr>
    </w:p>
    <w:p w:rsidR="00FB548F" w:rsidRDefault="00FB548F" w:rsidP="00985573">
      <w:pPr>
        <w:autoSpaceDE w:val="0"/>
        <w:autoSpaceDN w:val="0"/>
        <w:adjustRightInd w:val="0"/>
        <w:spacing w:after="0" w:line="480" w:lineRule="auto"/>
        <w:rPr>
          <w:rFonts w:ascii="Times New Roman" w:eastAsia="OneGulliverA" w:hAnsi="Times New Roman" w:cs="Times New Roman"/>
          <w:b/>
          <w:sz w:val="20"/>
          <w:szCs w:val="20"/>
        </w:rPr>
      </w:pPr>
    </w:p>
    <w:p w:rsidR="00FB548F" w:rsidRDefault="00FB548F" w:rsidP="00985573">
      <w:pPr>
        <w:autoSpaceDE w:val="0"/>
        <w:autoSpaceDN w:val="0"/>
        <w:adjustRightInd w:val="0"/>
        <w:spacing w:after="0" w:line="480" w:lineRule="auto"/>
        <w:rPr>
          <w:rFonts w:ascii="Times New Roman" w:eastAsia="OneGulliverA" w:hAnsi="Times New Roman" w:cs="Times New Roman"/>
          <w:b/>
          <w:sz w:val="20"/>
          <w:szCs w:val="20"/>
        </w:rPr>
      </w:pPr>
    </w:p>
    <w:p w:rsidR="00FB548F" w:rsidRPr="0068369B" w:rsidRDefault="00FB548F" w:rsidP="00985573">
      <w:pPr>
        <w:autoSpaceDE w:val="0"/>
        <w:autoSpaceDN w:val="0"/>
        <w:adjustRightInd w:val="0"/>
        <w:spacing w:after="0" w:line="480" w:lineRule="auto"/>
        <w:rPr>
          <w:rFonts w:ascii="Times New Roman" w:hAnsi="Times New Roman" w:cs="Times New Roman"/>
          <w:sz w:val="20"/>
          <w:szCs w:val="20"/>
        </w:rPr>
      </w:pPr>
    </w:p>
    <w:p w:rsidR="00A5761F" w:rsidRPr="00FB548F" w:rsidRDefault="00A5761F" w:rsidP="00FB548F">
      <w:pPr>
        <w:autoSpaceDE w:val="0"/>
        <w:autoSpaceDN w:val="0"/>
        <w:adjustRightInd w:val="0"/>
        <w:spacing w:after="0" w:line="480" w:lineRule="auto"/>
        <w:jc w:val="center"/>
        <w:rPr>
          <w:rFonts w:ascii="Times New Roman" w:hAnsi="Times New Roman" w:cs="Times New Roman"/>
          <w:sz w:val="20"/>
          <w:szCs w:val="20"/>
        </w:rPr>
      </w:pPr>
      <w:proofErr w:type="gramStart"/>
      <w:r w:rsidRPr="0068369B">
        <w:rPr>
          <w:rFonts w:ascii="Times New Roman" w:hAnsi="Times New Roman" w:cs="Times New Roman"/>
          <w:sz w:val="20"/>
          <w:szCs w:val="20"/>
        </w:rPr>
        <w:lastRenderedPageBreak/>
        <w:t>Table 7</w:t>
      </w:r>
      <w:r w:rsidR="00FB548F">
        <w:rPr>
          <w:rFonts w:ascii="Times New Roman" w:hAnsi="Times New Roman" w:cs="Times New Roman"/>
          <w:sz w:val="20"/>
          <w:szCs w:val="20"/>
        </w:rPr>
        <w:t>.</w:t>
      </w:r>
      <w:proofErr w:type="gramEnd"/>
      <w:r w:rsidR="00FB548F">
        <w:rPr>
          <w:rFonts w:ascii="Times New Roman" w:hAnsi="Times New Roman" w:cs="Times New Roman"/>
          <w:sz w:val="20"/>
          <w:szCs w:val="20"/>
        </w:rPr>
        <w:t xml:space="preserve"> </w:t>
      </w:r>
      <w:r w:rsidRPr="0068369B">
        <w:rPr>
          <w:rFonts w:ascii="Times New Roman" w:hAnsi="Times New Roman" w:cs="Times New Roman"/>
          <w:sz w:val="20"/>
          <w:szCs w:val="20"/>
        </w:rPr>
        <w:t xml:space="preserve">Recovery results for </w:t>
      </w:r>
      <w:proofErr w:type="spellStart"/>
      <w:r w:rsidRPr="0068369B">
        <w:rPr>
          <w:rFonts w:ascii="Times New Roman" w:hAnsi="Times New Roman" w:cs="Times New Roman"/>
          <w:sz w:val="20"/>
          <w:szCs w:val="20"/>
        </w:rPr>
        <w:t>Lumefantrine</w:t>
      </w:r>
      <w:proofErr w:type="spellEnd"/>
    </w:p>
    <w:tbl>
      <w:tblPr>
        <w:tblStyle w:val="TableGrid"/>
        <w:tblW w:w="9244" w:type="dxa"/>
        <w:jc w:val="center"/>
        <w:tblInd w:w="56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05"/>
        <w:gridCol w:w="1205"/>
        <w:gridCol w:w="1205"/>
        <w:gridCol w:w="1205"/>
        <w:gridCol w:w="1205"/>
        <w:gridCol w:w="1205"/>
        <w:gridCol w:w="2014"/>
      </w:tblGrid>
      <w:tr w:rsidR="00FB548F" w:rsidRPr="0068369B" w:rsidTr="00FB548F">
        <w:trPr>
          <w:trHeight w:val="737"/>
          <w:jc w:val="center"/>
        </w:trPr>
        <w:tc>
          <w:tcPr>
            <w:tcW w:w="1205" w:type="dxa"/>
            <w:tcBorders>
              <w:bottom w:val="single" w:sz="4" w:space="0" w:color="auto"/>
            </w:tcBorders>
          </w:tcPr>
          <w:p w:rsidR="00A00FE3" w:rsidRPr="0068369B" w:rsidRDefault="00A00FE3" w:rsidP="00076000">
            <w:pPr>
              <w:jc w:val="center"/>
              <w:rPr>
                <w:rFonts w:ascii="Times New Roman" w:hAnsi="Times New Roman" w:cs="Times New Roman"/>
                <w:b/>
                <w:sz w:val="20"/>
                <w:szCs w:val="20"/>
              </w:rPr>
            </w:pPr>
          </w:p>
          <w:p w:rsidR="00223481" w:rsidRPr="0068369B" w:rsidRDefault="00223481" w:rsidP="00076000">
            <w:pPr>
              <w:jc w:val="center"/>
              <w:rPr>
                <w:rFonts w:ascii="Times New Roman" w:hAnsi="Times New Roman" w:cs="Times New Roman"/>
                <w:b/>
                <w:sz w:val="20"/>
                <w:szCs w:val="20"/>
              </w:rPr>
            </w:pPr>
            <w:r w:rsidRPr="0068369B">
              <w:rPr>
                <w:rFonts w:ascii="Times New Roman" w:hAnsi="Times New Roman" w:cs="Times New Roman"/>
                <w:b/>
                <w:sz w:val="20"/>
                <w:szCs w:val="20"/>
              </w:rPr>
              <w:t>Accuracy level</w:t>
            </w:r>
          </w:p>
        </w:tc>
        <w:tc>
          <w:tcPr>
            <w:tcW w:w="1205" w:type="dxa"/>
            <w:tcBorders>
              <w:bottom w:val="single" w:sz="4" w:space="0" w:color="auto"/>
            </w:tcBorders>
          </w:tcPr>
          <w:p w:rsidR="00A00FE3" w:rsidRPr="0068369B" w:rsidRDefault="00A00FE3" w:rsidP="00076000">
            <w:pPr>
              <w:jc w:val="center"/>
              <w:rPr>
                <w:rFonts w:ascii="Times New Roman" w:hAnsi="Times New Roman" w:cs="Times New Roman"/>
                <w:b/>
                <w:sz w:val="20"/>
                <w:szCs w:val="20"/>
              </w:rPr>
            </w:pPr>
          </w:p>
          <w:p w:rsidR="00223481" w:rsidRPr="0068369B" w:rsidRDefault="00FB548F" w:rsidP="00076000">
            <w:pPr>
              <w:jc w:val="center"/>
              <w:rPr>
                <w:rFonts w:ascii="Times New Roman" w:hAnsi="Times New Roman" w:cs="Times New Roman"/>
                <w:b/>
                <w:sz w:val="20"/>
                <w:szCs w:val="20"/>
              </w:rPr>
            </w:pPr>
            <w:r>
              <w:rPr>
                <w:rFonts w:ascii="Times New Roman" w:hAnsi="Times New Roman" w:cs="Times New Roman"/>
                <w:b/>
                <w:sz w:val="20"/>
                <w:szCs w:val="20"/>
              </w:rPr>
              <w:t xml:space="preserve">Amount </w:t>
            </w:r>
            <w:r w:rsidR="00223481" w:rsidRPr="0068369B">
              <w:rPr>
                <w:rFonts w:ascii="Times New Roman" w:hAnsi="Times New Roman" w:cs="Times New Roman"/>
                <w:b/>
                <w:sz w:val="20"/>
                <w:szCs w:val="20"/>
              </w:rPr>
              <w:t xml:space="preserve">added in </w:t>
            </w:r>
            <w:r w:rsidR="00C72E46" w:rsidRPr="0068369B">
              <w:rPr>
                <w:rFonts w:ascii="Times New Roman" w:hAnsi="Times New Roman" w:cs="Times New Roman"/>
                <w:b/>
                <w:sz w:val="20"/>
                <w:szCs w:val="20"/>
              </w:rPr>
              <w:t>µg</w:t>
            </w:r>
          </w:p>
        </w:tc>
        <w:tc>
          <w:tcPr>
            <w:tcW w:w="1205" w:type="dxa"/>
            <w:tcBorders>
              <w:bottom w:val="single" w:sz="4" w:space="0" w:color="auto"/>
            </w:tcBorders>
          </w:tcPr>
          <w:p w:rsidR="00A00FE3" w:rsidRPr="0068369B" w:rsidRDefault="00A00FE3" w:rsidP="00076000">
            <w:pPr>
              <w:jc w:val="center"/>
              <w:rPr>
                <w:rFonts w:ascii="Times New Roman" w:hAnsi="Times New Roman" w:cs="Times New Roman"/>
                <w:b/>
                <w:sz w:val="20"/>
                <w:szCs w:val="20"/>
              </w:rPr>
            </w:pPr>
          </w:p>
          <w:p w:rsidR="00223481" w:rsidRPr="0068369B" w:rsidRDefault="00223481" w:rsidP="00076000">
            <w:pPr>
              <w:jc w:val="center"/>
              <w:rPr>
                <w:rFonts w:ascii="Times New Roman" w:hAnsi="Times New Roman" w:cs="Times New Roman"/>
                <w:b/>
                <w:sz w:val="20"/>
                <w:szCs w:val="20"/>
              </w:rPr>
            </w:pPr>
            <w:r w:rsidRPr="0068369B">
              <w:rPr>
                <w:rFonts w:ascii="Times New Roman" w:hAnsi="Times New Roman" w:cs="Times New Roman"/>
                <w:b/>
                <w:sz w:val="20"/>
                <w:szCs w:val="20"/>
              </w:rPr>
              <w:t>Area</w:t>
            </w:r>
          </w:p>
        </w:tc>
        <w:tc>
          <w:tcPr>
            <w:tcW w:w="1205" w:type="dxa"/>
            <w:tcBorders>
              <w:bottom w:val="single" w:sz="4" w:space="0" w:color="auto"/>
            </w:tcBorders>
          </w:tcPr>
          <w:p w:rsidR="00223481" w:rsidRPr="0068369B" w:rsidRDefault="00FB548F" w:rsidP="00076000">
            <w:pPr>
              <w:jc w:val="center"/>
              <w:rPr>
                <w:rFonts w:ascii="Times New Roman" w:hAnsi="Times New Roman" w:cs="Times New Roman"/>
                <w:b/>
                <w:sz w:val="20"/>
                <w:szCs w:val="20"/>
              </w:rPr>
            </w:pPr>
            <w:r>
              <w:rPr>
                <w:rFonts w:ascii="Times New Roman" w:hAnsi="Times New Roman" w:cs="Times New Roman"/>
                <w:b/>
                <w:sz w:val="20"/>
                <w:szCs w:val="20"/>
              </w:rPr>
              <w:t>Amount</w:t>
            </w:r>
            <w:r w:rsidR="00223481" w:rsidRPr="0068369B">
              <w:rPr>
                <w:rFonts w:ascii="Times New Roman" w:hAnsi="Times New Roman" w:cs="Times New Roman"/>
                <w:b/>
                <w:sz w:val="20"/>
                <w:szCs w:val="20"/>
              </w:rPr>
              <w:t xml:space="preserve"> recovered in </w:t>
            </w:r>
            <w:r w:rsidR="00C72E46" w:rsidRPr="0068369B">
              <w:rPr>
                <w:rFonts w:ascii="Times New Roman" w:hAnsi="Times New Roman" w:cs="Times New Roman"/>
                <w:b/>
                <w:sz w:val="20"/>
                <w:szCs w:val="20"/>
              </w:rPr>
              <w:t xml:space="preserve">µg </w:t>
            </w:r>
            <w:r w:rsidR="00223481" w:rsidRPr="0068369B">
              <w:rPr>
                <w:rFonts w:ascii="Times New Roman" w:hAnsi="Times New Roman" w:cs="Times New Roman"/>
                <w:b/>
                <w:sz w:val="20"/>
                <w:szCs w:val="20"/>
              </w:rPr>
              <w:t>(</w:t>
            </w:r>
            <w:r>
              <w:rPr>
                <w:rFonts w:ascii="Times New Roman" w:hAnsi="Times New Roman" w:cs="Times New Roman"/>
                <w:b/>
                <w:sz w:val="20"/>
                <w:szCs w:val="20"/>
              </w:rPr>
              <w:t>Average</w:t>
            </w:r>
            <w:r w:rsidR="00223481" w:rsidRPr="0068369B">
              <w:rPr>
                <w:rFonts w:ascii="Times New Roman" w:hAnsi="Times New Roman" w:cs="Times New Roman"/>
                <w:b/>
                <w:sz w:val="20"/>
                <w:szCs w:val="20"/>
              </w:rPr>
              <w:t>)</w:t>
            </w:r>
          </w:p>
        </w:tc>
        <w:tc>
          <w:tcPr>
            <w:tcW w:w="1205" w:type="dxa"/>
            <w:tcBorders>
              <w:bottom w:val="single" w:sz="4" w:space="0" w:color="auto"/>
            </w:tcBorders>
          </w:tcPr>
          <w:p w:rsidR="00223481" w:rsidRPr="0068369B" w:rsidRDefault="00FB548F" w:rsidP="00076000">
            <w:pPr>
              <w:jc w:val="center"/>
              <w:rPr>
                <w:rFonts w:ascii="Times New Roman" w:hAnsi="Times New Roman" w:cs="Times New Roman"/>
                <w:b/>
                <w:sz w:val="20"/>
                <w:szCs w:val="20"/>
              </w:rPr>
            </w:pPr>
            <w:r>
              <w:rPr>
                <w:rFonts w:ascii="Times New Roman" w:hAnsi="Times New Roman" w:cs="Times New Roman"/>
                <w:b/>
                <w:sz w:val="20"/>
                <w:szCs w:val="20"/>
              </w:rPr>
              <w:t>% Recovery (Average</w:t>
            </w:r>
            <w:r w:rsidR="00223481" w:rsidRPr="0068369B">
              <w:rPr>
                <w:rFonts w:ascii="Times New Roman" w:hAnsi="Times New Roman" w:cs="Times New Roman"/>
                <w:b/>
                <w:sz w:val="20"/>
                <w:szCs w:val="20"/>
              </w:rPr>
              <w:t>)</w:t>
            </w:r>
          </w:p>
        </w:tc>
        <w:tc>
          <w:tcPr>
            <w:tcW w:w="1205" w:type="dxa"/>
            <w:tcBorders>
              <w:bottom w:val="single" w:sz="4" w:space="0" w:color="auto"/>
            </w:tcBorders>
          </w:tcPr>
          <w:p w:rsidR="00A00FE3" w:rsidRPr="0068369B" w:rsidRDefault="00A00FE3" w:rsidP="00076000">
            <w:pPr>
              <w:jc w:val="center"/>
              <w:rPr>
                <w:rFonts w:ascii="Times New Roman" w:hAnsi="Times New Roman" w:cs="Times New Roman"/>
                <w:b/>
                <w:sz w:val="20"/>
                <w:szCs w:val="20"/>
              </w:rPr>
            </w:pPr>
          </w:p>
          <w:p w:rsidR="00223481" w:rsidRPr="0068369B" w:rsidRDefault="00223481" w:rsidP="00076000">
            <w:pPr>
              <w:jc w:val="center"/>
              <w:rPr>
                <w:rFonts w:ascii="Times New Roman" w:hAnsi="Times New Roman" w:cs="Times New Roman"/>
                <w:b/>
                <w:sz w:val="20"/>
                <w:szCs w:val="20"/>
              </w:rPr>
            </w:pPr>
            <w:r w:rsidRPr="0068369B">
              <w:rPr>
                <w:rFonts w:ascii="Times New Roman" w:hAnsi="Times New Roman" w:cs="Times New Roman"/>
                <w:b/>
                <w:sz w:val="20"/>
                <w:szCs w:val="20"/>
              </w:rPr>
              <w:t>SD</w:t>
            </w:r>
          </w:p>
        </w:tc>
        <w:tc>
          <w:tcPr>
            <w:tcW w:w="2014" w:type="dxa"/>
            <w:tcBorders>
              <w:bottom w:val="single" w:sz="4" w:space="0" w:color="auto"/>
            </w:tcBorders>
          </w:tcPr>
          <w:p w:rsidR="00A00FE3" w:rsidRPr="0068369B" w:rsidRDefault="00A00FE3" w:rsidP="00076000">
            <w:pPr>
              <w:jc w:val="center"/>
              <w:rPr>
                <w:rFonts w:ascii="Times New Roman" w:hAnsi="Times New Roman" w:cs="Times New Roman"/>
                <w:b/>
                <w:sz w:val="20"/>
                <w:szCs w:val="20"/>
              </w:rPr>
            </w:pPr>
          </w:p>
          <w:p w:rsidR="00223481" w:rsidRPr="0068369B" w:rsidRDefault="00223481" w:rsidP="00076000">
            <w:pPr>
              <w:jc w:val="center"/>
              <w:rPr>
                <w:rFonts w:ascii="Times New Roman" w:hAnsi="Times New Roman" w:cs="Times New Roman"/>
                <w:b/>
                <w:sz w:val="20"/>
                <w:szCs w:val="20"/>
              </w:rPr>
            </w:pPr>
            <w:r w:rsidRPr="0068369B">
              <w:rPr>
                <w:rFonts w:ascii="Times New Roman" w:hAnsi="Times New Roman" w:cs="Times New Roman"/>
                <w:b/>
                <w:sz w:val="20"/>
                <w:szCs w:val="20"/>
              </w:rPr>
              <w:t>%RSD</w:t>
            </w:r>
          </w:p>
        </w:tc>
      </w:tr>
      <w:tr w:rsidR="00FB548F" w:rsidRPr="0068369B" w:rsidTr="00FB548F">
        <w:trPr>
          <w:trHeight w:val="469"/>
          <w:jc w:val="center"/>
        </w:trPr>
        <w:tc>
          <w:tcPr>
            <w:tcW w:w="1205" w:type="dxa"/>
            <w:tcBorders>
              <w:bottom w:val="nil"/>
            </w:tcBorders>
          </w:tcPr>
          <w:p w:rsidR="00076000" w:rsidRPr="0068369B" w:rsidRDefault="00076000" w:rsidP="00076000">
            <w:pPr>
              <w:jc w:val="center"/>
              <w:rPr>
                <w:rFonts w:ascii="Times New Roman" w:hAnsi="Times New Roman" w:cs="Times New Roman"/>
                <w:sz w:val="20"/>
                <w:szCs w:val="20"/>
              </w:rPr>
            </w:pPr>
          </w:p>
          <w:p w:rsidR="00223481" w:rsidRPr="0068369B" w:rsidRDefault="00FB548F" w:rsidP="00076000">
            <w:pPr>
              <w:jc w:val="center"/>
              <w:rPr>
                <w:rFonts w:ascii="Times New Roman" w:hAnsi="Times New Roman" w:cs="Times New Roman"/>
                <w:sz w:val="20"/>
                <w:szCs w:val="20"/>
              </w:rPr>
            </w:pPr>
            <w:r>
              <w:rPr>
                <w:rFonts w:ascii="Times New Roman" w:hAnsi="Times New Roman" w:cs="Times New Roman"/>
                <w:sz w:val="20"/>
                <w:szCs w:val="20"/>
              </w:rPr>
              <w:t>80</w:t>
            </w:r>
          </w:p>
        </w:tc>
        <w:tc>
          <w:tcPr>
            <w:tcW w:w="1205" w:type="dxa"/>
            <w:tcBorders>
              <w:bottom w:val="nil"/>
            </w:tcBorders>
          </w:tcPr>
          <w:p w:rsidR="00076000" w:rsidRPr="0068369B" w:rsidRDefault="00076000"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86.4</w:t>
            </w:r>
          </w:p>
        </w:tc>
        <w:tc>
          <w:tcPr>
            <w:tcW w:w="1205" w:type="dxa"/>
            <w:tcBorders>
              <w:bottom w:val="nil"/>
            </w:tcBorders>
            <w:vAlign w:val="bottom"/>
          </w:tcPr>
          <w:p w:rsidR="00223481" w:rsidRPr="0068369B" w:rsidRDefault="00223481" w:rsidP="00076000">
            <w:pPr>
              <w:jc w:val="center"/>
              <w:rPr>
                <w:rFonts w:ascii="Times New Roman" w:hAnsi="Times New Roman" w:cs="Times New Roman"/>
                <w:bCs/>
                <w:sz w:val="20"/>
                <w:szCs w:val="20"/>
              </w:rPr>
            </w:pPr>
            <w:r w:rsidRPr="0068369B">
              <w:rPr>
                <w:rFonts w:ascii="Times New Roman" w:hAnsi="Times New Roman" w:cs="Times New Roman"/>
                <w:bCs/>
                <w:sz w:val="20"/>
                <w:szCs w:val="20"/>
              </w:rPr>
              <w:t>4831.711</w:t>
            </w:r>
          </w:p>
        </w:tc>
        <w:tc>
          <w:tcPr>
            <w:tcW w:w="1205" w:type="dxa"/>
            <w:tcBorders>
              <w:bottom w:val="nil"/>
            </w:tcBorders>
          </w:tcPr>
          <w:p w:rsidR="00076000" w:rsidRPr="0068369B" w:rsidRDefault="00076000"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86.46</w:t>
            </w:r>
          </w:p>
        </w:tc>
        <w:tc>
          <w:tcPr>
            <w:tcW w:w="1205" w:type="dxa"/>
            <w:tcBorders>
              <w:bottom w:val="nil"/>
            </w:tcBorders>
          </w:tcPr>
          <w:p w:rsidR="00076000" w:rsidRPr="0068369B" w:rsidRDefault="00076000"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100.07</w:t>
            </w:r>
          </w:p>
        </w:tc>
        <w:tc>
          <w:tcPr>
            <w:tcW w:w="1205" w:type="dxa"/>
            <w:tcBorders>
              <w:bottom w:val="nil"/>
            </w:tcBorders>
          </w:tcPr>
          <w:p w:rsidR="00076000" w:rsidRPr="0068369B" w:rsidRDefault="00076000"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3.517</w:t>
            </w:r>
          </w:p>
        </w:tc>
        <w:tc>
          <w:tcPr>
            <w:tcW w:w="2014" w:type="dxa"/>
            <w:tcBorders>
              <w:bottom w:val="nil"/>
            </w:tcBorders>
          </w:tcPr>
          <w:p w:rsidR="00076000" w:rsidRPr="0068369B" w:rsidRDefault="00076000"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0.072</w:t>
            </w:r>
          </w:p>
        </w:tc>
      </w:tr>
      <w:tr w:rsidR="00FB548F" w:rsidRPr="0068369B" w:rsidTr="00FB548F">
        <w:trPr>
          <w:trHeight w:val="469"/>
          <w:jc w:val="center"/>
        </w:trPr>
        <w:tc>
          <w:tcPr>
            <w:tcW w:w="1205" w:type="dxa"/>
            <w:tcBorders>
              <w:top w:val="nil"/>
              <w:bottom w:val="nil"/>
            </w:tcBorders>
          </w:tcPr>
          <w:p w:rsidR="005E520C" w:rsidRPr="0068369B" w:rsidRDefault="005E520C" w:rsidP="00076000">
            <w:pPr>
              <w:jc w:val="center"/>
              <w:rPr>
                <w:rFonts w:ascii="Times New Roman" w:hAnsi="Times New Roman" w:cs="Times New Roman"/>
                <w:sz w:val="20"/>
                <w:szCs w:val="20"/>
              </w:rPr>
            </w:pPr>
          </w:p>
          <w:p w:rsidR="00223481" w:rsidRPr="0068369B" w:rsidRDefault="00FB548F" w:rsidP="00076000">
            <w:pPr>
              <w:jc w:val="center"/>
              <w:rPr>
                <w:rFonts w:ascii="Times New Roman" w:hAnsi="Times New Roman" w:cs="Times New Roman"/>
                <w:sz w:val="20"/>
                <w:szCs w:val="20"/>
              </w:rPr>
            </w:pPr>
            <w:r>
              <w:rPr>
                <w:rFonts w:ascii="Times New Roman" w:hAnsi="Times New Roman" w:cs="Times New Roman"/>
                <w:sz w:val="20"/>
                <w:szCs w:val="20"/>
              </w:rPr>
              <w:t>100</w:t>
            </w:r>
          </w:p>
        </w:tc>
        <w:tc>
          <w:tcPr>
            <w:tcW w:w="1205" w:type="dxa"/>
            <w:tcBorders>
              <w:top w:val="nil"/>
              <w:bottom w:val="nil"/>
            </w:tcBorders>
          </w:tcPr>
          <w:p w:rsidR="005E520C" w:rsidRPr="0068369B" w:rsidRDefault="005E520C"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105.6</w:t>
            </w:r>
          </w:p>
        </w:tc>
        <w:tc>
          <w:tcPr>
            <w:tcW w:w="1205" w:type="dxa"/>
            <w:tcBorders>
              <w:top w:val="nil"/>
              <w:bottom w:val="nil"/>
            </w:tcBorders>
            <w:vAlign w:val="bottom"/>
          </w:tcPr>
          <w:p w:rsidR="00223481" w:rsidRPr="0068369B" w:rsidRDefault="00223481" w:rsidP="00076000">
            <w:pPr>
              <w:jc w:val="center"/>
              <w:rPr>
                <w:rFonts w:ascii="Times New Roman" w:hAnsi="Times New Roman" w:cs="Times New Roman"/>
                <w:bCs/>
                <w:sz w:val="20"/>
                <w:szCs w:val="20"/>
              </w:rPr>
            </w:pPr>
            <w:r w:rsidRPr="0068369B">
              <w:rPr>
                <w:rFonts w:ascii="Times New Roman" w:hAnsi="Times New Roman" w:cs="Times New Roman"/>
                <w:bCs/>
                <w:sz w:val="20"/>
                <w:szCs w:val="20"/>
              </w:rPr>
              <w:t>5908.646</w:t>
            </w:r>
          </w:p>
        </w:tc>
        <w:tc>
          <w:tcPr>
            <w:tcW w:w="1205" w:type="dxa"/>
            <w:tcBorders>
              <w:top w:val="nil"/>
              <w:bottom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105.62</w:t>
            </w:r>
          </w:p>
        </w:tc>
        <w:tc>
          <w:tcPr>
            <w:tcW w:w="1205" w:type="dxa"/>
            <w:tcBorders>
              <w:top w:val="nil"/>
              <w:bottom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100.02</w:t>
            </w:r>
          </w:p>
        </w:tc>
        <w:tc>
          <w:tcPr>
            <w:tcW w:w="1205" w:type="dxa"/>
            <w:tcBorders>
              <w:top w:val="nil"/>
              <w:bottom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3.360</w:t>
            </w:r>
          </w:p>
        </w:tc>
        <w:tc>
          <w:tcPr>
            <w:tcW w:w="2014" w:type="dxa"/>
            <w:tcBorders>
              <w:top w:val="nil"/>
              <w:bottom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0.056</w:t>
            </w:r>
          </w:p>
        </w:tc>
      </w:tr>
      <w:tr w:rsidR="00FB548F" w:rsidRPr="0068369B" w:rsidTr="00FB548F">
        <w:trPr>
          <w:trHeight w:val="469"/>
          <w:jc w:val="center"/>
        </w:trPr>
        <w:tc>
          <w:tcPr>
            <w:tcW w:w="1205" w:type="dxa"/>
            <w:tcBorders>
              <w:top w:val="nil"/>
            </w:tcBorders>
          </w:tcPr>
          <w:p w:rsidR="005E520C" w:rsidRPr="0068369B" w:rsidRDefault="005E520C" w:rsidP="00076000">
            <w:pPr>
              <w:jc w:val="center"/>
              <w:rPr>
                <w:rFonts w:ascii="Times New Roman" w:hAnsi="Times New Roman" w:cs="Times New Roman"/>
                <w:sz w:val="20"/>
                <w:szCs w:val="20"/>
              </w:rPr>
            </w:pPr>
          </w:p>
          <w:p w:rsidR="00223481" w:rsidRPr="0068369B" w:rsidRDefault="00FB548F" w:rsidP="00076000">
            <w:pPr>
              <w:jc w:val="center"/>
              <w:rPr>
                <w:rFonts w:ascii="Times New Roman" w:hAnsi="Times New Roman" w:cs="Times New Roman"/>
                <w:sz w:val="20"/>
                <w:szCs w:val="20"/>
              </w:rPr>
            </w:pPr>
            <w:r>
              <w:rPr>
                <w:rFonts w:ascii="Times New Roman" w:hAnsi="Times New Roman" w:cs="Times New Roman"/>
                <w:sz w:val="20"/>
                <w:szCs w:val="20"/>
              </w:rPr>
              <w:t>120</w:t>
            </w:r>
          </w:p>
        </w:tc>
        <w:tc>
          <w:tcPr>
            <w:tcW w:w="1205" w:type="dxa"/>
            <w:tcBorders>
              <w:top w:val="nil"/>
            </w:tcBorders>
          </w:tcPr>
          <w:p w:rsidR="005E520C" w:rsidRPr="0068369B" w:rsidRDefault="005E520C"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124.8</w:t>
            </w:r>
          </w:p>
        </w:tc>
        <w:tc>
          <w:tcPr>
            <w:tcW w:w="1205" w:type="dxa"/>
            <w:tcBorders>
              <w:top w:val="nil"/>
            </w:tcBorders>
            <w:vAlign w:val="bottom"/>
          </w:tcPr>
          <w:p w:rsidR="00223481" w:rsidRPr="0068369B" w:rsidRDefault="00223481" w:rsidP="00076000">
            <w:pPr>
              <w:jc w:val="center"/>
              <w:rPr>
                <w:rFonts w:ascii="Times New Roman" w:hAnsi="Times New Roman" w:cs="Times New Roman"/>
                <w:bCs/>
                <w:sz w:val="20"/>
                <w:szCs w:val="20"/>
              </w:rPr>
            </w:pPr>
            <w:r w:rsidRPr="0068369B">
              <w:rPr>
                <w:rFonts w:ascii="Times New Roman" w:hAnsi="Times New Roman" w:cs="Times New Roman"/>
                <w:bCs/>
                <w:sz w:val="20"/>
                <w:szCs w:val="20"/>
              </w:rPr>
              <w:t>6978.117</w:t>
            </w:r>
          </w:p>
        </w:tc>
        <w:tc>
          <w:tcPr>
            <w:tcW w:w="1205" w:type="dxa"/>
            <w:tcBorders>
              <w:top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124.75</w:t>
            </w:r>
          </w:p>
        </w:tc>
        <w:tc>
          <w:tcPr>
            <w:tcW w:w="1205" w:type="dxa"/>
            <w:tcBorders>
              <w:top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99.96</w:t>
            </w:r>
          </w:p>
        </w:tc>
        <w:tc>
          <w:tcPr>
            <w:tcW w:w="1205" w:type="dxa"/>
            <w:tcBorders>
              <w:top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5.604</w:t>
            </w:r>
          </w:p>
        </w:tc>
        <w:tc>
          <w:tcPr>
            <w:tcW w:w="2014" w:type="dxa"/>
            <w:tcBorders>
              <w:top w:val="nil"/>
            </w:tcBorders>
          </w:tcPr>
          <w:p w:rsidR="00223481" w:rsidRPr="0068369B" w:rsidRDefault="00223481" w:rsidP="00076000">
            <w:pPr>
              <w:jc w:val="center"/>
              <w:rPr>
                <w:rFonts w:ascii="Times New Roman" w:hAnsi="Times New Roman" w:cs="Times New Roman"/>
                <w:sz w:val="20"/>
                <w:szCs w:val="20"/>
              </w:rPr>
            </w:pPr>
          </w:p>
          <w:p w:rsidR="00223481" w:rsidRPr="0068369B" w:rsidRDefault="00223481" w:rsidP="00076000">
            <w:pPr>
              <w:jc w:val="center"/>
              <w:rPr>
                <w:rFonts w:ascii="Times New Roman" w:hAnsi="Times New Roman" w:cs="Times New Roman"/>
                <w:sz w:val="20"/>
                <w:szCs w:val="20"/>
              </w:rPr>
            </w:pPr>
            <w:r w:rsidRPr="0068369B">
              <w:rPr>
                <w:rFonts w:ascii="Times New Roman" w:hAnsi="Times New Roman" w:cs="Times New Roman"/>
                <w:sz w:val="20"/>
                <w:szCs w:val="20"/>
              </w:rPr>
              <w:t>0.080</w:t>
            </w:r>
          </w:p>
        </w:tc>
      </w:tr>
    </w:tbl>
    <w:p w:rsidR="00223481" w:rsidRPr="0068369B" w:rsidRDefault="00223481" w:rsidP="00223481">
      <w:pPr>
        <w:autoSpaceDE w:val="0"/>
        <w:autoSpaceDN w:val="0"/>
        <w:adjustRightInd w:val="0"/>
        <w:spacing w:after="0" w:line="480" w:lineRule="auto"/>
        <w:jc w:val="center"/>
        <w:rPr>
          <w:rFonts w:ascii="Times New Roman" w:hAnsi="Times New Roman" w:cs="Times New Roman"/>
          <w:b/>
          <w:sz w:val="20"/>
          <w:szCs w:val="20"/>
        </w:rPr>
      </w:pPr>
    </w:p>
    <w:p w:rsidR="0051385F" w:rsidRPr="0068369B" w:rsidRDefault="0051385F" w:rsidP="00FB548F">
      <w:pPr>
        <w:autoSpaceDE w:val="0"/>
        <w:autoSpaceDN w:val="0"/>
        <w:adjustRightInd w:val="0"/>
        <w:spacing w:after="0" w:line="240" w:lineRule="auto"/>
        <w:jc w:val="both"/>
        <w:rPr>
          <w:rFonts w:ascii="Times New Roman" w:hAnsi="Times New Roman" w:cs="Times New Roman"/>
          <w:b/>
          <w:bCs/>
          <w:sz w:val="20"/>
          <w:szCs w:val="20"/>
        </w:rPr>
      </w:pPr>
      <w:r w:rsidRPr="0068369B">
        <w:rPr>
          <w:rFonts w:ascii="Times New Roman" w:hAnsi="Times New Roman" w:cs="Times New Roman"/>
          <w:b/>
          <w:bCs/>
          <w:sz w:val="20"/>
          <w:szCs w:val="20"/>
        </w:rPr>
        <w:t>Sensitivity</w:t>
      </w:r>
    </w:p>
    <w:p w:rsidR="00FB548F" w:rsidRDefault="004D750E" w:rsidP="00FB548F">
      <w:pPr>
        <w:spacing w:line="240" w:lineRule="auto"/>
        <w:jc w:val="both"/>
        <w:rPr>
          <w:rFonts w:ascii="Times New Roman" w:hAnsi="Times New Roman" w:cs="Times New Roman"/>
          <w:sz w:val="20"/>
          <w:szCs w:val="20"/>
        </w:rPr>
      </w:pPr>
      <w:r w:rsidRPr="0068369B">
        <w:rPr>
          <w:rFonts w:ascii="Times New Roman" w:hAnsi="Times New Roman" w:cs="Times New Roman"/>
          <w:sz w:val="20"/>
          <w:szCs w:val="20"/>
        </w:rPr>
        <w:t>LOD and LOQ</w:t>
      </w:r>
      <w:r w:rsidR="0051385F" w:rsidRPr="0068369B">
        <w:rPr>
          <w:rFonts w:ascii="Times New Roman" w:hAnsi="Times New Roman" w:cs="Times New Roman"/>
          <w:sz w:val="20"/>
          <w:szCs w:val="20"/>
        </w:rPr>
        <w:t xml:space="preserve"> were estimated from the signal-to-noise ratio.</w:t>
      </w:r>
      <w:r w:rsidRPr="0068369B">
        <w:rPr>
          <w:rFonts w:ascii="Times New Roman" w:hAnsi="Times New Roman" w:cs="Times New Roman"/>
          <w:sz w:val="20"/>
          <w:szCs w:val="20"/>
        </w:rPr>
        <w:t xml:space="preserve"> The LOD for </w:t>
      </w:r>
      <w:r w:rsidR="00C72E46" w:rsidRPr="0068369B">
        <w:rPr>
          <w:rFonts w:ascii="Times New Roman" w:hAnsi="Times New Roman" w:cs="Times New Roman"/>
          <w:sz w:val="20"/>
          <w:szCs w:val="20"/>
        </w:rPr>
        <w:t>A</w:t>
      </w:r>
      <w:r w:rsidR="007F3036" w:rsidRPr="0068369B">
        <w:rPr>
          <w:rFonts w:ascii="Times New Roman" w:hAnsi="Times New Roman" w:cs="Times New Roman"/>
          <w:sz w:val="20"/>
          <w:szCs w:val="20"/>
        </w:rPr>
        <w:t>T</w:t>
      </w:r>
      <w:r w:rsidRPr="0068369B">
        <w:rPr>
          <w:rFonts w:ascii="Times New Roman" w:hAnsi="Times New Roman" w:cs="Times New Roman"/>
          <w:sz w:val="20"/>
          <w:szCs w:val="20"/>
        </w:rPr>
        <w:t xml:space="preserve"> and LU</w:t>
      </w:r>
      <w:r w:rsidR="00C72E46" w:rsidRPr="0068369B">
        <w:rPr>
          <w:rFonts w:ascii="Times New Roman" w:hAnsi="Times New Roman" w:cs="Times New Roman"/>
          <w:sz w:val="20"/>
          <w:szCs w:val="20"/>
        </w:rPr>
        <w:t xml:space="preserve"> were found to be </w:t>
      </w:r>
      <w:r w:rsidR="007F3036" w:rsidRPr="0068369B">
        <w:rPr>
          <w:rFonts w:ascii="Times New Roman" w:hAnsi="Times New Roman" w:cs="Times New Roman"/>
          <w:sz w:val="20"/>
          <w:szCs w:val="20"/>
        </w:rPr>
        <w:t xml:space="preserve">0.201 and 2.99 </w:t>
      </w:r>
      <w:proofErr w:type="spellStart"/>
      <w:r w:rsidR="007F3036" w:rsidRPr="0068369B">
        <w:rPr>
          <w:rFonts w:ascii="Times New Roman" w:hAnsi="Times New Roman" w:cs="Times New Roman"/>
          <w:sz w:val="20"/>
          <w:szCs w:val="20"/>
        </w:rPr>
        <w:t>μg</w:t>
      </w:r>
      <w:proofErr w:type="spellEnd"/>
      <w:r w:rsidR="007F3036" w:rsidRPr="0068369B">
        <w:rPr>
          <w:rFonts w:ascii="Times New Roman" w:hAnsi="Times New Roman" w:cs="Times New Roman"/>
          <w:sz w:val="20"/>
          <w:szCs w:val="20"/>
        </w:rPr>
        <w:t xml:space="preserve">/ml and the LOQ were 0.609 and 9.086 </w:t>
      </w:r>
      <w:proofErr w:type="spellStart"/>
      <w:r w:rsidR="007F3036" w:rsidRPr="0068369B">
        <w:rPr>
          <w:rFonts w:ascii="Times New Roman" w:hAnsi="Times New Roman" w:cs="Times New Roman"/>
          <w:sz w:val="20"/>
          <w:szCs w:val="20"/>
        </w:rPr>
        <w:t>μg</w:t>
      </w:r>
      <w:proofErr w:type="spellEnd"/>
      <w:r w:rsidR="007F3036" w:rsidRPr="0068369B">
        <w:rPr>
          <w:rFonts w:ascii="Times New Roman" w:hAnsi="Times New Roman" w:cs="Times New Roman"/>
          <w:sz w:val="20"/>
          <w:szCs w:val="20"/>
        </w:rPr>
        <w:t>/ml respectively.</w:t>
      </w:r>
    </w:p>
    <w:p w:rsidR="00FB548F" w:rsidRDefault="00B87C5D" w:rsidP="00FB548F">
      <w:pPr>
        <w:spacing w:after="0" w:line="240" w:lineRule="auto"/>
        <w:jc w:val="both"/>
        <w:rPr>
          <w:rFonts w:ascii="Times New Roman" w:hAnsi="Times New Roman" w:cs="Times New Roman"/>
          <w:sz w:val="20"/>
          <w:szCs w:val="20"/>
        </w:rPr>
      </w:pPr>
      <w:r w:rsidRPr="0068369B">
        <w:rPr>
          <w:rFonts w:ascii="Times New Roman" w:hAnsi="Times New Roman" w:cs="Times New Roman"/>
          <w:b/>
          <w:sz w:val="18"/>
          <w:szCs w:val="18"/>
        </w:rPr>
        <w:t>Ruggedness (Reproducibility)</w:t>
      </w:r>
    </w:p>
    <w:p w:rsidR="00A5761F" w:rsidRDefault="00655293" w:rsidP="00E437AA">
      <w:pPr>
        <w:spacing w:after="0" w:line="240" w:lineRule="auto"/>
        <w:jc w:val="both"/>
        <w:rPr>
          <w:rFonts w:ascii="Times New Roman" w:hAnsi="Times New Roman" w:cs="Times New Roman"/>
          <w:sz w:val="20"/>
          <w:szCs w:val="20"/>
        </w:rPr>
      </w:pPr>
      <w:r w:rsidRPr="0068369B">
        <w:rPr>
          <w:rFonts w:ascii="Times New Roman" w:hAnsi="Times New Roman" w:cs="Times New Roman"/>
          <w:sz w:val="20"/>
          <w:szCs w:val="20"/>
        </w:rPr>
        <w:t>In addition to intra and inter day precision reproducibility</w:t>
      </w:r>
      <w:r w:rsidR="007F3036" w:rsidRPr="0068369B">
        <w:rPr>
          <w:rFonts w:ascii="Times New Roman" w:hAnsi="Times New Roman" w:cs="Times New Roman"/>
          <w:sz w:val="20"/>
          <w:szCs w:val="20"/>
        </w:rPr>
        <w:t xml:space="preserve"> </w:t>
      </w:r>
      <w:r w:rsidRPr="0068369B">
        <w:rPr>
          <w:rFonts w:ascii="Times New Roman" w:hAnsi="Times New Roman" w:cs="Times New Roman"/>
          <w:sz w:val="20"/>
          <w:szCs w:val="20"/>
        </w:rPr>
        <w:t>study was also carried out and it was checked by</w:t>
      </w:r>
      <w:r w:rsidR="007F3036" w:rsidRPr="0068369B">
        <w:rPr>
          <w:rFonts w:ascii="Times New Roman" w:hAnsi="Times New Roman" w:cs="Times New Roman"/>
          <w:sz w:val="20"/>
          <w:szCs w:val="20"/>
        </w:rPr>
        <w:t xml:space="preserve"> </w:t>
      </w:r>
      <w:r w:rsidRPr="0068369B">
        <w:rPr>
          <w:rFonts w:ascii="Times New Roman" w:hAnsi="Times New Roman" w:cs="Times New Roman"/>
          <w:sz w:val="20"/>
          <w:szCs w:val="20"/>
        </w:rPr>
        <w:t>determining precision on the same instrument, but by a</w:t>
      </w:r>
      <w:r w:rsidR="007F3036" w:rsidRPr="0068369B">
        <w:rPr>
          <w:rFonts w:ascii="Times New Roman" w:hAnsi="Times New Roman" w:cs="Times New Roman"/>
          <w:sz w:val="20"/>
          <w:szCs w:val="20"/>
        </w:rPr>
        <w:t xml:space="preserve"> </w:t>
      </w:r>
      <w:r w:rsidRPr="0068369B">
        <w:rPr>
          <w:rFonts w:ascii="Times New Roman" w:hAnsi="Times New Roman" w:cs="Times New Roman"/>
          <w:sz w:val="20"/>
          <w:szCs w:val="20"/>
        </w:rPr>
        <w:t>different analyst.</w:t>
      </w:r>
      <w:r w:rsidR="00327930" w:rsidRPr="0068369B">
        <w:rPr>
          <w:rFonts w:ascii="Times New Roman" w:hAnsi="Times New Roman" w:cs="Times New Roman"/>
          <w:sz w:val="20"/>
          <w:szCs w:val="20"/>
        </w:rPr>
        <w:t xml:space="preserve"> Results </w:t>
      </w:r>
      <w:r w:rsidR="00985573" w:rsidRPr="0068369B">
        <w:rPr>
          <w:rFonts w:ascii="Times New Roman" w:hAnsi="Times New Roman" w:cs="Times New Roman"/>
          <w:sz w:val="20"/>
          <w:szCs w:val="20"/>
        </w:rPr>
        <w:t>for Ruggedness are shown in T</w:t>
      </w:r>
      <w:r w:rsidR="00327930" w:rsidRPr="0068369B">
        <w:rPr>
          <w:rFonts w:ascii="Times New Roman" w:hAnsi="Times New Roman" w:cs="Times New Roman"/>
          <w:sz w:val="20"/>
          <w:szCs w:val="20"/>
        </w:rPr>
        <w:t>able</w:t>
      </w:r>
      <w:r w:rsidR="00A90D5B" w:rsidRPr="0068369B">
        <w:rPr>
          <w:rFonts w:ascii="Times New Roman" w:hAnsi="Times New Roman" w:cs="Times New Roman"/>
          <w:sz w:val="20"/>
          <w:szCs w:val="20"/>
        </w:rPr>
        <w:t xml:space="preserve"> 8</w:t>
      </w:r>
      <w:r w:rsidR="00985573" w:rsidRPr="0068369B">
        <w:rPr>
          <w:rFonts w:ascii="Times New Roman" w:hAnsi="Times New Roman" w:cs="Times New Roman"/>
          <w:sz w:val="20"/>
          <w:szCs w:val="20"/>
        </w:rPr>
        <w:t>.</w:t>
      </w:r>
    </w:p>
    <w:p w:rsidR="00E437AA" w:rsidRPr="0068369B" w:rsidRDefault="00E437AA" w:rsidP="00E437AA">
      <w:pPr>
        <w:spacing w:after="0" w:line="240" w:lineRule="auto"/>
        <w:jc w:val="both"/>
        <w:rPr>
          <w:rFonts w:ascii="Times New Roman" w:hAnsi="Times New Roman" w:cs="Times New Roman"/>
          <w:sz w:val="20"/>
          <w:szCs w:val="20"/>
        </w:rPr>
      </w:pPr>
    </w:p>
    <w:p w:rsidR="00327930" w:rsidRPr="0068369B" w:rsidRDefault="00A5761F" w:rsidP="00A5761F">
      <w:pPr>
        <w:autoSpaceDE w:val="0"/>
        <w:autoSpaceDN w:val="0"/>
        <w:adjustRightInd w:val="0"/>
        <w:spacing w:after="0" w:line="480" w:lineRule="auto"/>
        <w:jc w:val="center"/>
        <w:rPr>
          <w:rFonts w:ascii="Times New Roman" w:hAnsi="Times New Roman" w:cs="Times New Roman"/>
          <w:bCs/>
          <w:sz w:val="20"/>
          <w:szCs w:val="20"/>
        </w:rPr>
      </w:pPr>
      <w:r w:rsidRPr="0068369B">
        <w:rPr>
          <w:rFonts w:ascii="Times New Roman" w:hAnsi="Times New Roman" w:cs="Times New Roman"/>
          <w:bCs/>
          <w:sz w:val="20"/>
          <w:szCs w:val="20"/>
        </w:rPr>
        <w:t>Table 8:</w:t>
      </w:r>
      <w:r w:rsidRPr="0068369B">
        <w:rPr>
          <w:rFonts w:ascii="Times New Roman" w:hAnsi="Times New Roman" w:cs="Times New Roman"/>
          <w:b/>
          <w:bCs/>
          <w:sz w:val="24"/>
          <w:szCs w:val="24"/>
        </w:rPr>
        <w:t xml:space="preserve"> </w:t>
      </w:r>
      <w:r w:rsidRPr="0068369B">
        <w:rPr>
          <w:rFonts w:ascii="Times New Roman" w:hAnsi="Times New Roman" w:cs="Times New Roman"/>
          <w:sz w:val="20"/>
          <w:szCs w:val="20"/>
        </w:rPr>
        <w:t xml:space="preserve">Ruggedness studies of </w:t>
      </w:r>
      <w:proofErr w:type="spellStart"/>
      <w:r w:rsidRPr="0068369B">
        <w:rPr>
          <w:rFonts w:ascii="Times New Roman" w:hAnsi="Times New Roman" w:cs="Times New Roman"/>
          <w:sz w:val="20"/>
          <w:szCs w:val="20"/>
        </w:rPr>
        <w:t>Artemether</w:t>
      </w:r>
      <w:proofErr w:type="spellEnd"/>
      <w:r w:rsidRPr="0068369B">
        <w:rPr>
          <w:rFonts w:ascii="Times New Roman" w:hAnsi="Times New Roman" w:cs="Times New Roman"/>
          <w:sz w:val="20"/>
          <w:szCs w:val="20"/>
        </w:rPr>
        <w:t xml:space="preserve"> and </w:t>
      </w:r>
      <w:proofErr w:type="spellStart"/>
      <w:r w:rsidRPr="0068369B">
        <w:rPr>
          <w:rFonts w:ascii="Times New Roman" w:hAnsi="Times New Roman" w:cs="Times New Roman"/>
          <w:sz w:val="20"/>
          <w:szCs w:val="20"/>
        </w:rPr>
        <w:t>Lumefantrine</w:t>
      </w:r>
      <w:proofErr w:type="spellEnd"/>
      <w:r w:rsidRPr="0068369B">
        <w:rPr>
          <w:rFonts w:ascii="Times New Roman" w:hAnsi="Times New Roman" w:cs="Times New Roman"/>
          <w:sz w:val="20"/>
          <w:szCs w:val="20"/>
        </w:rPr>
        <w:t xml:space="preserve"> </w:t>
      </w:r>
    </w:p>
    <w:tbl>
      <w:tblPr>
        <w:tblStyle w:val="TableGrid"/>
        <w:tblW w:w="9576"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19"/>
        <w:gridCol w:w="1876"/>
        <w:gridCol w:w="1934"/>
        <w:gridCol w:w="2123"/>
        <w:gridCol w:w="1824"/>
      </w:tblGrid>
      <w:tr w:rsidR="00FB548F" w:rsidRPr="0068369B" w:rsidTr="005E520C">
        <w:trPr>
          <w:jc w:val="center"/>
        </w:trPr>
        <w:tc>
          <w:tcPr>
            <w:tcW w:w="1819" w:type="dxa"/>
            <w:vMerge w:val="restart"/>
            <w:vAlign w:val="bottom"/>
          </w:tcPr>
          <w:p w:rsidR="00FB548F" w:rsidRPr="00FB548F" w:rsidRDefault="00FB548F" w:rsidP="00FB548F">
            <w:pPr>
              <w:spacing w:line="480" w:lineRule="auto"/>
              <w:jc w:val="center"/>
              <w:rPr>
                <w:rFonts w:ascii="Times New Roman" w:eastAsia="Times New Roman" w:hAnsi="Times New Roman" w:cs="Times New Roman"/>
                <w:b/>
                <w:bCs/>
                <w:sz w:val="20"/>
                <w:szCs w:val="20"/>
              </w:rPr>
            </w:pPr>
            <w:r w:rsidRPr="00FB548F">
              <w:rPr>
                <w:rFonts w:ascii="Times New Roman" w:eastAsia="Times New Roman" w:hAnsi="Times New Roman" w:cs="Times New Roman"/>
                <w:b/>
                <w:bCs/>
                <w:sz w:val="20"/>
                <w:szCs w:val="20"/>
              </w:rPr>
              <w:t>Sample No.</w:t>
            </w:r>
          </w:p>
        </w:tc>
        <w:tc>
          <w:tcPr>
            <w:tcW w:w="3810" w:type="dxa"/>
            <w:gridSpan w:val="2"/>
            <w:vAlign w:val="bottom"/>
          </w:tcPr>
          <w:p w:rsidR="00FB548F" w:rsidRPr="00FB548F" w:rsidRDefault="00FB548F" w:rsidP="004C0E9B">
            <w:pPr>
              <w:spacing w:line="480" w:lineRule="auto"/>
              <w:jc w:val="center"/>
              <w:rPr>
                <w:rFonts w:ascii="Times New Roman" w:eastAsia="Times New Roman" w:hAnsi="Times New Roman" w:cs="Times New Roman"/>
                <w:b/>
                <w:bCs/>
                <w:sz w:val="20"/>
                <w:szCs w:val="20"/>
              </w:rPr>
            </w:pPr>
            <w:proofErr w:type="spellStart"/>
            <w:r w:rsidRPr="00FB548F">
              <w:rPr>
                <w:rFonts w:ascii="Times New Roman" w:eastAsia="Times New Roman" w:hAnsi="Times New Roman" w:cs="Times New Roman"/>
                <w:b/>
                <w:bCs/>
                <w:sz w:val="20"/>
                <w:szCs w:val="20"/>
              </w:rPr>
              <w:t>Artemether</w:t>
            </w:r>
            <w:proofErr w:type="spellEnd"/>
          </w:p>
        </w:tc>
        <w:tc>
          <w:tcPr>
            <w:tcW w:w="3947" w:type="dxa"/>
            <w:gridSpan w:val="2"/>
            <w:vAlign w:val="bottom"/>
          </w:tcPr>
          <w:p w:rsidR="00FB548F" w:rsidRPr="00FB548F" w:rsidRDefault="00FB548F" w:rsidP="004C0E9B">
            <w:pPr>
              <w:spacing w:line="480" w:lineRule="auto"/>
              <w:jc w:val="center"/>
              <w:rPr>
                <w:rFonts w:ascii="Times New Roman" w:eastAsia="Times New Roman" w:hAnsi="Times New Roman" w:cs="Times New Roman"/>
                <w:b/>
                <w:bCs/>
                <w:sz w:val="20"/>
                <w:szCs w:val="20"/>
              </w:rPr>
            </w:pPr>
            <w:proofErr w:type="spellStart"/>
            <w:r w:rsidRPr="00FB548F">
              <w:rPr>
                <w:rFonts w:ascii="Times New Roman" w:eastAsia="Times New Roman" w:hAnsi="Times New Roman" w:cs="Times New Roman"/>
                <w:b/>
                <w:bCs/>
                <w:sz w:val="20"/>
                <w:szCs w:val="20"/>
              </w:rPr>
              <w:t>Lumefantrine</w:t>
            </w:r>
            <w:proofErr w:type="spellEnd"/>
          </w:p>
        </w:tc>
      </w:tr>
      <w:tr w:rsidR="00E437AA" w:rsidRPr="0068369B" w:rsidTr="00E437AA">
        <w:trPr>
          <w:trHeight w:val="930"/>
          <w:jc w:val="center"/>
        </w:trPr>
        <w:tc>
          <w:tcPr>
            <w:tcW w:w="1819" w:type="dxa"/>
            <w:vMerge/>
            <w:tcBorders>
              <w:bottom w:val="single" w:sz="4" w:space="0" w:color="auto"/>
            </w:tcBorders>
            <w:vAlign w:val="bottom"/>
          </w:tcPr>
          <w:p w:rsidR="00E437AA" w:rsidRPr="00FB548F" w:rsidRDefault="00E437AA" w:rsidP="004C0E9B">
            <w:pPr>
              <w:spacing w:line="480" w:lineRule="auto"/>
              <w:jc w:val="center"/>
              <w:rPr>
                <w:rFonts w:ascii="Times New Roman" w:eastAsia="Times New Roman" w:hAnsi="Times New Roman" w:cs="Times New Roman"/>
                <w:b/>
                <w:bCs/>
                <w:sz w:val="20"/>
                <w:szCs w:val="20"/>
              </w:rPr>
            </w:pPr>
          </w:p>
        </w:tc>
        <w:tc>
          <w:tcPr>
            <w:tcW w:w="1876" w:type="dxa"/>
            <w:tcBorders>
              <w:bottom w:val="single" w:sz="4" w:space="0" w:color="auto"/>
            </w:tcBorders>
            <w:vAlign w:val="bottom"/>
          </w:tcPr>
          <w:p w:rsidR="00E437AA" w:rsidRPr="00FB548F" w:rsidRDefault="00E437AA" w:rsidP="00FB548F">
            <w:pPr>
              <w:spacing w:line="480" w:lineRule="auto"/>
              <w:jc w:val="center"/>
              <w:rPr>
                <w:rFonts w:ascii="Times New Roman" w:eastAsia="Times New Roman" w:hAnsi="Times New Roman" w:cs="Times New Roman"/>
                <w:b/>
                <w:bCs/>
                <w:sz w:val="20"/>
                <w:szCs w:val="20"/>
              </w:rPr>
            </w:pPr>
            <w:r w:rsidRPr="00FB548F">
              <w:rPr>
                <w:rFonts w:ascii="Times New Roman" w:eastAsia="Times New Roman" w:hAnsi="Times New Roman" w:cs="Times New Roman"/>
                <w:b/>
                <w:bCs/>
                <w:sz w:val="20"/>
                <w:szCs w:val="20"/>
              </w:rPr>
              <w:t>Analyst 1</w:t>
            </w:r>
            <w:r>
              <w:rPr>
                <w:rFonts w:ascii="Times New Roman" w:eastAsia="Times New Roman" w:hAnsi="Times New Roman" w:cs="Times New Roman"/>
                <w:b/>
                <w:bCs/>
                <w:sz w:val="20"/>
                <w:szCs w:val="20"/>
              </w:rPr>
              <w:t xml:space="preserve"> </w:t>
            </w:r>
            <w:r w:rsidRPr="00FB548F">
              <w:rPr>
                <w:rFonts w:ascii="Times New Roman" w:eastAsia="Times New Roman" w:hAnsi="Times New Roman" w:cs="Times New Roman"/>
                <w:b/>
                <w:bCs/>
                <w:sz w:val="20"/>
                <w:szCs w:val="20"/>
              </w:rPr>
              <w:t>Area(mV)</w:t>
            </w:r>
          </w:p>
        </w:tc>
        <w:tc>
          <w:tcPr>
            <w:tcW w:w="1934" w:type="dxa"/>
            <w:tcBorders>
              <w:bottom w:val="single" w:sz="4" w:space="0" w:color="auto"/>
            </w:tcBorders>
            <w:vAlign w:val="bottom"/>
          </w:tcPr>
          <w:p w:rsidR="00E437AA" w:rsidRPr="00FB548F" w:rsidRDefault="00E437AA" w:rsidP="00FB548F">
            <w:pPr>
              <w:spacing w:line="480" w:lineRule="auto"/>
              <w:jc w:val="center"/>
              <w:rPr>
                <w:rFonts w:ascii="Times New Roman" w:eastAsia="Times New Roman" w:hAnsi="Times New Roman" w:cs="Times New Roman"/>
                <w:b/>
                <w:bCs/>
                <w:sz w:val="20"/>
                <w:szCs w:val="20"/>
              </w:rPr>
            </w:pPr>
            <w:r w:rsidRPr="00FB548F">
              <w:rPr>
                <w:rFonts w:ascii="Times New Roman" w:eastAsia="Times New Roman" w:hAnsi="Times New Roman" w:cs="Times New Roman"/>
                <w:b/>
                <w:bCs/>
                <w:sz w:val="20"/>
                <w:szCs w:val="20"/>
              </w:rPr>
              <w:t>Analyst 2</w:t>
            </w:r>
            <w:r>
              <w:rPr>
                <w:rFonts w:ascii="Times New Roman" w:eastAsia="Times New Roman" w:hAnsi="Times New Roman" w:cs="Times New Roman"/>
                <w:b/>
                <w:bCs/>
                <w:sz w:val="20"/>
                <w:szCs w:val="20"/>
              </w:rPr>
              <w:t xml:space="preserve"> </w:t>
            </w:r>
            <w:r w:rsidRPr="00FB548F">
              <w:rPr>
                <w:rFonts w:ascii="Times New Roman" w:eastAsia="Times New Roman" w:hAnsi="Times New Roman" w:cs="Times New Roman"/>
                <w:b/>
                <w:bCs/>
                <w:sz w:val="20"/>
                <w:szCs w:val="20"/>
              </w:rPr>
              <w:t>Area(mV)</w:t>
            </w:r>
          </w:p>
        </w:tc>
        <w:tc>
          <w:tcPr>
            <w:tcW w:w="2123" w:type="dxa"/>
            <w:tcBorders>
              <w:bottom w:val="single" w:sz="4" w:space="0" w:color="auto"/>
            </w:tcBorders>
            <w:vAlign w:val="bottom"/>
          </w:tcPr>
          <w:p w:rsidR="00E437AA" w:rsidRPr="00FB548F" w:rsidRDefault="00E437AA" w:rsidP="004C0E9B">
            <w:pPr>
              <w:spacing w:line="480" w:lineRule="auto"/>
              <w:jc w:val="center"/>
              <w:rPr>
                <w:rFonts w:ascii="Times New Roman" w:eastAsia="Times New Roman" w:hAnsi="Times New Roman" w:cs="Times New Roman"/>
                <w:b/>
                <w:bCs/>
                <w:sz w:val="20"/>
                <w:szCs w:val="20"/>
              </w:rPr>
            </w:pPr>
            <w:r w:rsidRPr="00FB548F">
              <w:rPr>
                <w:rFonts w:ascii="Times New Roman" w:eastAsia="Times New Roman" w:hAnsi="Times New Roman" w:cs="Times New Roman"/>
                <w:b/>
                <w:bCs/>
                <w:sz w:val="20"/>
                <w:szCs w:val="20"/>
              </w:rPr>
              <w:t>Analyst 1</w:t>
            </w:r>
          </w:p>
          <w:p w:rsidR="00E437AA" w:rsidRPr="00FB548F" w:rsidRDefault="00E437AA" w:rsidP="004C0E9B">
            <w:pPr>
              <w:spacing w:line="480" w:lineRule="auto"/>
              <w:jc w:val="center"/>
              <w:rPr>
                <w:rFonts w:ascii="Times New Roman" w:eastAsia="Times New Roman" w:hAnsi="Times New Roman" w:cs="Times New Roman"/>
                <w:b/>
                <w:bCs/>
                <w:sz w:val="20"/>
                <w:szCs w:val="20"/>
              </w:rPr>
            </w:pPr>
            <w:r w:rsidRPr="00FB548F">
              <w:rPr>
                <w:rFonts w:ascii="Times New Roman" w:eastAsia="Times New Roman" w:hAnsi="Times New Roman" w:cs="Times New Roman"/>
                <w:b/>
                <w:bCs/>
                <w:sz w:val="20"/>
                <w:szCs w:val="20"/>
              </w:rPr>
              <w:t>Area(mV)</w:t>
            </w:r>
          </w:p>
        </w:tc>
        <w:tc>
          <w:tcPr>
            <w:tcW w:w="1824" w:type="dxa"/>
            <w:tcBorders>
              <w:bottom w:val="single" w:sz="4" w:space="0" w:color="auto"/>
            </w:tcBorders>
            <w:vAlign w:val="bottom"/>
          </w:tcPr>
          <w:p w:rsidR="00E437AA" w:rsidRPr="00FB548F" w:rsidRDefault="00E437AA" w:rsidP="004C0E9B">
            <w:pPr>
              <w:spacing w:line="480" w:lineRule="auto"/>
              <w:jc w:val="center"/>
              <w:rPr>
                <w:rFonts w:ascii="Times New Roman" w:eastAsia="Times New Roman" w:hAnsi="Times New Roman" w:cs="Times New Roman"/>
                <w:b/>
                <w:bCs/>
                <w:sz w:val="20"/>
                <w:szCs w:val="20"/>
              </w:rPr>
            </w:pPr>
            <w:r w:rsidRPr="00FB548F">
              <w:rPr>
                <w:rFonts w:ascii="Times New Roman" w:eastAsia="Times New Roman" w:hAnsi="Times New Roman" w:cs="Times New Roman"/>
                <w:b/>
                <w:bCs/>
                <w:sz w:val="20"/>
                <w:szCs w:val="20"/>
              </w:rPr>
              <w:t>Analyst 2</w:t>
            </w:r>
          </w:p>
          <w:p w:rsidR="00E437AA" w:rsidRPr="00FB548F" w:rsidRDefault="00E437AA" w:rsidP="004C0E9B">
            <w:pPr>
              <w:spacing w:line="480" w:lineRule="auto"/>
              <w:jc w:val="center"/>
              <w:rPr>
                <w:rFonts w:ascii="Times New Roman" w:eastAsia="Times New Roman" w:hAnsi="Times New Roman" w:cs="Times New Roman"/>
                <w:b/>
                <w:bCs/>
                <w:sz w:val="20"/>
                <w:szCs w:val="20"/>
              </w:rPr>
            </w:pPr>
            <w:r w:rsidRPr="00FB548F">
              <w:rPr>
                <w:rFonts w:ascii="Times New Roman" w:eastAsia="Times New Roman" w:hAnsi="Times New Roman" w:cs="Times New Roman"/>
                <w:b/>
                <w:bCs/>
                <w:sz w:val="20"/>
                <w:szCs w:val="20"/>
              </w:rPr>
              <w:t>Area(mV)</w:t>
            </w:r>
          </w:p>
        </w:tc>
      </w:tr>
      <w:tr w:rsidR="00FB548F" w:rsidRPr="0068369B" w:rsidTr="00E437AA">
        <w:trPr>
          <w:jc w:val="center"/>
        </w:trPr>
        <w:tc>
          <w:tcPr>
            <w:tcW w:w="1819" w:type="dxa"/>
            <w:tcBorders>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1</w:t>
            </w:r>
          </w:p>
        </w:tc>
        <w:tc>
          <w:tcPr>
            <w:tcW w:w="1876" w:type="dxa"/>
            <w:tcBorders>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hAnsi="Times New Roman" w:cs="Times New Roman"/>
                <w:sz w:val="20"/>
                <w:szCs w:val="20"/>
              </w:rPr>
              <w:t>238.008</w:t>
            </w:r>
          </w:p>
        </w:tc>
        <w:tc>
          <w:tcPr>
            <w:tcW w:w="1934" w:type="dxa"/>
            <w:tcBorders>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hAnsi="Times New Roman" w:cs="Times New Roman"/>
                <w:sz w:val="20"/>
                <w:szCs w:val="20"/>
              </w:rPr>
              <w:t>238.749</w:t>
            </w:r>
          </w:p>
        </w:tc>
        <w:tc>
          <w:tcPr>
            <w:tcW w:w="2123" w:type="dxa"/>
            <w:tcBorders>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hAnsi="Times New Roman" w:cs="Times New Roman"/>
                <w:sz w:val="20"/>
                <w:szCs w:val="20"/>
              </w:rPr>
              <w:t>5372.668</w:t>
            </w:r>
          </w:p>
        </w:tc>
        <w:tc>
          <w:tcPr>
            <w:tcW w:w="1824" w:type="dxa"/>
            <w:tcBorders>
              <w:bottom w:val="nil"/>
            </w:tcBorders>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hAnsi="Times New Roman" w:cs="Times New Roman"/>
                <w:sz w:val="20"/>
                <w:szCs w:val="20"/>
              </w:rPr>
              <w:t>5373.642</w:t>
            </w:r>
          </w:p>
        </w:tc>
      </w:tr>
      <w:tr w:rsidR="00FB548F" w:rsidRPr="0068369B" w:rsidTr="00E437AA">
        <w:trPr>
          <w:jc w:val="center"/>
        </w:trPr>
        <w:tc>
          <w:tcPr>
            <w:tcW w:w="1819" w:type="dxa"/>
            <w:tcBorders>
              <w:top w:val="nil"/>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2</w:t>
            </w:r>
          </w:p>
        </w:tc>
        <w:tc>
          <w:tcPr>
            <w:tcW w:w="1876" w:type="dxa"/>
            <w:tcBorders>
              <w:top w:val="nil"/>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237.894</w:t>
            </w:r>
          </w:p>
        </w:tc>
        <w:tc>
          <w:tcPr>
            <w:tcW w:w="1934" w:type="dxa"/>
            <w:tcBorders>
              <w:top w:val="nil"/>
              <w:bottom w:val="nil"/>
            </w:tcBorders>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238.344</w:t>
            </w:r>
          </w:p>
        </w:tc>
        <w:tc>
          <w:tcPr>
            <w:tcW w:w="2123" w:type="dxa"/>
            <w:tcBorders>
              <w:top w:val="nil"/>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5373.374</w:t>
            </w:r>
          </w:p>
        </w:tc>
        <w:tc>
          <w:tcPr>
            <w:tcW w:w="1824" w:type="dxa"/>
            <w:tcBorders>
              <w:top w:val="nil"/>
              <w:bottom w:val="nil"/>
            </w:tcBorders>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5299.893</w:t>
            </w:r>
          </w:p>
        </w:tc>
      </w:tr>
      <w:tr w:rsidR="00FB548F" w:rsidRPr="0068369B" w:rsidTr="00E437AA">
        <w:trPr>
          <w:jc w:val="center"/>
        </w:trPr>
        <w:tc>
          <w:tcPr>
            <w:tcW w:w="1819" w:type="dxa"/>
            <w:tcBorders>
              <w:top w:val="nil"/>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3</w:t>
            </w:r>
          </w:p>
        </w:tc>
        <w:tc>
          <w:tcPr>
            <w:tcW w:w="1876" w:type="dxa"/>
            <w:tcBorders>
              <w:top w:val="nil"/>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238.016</w:t>
            </w:r>
          </w:p>
        </w:tc>
        <w:tc>
          <w:tcPr>
            <w:tcW w:w="1934" w:type="dxa"/>
            <w:tcBorders>
              <w:top w:val="nil"/>
              <w:bottom w:val="nil"/>
            </w:tcBorders>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237.995</w:t>
            </w:r>
          </w:p>
        </w:tc>
        <w:tc>
          <w:tcPr>
            <w:tcW w:w="2123" w:type="dxa"/>
            <w:tcBorders>
              <w:top w:val="nil"/>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5354.612</w:t>
            </w:r>
          </w:p>
        </w:tc>
        <w:tc>
          <w:tcPr>
            <w:tcW w:w="1824" w:type="dxa"/>
            <w:tcBorders>
              <w:top w:val="nil"/>
              <w:bottom w:val="nil"/>
            </w:tcBorders>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5362.331</w:t>
            </w:r>
          </w:p>
        </w:tc>
      </w:tr>
      <w:tr w:rsidR="00FB548F" w:rsidRPr="0068369B" w:rsidTr="00E437AA">
        <w:trPr>
          <w:jc w:val="center"/>
        </w:trPr>
        <w:tc>
          <w:tcPr>
            <w:tcW w:w="1819" w:type="dxa"/>
            <w:tcBorders>
              <w:top w:val="nil"/>
              <w:bottom w:val="nil"/>
            </w:tcBorders>
            <w:vAlign w:val="bottom"/>
          </w:tcPr>
          <w:p w:rsidR="00564835" w:rsidRPr="00E437AA" w:rsidRDefault="00E437AA" w:rsidP="004C0E9B">
            <w:pPr>
              <w:spacing w:line="480" w:lineRule="auto"/>
              <w:jc w:val="center"/>
              <w:rPr>
                <w:rFonts w:ascii="Times New Roman" w:eastAsia="Times New Roman" w:hAnsi="Times New Roman" w:cs="Times New Roman"/>
                <w:b/>
                <w:bCs/>
                <w:sz w:val="20"/>
                <w:szCs w:val="20"/>
              </w:rPr>
            </w:pPr>
            <w:r w:rsidRPr="00E437AA">
              <w:rPr>
                <w:rFonts w:ascii="Times New Roman" w:eastAsia="Times New Roman" w:hAnsi="Times New Roman" w:cs="Times New Roman"/>
                <w:b/>
                <w:bCs/>
                <w:sz w:val="20"/>
                <w:szCs w:val="20"/>
              </w:rPr>
              <w:t>Average</w:t>
            </w:r>
          </w:p>
        </w:tc>
        <w:tc>
          <w:tcPr>
            <w:tcW w:w="1876" w:type="dxa"/>
            <w:tcBorders>
              <w:top w:val="nil"/>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237.972</w:t>
            </w:r>
          </w:p>
        </w:tc>
        <w:tc>
          <w:tcPr>
            <w:tcW w:w="1934" w:type="dxa"/>
            <w:tcBorders>
              <w:top w:val="nil"/>
              <w:bottom w:val="nil"/>
            </w:tcBorders>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238.362</w:t>
            </w:r>
          </w:p>
        </w:tc>
        <w:tc>
          <w:tcPr>
            <w:tcW w:w="2123" w:type="dxa"/>
            <w:tcBorders>
              <w:top w:val="nil"/>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5366.884</w:t>
            </w:r>
          </w:p>
        </w:tc>
        <w:tc>
          <w:tcPr>
            <w:tcW w:w="1824" w:type="dxa"/>
            <w:tcBorders>
              <w:top w:val="nil"/>
              <w:bottom w:val="nil"/>
            </w:tcBorders>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5345.288</w:t>
            </w:r>
          </w:p>
        </w:tc>
      </w:tr>
      <w:tr w:rsidR="00FB548F" w:rsidRPr="0068369B" w:rsidTr="00E437AA">
        <w:trPr>
          <w:jc w:val="center"/>
        </w:trPr>
        <w:tc>
          <w:tcPr>
            <w:tcW w:w="1819" w:type="dxa"/>
            <w:tcBorders>
              <w:top w:val="nil"/>
              <w:bottom w:val="nil"/>
            </w:tcBorders>
            <w:vAlign w:val="bottom"/>
          </w:tcPr>
          <w:p w:rsidR="00564835" w:rsidRPr="00E437AA" w:rsidRDefault="00564835" w:rsidP="004C0E9B">
            <w:pPr>
              <w:spacing w:line="480" w:lineRule="auto"/>
              <w:jc w:val="center"/>
              <w:rPr>
                <w:rFonts w:ascii="Times New Roman" w:eastAsia="Times New Roman" w:hAnsi="Times New Roman" w:cs="Times New Roman"/>
                <w:b/>
                <w:bCs/>
                <w:sz w:val="20"/>
                <w:szCs w:val="20"/>
              </w:rPr>
            </w:pPr>
            <w:r w:rsidRPr="00E437AA">
              <w:rPr>
                <w:rFonts w:ascii="Times New Roman" w:eastAsia="Times New Roman" w:hAnsi="Times New Roman" w:cs="Times New Roman"/>
                <w:b/>
                <w:bCs/>
                <w:sz w:val="20"/>
                <w:szCs w:val="20"/>
              </w:rPr>
              <w:t>SD</w:t>
            </w:r>
          </w:p>
        </w:tc>
        <w:tc>
          <w:tcPr>
            <w:tcW w:w="1876" w:type="dxa"/>
            <w:tcBorders>
              <w:top w:val="nil"/>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0.068</w:t>
            </w:r>
          </w:p>
        </w:tc>
        <w:tc>
          <w:tcPr>
            <w:tcW w:w="1934" w:type="dxa"/>
            <w:tcBorders>
              <w:top w:val="nil"/>
              <w:bottom w:val="nil"/>
            </w:tcBorders>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0.377</w:t>
            </w:r>
          </w:p>
        </w:tc>
        <w:tc>
          <w:tcPr>
            <w:tcW w:w="2123" w:type="dxa"/>
            <w:tcBorders>
              <w:top w:val="nil"/>
              <w:bottom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10.634</w:t>
            </w:r>
          </w:p>
        </w:tc>
        <w:tc>
          <w:tcPr>
            <w:tcW w:w="1824" w:type="dxa"/>
            <w:tcBorders>
              <w:top w:val="nil"/>
              <w:bottom w:val="nil"/>
            </w:tcBorders>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39.718</w:t>
            </w:r>
          </w:p>
        </w:tc>
      </w:tr>
      <w:tr w:rsidR="00FB548F" w:rsidRPr="0068369B" w:rsidTr="00E437AA">
        <w:trPr>
          <w:jc w:val="center"/>
        </w:trPr>
        <w:tc>
          <w:tcPr>
            <w:tcW w:w="1819" w:type="dxa"/>
            <w:tcBorders>
              <w:top w:val="nil"/>
            </w:tcBorders>
            <w:vAlign w:val="bottom"/>
          </w:tcPr>
          <w:p w:rsidR="00564835" w:rsidRPr="00E437AA" w:rsidRDefault="00564835" w:rsidP="004C0E9B">
            <w:pPr>
              <w:spacing w:line="480" w:lineRule="auto"/>
              <w:jc w:val="center"/>
              <w:rPr>
                <w:rFonts w:ascii="Times New Roman" w:eastAsia="Times New Roman" w:hAnsi="Times New Roman" w:cs="Times New Roman"/>
                <w:b/>
                <w:bCs/>
                <w:sz w:val="20"/>
                <w:szCs w:val="20"/>
              </w:rPr>
            </w:pPr>
            <w:r w:rsidRPr="00E437AA">
              <w:rPr>
                <w:rFonts w:ascii="Times New Roman" w:eastAsia="Times New Roman" w:hAnsi="Times New Roman" w:cs="Times New Roman"/>
                <w:b/>
                <w:bCs/>
                <w:sz w:val="20"/>
                <w:szCs w:val="20"/>
              </w:rPr>
              <w:t>% RSD</w:t>
            </w:r>
          </w:p>
        </w:tc>
        <w:tc>
          <w:tcPr>
            <w:tcW w:w="1876" w:type="dxa"/>
            <w:tcBorders>
              <w:top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0.028</w:t>
            </w:r>
          </w:p>
        </w:tc>
        <w:tc>
          <w:tcPr>
            <w:tcW w:w="1934" w:type="dxa"/>
            <w:tcBorders>
              <w:top w:val="nil"/>
            </w:tcBorders>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0.158</w:t>
            </w:r>
          </w:p>
        </w:tc>
        <w:tc>
          <w:tcPr>
            <w:tcW w:w="2123" w:type="dxa"/>
            <w:tcBorders>
              <w:top w:val="nil"/>
            </w:tcBorders>
            <w:vAlign w:val="bottom"/>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0.198</w:t>
            </w:r>
          </w:p>
        </w:tc>
        <w:tc>
          <w:tcPr>
            <w:tcW w:w="1824" w:type="dxa"/>
            <w:tcBorders>
              <w:top w:val="nil"/>
            </w:tcBorders>
          </w:tcPr>
          <w:p w:rsidR="00564835" w:rsidRPr="0068369B" w:rsidRDefault="00564835" w:rsidP="004C0E9B">
            <w:pPr>
              <w:spacing w:line="480" w:lineRule="auto"/>
              <w:jc w:val="center"/>
              <w:rPr>
                <w:rFonts w:ascii="Times New Roman" w:eastAsia="Times New Roman" w:hAnsi="Times New Roman" w:cs="Times New Roman"/>
                <w:sz w:val="20"/>
                <w:szCs w:val="20"/>
              </w:rPr>
            </w:pPr>
            <w:r w:rsidRPr="0068369B">
              <w:rPr>
                <w:rFonts w:ascii="Times New Roman" w:eastAsia="Times New Roman" w:hAnsi="Times New Roman" w:cs="Times New Roman"/>
                <w:sz w:val="20"/>
                <w:szCs w:val="20"/>
              </w:rPr>
              <w:t>0.743</w:t>
            </w:r>
          </w:p>
        </w:tc>
      </w:tr>
    </w:tbl>
    <w:p w:rsidR="00E437AA" w:rsidRDefault="00E437AA" w:rsidP="00E437AA">
      <w:pPr>
        <w:spacing w:after="0" w:line="240" w:lineRule="auto"/>
        <w:jc w:val="both"/>
        <w:rPr>
          <w:rFonts w:ascii="Times New Roman" w:hAnsi="Times New Roman" w:cs="Times New Roman"/>
          <w:b/>
          <w:sz w:val="20"/>
          <w:szCs w:val="20"/>
        </w:rPr>
      </w:pPr>
    </w:p>
    <w:p w:rsidR="00327930" w:rsidRPr="0068369B" w:rsidRDefault="00611D76" w:rsidP="00E437AA">
      <w:pPr>
        <w:spacing w:after="0" w:line="240" w:lineRule="auto"/>
        <w:jc w:val="both"/>
        <w:rPr>
          <w:rFonts w:ascii="Times New Roman" w:hAnsi="Times New Roman" w:cs="Times New Roman"/>
          <w:b/>
          <w:sz w:val="20"/>
          <w:szCs w:val="20"/>
        </w:rPr>
      </w:pPr>
      <w:r w:rsidRPr="0068369B">
        <w:rPr>
          <w:rFonts w:ascii="Times New Roman" w:hAnsi="Times New Roman" w:cs="Times New Roman"/>
          <w:b/>
          <w:sz w:val="20"/>
          <w:szCs w:val="20"/>
        </w:rPr>
        <w:t>Robustness</w:t>
      </w:r>
    </w:p>
    <w:p w:rsidR="00985573" w:rsidRPr="0068369B" w:rsidRDefault="00B87C5D" w:rsidP="00E437AA">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hAnsi="Times New Roman" w:cs="Times New Roman"/>
          <w:sz w:val="20"/>
          <w:szCs w:val="20"/>
        </w:rPr>
        <w:t xml:space="preserve">To evaluate robustness of the developed method, few parameters like </w:t>
      </w:r>
      <w:r w:rsidR="0051385F" w:rsidRPr="0068369B">
        <w:rPr>
          <w:rFonts w:ascii="Times New Roman" w:hAnsi="Times New Roman" w:cs="Times New Roman"/>
          <w:sz w:val="20"/>
          <w:szCs w:val="20"/>
        </w:rPr>
        <w:t xml:space="preserve">mobile phase ratio, </w:t>
      </w:r>
      <w:r w:rsidRPr="0068369B">
        <w:rPr>
          <w:rFonts w:ascii="Times New Roman" w:hAnsi="Times New Roman" w:cs="Times New Roman"/>
          <w:sz w:val="20"/>
          <w:szCs w:val="20"/>
        </w:rPr>
        <w:t>wavelength</w:t>
      </w:r>
      <w:r w:rsidR="0051385F" w:rsidRPr="0068369B">
        <w:rPr>
          <w:rFonts w:ascii="Times New Roman" w:hAnsi="Times New Roman" w:cs="Times New Roman"/>
          <w:sz w:val="20"/>
          <w:szCs w:val="20"/>
        </w:rPr>
        <w:t>, flow rate</w:t>
      </w:r>
      <w:r w:rsidRPr="0068369B">
        <w:rPr>
          <w:rFonts w:ascii="Times New Roman" w:hAnsi="Times New Roman" w:cs="Times New Roman"/>
          <w:sz w:val="20"/>
          <w:szCs w:val="20"/>
        </w:rPr>
        <w:t>, etc</w:t>
      </w:r>
      <w:r w:rsidR="0051385F" w:rsidRPr="0068369B">
        <w:rPr>
          <w:rFonts w:ascii="Times New Roman" w:hAnsi="Times New Roman" w:cs="Times New Roman"/>
          <w:sz w:val="20"/>
          <w:szCs w:val="20"/>
        </w:rPr>
        <w:t xml:space="preserve">. </w:t>
      </w:r>
      <w:r w:rsidRPr="0068369B">
        <w:rPr>
          <w:rFonts w:ascii="Times New Roman" w:hAnsi="Times New Roman" w:cs="Times New Roman"/>
          <w:sz w:val="20"/>
          <w:szCs w:val="20"/>
        </w:rPr>
        <w:t>were deliberately varied</w:t>
      </w:r>
      <w:r w:rsidR="0024739D" w:rsidRPr="0068369B">
        <w:rPr>
          <w:rFonts w:ascii="Times New Roman" w:hAnsi="Times New Roman" w:cs="Times New Roman"/>
          <w:sz w:val="20"/>
          <w:szCs w:val="20"/>
        </w:rPr>
        <w:t xml:space="preserve">. </w:t>
      </w:r>
      <w:r w:rsidRPr="0068369B">
        <w:rPr>
          <w:rFonts w:ascii="Times New Roman" w:hAnsi="Times New Roman" w:cs="Times New Roman"/>
          <w:sz w:val="20"/>
          <w:szCs w:val="20"/>
        </w:rPr>
        <w:t xml:space="preserve"> </w:t>
      </w:r>
      <w:r w:rsidR="0051385F" w:rsidRPr="0068369B">
        <w:rPr>
          <w:rFonts w:ascii="Times New Roman" w:hAnsi="Times New Roman" w:cs="Times New Roman"/>
          <w:sz w:val="20"/>
          <w:szCs w:val="20"/>
        </w:rPr>
        <w:t xml:space="preserve">It was observed that </w:t>
      </w:r>
      <w:r w:rsidRPr="0068369B">
        <w:rPr>
          <w:rFonts w:ascii="Times New Roman" w:hAnsi="Times New Roman" w:cs="Times New Roman"/>
          <w:sz w:val="20"/>
          <w:szCs w:val="20"/>
        </w:rPr>
        <w:t xml:space="preserve">there were no marked changes in chromatograms, which </w:t>
      </w:r>
      <w:r w:rsidR="0051385F" w:rsidRPr="0068369B">
        <w:rPr>
          <w:rFonts w:ascii="Times New Roman" w:hAnsi="Times New Roman" w:cs="Times New Roman"/>
          <w:sz w:val="20"/>
          <w:szCs w:val="20"/>
        </w:rPr>
        <w:t>demonstrated that the developed RP-HPLC method is robust.</w:t>
      </w:r>
      <w:r w:rsidR="00985573" w:rsidRPr="0068369B">
        <w:rPr>
          <w:rFonts w:ascii="Times New Roman" w:hAnsi="Times New Roman" w:cs="Times New Roman"/>
          <w:sz w:val="20"/>
          <w:szCs w:val="20"/>
        </w:rPr>
        <w:t xml:space="preserve"> Robustness results for </w:t>
      </w:r>
      <w:proofErr w:type="spellStart"/>
      <w:r w:rsidR="00985573" w:rsidRPr="0068369B">
        <w:rPr>
          <w:rFonts w:ascii="Times New Roman" w:hAnsi="Times New Roman" w:cs="Times New Roman"/>
          <w:sz w:val="20"/>
          <w:szCs w:val="20"/>
        </w:rPr>
        <w:t>Artemether</w:t>
      </w:r>
      <w:proofErr w:type="spellEnd"/>
      <w:r w:rsidR="00985573" w:rsidRPr="0068369B">
        <w:rPr>
          <w:rFonts w:ascii="Times New Roman" w:hAnsi="Times New Roman" w:cs="Times New Roman"/>
          <w:sz w:val="20"/>
          <w:szCs w:val="20"/>
        </w:rPr>
        <w:t xml:space="preserve"> and </w:t>
      </w:r>
      <w:proofErr w:type="spellStart"/>
      <w:r w:rsidR="00985573" w:rsidRPr="0068369B">
        <w:rPr>
          <w:rFonts w:ascii="Times New Roman" w:hAnsi="Times New Roman" w:cs="Times New Roman"/>
          <w:sz w:val="20"/>
          <w:szCs w:val="20"/>
        </w:rPr>
        <w:t>Lumefantrine</w:t>
      </w:r>
      <w:proofErr w:type="spellEnd"/>
      <w:r w:rsidR="00985573" w:rsidRPr="0068369B">
        <w:rPr>
          <w:rFonts w:ascii="Times New Roman" w:hAnsi="Times New Roman" w:cs="Times New Roman"/>
          <w:sz w:val="20"/>
          <w:szCs w:val="20"/>
        </w:rPr>
        <w:t xml:space="preserve"> is as shown in Table 9 and Table 10 respectively.</w:t>
      </w:r>
    </w:p>
    <w:p w:rsidR="00E41B2E" w:rsidRPr="0068369B" w:rsidRDefault="00E41B2E" w:rsidP="00E437AA">
      <w:pPr>
        <w:spacing w:after="0" w:line="240" w:lineRule="auto"/>
        <w:jc w:val="both"/>
        <w:rPr>
          <w:rFonts w:ascii="Times New Roman" w:hAnsi="Times New Roman" w:cs="Times New Roman"/>
          <w:sz w:val="20"/>
          <w:szCs w:val="20"/>
        </w:rPr>
      </w:pPr>
    </w:p>
    <w:p w:rsidR="00BD7187" w:rsidRPr="0068369B" w:rsidRDefault="00BD7187" w:rsidP="00E437AA">
      <w:pPr>
        <w:spacing w:after="0" w:line="240" w:lineRule="auto"/>
        <w:jc w:val="both"/>
        <w:rPr>
          <w:rFonts w:ascii="Times New Roman" w:hAnsi="Times New Roman" w:cs="Times New Roman"/>
          <w:sz w:val="20"/>
          <w:szCs w:val="20"/>
        </w:rPr>
      </w:pPr>
    </w:p>
    <w:p w:rsidR="00BD7187" w:rsidRPr="0068369B" w:rsidRDefault="00BD7187" w:rsidP="00A42245">
      <w:pPr>
        <w:spacing w:line="480" w:lineRule="auto"/>
        <w:jc w:val="both"/>
        <w:rPr>
          <w:rFonts w:ascii="Times New Roman" w:hAnsi="Times New Roman" w:cs="Times New Roman"/>
          <w:sz w:val="20"/>
          <w:szCs w:val="20"/>
        </w:rPr>
      </w:pPr>
    </w:p>
    <w:p w:rsidR="00BD7187" w:rsidRDefault="00BD7187" w:rsidP="00A42245">
      <w:pPr>
        <w:spacing w:line="480" w:lineRule="auto"/>
        <w:jc w:val="both"/>
        <w:rPr>
          <w:rFonts w:ascii="Times New Roman" w:hAnsi="Times New Roman" w:cs="Times New Roman"/>
          <w:sz w:val="20"/>
          <w:szCs w:val="20"/>
        </w:rPr>
      </w:pPr>
    </w:p>
    <w:p w:rsidR="00E437AA" w:rsidRPr="0068369B" w:rsidRDefault="00E437AA" w:rsidP="00A42245">
      <w:pPr>
        <w:spacing w:line="480" w:lineRule="auto"/>
        <w:jc w:val="both"/>
        <w:rPr>
          <w:rFonts w:ascii="Times New Roman" w:hAnsi="Times New Roman" w:cs="Times New Roman"/>
          <w:sz w:val="20"/>
          <w:szCs w:val="20"/>
        </w:rPr>
      </w:pPr>
    </w:p>
    <w:p w:rsidR="00A5761F" w:rsidRPr="0068369B" w:rsidRDefault="00A5761F" w:rsidP="00A5761F">
      <w:pPr>
        <w:autoSpaceDE w:val="0"/>
        <w:autoSpaceDN w:val="0"/>
        <w:adjustRightInd w:val="0"/>
        <w:spacing w:after="0" w:line="480" w:lineRule="auto"/>
        <w:jc w:val="center"/>
        <w:rPr>
          <w:rFonts w:ascii="Times New Roman" w:hAnsi="Times New Roman" w:cs="Times New Roman"/>
          <w:sz w:val="20"/>
          <w:szCs w:val="20"/>
        </w:rPr>
      </w:pPr>
      <w:proofErr w:type="gramStart"/>
      <w:r w:rsidRPr="0068369B">
        <w:rPr>
          <w:rFonts w:ascii="Times New Roman" w:hAnsi="Times New Roman" w:cs="Times New Roman"/>
          <w:sz w:val="20"/>
          <w:szCs w:val="20"/>
        </w:rPr>
        <w:lastRenderedPageBreak/>
        <w:t>Table 9</w:t>
      </w:r>
      <w:r w:rsidR="00E437AA">
        <w:rPr>
          <w:rFonts w:ascii="Times New Roman" w:hAnsi="Times New Roman" w:cs="Times New Roman"/>
          <w:sz w:val="20"/>
          <w:szCs w:val="20"/>
        </w:rPr>
        <w:t>.</w:t>
      </w:r>
      <w:proofErr w:type="gramEnd"/>
      <w:r w:rsidRPr="0068369B">
        <w:rPr>
          <w:rFonts w:ascii="Times New Roman" w:hAnsi="Times New Roman" w:cs="Times New Roman"/>
          <w:sz w:val="20"/>
          <w:szCs w:val="20"/>
        </w:rPr>
        <w:t xml:space="preserve"> Robustness results for </w:t>
      </w:r>
      <w:proofErr w:type="spellStart"/>
      <w:r w:rsidRPr="0068369B">
        <w:rPr>
          <w:rFonts w:ascii="Times New Roman" w:hAnsi="Times New Roman" w:cs="Times New Roman"/>
          <w:sz w:val="20"/>
          <w:szCs w:val="20"/>
        </w:rPr>
        <w:t>Artemether</w:t>
      </w:r>
      <w:proofErr w:type="spellEnd"/>
    </w:p>
    <w:tbl>
      <w:tblPr>
        <w:tblStyle w:val="TableGrid"/>
        <w:tblW w:w="9148" w:type="dxa"/>
        <w:jc w:val="center"/>
        <w:tblInd w:w="59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00"/>
        <w:gridCol w:w="2071"/>
        <w:gridCol w:w="1899"/>
        <w:gridCol w:w="3178"/>
      </w:tblGrid>
      <w:tr w:rsidR="00E437AA" w:rsidRPr="0068369B" w:rsidTr="00E437AA">
        <w:trPr>
          <w:trHeight w:val="408"/>
          <w:jc w:val="center"/>
        </w:trPr>
        <w:tc>
          <w:tcPr>
            <w:tcW w:w="2000" w:type="dxa"/>
            <w:tcBorders>
              <w:bottom w:val="single" w:sz="4" w:space="0" w:color="auto"/>
            </w:tcBorders>
          </w:tcPr>
          <w:p w:rsidR="0051385F" w:rsidRPr="0068369B" w:rsidRDefault="0051385F" w:rsidP="007F3036">
            <w:pPr>
              <w:autoSpaceDE w:val="0"/>
              <w:autoSpaceDN w:val="0"/>
              <w:adjustRightInd w:val="0"/>
              <w:spacing w:line="480" w:lineRule="auto"/>
              <w:jc w:val="center"/>
              <w:rPr>
                <w:rFonts w:ascii="Times New Roman" w:hAnsi="Times New Roman" w:cs="Times New Roman"/>
                <w:b/>
                <w:sz w:val="20"/>
                <w:szCs w:val="20"/>
              </w:rPr>
            </w:pPr>
            <w:r w:rsidRPr="0068369B">
              <w:rPr>
                <w:rFonts w:ascii="Times New Roman" w:hAnsi="Times New Roman" w:cs="Times New Roman"/>
                <w:b/>
                <w:sz w:val="20"/>
                <w:szCs w:val="20"/>
              </w:rPr>
              <w:t>Condition</w:t>
            </w:r>
          </w:p>
        </w:tc>
        <w:tc>
          <w:tcPr>
            <w:tcW w:w="2071" w:type="dxa"/>
            <w:tcBorders>
              <w:bottom w:val="single" w:sz="4" w:space="0" w:color="auto"/>
            </w:tcBorders>
          </w:tcPr>
          <w:p w:rsidR="0051385F" w:rsidRPr="0068369B" w:rsidRDefault="0051385F" w:rsidP="007F3036">
            <w:pPr>
              <w:autoSpaceDE w:val="0"/>
              <w:autoSpaceDN w:val="0"/>
              <w:adjustRightInd w:val="0"/>
              <w:spacing w:line="480" w:lineRule="auto"/>
              <w:jc w:val="center"/>
              <w:rPr>
                <w:rFonts w:ascii="Times New Roman" w:hAnsi="Times New Roman" w:cs="Times New Roman"/>
                <w:b/>
                <w:sz w:val="20"/>
                <w:szCs w:val="20"/>
              </w:rPr>
            </w:pPr>
            <w:r w:rsidRPr="0068369B">
              <w:rPr>
                <w:rFonts w:ascii="Times New Roman" w:hAnsi="Times New Roman" w:cs="Times New Roman"/>
                <w:b/>
                <w:sz w:val="20"/>
                <w:szCs w:val="20"/>
              </w:rPr>
              <w:t>Modification</w:t>
            </w:r>
          </w:p>
        </w:tc>
        <w:tc>
          <w:tcPr>
            <w:tcW w:w="1899" w:type="dxa"/>
            <w:tcBorders>
              <w:bottom w:val="single" w:sz="4" w:space="0" w:color="auto"/>
            </w:tcBorders>
          </w:tcPr>
          <w:p w:rsidR="0051385F" w:rsidRPr="0068369B" w:rsidRDefault="0051385F" w:rsidP="007F3036">
            <w:pPr>
              <w:autoSpaceDE w:val="0"/>
              <w:autoSpaceDN w:val="0"/>
              <w:adjustRightInd w:val="0"/>
              <w:spacing w:line="480" w:lineRule="auto"/>
              <w:jc w:val="center"/>
              <w:rPr>
                <w:rFonts w:ascii="Times New Roman" w:hAnsi="Times New Roman" w:cs="Times New Roman"/>
                <w:b/>
                <w:sz w:val="20"/>
                <w:szCs w:val="20"/>
              </w:rPr>
            </w:pPr>
            <w:r w:rsidRPr="0068369B">
              <w:rPr>
                <w:rFonts w:ascii="Times New Roman" w:hAnsi="Times New Roman" w:cs="Times New Roman"/>
                <w:b/>
                <w:sz w:val="20"/>
                <w:szCs w:val="20"/>
              </w:rPr>
              <w:t>Mean Area ± SD*</w:t>
            </w:r>
          </w:p>
        </w:tc>
        <w:tc>
          <w:tcPr>
            <w:tcW w:w="3178" w:type="dxa"/>
            <w:tcBorders>
              <w:bottom w:val="single" w:sz="4" w:space="0" w:color="auto"/>
            </w:tcBorders>
          </w:tcPr>
          <w:p w:rsidR="0051385F" w:rsidRPr="0068369B" w:rsidRDefault="0051385F" w:rsidP="007F3036">
            <w:pPr>
              <w:autoSpaceDE w:val="0"/>
              <w:autoSpaceDN w:val="0"/>
              <w:adjustRightInd w:val="0"/>
              <w:spacing w:line="480" w:lineRule="auto"/>
              <w:jc w:val="center"/>
              <w:rPr>
                <w:rFonts w:ascii="Times New Roman" w:hAnsi="Times New Roman" w:cs="Times New Roman"/>
                <w:b/>
                <w:sz w:val="20"/>
                <w:szCs w:val="20"/>
              </w:rPr>
            </w:pPr>
            <w:r w:rsidRPr="0068369B">
              <w:rPr>
                <w:rFonts w:ascii="Times New Roman" w:hAnsi="Times New Roman" w:cs="Times New Roman"/>
                <w:b/>
                <w:sz w:val="20"/>
                <w:szCs w:val="20"/>
              </w:rPr>
              <w:t>% RSD</w:t>
            </w:r>
          </w:p>
        </w:tc>
      </w:tr>
      <w:tr w:rsidR="00E437AA" w:rsidRPr="0068369B" w:rsidTr="00E437AA">
        <w:trPr>
          <w:trHeight w:val="421"/>
          <w:jc w:val="center"/>
        </w:trPr>
        <w:tc>
          <w:tcPr>
            <w:tcW w:w="2000" w:type="dxa"/>
            <w:tcBorders>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Flow Rate (ml/min)</w:t>
            </w:r>
          </w:p>
        </w:tc>
        <w:tc>
          <w:tcPr>
            <w:tcW w:w="2071" w:type="dxa"/>
            <w:tcBorders>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0.9</w:t>
            </w:r>
          </w:p>
        </w:tc>
        <w:tc>
          <w:tcPr>
            <w:tcW w:w="1899" w:type="dxa"/>
            <w:tcBorders>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269.590</w:t>
            </w:r>
            <w:r w:rsidR="00E437AA">
              <w:rPr>
                <w:rFonts w:ascii="Times New Roman" w:hAnsi="Times New Roman" w:cs="Times New Roman"/>
                <w:bCs/>
                <w:sz w:val="20"/>
                <w:szCs w:val="20"/>
              </w:rPr>
              <w:t xml:space="preserve"> </w:t>
            </w:r>
            <w:r w:rsidRPr="00E437AA">
              <w:rPr>
                <w:rFonts w:ascii="Times New Roman" w:hAnsi="Times New Roman" w:cs="Times New Roman"/>
                <w:bCs/>
                <w:sz w:val="20"/>
                <w:szCs w:val="20"/>
              </w:rPr>
              <w:t>±</w:t>
            </w:r>
            <w:r w:rsidR="00E437AA">
              <w:rPr>
                <w:rFonts w:ascii="Times New Roman" w:hAnsi="Times New Roman" w:cs="Times New Roman"/>
                <w:bCs/>
                <w:sz w:val="20"/>
                <w:szCs w:val="20"/>
              </w:rPr>
              <w:t xml:space="preserve"> </w:t>
            </w:r>
            <w:r w:rsidRPr="00E437AA">
              <w:rPr>
                <w:rFonts w:ascii="Times New Roman" w:hAnsi="Times New Roman" w:cs="Times New Roman"/>
                <w:bCs/>
                <w:sz w:val="20"/>
                <w:szCs w:val="20"/>
              </w:rPr>
              <w:t>1.35</w:t>
            </w:r>
          </w:p>
        </w:tc>
        <w:tc>
          <w:tcPr>
            <w:tcW w:w="3178" w:type="dxa"/>
            <w:tcBorders>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0.50</w:t>
            </w:r>
          </w:p>
        </w:tc>
      </w:tr>
      <w:tr w:rsidR="00E437AA" w:rsidRPr="0068369B" w:rsidTr="00E437AA">
        <w:trPr>
          <w:trHeight w:val="408"/>
          <w:jc w:val="center"/>
        </w:trPr>
        <w:tc>
          <w:tcPr>
            <w:tcW w:w="2000"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p>
        </w:tc>
        <w:tc>
          <w:tcPr>
            <w:tcW w:w="2071"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1.0</w:t>
            </w:r>
          </w:p>
        </w:tc>
        <w:tc>
          <w:tcPr>
            <w:tcW w:w="1899"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240.079</w:t>
            </w:r>
            <w:r w:rsidR="00E437AA">
              <w:rPr>
                <w:rFonts w:ascii="Times New Roman" w:hAnsi="Times New Roman" w:cs="Times New Roman"/>
                <w:bCs/>
                <w:sz w:val="20"/>
                <w:szCs w:val="20"/>
              </w:rPr>
              <w:t xml:space="preserve"> </w:t>
            </w:r>
            <w:r w:rsidRPr="00E437AA">
              <w:rPr>
                <w:rFonts w:ascii="Times New Roman" w:hAnsi="Times New Roman" w:cs="Times New Roman"/>
                <w:bCs/>
                <w:sz w:val="20"/>
                <w:szCs w:val="20"/>
              </w:rPr>
              <w:t>±</w:t>
            </w:r>
            <w:r w:rsidR="00E437AA">
              <w:rPr>
                <w:rFonts w:ascii="Times New Roman" w:hAnsi="Times New Roman" w:cs="Times New Roman"/>
                <w:bCs/>
                <w:sz w:val="20"/>
                <w:szCs w:val="20"/>
              </w:rPr>
              <w:t xml:space="preserve"> </w:t>
            </w:r>
            <w:r w:rsidRPr="00E437AA">
              <w:rPr>
                <w:rFonts w:ascii="Times New Roman" w:hAnsi="Times New Roman" w:cs="Times New Roman"/>
                <w:bCs/>
                <w:sz w:val="20"/>
                <w:szCs w:val="20"/>
              </w:rPr>
              <w:t>0.968</w:t>
            </w:r>
          </w:p>
        </w:tc>
        <w:tc>
          <w:tcPr>
            <w:tcW w:w="3178"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0.403</w:t>
            </w:r>
          </w:p>
        </w:tc>
      </w:tr>
      <w:tr w:rsidR="00E437AA" w:rsidRPr="0068369B" w:rsidTr="00E437AA">
        <w:trPr>
          <w:trHeight w:val="421"/>
          <w:jc w:val="center"/>
        </w:trPr>
        <w:tc>
          <w:tcPr>
            <w:tcW w:w="2000"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p>
        </w:tc>
        <w:tc>
          <w:tcPr>
            <w:tcW w:w="2071"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1.1</w:t>
            </w:r>
          </w:p>
        </w:tc>
        <w:tc>
          <w:tcPr>
            <w:tcW w:w="1899"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219.149</w:t>
            </w:r>
            <w:r w:rsidR="00E437AA">
              <w:rPr>
                <w:rFonts w:ascii="Times New Roman" w:hAnsi="Times New Roman" w:cs="Times New Roman"/>
                <w:bCs/>
                <w:sz w:val="20"/>
                <w:szCs w:val="20"/>
              </w:rPr>
              <w:t xml:space="preserve"> </w:t>
            </w:r>
            <w:r w:rsidRPr="00E437AA">
              <w:rPr>
                <w:rFonts w:ascii="Times New Roman" w:hAnsi="Times New Roman" w:cs="Times New Roman"/>
                <w:bCs/>
                <w:sz w:val="20"/>
                <w:szCs w:val="20"/>
              </w:rPr>
              <w:t>±</w:t>
            </w:r>
            <w:r w:rsidR="00E437AA">
              <w:rPr>
                <w:rFonts w:ascii="Times New Roman" w:hAnsi="Times New Roman" w:cs="Times New Roman"/>
                <w:bCs/>
                <w:sz w:val="20"/>
                <w:szCs w:val="20"/>
              </w:rPr>
              <w:t xml:space="preserve"> </w:t>
            </w:r>
            <w:r w:rsidRPr="00E437AA">
              <w:rPr>
                <w:rFonts w:ascii="Times New Roman" w:hAnsi="Times New Roman" w:cs="Times New Roman"/>
                <w:bCs/>
                <w:sz w:val="20"/>
                <w:szCs w:val="20"/>
              </w:rPr>
              <w:t>0.543</w:t>
            </w:r>
          </w:p>
        </w:tc>
        <w:tc>
          <w:tcPr>
            <w:tcW w:w="3178"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0.247</w:t>
            </w:r>
          </w:p>
        </w:tc>
      </w:tr>
      <w:tr w:rsidR="00E437AA" w:rsidRPr="0068369B" w:rsidTr="00E437AA">
        <w:trPr>
          <w:trHeight w:val="421"/>
          <w:jc w:val="center"/>
        </w:trPr>
        <w:tc>
          <w:tcPr>
            <w:tcW w:w="2000" w:type="dxa"/>
            <w:tcBorders>
              <w:top w:val="nil"/>
              <w:bottom w:val="nil"/>
            </w:tcBorders>
          </w:tcPr>
          <w:p w:rsidR="0051385F" w:rsidRPr="00E437AA" w:rsidRDefault="009A15DE"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Wavelength</w:t>
            </w:r>
            <w:r w:rsidR="0051385F" w:rsidRPr="00E437AA">
              <w:rPr>
                <w:rFonts w:ascii="Times New Roman" w:hAnsi="Times New Roman" w:cs="Times New Roman"/>
                <w:bCs/>
                <w:sz w:val="20"/>
                <w:szCs w:val="20"/>
              </w:rPr>
              <w:t xml:space="preserve"> (nm)</w:t>
            </w:r>
          </w:p>
        </w:tc>
        <w:tc>
          <w:tcPr>
            <w:tcW w:w="2071"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220</w:t>
            </w:r>
          </w:p>
        </w:tc>
        <w:tc>
          <w:tcPr>
            <w:tcW w:w="1899"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262.031</w:t>
            </w:r>
            <w:r w:rsidR="00E437AA">
              <w:rPr>
                <w:rFonts w:ascii="Times New Roman" w:hAnsi="Times New Roman" w:cs="Times New Roman"/>
                <w:bCs/>
                <w:sz w:val="20"/>
                <w:szCs w:val="20"/>
              </w:rPr>
              <w:t xml:space="preserve"> </w:t>
            </w:r>
            <w:r w:rsidRPr="00E437AA">
              <w:rPr>
                <w:rFonts w:ascii="Times New Roman" w:hAnsi="Times New Roman" w:cs="Times New Roman"/>
                <w:bCs/>
                <w:sz w:val="20"/>
                <w:szCs w:val="20"/>
              </w:rPr>
              <w:t>±</w:t>
            </w:r>
            <w:r w:rsidR="00E437AA">
              <w:rPr>
                <w:rFonts w:ascii="Times New Roman" w:hAnsi="Times New Roman" w:cs="Times New Roman"/>
                <w:bCs/>
                <w:sz w:val="20"/>
                <w:szCs w:val="20"/>
              </w:rPr>
              <w:t xml:space="preserve"> </w:t>
            </w:r>
            <w:r w:rsidRPr="00E437AA">
              <w:rPr>
                <w:rFonts w:ascii="Times New Roman" w:hAnsi="Times New Roman" w:cs="Times New Roman"/>
                <w:bCs/>
                <w:sz w:val="20"/>
                <w:szCs w:val="20"/>
              </w:rPr>
              <w:t>0.632</w:t>
            </w:r>
          </w:p>
        </w:tc>
        <w:tc>
          <w:tcPr>
            <w:tcW w:w="3178"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0.241</w:t>
            </w:r>
          </w:p>
        </w:tc>
      </w:tr>
      <w:tr w:rsidR="00E437AA" w:rsidRPr="0068369B" w:rsidTr="00E437AA">
        <w:trPr>
          <w:trHeight w:val="408"/>
          <w:jc w:val="center"/>
        </w:trPr>
        <w:tc>
          <w:tcPr>
            <w:tcW w:w="2000"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p>
        </w:tc>
        <w:tc>
          <w:tcPr>
            <w:tcW w:w="2071"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222</w:t>
            </w:r>
          </w:p>
        </w:tc>
        <w:tc>
          <w:tcPr>
            <w:tcW w:w="1899"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240.079</w:t>
            </w:r>
            <w:r w:rsidR="00E437AA">
              <w:rPr>
                <w:rFonts w:ascii="Times New Roman" w:hAnsi="Times New Roman" w:cs="Times New Roman"/>
                <w:bCs/>
                <w:sz w:val="20"/>
                <w:szCs w:val="20"/>
              </w:rPr>
              <w:t xml:space="preserve"> </w:t>
            </w:r>
            <w:r w:rsidRPr="00E437AA">
              <w:rPr>
                <w:rFonts w:ascii="Times New Roman" w:hAnsi="Times New Roman" w:cs="Times New Roman"/>
                <w:bCs/>
                <w:sz w:val="20"/>
                <w:szCs w:val="20"/>
              </w:rPr>
              <w:t>±</w:t>
            </w:r>
            <w:r w:rsidR="00E437AA">
              <w:rPr>
                <w:rFonts w:ascii="Times New Roman" w:hAnsi="Times New Roman" w:cs="Times New Roman"/>
                <w:bCs/>
                <w:sz w:val="20"/>
                <w:szCs w:val="20"/>
              </w:rPr>
              <w:t xml:space="preserve"> </w:t>
            </w:r>
            <w:r w:rsidRPr="00E437AA">
              <w:rPr>
                <w:rFonts w:ascii="Times New Roman" w:hAnsi="Times New Roman" w:cs="Times New Roman"/>
                <w:bCs/>
                <w:sz w:val="20"/>
                <w:szCs w:val="20"/>
              </w:rPr>
              <w:t>0.968</w:t>
            </w:r>
          </w:p>
        </w:tc>
        <w:tc>
          <w:tcPr>
            <w:tcW w:w="3178" w:type="dxa"/>
            <w:tcBorders>
              <w:top w:val="nil"/>
              <w:bottom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0.403</w:t>
            </w:r>
          </w:p>
        </w:tc>
      </w:tr>
      <w:tr w:rsidR="00E437AA" w:rsidRPr="0068369B" w:rsidTr="00E437AA">
        <w:trPr>
          <w:trHeight w:val="421"/>
          <w:jc w:val="center"/>
        </w:trPr>
        <w:tc>
          <w:tcPr>
            <w:tcW w:w="2000" w:type="dxa"/>
            <w:tcBorders>
              <w:top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p>
        </w:tc>
        <w:tc>
          <w:tcPr>
            <w:tcW w:w="2071" w:type="dxa"/>
            <w:tcBorders>
              <w:top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224</w:t>
            </w:r>
          </w:p>
        </w:tc>
        <w:tc>
          <w:tcPr>
            <w:tcW w:w="1899" w:type="dxa"/>
            <w:tcBorders>
              <w:top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217.075</w:t>
            </w:r>
            <w:r w:rsidR="00E437AA">
              <w:rPr>
                <w:rFonts w:ascii="Times New Roman" w:hAnsi="Times New Roman" w:cs="Times New Roman"/>
                <w:bCs/>
                <w:sz w:val="20"/>
                <w:szCs w:val="20"/>
              </w:rPr>
              <w:t xml:space="preserve"> </w:t>
            </w:r>
            <w:r w:rsidRPr="00E437AA">
              <w:rPr>
                <w:rFonts w:ascii="Times New Roman" w:hAnsi="Times New Roman" w:cs="Times New Roman"/>
                <w:bCs/>
                <w:sz w:val="20"/>
                <w:szCs w:val="20"/>
              </w:rPr>
              <w:t>±</w:t>
            </w:r>
            <w:r w:rsidR="00E437AA">
              <w:rPr>
                <w:rFonts w:ascii="Times New Roman" w:hAnsi="Times New Roman" w:cs="Times New Roman"/>
                <w:bCs/>
                <w:sz w:val="20"/>
                <w:szCs w:val="20"/>
              </w:rPr>
              <w:t xml:space="preserve"> </w:t>
            </w:r>
            <w:r w:rsidRPr="00E437AA">
              <w:rPr>
                <w:rFonts w:ascii="Times New Roman" w:hAnsi="Times New Roman" w:cs="Times New Roman"/>
                <w:bCs/>
                <w:sz w:val="20"/>
                <w:szCs w:val="20"/>
              </w:rPr>
              <w:t>0.725</w:t>
            </w:r>
          </w:p>
        </w:tc>
        <w:tc>
          <w:tcPr>
            <w:tcW w:w="3178" w:type="dxa"/>
            <w:tcBorders>
              <w:top w:val="nil"/>
            </w:tcBorders>
          </w:tcPr>
          <w:p w:rsidR="0051385F" w:rsidRPr="00E437AA" w:rsidRDefault="0051385F" w:rsidP="007F3036">
            <w:pPr>
              <w:autoSpaceDE w:val="0"/>
              <w:autoSpaceDN w:val="0"/>
              <w:adjustRightInd w:val="0"/>
              <w:spacing w:line="480" w:lineRule="auto"/>
              <w:jc w:val="center"/>
              <w:rPr>
                <w:rFonts w:ascii="Times New Roman" w:hAnsi="Times New Roman" w:cs="Times New Roman"/>
                <w:bCs/>
                <w:sz w:val="20"/>
                <w:szCs w:val="20"/>
              </w:rPr>
            </w:pPr>
            <w:r w:rsidRPr="00E437AA">
              <w:rPr>
                <w:rFonts w:ascii="Times New Roman" w:hAnsi="Times New Roman" w:cs="Times New Roman"/>
                <w:bCs/>
                <w:sz w:val="20"/>
                <w:szCs w:val="20"/>
              </w:rPr>
              <w:t>0.333</w:t>
            </w:r>
          </w:p>
        </w:tc>
      </w:tr>
    </w:tbl>
    <w:p w:rsidR="00204868" w:rsidRPr="00E437AA" w:rsidRDefault="0020164A" w:rsidP="00E437AA">
      <w:pPr>
        <w:autoSpaceDE w:val="0"/>
        <w:autoSpaceDN w:val="0"/>
        <w:adjustRightInd w:val="0"/>
        <w:spacing w:after="0" w:line="480" w:lineRule="auto"/>
        <w:rPr>
          <w:rFonts w:ascii="Times New Roman" w:hAnsi="Times New Roman" w:cs="Times New Roman"/>
          <w:sz w:val="18"/>
          <w:szCs w:val="18"/>
        </w:rPr>
      </w:pPr>
      <w:r w:rsidRPr="00E437AA">
        <w:rPr>
          <w:rFonts w:ascii="Times New Roman" w:hAnsi="Times New Roman" w:cs="Times New Roman"/>
          <w:sz w:val="18"/>
          <w:szCs w:val="18"/>
        </w:rPr>
        <w:t xml:space="preserve">* Average of three determinations.                         </w:t>
      </w:r>
    </w:p>
    <w:p w:rsidR="00A42245" w:rsidRPr="0068369B" w:rsidRDefault="00A5761F" w:rsidP="00A5761F">
      <w:pPr>
        <w:autoSpaceDE w:val="0"/>
        <w:autoSpaceDN w:val="0"/>
        <w:adjustRightInd w:val="0"/>
        <w:spacing w:after="0" w:line="480" w:lineRule="auto"/>
        <w:jc w:val="center"/>
        <w:rPr>
          <w:rFonts w:ascii="Times New Roman" w:hAnsi="Times New Roman" w:cs="Times New Roman"/>
          <w:sz w:val="20"/>
          <w:szCs w:val="20"/>
        </w:rPr>
      </w:pPr>
      <w:proofErr w:type="gramStart"/>
      <w:r w:rsidRPr="0068369B">
        <w:rPr>
          <w:rFonts w:ascii="Times New Roman" w:hAnsi="Times New Roman" w:cs="Times New Roman"/>
          <w:sz w:val="20"/>
          <w:szCs w:val="20"/>
        </w:rPr>
        <w:t>Table 10</w:t>
      </w:r>
      <w:r w:rsidR="00E437AA">
        <w:rPr>
          <w:rFonts w:ascii="Times New Roman" w:hAnsi="Times New Roman" w:cs="Times New Roman"/>
          <w:sz w:val="20"/>
          <w:szCs w:val="20"/>
        </w:rPr>
        <w:t>.</w:t>
      </w:r>
      <w:proofErr w:type="gramEnd"/>
      <w:r w:rsidRPr="0068369B">
        <w:rPr>
          <w:rFonts w:ascii="Times New Roman" w:hAnsi="Times New Roman" w:cs="Times New Roman"/>
          <w:sz w:val="20"/>
          <w:szCs w:val="20"/>
        </w:rPr>
        <w:t xml:space="preserve"> Robustness results for </w:t>
      </w:r>
      <w:proofErr w:type="spellStart"/>
      <w:r w:rsidRPr="0068369B">
        <w:rPr>
          <w:rFonts w:ascii="Times New Roman" w:hAnsi="Times New Roman" w:cs="Times New Roman"/>
          <w:sz w:val="20"/>
          <w:szCs w:val="20"/>
        </w:rPr>
        <w:t>Lumefantrine</w:t>
      </w:r>
      <w:proofErr w:type="spellEnd"/>
    </w:p>
    <w:tbl>
      <w:tblPr>
        <w:tblStyle w:val="TableGrid"/>
        <w:tblW w:w="9115" w:type="dxa"/>
        <w:jc w:val="center"/>
        <w:tblInd w:w="59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92"/>
        <w:gridCol w:w="2063"/>
        <w:gridCol w:w="1891"/>
        <w:gridCol w:w="3169"/>
      </w:tblGrid>
      <w:tr w:rsidR="00E437AA" w:rsidRPr="0068369B" w:rsidTr="00E437AA">
        <w:trPr>
          <w:jc w:val="center"/>
        </w:trPr>
        <w:tc>
          <w:tcPr>
            <w:tcW w:w="1992" w:type="dxa"/>
            <w:tcBorders>
              <w:bottom w:val="single" w:sz="4" w:space="0" w:color="auto"/>
            </w:tcBorders>
          </w:tcPr>
          <w:p w:rsidR="0051385F" w:rsidRPr="0068369B" w:rsidRDefault="0051385F" w:rsidP="007F3036">
            <w:pPr>
              <w:autoSpaceDE w:val="0"/>
              <w:autoSpaceDN w:val="0"/>
              <w:adjustRightInd w:val="0"/>
              <w:spacing w:line="480" w:lineRule="auto"/>
              <w:jc w:val="center"/>
              <w:rPr>
                <w:rFonts w:ascii="Times New Roman" w:hAnsi="Times New Roman" w:cs="Times New Roman"/>
                <w:b/>
                <w:sz w:val="20"/>
                <w:szCs w:val="20"/>
              </w:rPr>
            </w:pPr>
            <w:r w:rsidRPr="0068369B">
              <w:rPr>
                <w:rFonts w:ascii="Times New Roman" w:hAnsi="Times New Roman" w:cs="Times New Roman"/>
                <w:b/>
                <w:sz w:val="20"/>
                <w:szCs w:val="20"/>
              </w:rPr>
              <w:t>Condition</w:t>
            </w:r>
          </w:p>
        </w:tc>
        <w:tc>
          <w:tcPr>
            <w:tcW w:w="2063" w:type="dxa"/>
            <w:tcBorders>
              <w:bottom w:val="single" w:sz="4" w:space="0" w:color="auto"/>
            </w:tcBorders>
          </w:tcPr>
          <w:p w:rsidR="0051385F" w:rsidRPr="0068369B" w:rsidRDefault="0051385F" w:rsidP="007F3036">
            <w:pPr>
              <w:autoSpaceDE w:val="0"/>
              <w:autoSpaceDN w:val="0"/>
              <w:adjustRightInd w:val="0"/>
              <w:spacing w:line="480" w:lineRule="auto"/>
              <w:jc w:val="center"/>
              <w:rPr>
                <w:rFonts w:ascii="Times New Roman" w:hAnsi="Times New Roman" w:cs="Times New Roman"/>
                <w:b/>
                <w:sz w:val="20"/>
                <w:szCs w:val="20"/>
              </w:rPr>
            </w:pPr>
            <w:r w:rsidRPr="0068369B">
              <w:rPr>
                <w:rFonts w:ascii="Times New Roman" w:hAnsi="Times New Roman" w:cs="Times New Roman"/>
                <w:b/>
                <w:sz w:val="20"/>
                <w:szCs w:val="20"/>
              </w:rPr>
              <w:t>Modification</w:t>
            </w:r>
          </w:p>
        </w:tc>
        <w:tc>
          <w:tcPr>
            <w:tcW w:w="1891" w:type="dxa"/>
            <w:tcBorders>
              <w:bottom w:val="single" w:sz="4" w:space="0" w:color="auto"/>
            </w:tcBorders>
          </w:tcPr>
          <w:p w:rsidR="0051385F" w:rsidRPr="0068369B" w:rsidRDefault="0051385F" w:rsidP="007F3036">
            <w:pPr>
              <w:autoSpaceDE w:val="0"/>
              <w:autoSpaceDN w:val="0"/>
              <w:adjustRightInd w:val="0"/>
              <w:spacing w:line="480" w:lineRule="auto"/>
              <w:jc w:val="center"/>
              <w:rPr>
                <w:rFonts w:ascii="Times New Roman" w:hAnsi="Times New Roman" w:cs="Times New Roman"/>
                <w:b/>
                <w:sz w:val="20"/>
                <w:szCs w:val="20"/>
              </w:rPr>
            </w:pPr>
            <w:r w:rsidRPr="0068369B">
              <w:rPr>
                <w:rFonts w:ascii="Times New Roman" w:hAnsi="Times New Roman" w:cs="Times New Roman"/>
                <w:b/>
                <w:sz w:val="20"/>
                <w:szCs w:val="20"/>
              </w:rPr>
              <w:t>Mean Area ± SD*</w:t>
            </w:r>
          </w:p>
        </w:tc>
        <w:tc>
          <w:tcPr>
            <w:tcW w:w="3169" w:type="dxa"/>
            <w:tcBorders>
              <w:bottom w:val="single" w:sz="4" w:space="0" w:color="auto"/>
            </w:tcBorders>
          </w:tcPr>
          <w:p w:rsidR="0051385F" w:rsidRPr="0068369B" w:rsidRDefault="0051385F" w:rsidP="007F3036">
            <w:pPr>
              <w:autoSpaceDE w:val="0"/>
              <w:autoSpaceDN w:val="0"/>
              <w:adjustRightInd w:val="0"/>
              <w:spacing w:line="480" w:lineRule="auto"/>
              <w:jc w:val="center"/>
              <w:rPr>
                <w:rFonts w:ascii="Times New Roman" w:hAnsi="Times New Roman" w:cs="Times New Roman"/>
                <w:b/>
                <w:sz w:val="20"/>
                <w:szCs w:val="20"/>
              </w:rPr>
            </w:pPr>
            <w:r w:rsidRPr="0068369B">
              <w:rPr>
                <w:rFonts w:ascii="Times New Roman" w:hAnsi="Times New Roman" w:cs="Times New Roman"/>
                <w:b/>
                <w:sz w:val="20"/>
                <w:szCs w:val="20"/>
              </w:rPr>
              <w:t>% RSD</w:t>
            </w:r>
          </w:p>
        </w:tc>
      </w:tr>
      <w:tr w:rsidR="00E437AA" w:rsidRPr="0068369B" w:rsidTr="00E437AA">
        <w:trPr>
          <w:jc w:val="center"/>
        </w:trPr>
        <w:tc>
          <w:tcPr>
            <w:tcW w:w="1992" w:type="dxa"/>
            <w:tcBorders>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b/>
                <w:sz w:val="20"/>
                <w:szCs w:val="20"/>
              </w:rPr>
            </w:pPr>
            <w:r w:rsidRPr="0068369B">
              <w:rPr>
                <w:rFonts w:ascii="Times New Roman" w:hAnsi="Times New Roman" w:cs="Times New Roman"/>
                <w:b/>
                <w:sz w:val="20"/>
                <w:szCs w:val="20"/>
              </w:rPr>
              <w:t>Flow Rate (ml/min)</w:t>
            </w:r>
          </w:p>
        </w:tc>
        <w:tc>
          <w:tcPr>
            <w:tcW w:w="2063" w:type="dxa"/>
            <w:tcBorders>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0.9</w:t>
            </w:r>
          </w:p>
        </w:tc>
        <w:tc>
          <w:tcPr>
            <w:tcW w:w="1891" w:type="dxa"/>
            <w:tcBorders>
              <w:bottom w:val="nil"/>
            </w:tcBorders>
          </w:tcPr>
          <w:p w:rsidR="0051385F" w:rsidRPr="0068369B" w:rsidRDefault="0051385F" w:rsidP="00E437AA">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6080.142</w:t>
            </w:r>
            <w:r w:rsidR="00E437AA">
              <w:rPr>
                <w:rFonts w:ascii="Times New Roman" w:hAnsi="Times New Roman" w:cs="Times New Roman"/>
                <w:sz w:val="20"/>
                <w:szCs w:val="20"/>
              </w:rPr>
              <w:t xml:space="preserve"> </w:t>
            </w:r>
            <w:r w:rsidRPr="0068369B">
              <w:rPr>
                <w:rFonts w:ascii="Times New Roman" w:hAnsi="Times New Roman" w:cs="Times New Roman"/>
                <w:sz w:val="20"/>
                <w:szCs w:val="20"/>
              </w:rPr>
              <w:t>±</w:t>
            </w:r>
            <w:r w:rsidR="00E437AA">
              <w:rPr>
                <w:rFonts w:ascii="Times New Roman" w:hAnsi="Times New Roman" w:cs="Times New Roman"/>
                <w:sz w:val="20"/>
                <w:szCs w:val="20"/>
              </w:rPr>
              <w:t xml:space="preserve"> </w:t>
            </w:r>
            <w:r w:rsidRPr="0068369B">
              <w:rPr>
                <w:rFonts w:ascii="Times New Roman" w:hAnsi="Times New Roman" w:cs="Times New Roman"/>
                <w:sz w:val="20"/>
                <w:szCs w:val="20"/>
              </w:rPr>
              <w:t>82.522</w:t>
            </w:r>
          </w:p>
        </w:tc>
        <w:tc>
          <w:tcPr>
            <w:tcW w:w="3169" w:type="dxa"/>
            <w:tcBorders>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1.357</w:t>
            </w:r>
          </w:p>
        </w:tc>
      </w:tr>
      <w:tr w:rsidR="00E437AA" w:rsidRPr="0068369B" w:rsidTr="00E437AA">
        <w:trPr>
          <w:jc w:val="center"/>
        </w:trPr>
        <w:tc>
          <w:tcPr>
            <w:tcW w:w="1992" w:type="dxa"/>
            <w:tcBorders>
              <w:top w:val="nil"/>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b/>
                <w:sz w:val="20"/>
                <w:szCs w:val="20"/>
              </w:rPr>
            </w:pPr>
          </w:p>
        </w:tc>
        <w:tc>
          <w:tcPr>
            <w:tcW w:w="2063" w:type="dxa"/>
            <w:tcBorders>
              <w:top w:val="nil"/>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1.0</w:t>
            </w:r>
          </w:p>
        </w:tc>
        <w:tc>
          <w:tcPr>
            <w:tcW w:w="1891" w:type="dxa"/>
            <w:tcBorders>
              <w:top w:val="nil"/>
              <w:bottom w:val="nil"/>
            </w:tcBorders>
          </w:tcPr>
          <w:p w:rsidR="0051385F" w:rsidRPr="0068369B" w:rsidRDefault="0051385F" w:rsidP="00E437AA">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5364.53</w:t>
            </w:r>
            <w:r w:rsidR="00E437AA">
              <w:rPr>
                <w:rFonts w:ascii="Times New Roman" w:hAnsi="Times New Roman" w:cs="Times New Roman"/>
                <w:sz w:val="20"/>
                <w:szCs w:val="20"/>
              </w:rPr>
              <w:t xml:space="preserve"> </w:t>
            </w:r>
            <w:r w:rsidRPr="0068369B">
              <w:rPr>
                <w:rFonts w:ascii="Times New Roman" w:hAnsi="Times New Roman" w:cs="Times New Roman"/>
                <w:sz w:val="20"/>
                <w:szCs w:val="20"/>
              </w:rPr>
              <w:t>±</w:t>
            </w:r>
            <w:r w:rsidR="00E437AA">
              <w:rPr>
                <w:rFonts w:ascii="Times New Roman" w:hAnsi="Times New Roman" w:cs="Times New Roman"/>
                <w:sz w:val="20"/>
                <w:szCs w:val="20"/>
              </w:rPr>
              <w:t xml:space="preserve"> </w:t>
            </w:r>
            <w:r w:rsidRPr="0068369B">
              <w:rPr>
                <w:rFonts w:ascii="Times New Roman" w:hAnsi="Times New Roman" w:cs="Times New Roman"/>
                <w:sz w:val="20"/>
                <w:szCs w:val="20"/>
              </w:rPr>
              <w:t>46.67</w:t>
            </w:r>
          </w:p>
        </w:tc>
        <w:tc>
          <w:tcPr>
            <w:tcW w:w="3169" w:type="dxa"/>
            <w:tcBorders>
              <w:top w:val="nil"/>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0.869</w:t>
            </w:r>
          </w:p>
        </w:tc>
      </w:tr>
      <w:tr w:rsidR="00E437AA" w:rsidRPr="0068369B" w:rsidTr="00E437AA">
        <w:trPr>
          <w:jc w:val="center"/>
        </w:trPr>
        <w:tc>
          <w:tcPr>
            <w:tcW w:w="1992" w:type="dxa"/>
            <w:tcBorders>
              <w:top w:val="nil"/>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b/>
                <w:sz w:val="20"/>
                <w:szCs w:val="20"/>
              </w:rPr>
            </w:pPr>
          </w:p>
        </w:tc>
        <w:tc>
          <w:tcPr>
            <w:tcW w:w="2063" w:type="dxa"/>
            <w:tcBorders>
              <w:top w:val="nil"/>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1.1</w:t>
            </w:r>
          </w:p>
        </w:tc>
        <w:tc>
          <w:tcPr>
            <w:tcW w:w="1891" w:type="dxa"/>
            <w:tcBorders>
              <w:top w:val="nil"/>
              <w:bottom w:val="nil"/>
            </w:tcBorders>
          </w:tcPr>
          <w:p w:rsidR="0051385F" w:rsidRPr="0068369B" w:rsidRDefault="0051385F" w:rsidP="00E437AA">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4801.298</w:t>
            </w:r>
            <w:r w:rsidR="00E437AA">
              <w:rPr>
                <w:rFonts w:ascii="Times New Roman" w:hAnsi="Times New Roman" w:cs="Times New Roman"/>
                <w:sz w:val="20"/>
                <w:szCs w:val="20"/>
              </w:rPr>
              <w:t xml:space="preserve"> </w:t>
            </w:r>
            <w:r w:rsidRPr="0068369B">
              <w:rPr>
                <w:rFonts w:ascii="Times New Roman" w:hAnsi="Times New Roman" w:cs="Times New Roman"/>
                <w:sz w:val="20"/>
                <w:szCs w:val="20"/>
              </w:rPr>
              <w:t>±</w:t>
            </w:r>
            <w:r w:rsidR="00E437AA">
              <w:rPr>
                <w:rFonts w:ascii="Times New Roman" w:hAnsi="Times New Roman" w:cs="Times New Roman"/>
                <w:sz w:val="20"/>
                <w:szCs w:val="20"/>
              </w:rPr>
              <w:t xml:space="preserve"> </w:t>
            </w:r>
            <w:r w:rsidRPr="0068369B">
              <w:rPr>
                <w:rFonts w:ascii="Times New Roman" w:hAnsi="Times New Roman" w:cs="Times New Roman"/>
                <w:sz w:val="20"/>
                <w:szCs w:val="20"/>
              </w:rPr>
              <w:t>6.624</w:t>
            </w:r>
          </w:p>
        </w:tc>
        <w:tc>
          <w:tcPr>
            <w:tcW w:w="3169" w:type="dxa"/>
            <w:tcBorders>
              <w:top w:val="nil"/>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0.137</w:t>
            </w:r>
          </w:p>
        </w:tc>
      </w:tr>
      <w:tr w:rsidR="00E437AA" w:rsidRPr="0068369B" w:rsidTr="00E437AA">
        <w:trPr>
          <w:jc w:val="center"/>
        </w:trPr>
        <w:tc>
          <w:tcPr>
            <w:tcW w:w="1992" w:type="dxa"/>
            <w:tcBorders>
              <w:top w:val="nil"/>
              <w:bottom w:val="nil"/>
            </w:tcBorders>
          </w:tcPr>
          <w:p w:rsidR="0051385F" w:rsidRPr="0068369B" w:rsidRDefault="00F87D9C" w:rsidP="007F3036">
            <w:pPr>
              <w:autoSpaceDE w:val="0"/>
              <w:autoSpaceDN w:val="0"/>
              <w:adjustRightInd w:val="0"/>
              <w:spacing w:line="480" w:lineRule="auto"/>
              <w:jc w:val="center"/>
              <w:rPr>
                <w:rFonts w:ascii="Times New Roman" w:hAnsi="Times New Roman" w:cs="Times New Roman"/>
                <w:b/>
                <w:sz w:val="20"/>
                <w:szCs w:val="20"/>
              </w:rPr>
            </w:pPr>
            <w:r w:rsidRPr="0068369B">
              <w:rPr>
                <w:rFonts w:ascii="Times New Roman" w:hAnsi="Times New Roman" w:cs="Times New Roman"/>
                <w:b/>
                <w:sz w:val="20"/>
                <w:szCs w:val="20"/>
              </w:rPr>
              <w:t>Wavelength</w:t>
            </w:r>
            <w:r w:rsidR="0051385F" w:rsidRPr="0068369B">
              <w:rPr>
                <w:rFonts w:ascii="Times New Roman" w:hAnsi="Times New Roman" w:cs="Times New Roman"/>
                <w:b/>
                <w:sz w:val="20"/>
                <w:szCs w:val="20"/>
              </w:rPr>
              <w:t xml:space="preserve"> (nm)</w:t>
            </w:r>
          </w:p>
        </w:tc>
        <w:tc>
          <w:tcPr>
            <w:tcW w:w="2063" w:type="dxa"/>
            <w:tcBorders>
              <w:top w:val="nil"/>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220</w:t>
            </w:r>
          </w:p>
        </w:tc>
        <w:tc>
          <w:tcPr>
            <w:tcW w:w="1891" w:type="dxa"/>
            <w:tcBorders>
              <w:top w:val="nil"/>
              <w:bottom w:val="nil"/>
            </w:tcBorders>
          </w:tcPr>
          <w:p w:rsidR="0051385F" w:rsidRPr="0068369B" w:rsidRDefault="0051385F" w:rsidP="00E437AA">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5349.852</w:t>
            </w:r>
            <w:r w:rsidR="00E437AA">
              <w:rPr>
                <w:rFonts w:ascii="Times New Roman" w:hAnsi="Times New Roman" w:cs="Times New Roman"/>
                <w:sz w:val="20"/>
                <w:szCs w:val="20"/>
              </w:rPr>
              <w:t xml:space="preserve"> </w:t>
            </w:r>
            <w:r w:rsidRPr="0068369B">
              <w:rPr>
                <w:rFonts w:ascii="Times New Roman" w:hAnsi="Times New Roman" w:cs="Times New Roman"/>
                <w:sz w:val="20"/>
                <w:szCs w:val="20"/>
              </w:rPr>
              <w:t>±</w:t>
            </w:r>
            <w:r w:rsidR="00E437AA">
              <w:rPr>
                <w:rFonts w:ascii="Times New Roman" w:hAnsi="Times New Roman" w:cs="Times New Roman"/>
                <w:sz w:val="20"/>
                <w:szCs w:val="20"/>
              </w:rPr>
              <w:t xml:space="preserve"> </w:t>
            </w:r>
            <w:r w:rsidRPr="0068369B">
              <w:rPr>
                <w:rFonts w:ascii="Times New Roman" w:hAnsi="Times New Roman" w:cs="Times New Roman"/>
                <w:sz w:val="20"/>
                <w:szCs w:val="20"/>
              </w:rPr>
              <w:t>4.492</w:t>
            </w:r>
          </w:p>
        </w:tc>
        <w:tc>
          <w:tcPr>
            <w:tcW w:w="3169" w:type="dxa"/>
            <w:tcBorders>
              <w:top w:val="nil"/>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0.083</w:t>
            </w:r>
          </w:p>
        </w:tc>
      </w:tr>
      <w:tr w:rsidR="00E437AA" w:rsidRPr="0068369B" w:rsidTr="00E437AA">
        <w:trPr>
          <w:jc w:val="center"/>
        </w:trPr>
        <w:tc>
          <w:tcPr>
            <w:tcW w:w="1992" w:type="dxa"/>
            <w:tcBorders>
              <w:top w:val="nil"/>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p>
        </w:tc>
        <w:tc>
          <w:tcPr>
            <w:tcW w:w="2063" w:type="dxa"/>
            <w:tcBorders>
              <w:top w:val="nil"/>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222</w:t>
            </w:r>
          </w:p>
        </w:tc>
        <w:tc>
          <w:tcPr>
            <w:tcW w:w="1891" w:type="dxa"/>
            <w:tcBorders>
              <w:top w:val="nil"/>
              <w:bottom w:val="nil"/>
            </w:tcBorders>
          </w:tcPr>
          <w:p w:rsidR="0051385F" w:rsidRPr="0068369B" w:rsidRDefault="0051385F" w:rsidP="00E437AA">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5364.53</w:t>
            </w:r>
            <w:r w:rsidR="00E437AA">
              <w:rPr>
                <w:rFonts w:ascii="Times New Roman" w:hAnsi="Times New Roman" w:cs="Times New Roman"/>
                <w:sz w:val="20"/>
                <w:szCs w:val="20"/>
              </w:rPr>
              <w:t xml:space="preserve"> </w:t>
            </w:r>
            <w:r w:rsidRPr="0068369B">
              <w:rPr>
                <w:rFonts w:ascii="Times New Roman" w:hAnsi="Times New Roman" w:cs="Times New Roman"/>
                <w:sz w:val="20"/>
                <w:szCs w:val="20"/>
              </w:rPr>
              <w:t>±</w:t>
            </w:r>
            <w:r w:rsidR="00E437AA">
              <w:rPr>
                <w:rFonts w:ascii="Times New Roman" w:hAnsi="Times New Roman" w:cs="Times New Roman"/>
                <w:sz w:val="20"/>
                <w:szCs w:val="20"/>
              </w:rPr>
              <w:t xml:space="preserve"> </w:t>
            </w:r>
            <w:r w:rsidRPr="0068369B">
              <w:rPr>
                <w:rFonts w:ascii="Times New Roman" w:hAnsi="Times New Roman" w:cs="Times New Roman"/>
                <w:sz w:val="20"/>
                <w:szCs w:val="20"/>
              </w:rPr>
              <w:t>46.67</w:t>
            </w:r>
          </w:p>
        </w:tc>
        <w:tc>
          <w:tcPr>
            <w:tcW w:w="3169" w:type="dxa"/>
            <w:tcBorders>
              <w:top w:val="nil"/>
              <w:bottom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1.357</w:t>
            </w:r>
          </w:p>
        </w:tc>
      </w:tr>
      <w:tr w:rsidR="00E437AA" w:rsidRPr="0068369B" w:rsidTr="00E437AA">
        <w:trPr>
          <w:jc w:val="center"/>
        </w:trPr>
        <w:tc>
          <w:tcPr>
            <w:tcW w:w="1992" w:type="dxa"/>
            <w:tcBorders>
              <w:top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p>
        </w:tc>
        <w:tc>
          <w:tcPr>
            <w:tcW w:w="2063" w:type="dxa"/>
            <w:tcBorders>
              <w:top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224</w:t>
            </w:r>
          </w:p>
        </w:tc>
        <w:tc>
          <w:tcPr>
            <w:tcW w:w="1891" w:type="dxa"/>
            <w:tcBorders>
              <w:top w:val="nil"/>
            </w:tcBorders>
          </w:tcPr>
          <w:p w:rsidR="0051385F" w:rsidRPr="0068369B" w:rsidRDefault="0051385F" w:rsidP="00E437AA">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5704.685</w:t>
            </w:r>
            <w:r w:rsidR="00E437AA">
              <w:rPr>
                <w:rFonts w:ascii="Times New Roman" w:hAnsi="Times New Roman" w:cs="Times New Roman"/>
                <w:sz w:val="20"/>
                <w:szCs w:val="20"/>
              </w:rPr>
              <w:t xml:space="preserve"> </w:t>
            </w:r>
            <w:r w:rsidRPr="0068369B">
              <w:rPr>
                <w:rFonts w:ascii="Times New Roman" w:hAnsi="Times New Roman" w:cs="Times New Roman"/>
                <w:sz w:val="20"/>
                <w:szCs w:val="20"/>
              </w:rPr>
              <w:t>±</w:t>
            </w:r>
            <w:r w:rsidR="00E437AA">
              <w:rPr>
                <w:rFonts w:ascii="Times New Roman" w:hAnsi="Times New Roman" w:cs="Times New Roman"/>
                <w:sz w:val="20"/>
                <w:szCs w:val="20"/>
              </w:rPr>
              <w:t xml:space="preserve"> </w:t>
            </w:r>
            <w:r w:rsidRPr="0068369B">
              <w:rPr>
                <w:rFonts w:ascii="Times New Roman" w:hAnsi="Times New Roman" w:cs="Times New Roman"/>
                <w:sz w:val="20"/>
                <w:szCs w:val="20"/>
              </w:rPr>
              <w:t>11.54</w:t>
            </w:r>
          </w:p>
        </w:tc>
        <w:tc>
          <w:tcPr>
            <w:tcW w:w="3169" w:type="dxa"/>
            <w:tcBorders>
              <w:top w:val="nil"/>
            </w:tcBorders>
          </w:tcPr>
          <w:p w:rsidR="0051385F" w:rsidRPr="0068369B" w:rsidRDefault="0051385F" w:rsidP="007F3036">
            <w:pPr>
              <w:autoSpaceDE w:val="0"/>
              <w:autoSpaceDN w:val="0"/>
              <w:adjustRightInd w:val="0"/>
              <w:spacing w:line="480" w:lineRule="auto"/>
              <w:jc w:val="center"/>
              <w:rPr>
                <w:rFonts w:ascii="Times New Roman" w:hAnsi="Times New Roman" w:cs="Times New Roman"/>
                <w:sz w:val="20"/>
                <w:szCs w:val="20"/>
              </w:rPr>
            </w:pPr>
            <w:r w:rsidRPr="0068369B">
              <w:rPr>
                <w:rFonts w:ascii="Times New Roman" w:hAnsi="Times New Roman" w:cs="Times New Roman"/>
                <w:sz w:val="20"/>
                <w:szCs w:val="20"/>
              </w:rPr>
              <w:t>0.202</w:t>
            </w:r>
          </w:p>
        </w:tc>
      </w:tr>
    </w:tbl>
    <w:p w:rsidR="00204868" w:rsidRPr="00E437AA" w:rsidRDefault="0020164A" w:rsidP="00E437AA">
      <w:pPr>
        <w:autoSpaceDE w:val="0"/>
        <w:autoSpaceDN w:val="0"/>
        <w:adjustRightInd w:val="0"/>
        <w:spacing w:after="0" w:line="480" w:lineRule="auto"/>
        <w:rPr>
          <w:rFonts w:ascii="Times New Roman" w:hAnsi="Times New Roman" w:cs="Times New Roman"/>
          <w:sz w:val="18"/>
          <w:szCs w:val="18"/>
        </w:rPr>
      </w:pPr>
      <w:r w:rsidRPr="00E437AA">
        <w:rPr>
          <w:rFonts w:ascii="Times New Roman" w:hAnsi="Times New Roman" w:cs="Times New Roman"/>
          <w:sz w:val="18"/>
          <w:szCs w:val="18"/>
        </w:rPr>
        <w:t xml:space="preserve"> *Average of three determinations.                         </w:t>
      </w:r>
    </w:p>
    <w:p w:rsidR="00564835" w:rsidRPr="0068369B" w:rsidRDefault="00E437AA" w:rsidP="00E437AA">
      <w:pPr>
        <w:autoSpaceDE w:val="0"/>
        <w:autoSpaceDN w:val="0"/>
        <w:adjustRightInd w:val="0"/>
        <w:spacing w:after="0" w:line="240" w:lineRule="auto"/>
        <w:jc w:val="center"/>
        <w:rPr>
          <w:rFonts w:ascii="Times New Roman" w:eastAsia="OneGulliverA" w:hAnsi="Times New Roman" w:cs="Times New Roman"/>
          <w:b/>
          <w:sz w:val="20"/>
          <w:szCs w:val="20"/>
        </w:rPr>
      </w:pPr>
      <w:r w:rsidRPr="0068369B">
        <w:rPr>
          <w:rFonts w:ascii="Times New Roman" w:eastAsia="OneGulliverA" w:hAnsi="Times New Roman" w:cs="Times New Roman"/>
          <w:b/>
          <w:sz w:val="20"/>
          <w:szCs w:val="20"/>
        </w:rPr>
        <w:t>Conclusion</w:t>
      </w:r>
    </w:p>
    <w:p w:rsidR="00E437AA" w:rsidRDefault="0024739D" w:rsidP="00E437AA">
      <w:pPr>
        <w:autoSpaceDE w:val="0"/>
        <w:autoSpaceDN w:val="0"/>
        <w:adjustRightInd w:val="0"/>
        <w:spacing w:after="0" w:line="240" w:lineRule="auto"/>
        <w:jc w:val="both"/>
        <w:rPr>
          <w:rFonts w:ascii="Times New Roman" w:hAnsi="Times New Roman" w:cs="Times New Roman"/>
          <w:sz w:val="20"/>
          <w:szCs w:val="20"/>
        </w:rPr>
      </w:pPr>
      <w:r w:rsidRPr="0068369B">
        <w:rPr>
          <w:rFonts w:ascii="Times New Roman" w:hAnsi="Times New Roman" w:cs="Times New Roman"/>
          <w:sz w:val="20"/>
          <w:szCs w:val="20"/>
        </w:rPr>
        <w:t>Considering the increasing use of ACT to treat malaria in endemic areas, the avai</w:t>
      </w:r>
      <w:r w:rsidRPr="0068369B">
        <w:rPr>
          <w:rFonts w:ascii="Times New Roman" w:hAnsi="Times New Roman" w:cs="Times New Roman"/>
          <w:sz w:val="20"/>
          <w:szCs w:val="20"/>
        </w:rPr>
        <w:softHyphen/>
        <w:t xml:space="preserve">lability of simple and rapid analytical method is essential to evaluate the quality of formulas being used currently. </w:t>
      </w:r>
      <w:r w:rsidR="001A0903" w:rsidRPr="0068369B">
        <w:rPr>
          <w:rFonts w:ascii="Times New Roman" w:hAnsi="Times New Roman" w:cs="Times New Roman"/>
          <w:sz w:val="20"/>
          <w:szCs w:val="20"/>
        </w:rPr>
        <w:t>From the present study it can be concluded that t</w:t>
      </w:r>
      <w:r w:rsidR="00A43667" w:rsidRPr="0068369B">
        <w:rPr>
          <w:rFonts w:ascii="Times New Roman" w:hAnsi="Times New Roman" w:cs="Times New Roman"/>
          <w:sz w:val="20"/>
          <w:szCs w:val="20"/>
        </w:rPr>
        <w:t xml:space="preserve">he optimized and validated RP-HPLC method was </w:t>
      </w:r>
      <w:r w:rsidR="001A0903" w:rsidRPr="0068369B">
        <w:rPr>
          <w:rFonts w:ascii="Times New Roman" w:hAnsi="Times New Roman" w:cs="Times New Roman"/>
          <w:sz w:val="20"/>
          <w:szCs w:val="20"/>
        </w:rPr>
        <w:t>simple, sensitive, precise,</w:t>
      </w:r>
      <w:r w:rsidR="00A43667" w:rsidRPr="0068369B">
        <w:rPr>
          <w:rFonts w:ascii="Times New Roman" w:hAnsi="Times New Roman" w:cs="Times New Roman"/>
          <w:sz w:val="20"/>
          <w:szCs w:val="20"/>
        </w:rPr>
        <w:t xml:space="preserve"> accurate and</w:t>
      </w:r>
      <w:r w:rsidR="001A0903" w:rsidRPr="0068369B">
        <w:rPr>
          <w:rFonts w:ascii="Times New Roman" w:hAnsi="Times New Roman" w:cs="Times New Roman"/>
          <w:sz w:val="20"/>
          <w:szCs w:val="20"/>
        </w:rPr>
        <w:t xml:space="preserve"> reproducible, </w:t>
      </w:r>
      <w:r w:rsidR="00A43667" w:rsidRPr="0068369B">
        <w:rPr>
          <w:rFonts w:ascii="Times New Roman" w:hAnsi="Times New Roman" w:cs="Times New Roman"/>
          <w:sz w:val="20"/>
          <w:szCs w:val="20"/>
        </w:rPr>
        <w:t xml:space="preserve">hence </w:t>
      </w:r>
      <w:r w:rsidR="001A0903" w:rsidRPr="0068369B">
        <w:rPr>
          <w:rFonts w:ascii="Times New Roman" w:hAnsi="Times New Roman" w:cs="Times New Roman"/>
          <w:sz w:val="20"/>
          <w:szCs w:val="20"/>
        </w:rPr>
        <w:t xml:space="preserve">it </w:t>
      </w:r>
      <w:r w:rsidR="00A43667" w:rsidRPr="0068369B">
        <w:rPr>
          <w:rFonts w:ascii="Times New Roman" w:hAnsi="Times New Roman" w:cs="Times New Roman"/>
          <w:sz w:val="20"/>
          <w:szCs w:val="20"/>
        </w:rPr>
        <w:t>can be used in routine analys</w:t>
      </w:r>
      <w:r w:rsidR="007A3B87" w:rsidRPr="0068369B">
        <w:rPr>
          <w:rFonts w:ascii="Times New Roman" w:hAnsi="Times New Roman" w:cs="Times New Roman"/>
          <w:sz w:val="20"/>
          <w:szCs w:val="20"/>
        </w:rPr>
        <w:t>i</w:t>
      </w:r>
      <w:r w:rsidR="00A43667" w:rsidRPr="0068369B">
        <w:rPr>
          <w:rFonts w:ascii="Times New Roman" w:hAnsi="Times New Roman" w:cs="Times New Roman"/>
          <w:sz w:val="20"/>
          <w:szCs w:val="20"/>
        </w:rPr>
        <w:t xml:space="preserve">s for the simultaneous determination of </w:t>
      </w:r>
      <w:proofErr w:type="spellStart"/>
      <w:r w:rsidR="00A43667" w:rsidRPr="0068369B">
        <w:rPr>
          <w:rFonts w:ascii="Times New Roman" w:hAnsi="Times New Roman" w:cs="Times New Roman"/>
          <w:sz w:val="20"/>
          <w:szCs w:val="20"/>
        </w:rPr>
        <w:t>Artemether</w:t>
      </w:r>
      <w:proofErr w:type="spellEnd"/>
      <w:r w:rsidR="00A43667" w:rsidRPr="0068369B">
        <w:rPr>
          <w:rFonts w:ascii="Times New Roman" w:hAnsi="Times New Roman" w:cs="Times New Roman"/>
          <w:sz w:val="20"/>
          <w:szCs w:val="20"/>
        </w:rPr>
        <w:t xml:space="preserve"> and </w:t>
      </w:r>
      <w:proofErr w:type="spellStart"/>
      <w:r w:rsidR="00A43667" w:rsidRPr="0068369B">
        <w:rPr>
          <w:rFonts w:ascii="Times New Roman" w:hAnsi="Times New Roman" w:cs="Times New Roman"/>
          <w:sz w:val="20"/>
          <w:szCs w:val="20"/>
        </w:rPr>
        <w:t>Lumefantrine</w:t>
      </w:r>
      <w:proofErr w:type="spellEnd"/>
      <w:r w:rsidR="00A43667" w:rsidRPr="0068369B">
        <w:rPr>
          <w:rFonts w:ascii="Times New Roman" w:hAnsi="Times New Roman" w:cs="Times New Roman"/>
          <w:sz w:val="20"/>
          <w:szCs w:val="20"/>
        </w:rPr>
        <w:t xml:space="preserve"> in bulk as well as in pharmaceutical preparations</w:t>
      </w:r>
      <w:r w:rsidR="00564835" w:rsidRPr="0068369B">
        <w:rPr>
          <w:rFonts w:ascii="Times New Roman" w:hAnsi="Times New Roman" w:cs="Times New Roman"/>
          <w:sz w:val="20"/>
          <w:szCs w:val="20"/>
        </w:rPr>
        <w:t xml:space="preserve">. </w:t>
      </w:r>
    </w:p>
    <w:p w:rsidR="00E437AA" w:rsidRDefault="00E437AA" w:rsidP="00E437AA">
      <w:pPr>
        <w:autoSpaceDE w:val="0"/>
        <w:autoSpaceDN w:val="0"/>
        <w:adjustRightInd w:val="0"/>
        <w:spacing w:after="0" w:line="240" w:lineRule="auto"/>
        <w:jc w:val="both"/>
        <w:rPr>
          <w:rFonts w:ascii="Times New Roman" w:hAnsi="Times New Roman" w:cs="Times New Roman"/>
          <w:sz w:val="20"/>
          <w:szCs w:val="20"/>
        </w:rPr>
      </w:pPr>
    </w:p>
    <w:p w:rsidR="006E258E" w:rsidRPr="002B5AEC" w:rsidRDefault="00E437AA" w:rsidP="00E437AA">
      <w:pPr>
        <w:autoSpaceDE w:val="0"/>
        <w:autoSpaceDN w:val="0"/>
        <w:adjustRightInd w:val="0"/>
        <w:spacing w:after="0" w:line="240" w:lineRule="auto"/>
        <w:jc w:val="center"/>
        <w:rPr>
          <w:rFonts w:ascii="Times New Roman" w:hAnsi="Times New Roman" w:cs="Times New Roman"/>
          <w:sz w:val="20"/>
          <w:szCs w:val="20"/>
        </w:rPr>
      </w:pPr>
      <w:r w:rsidRPr="002B5AEC">
        <w:rPr>
          <w:rFonts w:ascii="Times New Roman" w:hAnsi="Times New Roman" w:cs="Times New Roman"/>
          <w:b/>
          <w:bCs/>
          <w:sz w:val="20"/>
          <w:szCs w:val="20"/>
        </w:rPr>
        <w:t>Acknowledgement</w:t>
      </w:r>
    </w:p>
    <w:p w:rsidR="00344431" w:rsidRPr="002B5AEC" w:rsidRDefault="006E258E" w:rsidP="00E437AA">
      <w:pPr>
        <w:pStyle w:val="Default"/>
        <w:jc w:val="both"/>
        <w:rPr>
          <w:color w:val="auto"/>
          <w:sz w:val="20"/>
          <w:szCs w:val="20"/>
        </w:rPr>
      </w:pPr>
      <w:r w:rsidRPr="002B5AEC">
        <w:rPr>
          <w:color w:val="auto"/>
          <w:sz w:val="20"/>
          <w:szCs w:val="20"/>
        </w:rPr>
        <w:t xml:space="preserve">The authors are grateful </w:t>
      </w:r>
      <w:r w:rsidR="00E710C2" w:rsidRPr="002B5AEC">
        <w:rPr>
          <w:color w:val="auto"/>
          <w:sz w:val="20"/>
          <w:szCs w:val="20"/>
        </w:rPr>
        <w:t xml:space="preserve">to </w:t>
      </w:r>
      <w:r w:rsidRPr="002B5AEC">
        <w:rPr>
          <w:color w:val="auto"/>
          <w:sz w:val="20"/>
          <w:szCs w:val="20"/>
        </w:rPr>
        <w:t>Chandra Labs, Analytical research labor</w:t>
      </w:r>
      <w:r w:rsidR="00A90D5B" w:rsidRPr="002B5AEC">
        <w:rPr>
          <w:color w:val="auto"/>
          <w:sz w:val="20"/>
          <w:szCs w:val="20"/>
        </w:rPr>
        <w:t>a</w:t>
      </w:r>
      <w:r w:rsidR="00E175D3" w:rsidRPr="002B5AEC">
        <w:rPr>
          <w:color w:val="auto"/>
          <w:sz w:val="20"/>
          <w:szCs w:val="20"/>
        </w:rPr>
        <w:t xml:space="preserve">tory, Hyderabad, (A.P.), India </w:t>
      </w:r>
      <w:r w:rsidR="00E437AA" w:rsidRPr="002B5AEC">
        <w:rPr>
          <w:color w:val="auto"/>
          <w:sz w:val="20"/>
          <w:szCs w:val="20"/>
        </w:rPr>
        <w:t xml:space="preserve">for providing </w:t>
      </w:r>
      <w:r w:rsidRPr="002B5AEC">
        <w:rPr>
          <w:color w:val="auto"/>
          <w:sz w:val="20"/>
          <w:szCs w:val="20"/>
        </w:rPr>
        <w:t>the facilities to carry out this research work</w:t>
      </w:r>
      <w:r w:rsidR="00344431" w:rsidRPr="002B5AEC">
        <w:rPr>
          <w:color w:val="auto"/>
          <w:sz w:val="20"/>
          <w:szCs w:val="20"/>
        </w:rPr>
        <w:t>.</w:t>
      </w:r>
    </w:p>
    <w:p w:rsidR="00344431" w:rsidRPr="0068369B" w:rsidRDefault="00344431" w:rsidP="00204868">
      <w:pPr>
        <w:pStyle w:val="Default"/>
        <w:spacing w:line="480" w:lineRule="auto"/>
        <w:jc w:val="center"/>
        <w:rPr>
          <w:color w:val="auto"/>
          <w:sz w:val="20"/>
          <w:szCs w:val="20"/>
        </w:rPr>
      </w:pPr>
    </w:p>
    <w:p w:rsidR="00204868" w:rsidRPr="002B5AEC" w:rsidRDefault="002B5AEC" w:rsidP="00A42245">
      <w:pPr>
        <w:pStyle w:val="Default"/>
        <w:spacing w:line="480" w:lineRule="auto"/>
        <w:jc w:val="center"/>
        <w:rPr>
          <w:b/>
          <w:color w:val="auto"/>
          <w:sz w:val="20"/>
          <w:szCs w:val="20"/>
        </w:rPr>
      </w:pPr>
      <w:r w:rsidRPr="002B5AEC">
        <w:rPr>
          <w:b/>
          <w:color w:val="auto"/>
          <w:sz w:val="20"/>
          <w:szCs w:val="20"/>
        </w:rPr>
        <w:t>References</w:t>
      </w:r>
    </w:p>
    <w:p w:rsidR="002B5AEC" w:rsidRDefault="00CC3D4C" w:rsidP="002B5AEC">
      <w:pPr>
        <w:pStyle w:val="Default"/>
        <w:numPr>
          <w:ilvl w:val="0"/>
          <w:numId w:val="5"/>
        </w:numPr>
        <w:ind w:hanging="720"/>
        <w:jc w:val="both"/>
        <w:rPr>
          <w:color w:val="auto"/>
          <w:sz w:val="18"/>
          <w:szCs w:val="18"/>
        </w:rPr>
      </w:pPr>
      <w:proofErr w:type="spellStart"/>
      <w:r w:rsidRPr="0068369B">
        <w:rPr>
          <w:color w:val="auto"/>
          <w:sz w:val="18"/>
          <w:szCs w:val="18"/>
        </w:rPr>
        <w:t>Martensson</w:t>
      </w:r>
      <w:proofErr w:type="spellEnd"/>
      <w:r w:rsidRPr="0068369B">
        <w:rPr>
          <w:color w:val="auto"/>
          <w:sz w:val="18"/>
          <w:szCs w:val="18"/>
        </w:rPr>
        <w:t>, J.</w:t>
      </w:r>
      <w:r w:rsidR="009A15DE" w:rsidRPr="0068369B">
        <w:rPr>
          <w:color w:val="auto"/>
          <w:sz w:val="18"/>
          <w:szCs w:val="18"/>
        </w:rPr>
        <w:t>,</w:t>
      </w:r>
      <w:r w:rsidRPr="0068369B">
        <w:rPr>
          <w:color w:val="auto"/>
          <w:sz w:val="18"/>
          <w:szCs w:val="18"/>
        </w:rPr>
        <w:t xml:space="preserve"> Stromberg, C.</w:t>
      </w:r>
      <w:r w:rsidR="009A15DE" w:rsidRPr="0068369B">
        <w:rPr>
          <w:color w:val="auto"/>
          <w:sz w:val="18"/>
          <w:szCs w:val="18"/>
        </w:rPr>
        <w:t>,</w:t>
      </w:r>
      <w:r w:rsidRPr="0068369B">
        <w:rPr>
          <w:color w:val="auto"/>
          <w:sz w:val="18"/>
          <w:szCs w:val="18"/>
        </w:rPr>
        <w:t xml:space="preserve"> </w:t>
      </w:r>
      <w:proofErr w:type="spellStart"/>
      <w:r w:rsidRPr="0068369B">
        <w:rPr>
          <w:color w:val="auto"/>
          <w:sz w:val="18"/>
          <w:szCs w:val="18"/>
        </w:rPr>
        <w:t>Sisowath</w:t>
      </w:r>
      <w:proofErr w:type="spellEnd"/>
      <w:r w:rsidRPr="0068369B">
        <w:rPr>
          <w:color w:val="auto"/>
          <w:sz w:val="18"/>
          <w:szCs w:val="18"/>
        </w:rPr>
        <w:t>, M.</w:t>
      </w:r>
      <w:r w:rsidR="009A15DE" w:rsidRPr="0068369B">
        <w:rPr>
          <w:color w:val="auto"/>
          <w:sz w:val="18"/>
          <w:szCs w:val="18"/>
        </w:rPr>
        <w:t xml:space="preserve"> </w:t>
      </w:r>
      <w:r w:rsidRPr="0068369B">
        <w:rPr>
          <w:color w:val="auto"/>
          <w:sz w:val="18"/>
          <w:szCs w:val="18"/>
        </w:rPr>
        <w:t>I.</w:t>
      </w:r>
      <w:r w:rsidR="009A15DE" w:rsidRPr="0068369B">
        <w:rPr>
          <w:color w:val="auto"/>
          <w:sz w:val="18"/>
          <w:szCs w:val="18"/>
        </w:rPr>
        <w:t>,</w:t>
      </w:r>
      <w:r w:rsidRPr="0068369B">
        <w:rPr>
          <w:color w:val="auto"/>
          <w:sz w:val="18"/>
          <w:szCs w:val="18"/>
        </w:rPr>
        <w:t xml:space="preserve"> </w:t>
      </w:r>
      <w:proofErr w:type="spellStart"/>
      <w:r w:rsidRPr="0068369B">
        <w:rPr>
          <w:color w:val="auto"/>
          <w:sz w:val="18"/>
          <w:szCs w:val="18"/>
        </w:rPr>
        <w:t>Msellem</w:t>
      </w:r>
      <w:proofErr w:type="spellEnd"/>
      <w:r w:rsidRPr="0068369B">
        <w:rPr>
          <w:color w:val="auto"/>
          <w:sz w:val="18"/>
          <w:szCs w:val="18"/>
        </w:rPr>
        <w:t>, J.</w:t>
      </w:r>
      <w:r w:rsidR="009A15DE" w:rsidRPr="0068369B">
        <w:rPr>
          <w:color w:val="auto"/>
          <w:sz w:val="18"/>
          <w:szCs w:val="18"/>
        </w:rPr>
        <w:t xml:space="preserve"> </w:t>
      </w:r>
      <w:r w:rsidRPr="0068369B">
        <w:rPr>
          <w:color w:val="auto"/>
          <w:sz w:val="18"/>
          <w:szCs w:val="18"/>
        </w:rPr>
        <w:t>P.</w:t>
      </w:r>
      <w:r w:rsidR="009A15DE" w:rsidRPr="0068369B">
        <w:rPr>
          <w:color w:val="auto"/>
          <w:sz w:val="18"/>
          <w:szCs w:val="18"/>
        </w:rPr>
        <w:t>,</w:t>
      </w:r>
      <w:r w:rsidRPr="0068369B">
        <w:rPr>
          <w:color w:val="auto"/>
          <w:sz w:val="18"/>
          <w:szCs w:val="18"/>
        </w:rPr>
        <w:t xml:space="preserve"> Gil, S.</w:t>
      </w:r>
      <w:r w:rsidR="009A15DE" w:rsidRPr="0068369B">
        <w:rPr>
          <w:color w:val="auto"/>
          <w:sz w:val="18"/>
          <w:szCs w:val="18"/>
        </w:rPr>
        <w:t xml:space="preserve"> </w:t>
      </w:r>
      <w:r w:rsidRPr="0068369B">
        <w:rPr>
          <w:color w:val="auto"/>
          <w:sz w:val="18"/>
          <w:szCs w:val="18"/>
        </w:rPr>
        <w:t>M.</w:t>
      </w:r>
      <w:r w:rsidR="009A15DE" w:rsidRPr="0068369B">
        <w:rPr>
          <w:color w:val="auto"/>
          <w:sz w:val="18"/>
          <w:szCs w:val="18"/>
        </w:rPr>
        <w:t>,</w:t>
      </w:r>
      <w:r w:rsidRPr="0068369B">
        <w:rPr>
          <w:color w:val="auto"/>
          <w:sz w:val="18"/>
          <w:szCs w:val="18"/>
        </w:rPr>
        <w:t xml:space="preserve"> Montgomery, P.</w:t>
      </w:r>
      <w:r w:rsidR="009A15DE" w:rsidRPr="0068369B">
        <w:rPr>
          <w:color w:val="auto"/>
          <w:sz w:val="18"/>
          <w:szCs w:val="18"/>
        </w:rPr>
        <w:t>,</w:t>
      </w:r>
      <w:r w:rsidRPr="0068369B">
        <w:rPr>
          <w:color w:val="auto"/>
          <w:sz w:val="18"/>
          <w:szCs w:val="18"/>
        </w:rPr>
        <w:t xml:space="preserve"> </w:t>
      </w:r>
      <w:proofErr w:type="spellStart"/>
      <w:r w:rsidRPr="0068369B">
        <w:rPr>
          <w:color w:val="auto"/>
          <w:sz w:val="18"/>
          <w:szCs w:val="18"/>
        </w:rPr>
        <w:t>Olliaro</w:t>
      </w:r>
      <w:proofErr w:type="spellEnd"/>
      <w:r w:rsidRPr="0068369B">
        <w:rPr>
          <w:color w:val="auto"/>
          <w:sz w:val="18"/>
          <w:szCs w:val="18"/>
        </w:rPr>
        <w:t>, A.</w:t>
      </w:r>
      <w:r w:rsidR="009A15DE" w:rsidRPr="0068369B">
        <w:rPr>
          <w:color w:val="auto"/>
          <w:sz w:val="18"/>
          <w:szCs w:val="18"/>
        </w:rPr>
        <w:t xml:space="preserve"> </w:t>
      </w:r>
      <w:r w:rsidRPr="0068369B">
        <w:rPr>
          <w:color w:val="auto"/>
          <w:sz w:val="18"/>
          <w:szCs w:val="18"/>
        </w:rPr>
        <w:t>S.</w:t>
      </w:r>
      <w:r w:rsidR="00FE52AE" w:rsidRPr="0068369B">
        <w:rPr>
          <w:color w:val="auto"/>
          <w:sz w:val="18"/>
          <w:szCs w:val="18"/>
        </w:rPr>
        <w:t xml:space="preserve">, Ali. &amp; </w:t>
      </w:r>
      <w:r w:rsidRPr="0068369B">
        <w:rPr>
          <w:color w:val="auto"/>
          <w:sz w:val="18"/>
          <w:szCs w:val="18"/>
        </w:rPr>
        <w:t>A.</w:t>
      </w:r>
      <w:r w:rsidR="000B04DA" w:rsidRPr="0068369B">
        <w:rPr>
          <w:color w:val="auto"/>
          <w:sz w:val="18"/>
          <w:szCs w:val="18"/>
        </w:rPr>
        <w:t>,</w:t>
      </w:r>
      <w:r w:rsidR="002B5AEC">
        <w:rPr>
          <w:color w:val="auto"/>
          <w:sz w:val="18"/>
          <w:szCs w:val="18"/>
        </w:rPr>
        <w:t xml:space="preserve"> (2005).</w:t>
      </w:r>
      <w:r w:rsidR="000B04DA" w:rsidRPr="0068369B">
        <w:rPr>
          <w:color w:val="auto"/>
          <w:sz w:val="18"/>
          <w:szCs w:val="18"/>
        </w:rPr>
        <w:t xml:space="preserve"> </w:t>
      </w:r>
      <w:r w:rsidRPr="0068369B">
        <w:rPr>
          <w:color w:val="auto"/>
          <w:sz w:val="18"/>
          <w:szCs w:val="18"/>
        </w:rPr>
        <w:t xml:space="preserve">Efficacy of </w:t>
      </w:r>
      <w:proofErr w:type="spellStart"/>
      <w:r w:rsidRPr="0068369B">
        <w:rPr>
          <w:color w:val="auto"/>
          <w:sz w:val="18"/>
          <w:szCs w:val="18"/>
        </w:rPr>
        <w:t>artesunate</w:t>
      </w:r>
      <w:proofErr w:type="spellEnd"/>
      <w:r w:rsidRPr="0068369B">
        <w:rPr>
          <w:color w:val="auto"/>
          <w:sz w:val="18"/>
          <w:szCs w:val="18"/>
        </w:rPr>
        <w:t xml:space="preserve"> plus </w:t>
      </w:r>
      <w:proofErr w:type="spellStart"/>
      <w:r w:rsidRPr="0068369B">
        <w:rPr>
          <w:color w:val="auto"/>
          <w:sz w:val="18"/>
          <w:szCs w:val="18"/>
        </w:rPr>
        <w:t>amodiaquine</w:t>
      </w:r>
      <w:proofErr w:type="spellEnd"/>
      <w:r w:rsidRPr="0068369B">
        <w:rPr>
          <w:color w:val="auto"/>
          <w:sz w:val="18"/>
          <w:szCs w:val="18"/>
        </w:rPr>
        <w:t xml:space="preserve"> versus that of </w:t>
      </w:r>
      <w:proofErr w:type="spellStart"/>
      <w:r w:rsidRPr="0068369B">
        <w:rPr>
          <w:color w:val="auto"/>
          <w:sz w:val="18"/>
          <w:szCs w:val="18"/>
        </w:rPr>
        <w:t>artemether-lumefantrine</w:t>
      </w:r>
      <w:proofErr w:type="spellEnd"/>
      <w:r w:rsidRPr="0068369B">
        <w:rPr>
          <w:color w:val="auto"/>
          <w:sz w:val="18"/>
          <w:szCs w:val="18"/>
        </w:rPr>
        <w:t xml:space="preserve"> for the treatment of uncomplicated childhood Plasmodium falciparum malaria in Zanzibar,</w:t>
      </w:r>
      <w:r w:rsidR="006B58F9" w:rsidRPr="0068369B">
        <w:rPr>
          <w:color w:val="auto"/>
          <w:sz w:val="18"/>
          <w:szCs w:val="18"/>
        </w:rPr>
        <w:t xml:space="preserve"> Tanzania, </w:t>
      </w:r>
      <w:proofErr w:type="spellStart"/>
      <w:r w:rsidR="006B58F9" w:rsidRPr="0068369B">
        <w:rPr>
          <w:i/>
          <w:color w:val="auto"/>
          <w:sz w:val="18"/>
          <w:szCs w:val="18"/>
        </w:rPr>
        <w:t>Clin</w:t>
      </w:r>
      <w:proofErr w:type="spellEnd"/>
      <w:r w:rsidR="006B58F9" w:rsidRPr="0068369B">
        <w:rPr>
          <w:i/>
          <w:color w:val="auto"/>
          <w:sz w:val="18"/>
          <w:szCs w:val="18"/>
        </w:rPr>
        <w:t>. Infect. Dis</w:t>
      </w:r>
      <w:r w:rsidR="002B5AEC">
        <w:rPr>
          <w:color w:val="auto"/>
          <w:sz w:val="18"/>
          <w:szCs w:val="18"/>
        </w:rPr>
        <w:t>. 41:</w:t>
      </w:r>
      <w:r w:rsidR="006B58F9" w:rsidRPr="0068369B">
        <w:rPr>
          <w:color w:val="auto"/>
          <w:sz w:val="18"/>
          <w:szCs w:val="18"/>
        </w:rPr>
        <w:t xml:space="preserve"> </w:t>
      </w:r>
      <w:r w:rsidRPr="0068369B">
        <w:rPr>
          <w:color w:val="auto"/>
          <w:sz w:val="18"/>
          <w:szCs w:val="18"/>
        </w:rPr>
        <w:t>1079</w:t>
      </w:r>
      <w:r w:rsidR="002B5AEC">
        <w:rPr>
          <w:color w:val="auto"/>
          <w:sz w:val="18"/>
          <w:szCs w:val="18"/>
        </w:rPr>
        <w:t xml:space="preserve"> </w:t>
      </w:r>
      <w:r w:rsidRPr="0068369B">
        <w:rPr>
          <w:color w:val="auto"/>
          <w:sz w:val="18"/>
          <w:szCs w:val="18"/>
        </w:rPr>
        <w:t>–</w:t>
      </w:r>
      <w:r w:rsidR="002B5AEC">
        <w:rPr>
          <w:color w:val="auto"/>
          <w:sz w:val="18"/>
          <w:szCs w:val="18"/>
        </w:rPr>
        <w:t xml:space="preserve"> </w:t>
      </w:r>
      <w:r w:rsidRPr="0068369B">
        <w:rPr>
          <w:color w:val="auto"/>
          <w:sz w:val="18"/>
          <w:szCs w:val="18"/>
        </w:rPr>
        <w:t>1086.</w:t>
      </w:r>
    </w:p>
    <w:p w:rsidR="002B5AEC" w:rsidRDefault="00344431" w:rsidP="002B5AEC">
      <w:pPr>
        <w:pStyle w:val="Default"/>
        <w:numPr>
          <w:ilvl w:val="0"/>
          <w:numId w:val="5"/>
        </w:numPr>
        <w:ind w:hanging="720"/>
        <w:jc w:val="both"/>
        <w:rPr>
          <w:color w:val="auto"/>
          <w:sz w:val="18"/>
          <w:szCs w:val="18"/>
        </w:rPr>
      </w:pPr>
      <w:r w:rsidRPr="002B5AEC">
        <w:rPr>
          <w:color w:val="auto"/>
          <w:sz w:val="18"/>
          <w:szCs w:val="18"/>
        </w:rPr>
        <w:t>WHO (</w:t>
      </w:r>
      <w:r w:rsidR="00CC3D4C" w:rsidRPr="002B5AEC">
        <w:rPr>
          <w:color w:val="auto"/>
          <w:sz w:val="18"/>
          <w:szCs w:val="18"/>
        </w:rPr>
        <w:t>2001)</w:t>
      </w:r>
      <w:r w:rsidR="002B5AEC">
        <w:rPr>
          <w:color w:val="auto"/>
          <w:sz w:val="18"/>
          <w:szCs w:val="18"/>
        </w:rPr>
        <w:t xml:space="preserve">. </w:t>
      </w:r>
      <w:r w:rsidR="00D67F04" w:rsidRPr="002B5AEC">
        <w:rPr>
          <w:color w:val="auto"/>
          <w:sz w:val="18"/>
          <w:szCs w:val="18"/>
        </w:rPr>
        <w:t>Antimalarial</w:t>
      </w:r>
      <w:r w:rsidR="00CC3D4C" w:rsidRPr="002B5AEC">
        <w:rPr>
          <w:i/>
          <w:color w:val="auto"/>
          <w:sz w:val="18"/>
          <w:szCs w:val="18"/>
        </w:rPr>
        <w:t xml:space="preserve"> Drug Combination Therapy. Report of a WHO Technical Consultation, </w:t>
      </w:r>
      <w:r w:rsidR="00D115ED" w:rsidRPr="002B5AEC">
        <w:rPr>
          <w:i/>
          <w:color w:val="auto"/>
          <w:sz w:val="18"/>
          <w:szCs w:val="18"/>
        </w:rPr>
        <w:t>4-5 April,</w:t>
      </w:r>
      <w:r w:rsidR="00D67F04" w:rsidRPr="002B5AEC">
        <w:rPr>
          <w:i/>
          <w:color w:val="auto"/>
          <w:sz w:val="18"/>
          <w:szCs w:val="18"/>
        </w:rPr>
        <w:t xml:space="preserve"> </w:t>
      </w:r>
      <w:r w:rsidR="00CC3D4C" w:rsidRPr="002B5AEC">
        <w:rPr>
          <w:color w:val="auto"/>
          <w:sz w:val="18"/>
          <w:szCs w:val="18"/>
        </w:rPr>
        <w:t>(WHO/CDS/RBM/2001.35). Geneva: WHO.</w:t>
      </w:r>
    </w:p>
    <w:p w:rsidR="002B5AEC" w:rsidRDefault="00FE52AE" w:rsidP="002B5AEC">
      <w:pPr>
        <w:pStyle w:val="Default"/>
        <w:numPr>
          <w:ilvl w:val="0"/>
          <w:numId w:val="5"/>
        </w:numPr>
        <w:ind w:hanging="720"/>
        <w:jc w:val="both"/>
        <w:rPr>
          <w:color w:val="auto"/>
          <w:sz w:val="18"/>
          <w:szCs w:val="18"/>
        </w:rPr>
      </w:pPr>
      <w:proofErr w:type="spellStart"/>
      <w:r w:rsidRPr="002B5AEC">
        <w:rPr>
          <w:color w:val="auto"/>
          <w:sz w:val="18"/>
          <w:szCs w:val="18"/>
        </w:rPr>
        <w:t>Nosten</w:t>
      </w:r>
      <w:proofErr w:type="spellEnd"/>
      <w:r w:rsidRPr="002B5AEC">
        <w:rPr>
          <w:color w:val="auto"/>
          <w:sz w:val="18"/>
          <w:szCs w:val="18"/>
        </w:rPr>
        <w:t xml:space="preserve">, F. &amp; </w:t>
      </w:r>
      <w:r w:rsidR="006B58F9" w:rsidRPr="002B5AEC">
        <w:rPr>
          <w:color w:val="auto"/>
          <w:sz w:val="18"/>
          <w:szCs w:val="18"/>
        </w:rPr>
        <w:t>White, N.J.</w:t>
      </w:r>
      <w:r w:rsidR="002B5AEC">
        <w:rPr>
          <w:color w:val="auto"/>
          <w:sz w:val="18"/>
          <w:szCs w:val="18"/>
        </w:rPr>
        <w:t xml:space="preserve">, (2007). </w:t>
      </w:r>
      <w:proofErr w:type="spellStart"/>
      <w:r w:rsidR="00CC3D4C" w:rsidRPr="002B5AEC">
        <w:rPr>
          <w:color w:val="auto"/>
          <w:sz w:val="18"/>
          <w:szCs w:val="18"/>
        </w:rPr>
        <w:t>Artemisinin</w:t>
      </w:r>
      <w:proofErr w:type="spellEnd"/>
      <w:r w:rsidR="00CC3D4C" w:rsidRPr="002B5AEC">
        <w:rPr>
          <w:color w:val="auto"/>
          <w:sz w:val="18"/>
          <w:szCs w:val="18"/>
        </w:rPr>
        <w:t xml:space="preserve"> based combination treatment of falciparum malaria, Am. </w:t>
      </w:r>
      <w:r w:rsidR="00CC3D4C" w:rsidRPr="002B5AEC">
        <w:rPr>
          <w:i/>
          <w:color w:val="auto"/>
          <w:sz w:val="18"/>
          <w:szCs w:val="18"/>
        </w:rPr>
        <w:t xml:space="preserve">J. Trop. Med. </w:t>
      </w:r>
      <w:proofErr w:type="spellStart"/>
      <w:r w:rsidR="00CC3D4C" w:rsidRPr="002B5AEC">
        <w:rPr>
          <w:i/>
          <w:color w:val="auto"/>
          <w:sz w:val="18"/>
          <w:szCs w:val="18"/>
        </w:rPr>
        <w:t>Hyg</w:t>
      </w:r>
      <w:proofErr w:type="spellEnd"/>
      <w:r w:rsidR="00CC3D4C" w:rsidRPr="002B5AEC">
        <w:rPr>
          <w:color w:val="auto"/>
          <w:sz w:val="18"/>
          <w:szCs w:val="18"/>
        </w:rPr>
        <w:t>. 77</w:t>
      </w:r>
      <w:r w:rsidR="002B5AEC">
        <w:rPr>
          <w:color w:val="auto"/>
          <w:sz w:val="18"/>
          <w:szCs w:val="18"/>
        </w:rPr>
        <w:t>:</w:t>
      </w:r>
      <w:r w:rsidR="00CC3D4C" w:rsidRPr="002B5AEC">
        <w:rPr>
          <w:color w:val="auto"/>
          <w:sz w:val="18"/>
          <w:szCs w:val="18"/>
        </w:rPr>
        <w:t xml:space="preserve"> 181</w:t>
      </w:r>
      <w:r w:rsidR="002B5AEC">
        <w:rPr>
          <w:color w:val="auto"/>
          <w:sz w:val="18"/>
          <w:szCs w:val="18"/>
        </w:rPr>
        <w:t xml:space="preserve"> </w:t>
      </w:r>
      <w:r w:rsidR="00CC3D4C" w:rsidRPr="002B5AEC">
        <w:rPr>
          <w:color w:val="auto"/>
          <w:sz w:val="18"/>
          <w:szCs w:val="18"/>
        </w:rPr>
        <w:t>–</w:t>
      </w:r>
      <w:r w:rsidR="002B5AEC">
        <w:rPr>
          <w:color w:val="auto"/>
          <w:sz w:val="18"/>
          <w:szCs w:val="18"/>
        </w:rPr>
        <w:t xml:space="preserve"> </w:t>
      </w:r>
      <w:r w:rsidR="00CC3D4C" w:rsidRPr="002B5AEC">
        <w:rPr>
          <w:color w:val="auto"/>
          <w:sz w:val="18"/>
          <w:szCs w:val="18"/>
        </w:rPr>
        <w:t>192.</w:t>
      </w:r>
    </w:p>
    <w:p w:rsidR="002B5AEC" w:rsidRDefault="00CC3D4C" w:rsidP="002B5AEC">
      <w:pPr>
        <w:pStyle w:val="Default"/>
        <w:numPr>
          <w:ilvl w:val="0"/>
          <w:numId w:val="5"/>
        </w:numPr>
        <w:ind w:hanging="720"/>
        <w:jc w:val="both"/>
        <w:rPr>
          <w:color w:val="auto"/>
          <w:sz w:val="18"/>
          <w:szCs w:val="18"/>
        </w:rPr>
      </w:pPr>
      <w:r w:rsidRPr="002B5AEC">
        <w:rPr>
          <w:color w:val="auto"/>
          <w:sz w:val="18"/>
          <w:szCs w:val="18"/>
        </w:rPr>
        <w:lastRenderedPageBreak/>
        <w:t>Martindale: The complete drug reference 36</w:t>
      </w:r>
      <w:r w:rsidRPr="002B5AEC">
        <w:rPr>
          <w:color w:val="auto"/>
          <w:sz w:val="18"/>
          <w:szCs w:val="18"/>
          <w:vertAlign w:val="superscript"/>
        </w:rPr>
        <w:t>th</w:t>
      </w:r>
      <w:r w:rsidRPr="002B5AEC">
        <w:rPr>
          <w:color w:val="auto"/>
          <w:sz w:val="18"/>
          <w:szCs w:val="18"/>
        </w:rPr>
        <w:t xml:space="preserve"> edition, Pharmaceutical press, </w:t>
      </w:r>
      <w:proofErr w:type="spellStart"/>
      <w:r w:rsidRPr="002B5AEC">
        <w:rPr>
          <w:color w:val="auto"/>
          <w:sz w:val="18"/>
          <w:szCs w:val="18"/>
        </w:rPr>
        <w:t>La</w:t>
      </w:r>
      <w:r w:rsidR="00D67F04" w:rsidRPr="002B5AEC">
        <w:rPr>
          <w:color w:val="auto"/>
          <w:sz w:val="18"/>
          <w:szCs w:val="18"/>
        </w:rPr>
        <w:t>mbeth</w:t>
      </w:r>
      <w:proofErr w:type="spellEnd"/>
      <w:r w:rsidR="00D67F04" w:rsidRPr="002B5AEC">
        <w:rPr>
          <w:color w:val="auto"/>
          <w:sz w:val="18"/>
          <w:szCs w:val="18"/>
        </w:rPr>
        <w:t xml:space="preserve"> High Street, London, </w:t>
      </w:r>
      <w:r w:rsidR="00E43E07" w:rsidRPr="002B5AEC">
        <w:rPr>
          <w:color w:val="auto"/>
          <w:sz w:val="18"/>
          <w:szCs w:val="18"/>
        </w:rPr>
        <w:t>(</w:t>
      </w:r>
      <w:r w:rsidR="00D67F04" w:rsidRPr="002B5AEC">
        <w:rPr>
          <w:color w:val="auto"/>
          <w:sz w:val="18"/>
          <w:szCs w:val="18"/>
        </w:rPr>
        <w:t>2009</w:t>
      </w:r>
      <w:r w:rsidR="00E43E07" w:rsidRPr="002B5AEC">
        <w:rPr>
          <w:color w:val="auto"/>
          <w:sz w:val="18"/>
          <w:szCs w:val="18"/>
        </w:rPr>
        <w:t>)</w:t>
      </w:r>
      <w:r w:rsidR="00D67F04" w:rsidRPr="002B5AEC">
        <w:rPr>
          <w:color w:val="auto"/>
          <w:sz w:val="18"/>
          <w:szCs w:val="18"/>
        </w:rPr>
        <w:t>;</w:t>
      </w:r>
      <w:r w:rsidRPr="002B5AEC">
        <w:rPr>
          <w:color w:val="auto"/>
          <w:sz w:val="18"/>
          <w:szCs w:val="18"/>
        </w:rPr>
        <w:t xml:space="preserve"> 598</w:t>
      </w:r>
      <w:r w:rsidR="002B5AEC" w:rsidRPr="002B5AEC">
        <w:rPr>
          <w:color w:val="auto"/>
          <w:sz w:val="18"/>
          <w:szCs w:val="18"/>
        </w:rPr>
        <w:t xml:space="preserve"> </w:t>
      </w:r>
      <w:r w:rsidRPr="002B5AEC">
        <w:rPr>
          <w:color w:val="auto"/>
          <w:sz w:val="18"/>
          <w:szCs w:val="18"/>
        </w:rPr>
        <w:t>-</w:t>
      </w:r>
      <w:r w:rsidR="002B5AEC" w:rsidRPr="002B5AEC">
        <w:rPr>
          <w:color w:val="auto"/>
          <w:sz w:val="18"/>
          <w:szCs w:val="18"/>
        </w:rPr>
        <w:t xml:space="preserve"> </w:t>
      </w:r>
      <w:r w:rsidRPr="002B5AEC">
        <w:rPr>
          <w:color w:val="auto"/>
          <w:sz w:val="18"/>
          <w:szCs w:val="18"/>
        </w:rPr>
        <w:t>599.</w:t>
      </w:r>
    </w:p>
    <w:p w:rsidR="002B5AEC" w:rsidRDefault="00CC3D4C" w:rsidP="002B5AEC">
      <w:pPr>
        <w:pStyle w:val="Default"/>
        <w:numPr>
          <w:ilvl w:val="0"/>
          <w:numId w:val="5"/>
        </w:numPr>
        <w:ind w:hanging="720"/>
        <w:jc w:val="both"/>
        <w:rPr>
          <w:color w:val="auto"/>
          <w:sz w:val="18"/>
          <w:szCs w:val="18"/>
        </w:rPr>
      </w:pPr>
      <w:r w:rsidRPr="002B5AEC">
        <w:rPr>
          <w:color w:val="auto"/>
          <w:sz w:val="18"/>
          <w:szCs w:val="18"/>
        </w:rPr>
        <w:t>Martindale: The complete drug reference 36</w:t>
      </w:r>
      <w:r w:rsidRPr="002B5AEC">
        <w:rPr>
          <w:color w:val="auto"/>
          <w:sz w:val="18"/>
          <w:szCs w:val="18"/>
          <w:vertAlign w:val="superscript"/>
        </w:rPr>
        <w:t>th</w:t>
      </w:r>
      <w:r w:rsidRPr="002B5AEC">
        <w:rPr>
          <w:color w:val="auto"/>
          <w:sz w:val="18"/>
          <w:szCs w:val="18"/>
        </w:rPr>
        <w:t xml:space="preserve"> edition, Pharmaceutical press, </w:t>
      </w:r>
      <w:proofErr w:type="spellStart"/>
      <w:r w:rsidRPr="002B5AEC">
        <w:rPr>
          <w:color w:val="auto"/>
          <w:sz w:val="18"/>
          <w:szCs w:val="18"/>
        </w:rPr>
        <w:t>Lam</w:t>
      </w:r>
      <w:r w:rsidR="00D67F04" w:rsidRPr="002B5AEC">
        <w:rPr>
          <w:color w:val="auto"/>
          <w:sz w:val="18"/>
          <w:szCs w:val="18"/>
        </w:rPr>
        <w:t>beth</w:t>
      </w:r>
      <w:proofErr w:type="spellEnd"/>
      <w:r w:rsidR="00D67F04" w:rsidRPr="002B5AEC">
        <w:rPr>
          <w:color w:val="auto"/>
          <w:sz w:val="18"/>
          <w:szCs w:val="18"/>
        </w:rPr>
        <w:t xml:space="preserve"> High Street, London, </w:t>
      </w:r>
      <w:r w:rsidR="00E43E07" w:rsidRPr="002B5AEC">
        <w:rPr>
          <w:color w:val="auto"/>
          <w:sz w:val="18"/>
          <w:szCs w:val="18"/>
        </w:rPr>
        <w:t>(</w:t>
      </w:r>
      <w:r w:rsidR="00D67F04" w:rsidRPr="002B5AEC">
        <w:rPr>
          <w:color w:val="auto"/>
          <w:sz w:val="18"/>
          <w:szCs w:val="18"/>
        </w:rPr>
        <w:t>2009</w:t>
      </w:r>
      <w:r w:rsidR="00E43E07" w:rsidRPr="002B5AEC">
        <w:rPr>
          <w:color w:val="auto"/>
          <w:sz w:val="18"/>
          <w:szCs w:val="18"/>
        </w:rPr>
        <w:t>)</w:t>
      </w:r>
      <w:r w:rsidR="00D67F04" w:rsidRPr="002B5AEC">
        <w:rPr>
          <w:color w:val="auto"/>
          <w:sz w:val="18"/>
          <w:szCs w:val="18"/>
        </w:rPr>
        <w:t xml:space="preserve">; </w:t>
      </w:r>
      <w:r w:rsidRPr="002B5AEC">
        <w:rPr>
          <w:color w:val="auto"/>
          <w:sz w:val="18"/>
          <w:szCs w:val="18"/>
        </w:rPr>
        <w:t>605.</w:t>
      </w:r>
    </w:p>
    <w:p w:rsidR="002B5AEC" w:rsidRDefault="006B58F9" w:rsidP="002B5AEC">
      <w:pPr>
        <w:pStyle w:val="Default"/>
        <w:numPr>
          <w:ilvl w:val="0"/>
          <w:numId w:val="5"/>
        </w:numPr>
        <w:ind w:hanging="720"/>
        <w:jc w:val="both"/>
        <w:rPr>
          <w:color w:val="auto"/>
          <w:sz w:val="18"/>
          <w:szCs w:val="18"/>
        </w:rPr>
      </w:pPr>
      <w:proofErr w:type="spellStart"/>
      <w:r w:rsidRPr="002B5AEC">
        <w:rPr>
          <w:color w:val="auto"/>
          <w:sz w:val="18"/>
          <w:szCs w:val="18"/>
        </w:rPr>
        <w:t>Omari</w:t>
      </w:r>
      <w:proofErr w:type="spellEnd"/>
      <w:r w:rsidRPr="002B5AEC">
        <w:rPr>
          <w:color w:val="auto"/>
          <w:sz w:val="18"/>
          <w:szCs w:val="18"/>
        </w:rPr>
        <w:t xml:space="preserve">, </w:t>
      </w:r>
      <w:r w:rsidR="00CC3D4C" w:rsidRPr="002B5AEC">
        <w:rPr>
          <w:color w:val="auto"/>
          <w:sz w:val="18"/>
          <w:szCs w:val="18"/>
        </w:rPr>
        <w:t>A.A.</w:t>
      </w:r>
      <w:r w:rsidRPr="002B5AEC">
        <w:rPr>
          <w:color w:val="auto"/>
          <w:sz w:val="18"/>
          <w:szCs w:val="18"/>
        </w:rPr>
        <w:t>,</w:t>
      </w:r>
      <w:r w:rsidR="00CC3D4C" w:rsidRPr="002B5AEC">
        <w:rPr>
          <w:color w:val="auto"/>
          <w:sz w:val="18"/>
          <w:szCs w:val="18"/>
        </w:rPr>
        <w:t xml:space="preserve"> </w:t>
      </w:r>
      <w:r w:rsidRPr="002B5AEC">
        <w:rPr>
          <w:color w:val="auto"/>
          <w:sz w:val="18"/>
          <w:szCs w:val="18"/>
        </w:rPr>
        <w:t xml:space="preserve">Gamble, </w:t>
      </w:r>
      <w:r w:rsidR="00CC3D4C" w:rsidRPr="002B5AEC">
        <w:rPr>
          <w:color w:val="auto"/>
          <w:sz w:val="18"/>
          <w:szCs w:val="18"/>
        </w:rPr>
        <w:t>C.</w:t>
      </w:r>
      <w:r w:rsidR="00FE52AE" w:rsidRPr="002B5AEC">
        <w:rPr>
          <w:color w:val="auto"/>
          <w:sz w:val="18"/>
          <w:szCs w:val="18"/>
        </w:rPr>
        <w:t xml:space="preserve"> &amp; </w:t>
      </w:r>
      <w:r w:rsidRPr="002B5AEC">
        <w:rPr>
          <w:color w:val="auto"/>
          <w:sz w:val="18"/>
          <w:szCs w:val="18"/>
        </w:rPr>
        <w:t xml:space="preserve">Garner, </w:t>
      </w:r>
      <w:r w:rsidR="00CC3D4C" w:rsidRPr="002B5AEC">
        <w:rPr>
          <w:color w:val="auto"/>
          <w:sz w:val="18"/>
          <w:szCs w:val="18"/>
        </w:rPr>
        <w:t>P.</w:t>
      </w:r>
      <w:r w:rsidRPr="002B5AEC">
        <w:rPr>
          <w:color w:val="auto"/>
          <w:sz w:val="18"/>
          <w:szCs w:val="18"/>
        </w:rPr>
        <w:t>,</w:t>
      </w:r>
      <w:r w:rsidR="00CC3D4C" w:rsidRPr="002B5AEC">
        <w:rPr>
          <w:color w:val="auto"/>
          <w:sz w:val="18"/>
          <w:szCs w:val="18"/>
        </w:rPr>
        <w:t xml:space="preserve"> </w:t>
      </w:r>
      <w:r w:rsidR="002B5AEC">
        <w:rPr>
          <w:color w:val="auto"/>
          <w:sz w:val="18"/>
          <w:szCs w:val="18"/>
        </w:rPr>
        <w:t xml:space="preserve">(2004). </w:t>
      </w:r>
      <w:proofErr w:type="spellStart"/>
      <w:r w:rsidR="00CC3D4C" w:rsidRPr="002B5AEC">
        <w:rPr>
          <w:color w:val="auto"/>
          <w:sz w:val="18"/>
          <w:szCs w:val="18"/>
        </w:rPr>
        <w:t>Artemether-lumefantrine</w:t>
      </w:r>
      <w:proofErr w:type="spellEnd"/>
      <w:r w:rsidR="00CC3D4C" w:rsidRPr="002B5AEC">
        <w:rPr>
          <w:color w:val="auto"/>
          <w:sz w:val="18"/>
          <w:szCs w:val="18"/>
        </w:rPr>
        <w:t xml:space="preserve"> for uncomplicated malaria: a systematic review, </w:t>
      </w:r>
      <w:r w:rsidR="00D67F04" w:rsidRPr="002B5AEC">
        <w:rPr>
          <w:i/>
          <w:color w:val="auto"/>
          <w:sz w:val="18"/>
          <w:szCs w:val="18"/>
        </w:rPr>
        <w:t>Trop. Med. Int. Health</w:t>
      </w:r>
      <w:r w:rsidR="002B5AEC">
        <w:rPr>
          <w:color w:val="auto"/>
          <w:sz w:val="18"/>
          <w:szCs w:val="18"/>
        </w:rPr>
        <w:t xml:space="preserve">. 9: </w:t>
      </w:r>
      <w:r w:rsidR="00CC3D4C" w:rsidRPr="002B5AEC">
        <w:rPr>
          <w:color w:val="auto"/>
          <w:sz w:val="18"/>
          <w:szCs w:val="18"/>
        </w:rPr>
        <w:t>192</w:t>
      </w:r>
      <w:r w:rsidR="002B5AEC">
        <w:rPr>
          <w:color w:val="auto"/>
          <w:sz w:val="18"/>
          <w:szCs w:val="18"/>
        </w:rPr>
        <w:t xml:space="preserve"> </w:t>
      </w:r>
      <w:r w:rsidR="00CC3D4C" w:rsidRPr="002B5AEC">
        <w:rPr>
          <w:color w:val="auto"/>
          <w:sz w:val="18"/>
          <w:szCs w:val="18"/>
        </w:rPr>
        <w:t>–</w:t>
      </w:r>
      <w:r w:rsidR="002B5AEC">
        <w:rPr>
          <w:color w:val="auto"/>
          <w:sz w:val="18"/>
          <w:szCs w:val="18"/>
        </w:rPr>
        <w:t xml:space="preserve"> </w:t>
      </w:r>
      <w:r w:rsidR="00CC3D4C" w:rsidRPr="002B5AEC">
        <w:rPr>
          <w:color w:val="auto"/>
          <w:sz w:val="18"/>
          <w:szCs w:val="18"/>
        </w:rPr>
        <w:t>199.</w:t>
      </w:r>
    </w:p>
    <w:p w:rsidR="002B5AEC" w:rsidRDefault="00CC3D4C" w:rsidP="002B5AEC">
      <w:pPr>
        <w:pStyle w:val="Default"/>
        <w:numPr>
          <w:ilvl w:val="0"/>
          <w:numId w:val="5"/>
        </w:numPr>
        <w:ind w:hanging="720"/>
        <w:jc w:val="both"/>
        <w:rPr>
          <w:color w:val="auto"/>
          <w:sz w:val="18"/>
          <w:szCs w:val="18"/>
        </w:rPr>
      </w:pPr>
      <w:r w:rsidRPr="002B5AEC">
        <w:rPr>
          <w:color w:val="auto"/>
          <w:sz w:val="18"/>
          <w:szCs w:val="18"/>
        </w:rPr>
        <w:t>World Health Organization, WHO Expert Committee on Malaria, 20th Report, WHO Technical Report Series – 892, Geneva, 2000; 71.</w:t>
      </w:r>
    </w:p>
    <w:p w:rsidR="002B5AEC" w:rsidRDefault="00D67F04" w:rsidP="002B5AEC">
      <w:pPr>
        <w:pStyle w:val="Default"/>
        <w:numPr>
          <w:ilvl w:val="0"/>
          <w:numId w:val="5"/>
        </w:numPr>
        <w:ind w:hanging="720"/>
        <w:jc w:val="both"/>
        <w:rPr>
          <w:color w:val="auto"/>
          <w:sz w:val="18"/>
          <w:szCs w:val="18"/>
        </w:rPr>
      </w:pPr>
      <w:proofErr w:type="spellStart"/>
      <w:r w:rsidRPr="002B5AEC">
        <w:rPr>
          <w:color w:val="auto"/>
          <w:sz w:val="18"/>
          <w:szCs w:val="18"/>
        </w:rPr>
        <w:t>Navaratnam</w:t>
      </w:r>
      <w:proofErr w:type="spellEnd"/>
      <w:r w:rsidRPr="002B5AEC">
        <w:rPr>
          <w:color w:val="auto"/>
          <w:sz w:val="18"/>
          <w:szCs w:val="18"/>
        </w:rPr>
        <w:t xml:space="preserve">, </w:t>
      </w:r>
      <w:r w:rsidR="00D115ED" w:rsidRPr="002B5AEC">
        <w:rPr>
          <w:color w:val="auto"/>
          <w:sz w:val="18"/>
          <w:szCs w:val="18"/>
        </w:rPr>
        <w:t>V.</w:t>
      </w:r>
      <w:r w:rsidRPr="002B5AEC">
        <w:rPr>
          <w:color w:val="auto"/>
          <w:sz w:val="18"/>
          <w:szCs w:val="18"/>
        </w:rPr>
        <w:t xml:space="preserve">, </w:t>
      </w:r>
      <w:proofErr w:type="spellStart"/>
      <w:r w:rsidRPr="002B5AEC">
        <w:rPr>
          <w:color w:val="auto"/>
          <w:sz w:val="18"/>
          <w:szCs w:val="18"/>
        </w:rPr>
        <w:t>Mansor</w:t>
      </w:r>
      <w:proofErr w:type="spellEnd"/>
      <w:r w:rsidRPr="002B5AEC">
        <w:rPr>
          <w:color w:val="auto"/>
          <w:sz w:val="18"/>
          <w:szCs w:val="18"/>
        </w:rPr>
        <w:t xml:space="preserve">, </w:t>
      </w:r>
      <w:r w:rsidR="00D115ED" w:rsidRPr="002B5AEC">
        <w:rPr>
          <w:color w:val="auto"/>
          <w:sz w:val="18"/>
          <w:szCs w:val="18"/>
        </w:rPr>
        <w:t>S.M.</w:t>
      </w:r>
      <w:r w:rsidRPr="002B5AEC">
        <w:rPr>
          <w:color w:val="auto"/>
          <w:sz w:val="18"/>
          <w:szCs w:val="18"/>
        </w:rPr>
        <w:t>,</w:t>
      </w:r>
      <w:r w:rsidR="00D115ED" w:rsidRPr="002B5AEC">
        <w:rPr>
          <w:color w:val="auto"/>
          <w:sz w:val="18"/>
          <w:szCs w:val="18"/>
        </w:rPr>
        <w:t xml:space="preserve"> </w:t>
      </w:r>
      <w:r w:rsidRPr="002B5AEC">
        <w:rPr>
          <w:color w:val="auto"/>
          <w:sz w:val="18"/>
          <w:szCs w:val="18"/>
        </w:rPr>
        <w:t xml:space="preserve">Chin, </w:t>
      </w:r>
      <w:r w:rsidR="00D115ED" w:rsidRPr="002B5AEC">
        <w:rPr>
          <w:color w:val="auto"/>
          <w:sz w:val="18"/>
          <w:szCs w:val="18"/>
        </w:rPr>
        <w:t>L.K.</w:t>
      </w:r>
      <w:r w:rsidRPr="002B5AEC">
        <w:rPr>
          <w:color w:val="auto"/>
          <w:sz w:val="18"/>
          <w:szCs w:val="18"/>
        </w:rPr>
        <w:t>,</w:t>
      </w:r>
      <w:r w:rsidR="00D115ED" w:rsidRPr="002B5AEC">
        <w:rPr>
          <w:color w:val="auto"/>
          <w:sz w:val="18"/>
          <w:szCs w:val="18"/>
        </w:rPr>
        <w:t xml:space="preserve"> </w:t>
      </w:r>
      <w:proofErr w:type="spellStart"/>
      <w:r w:rsidRPr="002B5AEC">
        <w:rPr>
          <w:color w:val="auto"/>
          <w:sz w:val="18"/>
          <w:szCs w:val="18"/>
        </w:rPr>
        <w:t>Mordi</w:t>
      </w:r>
      <w:proofErr w:type="spellEnd"/>
      <w:r w:rsidRPr="002B5AEC">
        <w:rPr>
          <w:color w:val="auto"/>
          <w:sz w:val="18"/>
          <w:szCs w:val="18"/>
        </w:rPr>
        <w:t xml:space="preserve">, </w:t>
      </w:r>
      <w:r w:rsidR="00D115ED" w:rsidRPr="002B5AEC">
        <w:rPr>
          <w:color w:val="auto"/>
          <w:sz w:val="18"/>
          <w:szCs w:val="18"/>
        </w:rPr>
        <w:t>M.N.</w:t>
      </w:r>
      <w:r w:rsidRPr="002B5AEC">
        <w:rPr>
          <w:color w:val="auto"/>
          <w:sz w:val="18"/>
          <w:szCs w:val="18"/>
        </w:rPr>
        <w:t>,</w:t>
      </w:r>
      <w:r w:rsidR="00D115ED" w:rsidRPr="002B5AEC">
        <w:rPr>
          <w:color w:val="auto"/>
          <w:sz w:val="18"/>
          <w:szCs w:val="18"/>
        </w:rPr>
        <w:t xml:space="preserve"> </w:t>
      </w:r>
      <w:proofErr w:type="spellStart"/>
      <w:r w:rsidRPr="002B5AEC">
        <w:rPr>
          <w:color w:val="auto"/>
          <w:sz w:val="18"/>
          <w:szCs w:val="18"/>
        </w:rPr>
        <w:t>Asokan</w:t>
      </w:r>
      <w:proofErr w:type="spellEnd"/>
      <w:r w:rsidRPr="002B5AEC">
        <w:rPr>
          <w:color w:val="auto"/>
          <w:sz w:val="18"/>
          <w:szCs w:val="18"/>
        </w:rPr>
        <w:t xml:space="preserve">, </w:t>
      </w:r>
      <w:r w:rsidR="00D115ED" w:rsidRPr="002B5AEC">
        <w:rPr>
          <w:color w:val="auto"/>
          <w:sz w:val="18"/>
          <w:szCs w:val="18"/>
        </w:rPr>
        <w:t>M.</w:t>
      </w:r>
      <w:r w:rsidRPr="002B5AEC">
        <w:rPr>
          <w:color w:val="auto"/>
          <w:sz w:val="18"/>
          <w:szCs w:val="18"/>
        </w:rPr>
        <w:t>,</w:t>
      </w:r>
      <w:r w:rsidR="00D115ED" w:rsidRPr="002B5AEC">
        <w:rPr>
          <w:color w:val="auto"/>
          <w:sz w:val="18"/>
          <w:szCs w:val="18"/>
        </w:rPr>
        <w:t xml:space="preserve"> </w:t>
      </w:r>
      <w:r w:rsidRPr="002B5AEC">
        <w:rPr>
          <w:color w:val="auto"/>
          <w:sz w:val="18"/>
          <w:szCs w:val="18"/>
        </w:rPr>
        <w:t>Nair</w:t>
      </w:r>
      <w:r w:rsidR="00FE52AE" w:rsidRPr="002B5AEC">
        <w:rPr>
          <w:color w:val="auto"/>
          <w:sz w:val="18"/>
          <w:szCs w:val="18"/>
        </w:rPr>
        <w:t xml:space="preserve"> &amp; </w:t>
      </w:r>
      <w:r w:rsidR="00D115ED" w:rsidRPr="002B5AEC">
        <w:rPr>
          <w:color w:val="auto"/>
          <w:sz w:val="18"/>
          <w:szCs w:val="18"/>
        </w:rPr>
        <w:t>N.K.</w:t>
      </w:r>
      <w:r w:rsidRPr="002B5AEC">
        <w:rPr>
          <w:color w:val="auto"/>
          <w:sz w:val="18"/>
          <w:szCs w:val="18"/>
        </w:rPr>
        <w:t>,</w:t>
      </w:r>
      <w:r w:rsidR="00D115ED" w:rsidRPr="002B5AEC">
        <w:rPr>
          <w:color w:val="auto"/>
          <w:sz w:val="18"/>
          <w:szCs w:val="18"/>
        </w:rPr>
        <w:t xml:space="preserve"> </w:t>
      </w:r>
      <w:r w:rsidR="0094625F" w:rsidRPr="002B5AEC">
        <w:rPr>
          <w:color w:val="auto"/>
          <w:sz w:val="18"/>
          <w:szCs w:val="18"/>
        </w:rPr>
        <w:t>(</w:t>
      </w:r>
      <w:r w:rsidRPr="002B5AEC">
        <w:rPr>
          <w:color w:val="auto"/>
          <w:sz w:val="18"/>
          <w:szCs w:val="18"/>
        </w:rPr>
        <w:t>1995</w:t>
      </w:r>
      <w:r w:rsidR="0094625F" w:rsidRPr="002B5AEC">
        <w:rPr>
          <w:color w:val="auto"/>
          <w:sz w:val="18"/>
          <w:szCs w:val="18"/>
        </w:rPr>
        <w:t>)</w:t>
      </w:r>
      <w:r w:rsidR="002B5AEC">
        <w:rPr>
          <w:color w:val="auto"/>
          <w:sz w:val="18"/>
          <w:szCs w:val="18"/>
        </w:rPr>
        <w:t>.</w:t>
      </w:r>
      <w:r w:rsidRPr="002B5AEC">
        <w:rPr>
          <w:color w:val="auto"/>
          <w:sz w:val="18"/>
          <w:szCs w:val="18"/>
        </w:rPr>
        <w:t xml:space="preserve"> </w:t>
      </w:r>
      <w:r w:rsidR="00D115ED" w:rsidRPr="002B5AEC">
        <w:rPr>
          <w:color w:val="auto"/>
          <w:sz w:val="18"/>
          <w:szCs w:val="18"/>
        </w:rPr>
        <w:t xml:space="preserve">Determination of </w:t>
      </w:r>
      <w:proofErr w:type="spellStart"/>
      <w:r w:rsidR="00D115ED" w:rsidRPr="002B5AEC">
        <w:rPr>
          <w:color w:val="auto"/>
          <w:sz w:val="18"/>
          <w:szCs w:val="18"/>
        </w:rPr>
        <w:t>artemether</w:t>
      </w:r>
      <w:proofErr w:type="spellEnd"/>
      <w:r w:rsidR="00D115ED" w:rsidRPr="002B5AEC">
        <w:rPr>
          <w:color w:val="auto"/>
          <w:sz w:val="18"/>
          <w:szCs w:val="18"/>
        </w:rPr>
        <w:t xml:space="preserve"> and </w:t>
      </w:r>
      <w:proofErr w:type="spellStart"/>
      <w:r w:rsidR="00D115ED" w:rsidRPr="002B5AEC">
        <w:rPr>
          <w:color w:val="auto"/>
          <w:sz w:val="18"/>
          <w:szCs w:val="18"/>
        </w:rPr>
        <w:t>dihydroartemisinin</w:t>
      </w:r>
      <w:proofErr w:type="spellEnd"/>
      <w:r w:rsidR="00D115ED" w:rsidRPr="002B5AEC">
        <w:rPr>
          <w:color w:val="auto"/>
          <w:sz w:val="18"/>
          <w:szCs w:val="18"/>
        </w:rPr>
        <w:t xml:space="preserve"> in blood plasma by high-performance liquid</w:t>
      </w:r>
      <w:r w:rsidR="00344431" w:rsidRPr="002B5AEC">
        <w:rPr>
          <w:color w:val="auto"/>
          <w:sz w:val="18"/>
          <w:szCs w:val="18"/>
        </w:rPr>
        <w:t xml:space="preserve"> </w:t>
      </w:r>
      <w:r w:rsidR="00D115ED" w:rsidRPr="002B5AEC">
        <w:rPr>
          <w:color w:val="auto"/>
          <w:sz w:val="18"/>
          <w:szCs w:val="18"/>
        </w:rPr>
        <w:t xml:space="preserve">chromatography for application in clinical pharmacological studies, </w:t>
      </w:r>
      <w:r w:rsidR="00D115ED" w:rsidRPr="002B5AEC">
        <w:rPr>
          <w:i/>
          <w:color w:val="auto"/>
          <w:sz w:val="18"/>
          <w:szCs w:val="18"/>
        </w:rPr>
        <w:t xml:space="preserve">J. </w:t>
      </w:r>
      <w:proofErr w:type="spellStart"/>
      <w:r w:rsidR="00D115ED" w:rsidRPr="002B5AEC">
        <w:rPr>
          <w:i/>
          <w:color w:val="auto"/>
          <w:sz w:val="18"/>
          <w:szCs w:val="18"/>
        </w:rPr>
        <w:t>Chromatogr</w:t>
      </w:r>
      <w:proofErr w:type="spellEnd"/>
      <w:r w:rsidR="00D115ED" w:rsidRPr="002B5AEC">
        <w:rPr>
          <w:i/>
          <w:color w:val="auto"/>
          <w:sz w:val="18"/>
          <w:szCs w:val="18"/>
        </w:rPr>
        <w:t>. B</w:t>
      </w:r>
      <w:r w:rsidR="00D115ED" w:rsidRPr="002B5AEC">
        <w:rPr>
          <w:color w:val="auto"/>
          <w:sz w:val="18"/>
          <w:szCs w:val="18"/>
        </w:rPr>
        <w:t xml:space="preserve">, </w:t>
      </w:r>
      <w:r w:rsidR="00E6235E" w:rsidRPr="002B5AEC">
        <w:rPr>
          <w:color w:val="auto"/>
          <w:sz w:val="18"/>
          <w:szCs w:val="18"/>
        </w:rPr>
        <w:t>669:</w:t>
      </w:r>
      <w:r w:rsidR="00D115ED" w:rsidRPr="002B5AEC">
        <w:rPr>
          <w:color w:val="auto"/>
          <w:sz w:val="18"/>
          <w:szCs w:val="18"/>
        </w:rPr>
        <w:t xml:space="preserve"> 289</w:t>
      </w:r>
      <w:r w:rsidR="002B5AEC">
        <w:rPr>
          <w:color w:val="auto"/>
          <w:sz w:val="18"/>
          <w:szCs w:val="18"/>
        </w:rPr>
        <w:t xml:space="preserve"> </w:t>
      </w:r>
      <w:r w:rsidR="00D115ED" w:rsidRPr="002B5AEC">
        <w:rPr>
          <w:color w:val="auto"/>
          <w:sz w:val="18"/>
          <w:szCs w:val="18"/>
        </w:rPr>
        <w:t>–</w:t>
      </w:r>
      <w:r w:rsidR="002B5AEC">
        <w:rPr>
          <w:color w:val="auto"/>
          <w:sz w:val="18"/>
          <w:szCs w:val="18"/>
        </w:rPr>
        <w:t xml:space="preserve"> </w:t>
      </w:r>
      <w:r w:rsidR="00D115ED" w:rsidRPr="002B5AEC">
        <w:rPr>
          <w:color w:val="auto"/>
          <w:sz w:val="18"/>
          <w:szCs w:val="18"/>
        </w:rPr>
        <w:t>294</w:t>
      </w:r>
      <w:r w:rsidR="002B5AEC">
        <w:rPr>
          <w:color w:val="auto"/>
          <w:sz w:val="18"/>
          <w:szCs w:val="18"/>
        </w:rPr>
        <w:t>.</w:t>
      </w:r>
    </w:p>
    <w:p w:rsidR="002B5AEC" w:rsidRPr="002B5AEC" w:rsidRDefault="00D67F04" w:rsidP="002B5AEC">
      <w:pPr>
        <w:pStyle w:val="Default"/>
        <w:numPr>
          <w:ilvl w:val="0"/>
          <w:numId w:val="5"/>
        </w:numPr>
        <w:ind w:hanging="720"/>
        <w:jc w:val="both"/>
        <w:rPr>
          <w:color w:val="auto"/>
          <w:sz w:val="18"/>
          <w:szCs w:val="18"/>
        </w:rPr>
      </w:pPr>
      <w:proofErr w:type="spellStart"/>
      <w:r w:rsidRPr="002B5AEC">
        <w:rPr>
          <w:sz w:val="18"/>
          <w:szCs w:val="18"/>
        </w:rPr>
        <w:t>Karbwang</w:t>
      </w:r>
      <w:proofErr w:type="spellEnd"/>
      <w:r w:rsidRPr="002B5AEC">
        <w:rPr>
          <w:sz w:val="18"/>
          <w:szCs w:val="18"/>
        </w:rPr>
        <w:t xml:space="preserve">, </w:t>
      </w:r>
      <w:r w:rsidR="00D115ED" w:rsidRPr="002B5AEC">
        <w:rPr>
          <w:sz w:val="18"/>
          <w:szCs w:val="18"/>
        </w:rPr>
        <w:t>J.</w:t>
      </w:r>
      <w:r w:rsidRPr="002B5AEC">
        <w:rPr>
          <w:sz w:val="18"/>
          <w:szCs w:val="18"/>
        </w:rPr>
        <w:t>,</w:t>
      </w:r>
      <w:r w:rsidR="00D115ED" w:rsidRPr="002B5AEC">
        <w:rPr>
          <w:sz w:val="18"/>
          <w:szCs w:val="18"/>
        </w:rPr>
        <w:t xml:space="preserve"> </w:t>
      </w:r>
      <w:r w:rsidRPr="002B5AEC">
        <w:rPr>
          <w:sz w:val="18"/>
          <w:szCs w:val="18"/>
        </w:rPr>
        <w:t>Na-</w:t>
      </w:r>
      <w:proofErr w:type="spellStart"/>
      <w:r w:rsidRPr="002B5AEC">
        <w:rPr>
          <w:sz w:val="18"/>
          <w:szCs w:val="18"/>
        </w:rPr>
        <w:t>bangchang</w:t>
      </w:r>
      <w:proofErr w:type="spellEnd"/>
      <w:r w:rsidRPr="002B5AEC">
        <w:rPr>
          <w:sz w:val="18"/>
          <w:szCs w:val="18"/>
        </w:rPr>
        <w:t xml:space="preserve">, </w:t>
      </w:r>
      <w:r w:rsidR="00D115ED" w:rsidRPr="002B5AEC">
        <w:rPr>
          <w:sz w:val="18"/>
          <w:szCs w:val="18"/>
        </w:rPr>
        <w:t>K.</w:t>
      </w:r>
      <w:r w:rsidRPr="002B5AEC">
        <w:rPr>
          <w:sz w:val="18"/>
          <w:szCs w:val="18"/>
        </w:rPr>
        <w:t>,</w:t>
      </w:r>
      <w:r w:rsidR="00D115ED" w:rsidRPr="002B5AEC">
        <w:rPr>
          <w:sz w:val="18"/>
          <w:szCs w:val="18"/>
        </w:rPr>
        <w:t xml:space="preserve"> </w:t>
      </w:r>
      <w:proofErr w:type="spellStart"/>
      <w:r w:rsidRPr="002B5AEC">
        <w:rPr>
          <w:sz w:val="18"/>
          <w:szCs w:val="18"/>
        </w:rPr>
        <w:t>Molunto</w:t>
      </w:r>
      <w:proofErr w:type="spellEnd"/>
      <w:r w:rsidRPr="002B5AEC">
        <w:rPr>
          <w:sz w:val="18"/>
          <w:szCs w:val="18"/>
        </w:rPr>
        <w:t xml:space="preserve">, </w:t>
      </w:r>
      <w:r w:rsidR="00D115ED" w:rsidRPr="002B5AEC">
        <w:rPr>
          <w:sz w:val="18"/>
          <w:szCs w:val="18"/>
        </w:rPr>
        <w:t>P.</w:t>
      </w:r>
      <w:r w:rsidRPr="002B5AEC">
        <w:rPr>
          <w:sz w:val="18"/>
          <w:szCs w:val="18"/>
        </w:rPr>
        <w:t>,</w:t>
      </w:r>
      <w:r w:rsidR="00D115ED" w:rsidRPr="002B5AEC">
        <w:rPr>
          <w:sz w:val="18"/>
          <w:szCs w:val="18"/>
        </w:rPr>
        <w:t xml:space="preserve"> </w:t>
      </w:r>
      <w:proofErr w:type="spellStart"/>
      <w:r w:rsidRPr="002B5AEC">
        <w:rPr>
          <w:sz w:val="18"/>
          <w:szCs w:val="18"/>
        </w:rPr>
        <w:t>Banmairuroi</w:t>
      </w:r>
      <w:proofErr w:type="spellEnd"/>
      <w:r w:rsidRPr="002B5AEC">
        <w:rPr>
          <w:sz w:val="18"/>
          <w:szCs w:val="18"/>
        </w:rPr>
        <w:t xml:space="preserve">, </w:t>
      </w:r>
      <w:r w:rsidR="00D115ED" w:rsidRPr="002B5AEC">
        <w:rPr>
          <w:sz w:val="18"/>
          <w:szCs w:val="18"/>
        </w:rPr>
        <w:t>V.</w:t>
      </w:r>
      <w:r w:rsidR="00FE52AE" w:rsidRPr="002B5AEC">
        <w:rPr>
          <w:sz w:val="18"/>
          <w:szCs w:val="18"/>
        </w:rPr>
        <w:t xml:space="preserve"> &amp; </w:t>
      </w:r>
      <w:proofErr w:type="spellStart"/>
      <w:r w:rsidRPr="002B5AEC">
        <w:rPr>
          <w:sz w:val="18"/>
          <w:szCs w:val="18"/>
        </w:rPr>
        <w:t>Congpuong</w:t>
      </w:r>
      <w:proofErr w:type="spellEnd"/>
      <w:r w:rsidRPr="002B5AEC">
        <w:rPr>
          <w:sz w:val="18"/>
          <w:szCs w:val="18"/>
        </w:rPr>
        <w:t xml:space="preserve">, </w:t>
      </w:r>
      <w:r w:rsidR="00D115ED" w:rsidRPr="002B5AEC">
        <w:rPr>
          <w:sz w:val="18"/>
          <w:szCs w:val="18"/>
        </w:rPr>
        <w:t>K.</w:t>
      </w:r>
      <w:r w:rsidRPr="002B5AEC">
        <w:rPr>
          <w:sz w:val="18"/>
          <w:szCs w:val="18"/>
        </w:rPr>
        <w:t>,</w:t>
      </w:r>
      <w:r w:rsidR="00D115ED" w:rsidRPr="002B5AEC">
        <w:rPr>
          <w:sz w:val="18"/>
          <w:szCs w:val="18"/>
        </w:rPr>
        <w:t xml:space="preserve"> </w:t>
      </w:r>
      <w:r w:rsidR="0094625F" w:rsidRPr="002B5AEC">
        <w:rPr>
          <w:sz w:val="18"/>
          <w:szCs w:val="18"/>
        </w:rPr>
        <w:t>(</w:t>
      </w:r>
      <w:r w:rsidRPr="002B5AEC">
        <w:rPr>
          <w:sz w:val="18"/>
          <w:szCs w:val="18"/>
        </w:rPr>
        <w:t>1997</w:t>
      </w:r>
      <w:r w:rsidR="0094625F" w:rsidRPr="002B5AEC">
        <w:rPr>
          <w:sz w:val="18"/>
          <w:szCs w:val="18"/>
        </w:rPr>
        <w:t>)</w:t>
      </w:r>
      <w:r w:rsidR="002B5AEC">
        <w:rPr>
          <w:sz w:val="18"/>
          <w:szCs w:val="18"/>
        </w:rPr>
        <w:t xml:space="preserve">. </w:t>
      </w:r>
      <w:r w:rsidR="00D115ED" w:rsidRPr="002B5AEC">
        <w:rPr>
          <w:sz w:val="18"/>
          <w:szCs w:val="18"/>
        </w:rPr>
        <w:t>Determination</w:t>
      </w:r>
      <w:r w:rsidR="00344431" w:rsidRPr="002B5AEC">
        <w:rPr>
          <w:sz w:val="18"/>
          <w:szCs w:val="18"/>
        </w:rPr>
        <w:t xml:space="preserve"> of </w:t>
      </w:r>
      <w:proofErr w:type="spellStart"/>
      <w:r w:rsidR="00344431" w:rsidRPr="002B5AEC">
        <w:rPr>
          <w:sz w:val="18"/>
          <w:szCs w:val="18"/>
        </w:rPr>
        <w:t>artemether</w:t>
      </w:r>
      <w:proofErr w:type="spellEnd"/>
      <w:r w:rsidR="00344431" w:rsidRPr="002B5AEC">
        <w:rPr>
          <w:sz w:val="18"/>
          <w:szCs w:val="18"/>
        </w:rPr>
        <w:t xml:space="preserve"> and </w:t>
      </w:r>
      <w:r w:rsidR="00D115ED" w:rsidRPr="002B5AEC">
        <w:rPr>
          <w:sz w:val="18"/>
          <w:szCs w:val="18"/>
        </w:rPr>
        <w:t xml:space="preserve">its major metabolite, </w:t>
      </w:r>
      <w:proofErr w:type="spellStart"/>
      <w:r w:rsidR="00D115ED" w:rsidRPr="002B5AEC">
        <w:rPr>
          <w:sz w:val="18"/>
          <w:szCs w:val="18"/>
        </w:rPr>
        <w:t>dihydroartemisinin</w:t>
      </w:r>
      <w:proofErr w:type="spellEnd"/>
      <w:r w:rsidR="00D115ED" w:rsidRPr="002B5AEC">
        <w:rPr>
          <w:sz w:val="18"/>
          <w:szCs w:val="18"/>
        </w:rPr>
        <w:t>, in plasma using high-performance</w:t>
      </w:r>
      <w:r w:rsidR="00344431" w:rsidRPr="002B5AEC">
        <w:rPr>
          <w:sz w:val="18"/>
          <w:szCs w:val="18"/>
        </w:rPr>
        <w:t xml:space="preserve"> liquid chromatography with </w:t>
      </w:r>
      <w:r w:rsidR="00D115ED" w:rsidRPr="002B5AEC">
        <w:rPr>
          <w:sz w:val="18"/>
          <w:szCs w:val="18"/>
        </w:rPr>
        <w:t xml:space="preserve">electrochemical detection, </w:t>
      </w:r>
      <w:r w:rsidR="00D115ED" w:rsidRPr="002B5AEC">
        <w:rPr>
          <w:i/>
          <w:sz w:val="18"/>
          <w:szCs w:val="18"/>
        </w:rPr>
        <w:t xml:space="preserve">J. </w:t>
      </w:r>
      <w:proofErr w:type="spellStart"/>
      <w:r w:rsidR="00D115ED" w:rsidRPr="002B5AEC">
        <w:rPr>
          <w:i/>
          <w:sz w:val="18"/>
          <w:szCs w:val="18"/>
        </w:rPr>
        <w:t>Chromatogr</w:t>
      </w:r>
      <w:proofErr w:type="spellEnd"/>
      <w:r w:rsidR="00D115ED" w:rsidRPr="002B5AEC">
        <w:rPr>
          <w:i/>
          <w:sz w:val="18"/>
          <w:szCs w:val="18"/>
        </w:rPr>
        <w:t>. B</w:t>
      </w:r>
      <w:r w:rsidR="00D115ED" w:rsidRPr="002B5AEC">
        <w:rPr>
          <w:sz w:val="18"/>
          <w:szCs w:val="18"/>
        </w:rPr>
        <w:t xml:space="preserve">, </w:t>
      </w:r>
      <w:r w:rsidR="00E6235E" w:rsidRPr="002B5AEC">
        <w:rPr>
          <w:sz w:val="18"/>
          <w:szCs w:val="18"/>
        </w:rPr>
        <w:t xml:space="preserve">690: </w:t>
      </w:r>
      <w:r w:rsidR="00D115ED" w:rsidRPr="002B5AEC">
        <w:rPr>
          <w:sz w:val="18"/>
          <w:szCs w:val="18"/>
        </w:rPr>
        <w:t>259</w:t>
      </w:r>
      <w:r w:rsidR="002B5AEC">
        <w:rPr>
          <w:sz w:val="18"/>
          <w:szCs w:val="18"/>
        </w:rPr>
        <w:t xml:space="preserve"> </w:t>
      </w:r>
      <w:r w:rsidR="00D115ED" w:rsidRPr="002B5AEC">
        <w:rPr>
          <w:sz w:val="18"/>
          <w:szCs w:val="18"/>
        </w:rPr>
        <w:t>–</w:t>
      </w:r>
      <w:r w:rsidR="002B5AEC">
        <w:rPr>
          <w:sz w:val="18"/>
          <w:szCs w:val="18"/>
        </w:rPr>
        <w:t xml:space="preserve"> </w:t>
      </w:r>
      <w:r w:rsidR="00D115ED" w:rsidRPr="002B5AEC">
        <w:rPr>
          <w:sz w:val="18"/>
          <w:szCs w:val="18"/>
        </w:rPr>
        <w:t>265.</w:t>
      </w:r>
    </w:p>
    <w:p w:rsidR="002B5AEC" w:rsidRPr="002B5AEC" w:rsidRDefault="00D115ED" w:rsidP="002B5AEC">
      <w:pPr>
        <w:pStyle w:val="Default"/>
        <w:numPr>
          <w:ilvl w:val="0"/>
          <w:numId w:val="5"/>
        </w:numPr>
        <w:ind w:hanging="720"/>
        <w:jc w:val="both"/>
        <w:rPr>
          <w:color w:val="auto"/>
          <w:sz w:val="18"/>
          <w:szCs w:val="18"/>
        </w:rPr>
      </w:pPr>
      <w:proofErr w:type="spellStart"/>
      <w:r w:rsidRPr="002B5AEC">
        <w:rPr>
          <w:sz w:val="18"/>
          <w:szCs w:val="18"/>
        </w:rPr>
        <w:t>Sandrenan</w:t>
      </w:r>
      <w:proofErr w:type="spellEnd"/>
      <w:r w:rsidRPr="002B5AEC">
        <w:rPr>
          <w:sz w:val="18"/>
          <w:szCs w:val="18"/>
        </w:rPr>
        <w:t>, A.</w:t>
      </w:r>
      <w:r w:rsidR="00D67F04" w:rsidRPr="002B5AEC">
        <w:rPr>
          <w:sz w:val="18"/>
          <w:szCs w:val="18"/>
        </w:rPr>
        <w:t>,</w:t>
      </w:r>
      <w:r w:rsidRPr="002B5AEC">
        <w:rPr>
          <w:sz w:val="18"/>
          <w:szCs w:val="18"/>
        </w:rPr>
        <w:t xml:space="preserve"> </w:t>
      </w:r>
      <w:proofErr w:type="spellStart"/>
      <w:r w:rsidRPr="002B5AEC">
        <w:rPr>
          <w:sz w:val="18"/>
          <w:szCs w:val="18"/>
        </w:rPr>
        <w:t>Sioufi</w:t>
      </w:r>
      <w:proofErr w:type="spellEnd"/>
      <w:r w:rsidRPr="002B5AEC">
        <w:rPr>
          <w:sz w:val="18"/>
          <w:szCs w:val="18"/>
        </w:rPr>
        <w:t>, J.</w:t>
      </w:r>
      <w:r w:rsidR="00D67F04" w:rsidRPr="002B5AEC">
        <w:rPr>
          <w:sz w:val="18"/>
          <w:szCs w:val="18"/>
        </w:rPr>
        <w:t>,</w:t>
      </w:r>
      <w:r w:rsidRPr="002B5AEC">
        <w:rPr>
          <w:sz w:val="18"/>
          <w:szCs w:val="18"/>
        </w:rPr>
        <w:t xml:space="preserve"> </w:t>
      </w:r>
      <w:proofErr w:type="spellStart"/>
      <w:r w:rsidRPr="002B5AEC">
        <w:rPr>
          <w:sz w:val="18"/>
          <w:szCs w:val="18"/>
        </w:rPr>
        <w:t>Godbillon</w:t>
      </w:r>
      <w:proofErr w:type="spellEnd"/>
      <w:r w:rsidRPr="002B5AEC">
        <w:rPr>
          <w:sz w:val="18"/>
          <w:szCs w:val="18"/>
        </w:rPr>
        <w:t>, C.</w:t>
      </w:r>
      <w:r w:rsidR="00D67F04" w:rsidRPr="002B5AEC">
        <w:rPr>
          <w:sz w:val="18"/>
          <w:szCs w:val="18"/>
        </w:rPr>
        <w:t>,</w:t>
      </w:r>
      <w:r w:rsidRPr="002B5AEC">
        <w:rPr>
          <w:sz w:val="18"/>
          <w:szCs w:val="18"/>
        </w:rPr>
        <w:t xml:space="preserve"> Netter, M.</w:t>
      </w:r>
      <w:r w:rsidR="00D67F04" w:rsidRPr="002B5AEC">
        <w:rPr>
          <w:sz w:val="18"/>
          <w:szCs w:val="18"/>
        </w:rPr>
        <w:t>,</w:t>
      </w:r>
      <w:r w:rsidRPr="002B5AEC">
        <w:rPr>
          <w:sz w:val="18"/>
          <w:szCs w:val="18"/>
        </w:rPr>
        <w:t xml:space="preserve"> </w:t>
      </w:r>
      <w:proofErr w:type="spellStart"/>
      <w:r w:rsidRPr="002B5AEC">
        <w:rPr>
          <w:sz w:val="18"/>
          <w:szCs w:val="18"/>
        </w:rPr>
        <w:t>Donker</w:t>
      </w:r>
      <w:proofErr w:type="spellEnd"/>
      <w:r w:rsidRPr="002B5AEC">
        <w:rPr>
          <w:sz w:val="18"/>
          <w:szCs w:val="18"/>
        </w:rPr>
        <w:t>, V.</w:t>
      </w:r>
      <w:r w:rsidR="00FE52AE" w:rsidRPr="002B5AEC">
        <w:rPr>
          <w:sz w:val="18"/>
          <w:szCs w:val="18"/>
        </w:rPr>
        <w:t xml:space="preserve"> &amp; </w:t>
      </w:r>
      <w:proofErr w:type="spellStart"/>
      <w:r w:rsidRPr="002B5AEC">
        <w:rPr>
          <w:sz w:val="18"/>
          <w:szCs w:val="18"/>
        </w:rPr>
        <w:t>Valkenburg</w:t>
      </w:r>
      <w:proofErr w:type="spellEnd"/>
      <w:r w:rsidRPr="002B5AEC">
        <w:rPr>
          <w:sz w:val="18"/>
          <w:szCs w:val="18"/>
        </w:rPr>
        <w:t>.,</w:t>
      </w:r>
      <w:r w:rsidR="00D67F04" w:rsidRPr="002B5AEC">
        <w:rPr>
          <w:sz w:val="18"/>
          <w:szCs w:val="18"/>
        </w:rPr>
        <w:t xml:space="preserve"> </w:t>
      </w:r>
      <w:r w:rsidR="0094625F" w:rsidRPr="002B5AEC">
        <w:rPr>
          <w:sz w:val="18"/>
          <w:szCs w:val="18"/>
        </w:rPr>
        <w:t>(</w:t>
      </w:r>
      <w:r w:rsidR="00D67F04" w:rsidRPr="002B5AEC">
        <w:rPr>
          <w:sz w:val="18"/>
          <w:szCs w:val="18"/>
        </w:rPr>
        <w:t>1997</w:t>
      </w:r>
      <w:r w:rsidR="0094625F" w:rsidRPr="002B5AEC">
        <w:rPr>
          <w:sz w:val="18"/>
          <w:szCs w:val="18"/>
        </w:rPr>
        <w:t>)</w:t>
      </w:r>
      <w:r w:rsidR="002B5AEC">
        <w:rPr>
          <w:sz w:val="18"/>
          <w:szCs w:val="18"/>
        </w:rPr>
        <w:t xml:space="preserve">. </w:t>
      </w:r>
      <w:r w:rsidRPr="002B5AEC">
        <w:rPr>
          <w:sz w:val="18"/>
          <w:szCs w:val="18"/>
        </w:rPr>
        <w:t>Determination</w:t>
      </w:r>
      <w:r w:rsidR="00344431" w:rsidRPr="002B5AEC">
        <w:rPr>
          <w:sz w:val="18"/>
          <w:szCs w:val="18"/>
        </w:rPr>
        <w:t xml:space="preserve"> of </w:t>
      </w:r>
      <w:proofErr w:type="spellStart"/>
      <w:r w:rsidR="00344431" w:rsidRPr="002B5AEC">
        <w:rPr>
          <w:sz w:val="18"/>
          <w:szCs w:val="18"/>
        </w:rPr>
        <w:t>artemether</w:t>
      </w:r>
      <w:proofErr w:type="spellEnd"/>
      <w:r w:rsidR="00344431" w:rsidRPr="002B5AEC">
        <w:rPr>
          <w:sz w:val="18"/>
          <w:szCs w:val="18"/>
        </w:rPr>
        <w:t xml:space="preserve"> and </w:t>
      </w:r>
      <w:r w:rsidRPr="002B5AEC">
        <w:rPr>
          <w:sz w:val="18"/>
          <w:szCs w:val="18"/>
        </w:rPr>
        <w:t xml:space="preserve">its metabolite, </w:t>
      </w:r>
      <w:proofErr w:type="spellStart"/>
      <w:r w:rsidRPr="002B5AEC">
        <w:rPr>
          <w:sz w:val="18"/>
          <w:szCs w:val="18"/>
        </w:rPr>
        <w:t>dihydroartemisinin</w:t>
      </w:r>
      <w:proofErr w:type="spellEnd"/>
      <w:r w:rsidRPr="002B5AEC">
        <w:rPr>
          <w:sz w:val="18"/>
          <w:szCs w:val="18"/>
        </w:rPr>
        <w:t>, in plasma by high-performance liquid</w:t>
      </w:r>
      <w:r w:rsidR="00344431" w:rsidRPr="002B5AEC">
        <w:rPr>
          <w:sz w:val="18"/>
          <w:szCs w:val="18"/>
        </w:rPr>
        <w:t xml:space="preserve"> </w:t>
      </w:r>
      <w:r w:rsidRPr="002B5AEC">
        <w:rPr>
          <w:sz w:val="18"/>
          <w:szCs w:val="18"/>
        </w:rPr>
        <w:t xml:space="preserve">chromatography and electrochemical detection in the reductive mode, </w:t>
      </w:r>
      <w:r w:rsidRPr="002B5AEC">
        <w:rPr>
          <w:i/>
          <w:sz w:val="18"/>
          <w:szCs w:val="18"/>
        </w:rPr>
        <w:t xml:space="preserve">J. </w:t>
      </w:r>
      <w:proofErr w:type="spellStart"/>
      <w:r w:rsidRPr="002B5AEC">
        <w:rPr>
          <w:i/>
          <w:sz w:val="18"/>
          <w:szCs w:val="18"/>
        </w:rPr>
        <w:t>Chromatogr</w:t>
      </w:r>
      <w:proofErr w:type="spellEnd"/>
      <w:r w:rsidRPr="002B5AEC">
        <w:rPr>
          <w:i/>
          <w:sz w:val="18"/>
          <w:szCs w:val="18"/>
        </w:rPr>
        <w:t>. B</w:t>
      </w:r>
      <w:r w:rsidRPr="002B5AEC">
        <w:rPr>
          <w:sz w:val="18"/>
          <w:szCs w:val="18"/>
        </w:rPr>
        <w:t xml:space="preserve">, </w:t>
      </w:r>
      <w:r w:rsidR="00E6235E" w:rsidRPr="002B5AEC">
        <w:rPr>
          <w:sz w:val="18"/>
          <w:szCs w:val="18"/>
        </w:rPr>
        <w:t xml:space="preserve">691: </w:t>
      </w:r>
      <w:r w:rsidRPr="002B5AEC">
        <w:rPr>
          <w:sz w:val="18"/>
          <w:szCs w:val="18"/>
        </w:rPr>
        <w:t>145</w:t>
      </w:r>
      <w:r w:rsidR="002B5AEC">
        <w:rPr>
          <w:sz w:val="18"/>
          <w:szCs w:val="18"/>
        </w:rPr>
        <w:t xml:space="preserve"> </w:t>
      </w:r>
      <w:r w:rsidRPr="002B5AEC">
        <w:rPr>
          <w:sz w:val="18"/>
          <w:szCs w:val="18"/>
        </w:rPr>
        <w:t>–</w:t>
      </w:r>
      <w:r w:rsidR="002B5AEC">
        <w:rPr>
          <w:sz w:val="18"/>
          <w:szCs w:val="18"/>
        </w:rPr>
        <w:t xml:space="preserve"> </w:t>
      </w:r>
      <w:r w:rsidRPr="002B5AEC">
        <w:rPr>
          <w:sz w:val="18"/>
          <w:szCs w:val="18"/>
        </w:rPr>
        <w:t>153.</w:t>
      </w:r>
    </w:p>
    <w:p w:rsidR="002B5AEC" w:rsidRPr="002B5AEC" w:rsidRDefault="00E6235E" w:rsidP="002B5AEC">
      <w:pPr>
        <w:pStyle w:val="Default"/>
        <w:numPr>
          <w:ilvl w:val="0"/>
          <w:numId w:val="5"/>
        </w:numPr>
        <w:ind w:hanging="720"/>
        <w:jc w:val="both"/>
        <w:rPr>
          <w:color w:val="auto"/>
          <w:sz w:val="18"/>
          <w:szCs w:val="18"/>
        </w:rPr>
      </w:pPr>
      <w:proofErr w:type="spellStart"/>
      <w:r w:rsidRPr="002B5AEC">
        <w:rPr>
          <w:sz w:val="18"/>
          <w:szCs w:val="18"/>
        </w:rPr>
        <w:t>Souppart</w:t>
      </w:r>
      <w:proofErr w:type="spellEnd"/>
      <w:r w:rsidRPr="002B5AEC">
        <w:rPr>
          <w:sz w:val="18"/>
          <w:szCs w:val="18"/>
        </w:rPr>
        <w:t xml:space="preserve">, </w:t>
      </w:r>
      <w:r w:rsidR="00D115ED" w:rsidRPr="002B5AEC">
        <w:rPr>
          <w:sz w:val="18"/>
          <w:szCs w:val="18"/>
        </w:rPr>
        <w:t>C.</w:t>
      </w:r>
      <w:r w:rsidRPr="002B5AEC">
        <w:rPr>
          <w:sz w:val="18"/>
          <w:szCs w:val="18"/>
        </w:rPr>
        <w:t>,</w:t>
      </w:r>
      <w:r w:rsidR="00D115ED" w:rsidRPr="002B5AEC">
        <w:rPr>
          <w:sz w:val="18"/>
          <w:szCs w:val="18"/>
        </w:rPr>
        <w:t xml:space="preserve"> </w:t>
      </w:r>
      <w:proofErr w:type="spellStart"/>
      <w:r w:rsidRPr="002B5AEC">
        <w:rPr>
          <w:sz w:val="18"/>
          <w:szCs w:val="18"/>
        </w:rPr>
        <w:t>Gauducheau</w:t>
      </w:r>
      <w:proofErr w:type="spellEnd"/>
      <w:r w:rsidRPr="002B5AEC">
        <w:rPr>
          <w:sz w:val="18"/>
          <w:szCs w:val="18"/>
        </w:rPr>
        <w:t xml:space="preserve">, </w:t>
      </w:r>
      <w:r w:rsidR="00D115ED" w:rsidRPr="002B5AEC">
        <w:rPr>
          <w:sz w:val="18"/>
          <w:szCs w:val="18"/>
        </w:rPr>
        <w:t>N.</w:t>
      </w:r>
      <w:r w:rsidRPr="002B5AEC">
        <w:rPr>
          <w:sz w:val="18"/>
          <w:szCs w:val="18"/>
        </w:rPr>
        <w:t>,</w:t>
      </w:r>
      <w:r w:rsidR="00D115ED" w:rsidRPr="002B5AEC">
        <w:rPr>
          <w:sz w:val="18"/>
          <w:szCs w:val="18"/>
        </w:rPr>
        <w:t xml:space="preserve"> </w:t>
      </w:r>
      <w:proofErr w:type="spellStart"/>
      <w:r w:rsidRPr="002B5AEC">
        <w:rPr>
          <w:sz w:val="18"/>
          <w:szCs w:val="18"/>
        </w:rPr>
        <w:t>Sandrenan</w:t>
      </w:r>
      <w:proofErr w:type="spellEnd"/>
      <w:r w:rsidRPr="002B5AEC">
        <w:rPr>
          <w:sz w:val="18"/>
          <w:szCs w:val="18"/>
        </w:rPr>
        <w:t xml:space="preserve">, </w:t>
      </w:r>
      <w:r w:rsidR="00D115ED" w:rsidRPr="002B5AEC">
        <w:rPr>
          <w:sz w:val="18"/>
          <w:szCs w:val="18"/>
        </w:rPr>
        <w:t>N.</w:t>
      </w:r>
      <w:r w:rsidR="00FE52AE" w:rsidRPr="002B5AEC">
        <w:rPr>
          <w:sz w:val="18"/>
          <w:szCs w:val="18"/>
        </w:rPr>
        <w:t xml:space="preserve"> &amp; </w:t>
      </w:r>
      <w:r w:rsidRPr="002B5AEC">
        <w:rPr>
          <w:sz w:val="18"/>
          <w:szCs w:val="18"/>
        </w:rPr>
        <w:t xml:space="preserve">Richard, F., </w:t>
      </w:r>
      <w:r w:rsidR="0094625F" w:rsidRPr="002B5AEC">
        <w:rPr>
          <w:sz w:val="18"/>
          <w:szCs w:val="18"/>
        </w:rPr>
        <w:t>(</w:t>
      </w:r>
      <w:r w:rsidRPr="002B5AEC">
        <w:rPr>
          <w:sz w:val="18"/>
          <w:szCs w:val="18"/>
        </w:rPr>
        <w:t>2002</w:t>
      </w:r>
      <w:r w:rsidR="0094625F" w:rsidRPr="002B5AEC">
        <w:rPr>
          <w:sz w:val="18"/>
          <w:szCs w:val="18"/>
        </w:rPr>
        <w:t>)</w:t>
      </w:r>
      <w:r w:rsidR="002B5AEC">
        <w:rPr>
          <w:sz w:val="18"/>
          <w:szCs w:val="18"/>
        </w:rPr>
        <w:t>.</w:t>
      </w:r>
      <w:r w:rsidRPr="002B5AEC">
        <w:rPr>
          <w:sz w:val="18"/>
          <w:szCs w:val="18"/>
        </w:rPr>
        <w:t xml:space="preserve"> </w:t>
      </w:r>
      <w:r w:rsidR="00D115ED" w:rsidRPr="002B5AEC">
        <w:rPr>
          <w:sz w:val="18"/>
          <w:szCs w:val="18"/>
        </w:rPr>
        <w:t>Development and validation of a</w:t>
      </w:r>
      <w:r w:rsidR="00344431" w:rsidRPr="002B5AEC">
        <w:rPr>
          <w:sz w:val="18"/>
          <w:szCs w:val="18"/>
        </w:rPr>
        <w:t xml:space="preserve"> </w:t>
      </w:r>
      <w:r w:rsidR="00D115ED" w:rsidRPr="002B5AEC">
        <w:rPr>
          <w:sz w:val="18"/>
          <w:szCs w:val="18"/>
        </w:rPr>
        <w:t>high-performance liquid chromatography-mass spectrometry assay for the determination of</w:t>
      </w:r>
      <w:r w:rsidR="00344431" w:rsidRPr="002B5AEC">
        <w:rPr>
          <w:sz w:val="18"/>
          <w:szCs w:val="18"/>
        </w:rPr>
        <w:t xml:space="preserve"> </w:t>
      </w:r>
      <w:proofErr w:type="spellStart"/>
      <w:r w:rsidR="00344431" w:rsidRPr="002B5AEC">
        <w:rPr>
          <w:sz w:val="18"/>
          <w:szCs w:val="18"/>
        </w:rPr>
        <w:t>artemether</w:t>
      </w:r>
      <w:proofErr w:type="spellEnd"/>
      <w:r w:rsidR="00344431" w:rsidRPr="002B5AEC">
        <w:rPr>
          <w:sz w:val="18"/>
          <w:szCs w:val="18"/>
        </w:rPr>
        <w:t xml:space="preserve"> and its metabolite </w:t>
      </w:r>
      <w:proofErr w:type="spellStart"/>
      <w:r w:rsidR="00D115ED" w:rsidRPr="002B5AEC">
        <w:rPr>
          <w:sz w:val="18"/>
          <w:szCs w:val="18"/>
        </w:rPr>
        <w:t>dihydroartemisinin</w:t>
      </w:r>
      <w:proofErr w:type="spellEnd"/>
      <w:r w:rsidR="00D115ED" w:rsidRPr="002B5AEC">
        <w:rPr>
          <w:sz w:val="18"/>
          <w:szCs w:val="18"/>
        </w:rPr>
        <w:t xml:space="preserve"> in human plasma, </w:t>
      </w:r>
      <w:r w:rsidR="00D115ED" w:rsidRPr="002B5AEC">
        <w:rPr>
          <w:i/>
          <w:sz w:val="18"/>
          <w:szCs w:val="18"/>
        </w:rPr>
        <w:t xml:space="preserve">J. </w:t>
      </w:r>
      <w:proofErr w:type="spellStart"/>
      <w:r w:rsidR="00D115ED" w:rsidRPr="002B5AEC">
        <w:rPr>
          <w:i/>
          <w:sz w:val="18"/>
          <w:szCs w:val="18"/>
        </w:rPr>
        <w:t>Chromatogr</w:t>
      </w:r>
      <w:proofErr w:type="spellEnd"/>
      <w:r w:rsidR="00D115ED" w:rsidRPr="002B5AEC">
        <w:rPr>
          <w:i/>
          <w:sz w:val="18"/>
          <w:szCs w:val="18"/>
        </w:rPr>
        <w:t>. B</w:t>
      </w:r>
      <w:r w:rsidR="00D115ED" w:rsidRPr="002B5AEC">
        <w:rPr>
          <w:sz w:val="18"/>
          <w:szCs w:val="18"/>
        </w:rPr>
        <w:t xml:space="preserve">, </w:t>
      </w:r>
      <w:r w:rsidR="00344431" w:rsidRPr="002B5AEC">
        <w:rPr>
          <w:sz w:val="18"/>
          <w:szCs w:val="18"/>
        </w:rPr>
        <w:t>774</w:t>
      </w:r>
      <w:r w:rsidR="00D115ED" w:rsidRPr="002B5AEC">
        <w:rPr>
          <w:sz w:val="18"/>
          <w:szCs w:val="18"/>
        </w:rPr>
        <w:t>: 195</w:t>
      </w:r>
      <w:r w:rsidR="002B5AEC">
        <w:rPr>
          <w:sz w:val="18"/>
          <w:szCs w:val="18"/>
        </w:rPr>
        <w:t xml:space="preserve"> </w:t>
      </w:r>
      <w:r w:rsidR="00D115ED" w:rsidRPr="002B5AEC">
        <w:rPr>
          <w:sz w:val="18"/>
          <w:szCs w:val="18"/>
        </w:rPr>
        <w:t>–</w:t>
      </w:r>
      <w:r w:rsidR="002B5AEC">
        <w:rPr>
          <w:sz w:val="18"/>
          <w:szCs w:val="18"/>
        </w:rPr>
        <w:t xml:space="preserve"> </w:t>
      </w:r>
      <w:r w:rsidR="00D115ED" w:rsidRPr="002B5AEC">
        <w:rPr>
          <w:sz w:val="18"/>
          <w:szCs w:val="18"/>
        </w:rPr>
        <w:t>203.</w:t>
      </w:r>
    </w:p>
    <w:p w:rsidR="002B5AEC" w:rsidRPr="002B5AEC" w:rsidRDefault="00E6235E" w:rsidP="002B5AEC">
      <w:pPr>
        <w:pStyle w:val="Default"/>
        <w:numPr>
          <w:ilvl w:val="0"/>
          <w:numId w:val="5"/>
        </w:numPr>
        <w:ind w:hanging="720"/>
        <w:jc w:val="both"/>
        <w:rPr>
          <w:color w:val="auto"/>
          <w:sz w:val="18"/>
          <w:szCs w:val="18"/>
        </w:rPr>
      </w:pPr>
      <w:r w:rsidRPr="002B5AEC">
        <w:rPr>
          <w:sz w:val="18"/>
          <w:szCs w:val="18"/>
        </w:rPr>
        <w:t xml:space="preserve">Green, </w:t>
      </w:r>
      <w:r w:rsidR="00D115ED" w:rsidRPr="002B5AEC">
        <w:rPr>
          <w:sz w:val="18"/>
          <w:szCs w:val="18"/>
        </w:rPr>
        <w:t>M.D.</w:t>
      </w:r>
      <w:r w:rsidRPr="002B5AEC">
        <w:rPr>
          <w:sz w:val="18"/>
          <w:szCs w:val="18"/>
        </w:rPr>
        <w:t>,</w:t>
      </w:r>
      <w:r w:rsidR="00D115ED" w:rsidRPr="002B5AEC">
        <w:rPr>
          <w:sz w:val="18"/>
          <w:szCs w:val="18"/>
        </w:rPr>
        <w:t xml:space="preserve"> </w:t>
      </w:r>
      <w:r w:rsidRPr="002B5AEC">
        <w:rPr>
          <w:sz w:val="18"/>
          <w:szCs w:val="18"/>
        </w:rPr>
        <w:t xml:space="preserve">Mount, </w:t>
      </w:r>
      <w:r w:rsidR="00D115ED" w:rsidRPr="002B5AEC">
        <w:rPr>
          <w:sz w:val="18"/>
          <w:szCs w:val="18"/>
        </w:rPr>
        <w:t>D.L.</w:t>
      </w:r>
      <w:r w:rsidR="00FE52AE" w:rsidRPr="002B5AEC">
        <w:rPr>
          <w:sz w:val="18"/>
          <w:szCs w:val="18"/>
        </w:rPr>
        <w:t xml:space="preserve"> &amp; </w:t>
      </w:r>
      <w:proofErr w:type="spellStart"/>
      <w:r w:rsidRPr="002B5AEC">
        <w:rPr>
          <w:sz w:val="18"/>
          <w:szCs w:val="18"/>
        </w:rPr>
        <w:t>Wirtz</w:t>
      </w:r>
      <w:proofErr w:type="spellEnd"/>
      <w:r w:rsidRPr="002B5AEC">
        <w:rPr>
          <w:sz w:val="18"/>
          <w:szCs w:val="18"/>
        </w:rPr>
        <w:t xml:space="preserve">, </w:t>
      </w:r>
      <w:r w:rsidR="00D115ED" w:rsidRPr="002B5AEC">
        <w:rPr>
          <w:sz w:val="18"/>
          <w:szCs w:val="18"/>
        </w:rPr>
        <w:t>R.A.</w:t>
      </w:r>
      <w:r w:rsidRPr="002B5AEC">
        <w:rPr>
          <w:sz w:val="18"/>
          <w:szCs w:val="18"/>
        </w:rPr>
        <w:t xml:space="preserve">, </w:t>
      </w:r>
      <w:r w:rsidR="0094625F" w:rsidRPr="002B5AEC">
        <w:rPr>
          <w:sz w:val="18"/>
          <w:szCs w:val="18"/>
        </w:rPr>
        <w:t>(</w:t>
      </w:r>
      <w:r w:rsidRPr="002B5AEC">
        <w:rPr>
          <w:sz w:val="18"/>
          <w:szCs w:val="18"/>
        </w:rPr>
        <w:t>2001</w:t>
      </w:r>
      <w:r w:rsidR="0094625F" w:rsidRPr="002B5AEC">
        <w:rPr>
          <w:sz w:val="18"/>
          <w:szCs w:val="18"/>
        </w:rPr>
        <w:t>)</w:t>
      </w:r>
      <w:r w:rsidR="002B5AEC">
        <w:rPr>
          <w:sz w:val="18"/>
          <w:szCs w:val="18"/>
        </w:rPr>
        <w:t>.</w:t>
      </w:r>
      <w:r w:rsidRPr="002B5AEC">
        <w:rPr>
          <w:sz w:val="18"/>
          <w:szCs w:val="18"/>
        </w:rPr>
        <w:t xml:space="preserve"> </w:t>
      </w:r>
      <w:r w:rsidR="00D115ED" w:rsidRPr="002B5AEC">
        <w:rPr>
          <w:sz w:val="18"/>
          <w:szCs w:val="18"/>
        </w:rPr>
        <w:t xml:space="preserve">Authentication of </w:t>
      </w:r>
      <w:proofErr w:type="spellStart"/>
      <w:r w:rsidR="00D115ED" w:rsidRPr="002B5AEC">
        <w:rPr>
          <w:sz w:val="18"/>
          <w:szCs w:val="18"/>
        </w:rPr>
        <w:t>artemether</w:t>
      </w:r>
      <w:proofErr w:type="spellEnd"/>
      <w:r w:rsidR="00D115ED" w:rsidRPr="002B5AEC">
        <w:rPr>
          <w:sz w:val="18"/>
          <w:szCs w:val="18"/>
        </w:rPr>
        <w:t xml:space="preserve">, </w:t>
      </w:r>
      <w:proofErr w:type="spellStart"/>
      <w:r w:rsidR="00D115ED" w:rsidRPr="002B5AEC">
        <w:rPr>
          <w:sz w:val="18"/>
          <w:szCs w:val="18"/>
        </w:rPr>
        <w:t>artesunate</w:t>
      </w:r>
      <w:proofErr w:type="spellEnd"/>
      <w:r w:rsidR="00D115ED" w:rsidRPr="002B5AEC">
        <w:rPr>
          <w:sz w:val="18"/>
          <w:szCs w:val="18"/>
        </w:rPr>
        <w:t xml:space="preserve"> and</w:t>
      </w:r>
      <w:r w:rsidR="00344431" w:rsidRPr="002B5AEC">
        <w:rPr>
          <w:sz w:val="18"/>
          <w:szCs w:val="18"/>
        </w:rPr>
        <w:t xml:space="preserve"> </w:t>
      </w:r>
      <w:proofErr w:type="spellStart"/>
      <w:r w:rsidR="00344431" w:rsidRPr="002B5AEC">
        <w:rPr>
          <w:sz w:val="18"/>
          <w:szCs w:val="18"/>
        </w:rPr>
        <w:t>dihydroartemisinin</w:t>
      </w:r>
      <w:proofErr w:type="spellEnd"/>
      <w:r w:rsidR="00344431" w:rsidRPr="002B5AEC">
        <w:rPr>
          <w:sz w:val="18"/>
          <w:szCs w:val="18"/>
        </w:rPr>
        <w:t xml:space="preserve"> </w:t>
      </w:r>
      <w:r w:rsidR="00D115ED" w:rsidRPr="002B5AEC">
        <w:rPr>
          <w:sz w:val="18"/>
          <w:szCs w:val="18"/>
        </w:rPr>
        <w:t xml:space="preserve">antimalarial tablets using a simple colorimetric method, </w:t>
      </w:r>
      <w:r w:rsidR="00D115ED" w:rsidRPr="002B5AEC">
        <w:rPr>
          <w:i/>
          <w:sz w:val="18"/>
          <w:szCs w:val="18"/>
        </w:rPr>
        <w:t>Trop. Med. Int.</w:t>
      </w:r>
      <w:r w:rsidR="00344431" w:rsidRPr="002B5AEC">
        <w:rPr>
          <w:i/>
          <w:sz w:val="18"/>
          <w:szCs w:val="18"/>
        </w:rPr>
        <w:t xml:space="preserve"> </w:t>
      </w:r>
      <w:r w:rsidR="00D115ED" w:rsidRPr="002B5AEC">
        <w:rPr>
          <w:i/>
          <w:sz w:val="18"/>
          <w:szCs w:val="18"/>
        </w:rPr>
        <w:t>Health</w:t>
      </w:r>
      <w:r w:rsidR="00D115ED" w:rsidRPr="002B5AEC">
        <w:rPr>
          <w:sz w:val="18"/>
          <w:szCs w:val="18"/>
        </w:rPr>
        <w:t>, 6 :</w:t>
      </w:r>
      <w:r w:rsidR="002B5AEC">
        <w:rPr>
          <w:sz w:val="18"/>
          <w:szCs w:val="18"/>
        </w:rPr>
        <w:t xml:space="preserve"> </w:t>
      </w:r>
      <w:r w:rsidR="00D115ED" w:rsidRPr="002B5AEC">
        <w:rPr>
          <w:sz w:val="18"/>
          <w:szCs w:val="18"/>
        </w:rPr>
        <w:t>980</w:t>
      </w:r>
      <w:r w:rsidR="002B5AEC">
        <w:rPr>
          <w:sz w:val="18"/>
          <w:szCs w:val="18"/>
        </w:rPr>
        <w:t xml:space="preserve"> </w:t>
      </w:r>
      <w:r w:rsidR="00D115ED" w:rsidRPr="002B5AEC">
        <w:rPr>
          <w:sz w:val="18"/>
          <w:szCs w:val="18"/>
        </w:rPr>
        <w:t>–</w:t>
      </w:r>
      <w:r w:rsidR="002B5AEC">
        <w:rPr>
          <w:sz w:val="18"/>
          <w:szCs w:val="18"/>
        </w:rPr>
        <w:t xml:space="preserve"> </w:t>
      </w:r>
      <w:r w:rsidR="00D115ED" w:rsidRPr="002B5AEC">
        <w:rPr>
          <w:sz w:val="18"/>
          <w:szCs w:val="18"/>
        </w:rPr>
        <w:t>982.</w:t>
      </w:r>
    </w:p>
    <w:p w:rsidR="002B5AEC" w:rsidRPr="002B5AEC" w:rsidRDefault="00E6235E" w:rsidP="002B5AEC">
      <w:pPr>
        <w:pStyle w:val="Default"/>
        <w:numPr>
          <w:ilvl w:val="0"/>
          <w:numId w:val="5"/>
        </w:numPr>
        <w:ind w:hanging="720"/>
        <w:jc w:val="both"/>
        <w:rPr>
          <w:color w:val="auto"/>
          <w:sz w:val="18"/>
          <w:szCs w:val="18"/>
        </w:rPr>
      </w:pPr>
      <w:proofErr w:type="spellStart"/>
      <w:r w:rsidRPr="002B5AEC">
        <w:rPr>
          <w:sz w:val="18"/>
          <w:szCs w:val="18"/>
        </w:rPr>
        <w:t>Atemnkeng</w:t>
      </w:r>
      <w:proofErr w:type="spellEnd"/>
      <w:r w:rsidRPr="002B5AEC">
        <w:rPr>
          <w:sz w:val="18"/>
          <w:szCs w:val="18"/>
        </w:rPr>
        <w:t xml:space="preserve">, </w:t>
      </w:r>
      <w:r w:rsidR="00D115ED" w:rsidRPr="002B5AEC">
        <w:rPr>
          <w:sz w:val="18"/>
          <w:szCs w:val="18"/>
        </w:rPr>
        <w:t>M.A.</w:t>
      </w:r>
      <w:r w:rsidRPr="002B5AEC">
        <w:rPr>
          <w:sz w:val="18"/>
          <w:szCs w:val="18"/>
        </w:rPr>
        <w:t>,</w:t>
      </w:r>
      <w:r w:rsidR="00D115ED" w:rsidRPr="002B5AEC">
        <w:rPr>
          <w:sz w:val="18"/>
          <w:szCs w:val="18"/>
        </w:rPr>
        <w:t xml:space="preserve"> </w:t>
      </w:r>
      <w:r w:rsidRPr="002B5AEC">
        <w:rPr>
          <w:sz w:val="18"/>
          <w:szCs w:val="18"/>
        </w:rPr>
        <w:t xml:space="preserve">De Cock, </w:t>
      </w:r>
      <w:r w:rsidR="00D115ED" w:rsidRPr="002B5AEC">
        <w:rPr>
          <w:sz w:val="18"/>
          <w:szCs w:val="18"/>
        </w:rPr>
        <w:t>K.</w:t>
      </w:r>
      <w:r w:rsidR="00FE52AE" w:rsidRPr="002B5AEC">
        <w:rPr>
          <w:sz w:val="18"/>
          <w:szCs w:val="18"/>
        </w:rPr>
        <w:t xml:space="preserve"> &amp; </w:t>
      </w:r>
      <w:proofErr w:type="spellStart"/>
      <w:r w:rsidRPr="002B5AEC">
        <w:rPr>
          <w:sz w:val="18"/>
          <w:szCs w:val="18"/>
        </w:rPr>
        <w:t>Plaizier-Vercammen</w:t>
      </w:r>
      <w:proofErr w:type="spellEnd"/>
      <w:r w:rsidRPr="002B5AEC">
        <w:rPr>
          <w:sz w:val="18"/>
          <w:szCs w:val="18"/>
        </w:rPr>
        <w:t xml:space="preserve">, </w:t>
      </w:r>
      <w:r w:rsidR="00D115ED" w:rsidRPr="002B5AEC">
        <w:rPr>
          <w:sz w:val="18"/>
          <w:szCs w:val="18"/>
        </w:rPr>
        <w:t>J.</w:t>
      </w:r>
      <w:r w:rsidRPr="002B5AEC">
        <w:rPr>
          <w:sz w:val="18"/>
          <w:szCs w:val="18"/>
        </w:rPr>
        <w:t>,</w:t>
      </w:r>
      <w:r w:rsidR="00D115ED" w:rsidRPr="002B5AEC">
        <w:rPr>
          <w:sz w:val="18"/>
          <w:szCs w:val="18"/>
        </w:rPr>
        <w:t xml:space="preserve"> </w:t>
      </w:r>
      <w:r w:rsidR="0094625F" w:rsidRPr="002B5AEC">
        <w:rPr>
          <w:sz w:val="18"/>
          <w:szCs w:val="18"/>
        </w:rPr>
        <w:t>(</w:t>
      </w:r>
      <w:r w:rsidRPr="002B5AEC">
        <w:rPr>
          <w:sz w:val="18"/>
          <w:szCs w:val="18"/>
        </w:rPr>
        <w:t>2007</w:t>
      </w:r>
      <w:r w:rsidR="0094625F" w:rsidRPr="002B5AEC">
        <w:rPr>
          <w:sz w:val="18"/>
          <w:szCs w:val="18"/>
        </w:rPr>
        <w:t>)</w:t>
      </w:r>
      <w:r w:rsidR="002B5AEC">
        <w:rPr>
          <w:sz w:val="18"/>
          <w:szCs w:val="18"/>
        </w:rPr>
        <w:t xml:space="preserve">. </w:t>
      </w:r>
      <w:r w:rsidR="00D115ED" w:rsidRPr="002B5AEC">
        <w:rPr>
          <w:sz w:val="18"/>
          <w:szCs w:val="18"/>
        </w:rPr>
        <w:t>Quality control of active</w:t>
      </w:r>
      <w:r w:rsidR="00344431" w:rsidRPr="002B5AEC">
        <w:rPr>
          <w:sz w:val="18"/>
          <w:szCs w:val="18"/>
        </w:rPr>
        <w:t xml:space="preserve"> ingredients in </w:t>
      </w:r>
      <w:proofErr w:type="spellStart"/>
      <w:r w:rsidR="00344431" w:rsidRPr="002B5AEC">
        <w:rPr>
          <w:sz w:val="18"/>
          <w:szCs w:val="18"/>
        </w:rPr>
        <w:t>artemisinin</w:t>
      </w:r>
      <w:proofErr w:type="spellEnd"/>
      <w:r w:rsidR="00344431" w:rsidRPr="002B5AEC">
        <w:rPr>
          <w:sz w:val="18"/>
          <w:szCs w:val="18"/>
        </w:rPr>
        <w:t xml:space="preserve"> </w:t>
      </w:r>
      <w:r w:rsidR="00D115ED" w:rsidRPr="002B5AEC">
        <w:rPr>
          <w:sz w:val="18"/>
          <w:szCs w:val="18"/>
        </w:rPr>
        <w:t xml:space="preserve">derivative </w:t>
      </w:r>
      <w:proofErr w:type="spellStart"/>
      <w:r w:rsidR="00D115ED" w:rsidRPr="002B5AEC">
        <w:rPr>
          <w:sz w:val="18"/>
          <w:szCs w:val="18"/>
        </w:rPr>
        <w:t>antimalarials</w:t>
      </w:r>
      <w:proofErr w:type="spellEnd"/>
      <w:r w:rsidR="00D115ED" w:rsidRPr="002B5AEC">
        <w:rPr>
          <w:sz w:val="18"/>
          <w:szCs w:val="18"/>
        </w:rPr>
        <w:t xml:space="preserve"> within Kenya and DR Congo, </w:t>
      </w:r>
      <w:r w:rsidR="00D115ED" w:rsidRPr="002B5AEC">
        <w:rPr>
          <w:i/>
          <w:sz w:val="18"/>
          <w:szCs w:val="18"/>
        </w:rPr>
        <w:t>Trop. Med. Int.</w:t>
      </w:r>
      <w:r w:rsidR="00344431" w:rsidRPr="002B5AEC">
        <w:rPr>
          <w:i/>
          <w:sz w:val="18"/>
          <w:szCs w:val="18"/>
        </w:rPr>
        <w:t xml:space="preserve"> </w:t>
      </w:r>
      <w:r w:rsidR="00D115ED" w:rsidRPr="002B5AEC">
        <w:rPr>
          <w:i/>
          <w:sz w:val="18"/>
          <w:szCs w:val="18"/>
        </w:rPr>
        <w:t>Health</w:t>
      </w:r>
      <w:r w:rsidR="00D115ED" w:rsidRPr="002B5AEC">
        <w:rPr>
          <w:sz w:val="18"/>
          <w:szCs w:val="18"/>
        </w:rPr>
        <w:t>, 12: 68</w:t>
      </w:r>
      <w:r w:rsidR="002B5AEC">
        <w:rPr>
          <w:sz w:val="18"/>
          <w:szCs w:val="18"/>
        </w:rPr>
        <w:t xml:space="preserve"> </w:t>
      </w:r>
      <w:r w:rsidR="00D115ED" w:rsidRPr="002B5AEC">
        <w:rPr>
          <w:sz w:val="18"/>
          <w:szCs w:val="18"/>
        </w:rPr>
        <w:t>–</w:t>
      </w:r>
      <w:r w:rsidR="002B5AEC">
        <w:rPr>
          <w:sz w:val="18"/>
          <w:szCs w:val="18"/>
        </w:rPr>
        <w:t xml:space="preserve"> </w:t>
      </w:r>
      <w:r w:rsidR="00D115ED" w:rsidRPr="002B5AEC">
        <w:rPr>
          <w:sz w:val="18"/>
          <w:szCs w:val="18"/>
        </w:rPr>
        <w:t>74.</w:t>
      </w:r>
    </w:p>
    <w:p w:rsidR="002B5AEC" w:rsidRPr="002B5AEC" w:rsidRDefault="00E6235E" w:rsidP="002B5AEC">
      <w:pPr>
        <w:pStyle w:val="Default"/>
        <w:numPr>
          <w:ilvl w:val="0"/>
          <w:numId w:val="5"/>
        </w:numPr>
        <w:ind w:hanging="720"/>
        <w:jc w:val="both"/>
        <w:rPr>
          <w:color w:val="auto"/>
          <w:sz w:val="18"/>
          <w:szCs w:val="18"/>
        </w:rPr>
      </w:pPr>
      <w:proofErr w:type="spellStart"/>
      <w:r w:rsidRPr="002B5AEC">
        <w:rPr>
          <w:sz w:val="18"/>
          <w:szCs w:val="18"/>
        </w:rPr>
        <w:t>Mansor</w:t>
      </w:r>
      <w:proofErr w:type="spellEnd"/>
      <w:r w:rsidRPr="002B5AEC">
        <w:rPr>
          <w:sz w:val="18"/>
          <w:szCs w:val="18"/>
        </w:rPr>
        <w:t xml:space="preserve">, </w:t>
      </w:r>
      <w:r w:rsidR="00D115ED" w:rsidRPr="002B5AEC">
        <w:rPr>
          <w:sz w:val="18"/>
          <w:szCs w:val="18"/>
        </w:rPr>
        <w:t>S.M.</w:t>
      </w:r>
      <w:r w:rsidRPr="002B5AEC">
        <w:rPr>
          <w:sz w:val="18"/>
          <w:szCs w:val="18"/>
        </w:rPr>
        <w:t>,</w:t>
      </w:r>
      <w:r w:rsidR="00D115ED" w:rsidRPr="002B5AEC">
        <w:rPr>
          <w:sz w:val="18"/>
          <w:szCs w:val="18"/>
        </w:rPr>
        <w:t xml:space="preserve"> </w:t>
      </w:r>
      <w:proofErr w:type="spellStart"/>
      <w:r w:rsidRPr="002B5AEC">
        <w:rPr>
          <w:sz w:val="18"/>
          <w:szCs w:val="18"/>
        </w:rPr>
        <w:t>Navaratnam</w:t>
      </w:r>
      <w:proofErr w:type="spellEnd"/>
      <w:r w:rsidRPr="002B5AEC">
        <w:rPr>
          <w:sz w:val="18"/>
          <w:szCs w:val="18"/>
        </w:rPr>
        <w:t xml:space="preserve">, </w:t>
      </w:r>
      <w:r w:rsidR="00D115ED" w:rsidRPr="002B5AEC">
        <w:rPr>
          <w:sz w:val="18"/>
          <w:szCs w:val="18"/>
        </w:rPr>
        <w:t>V.</w:t>
      </w:r>
      <w:r w:rsidRPr="002B5AEC">
        <w:rPr>
          <w:sz w:val="18"/>
          <w:szCs w:val="18"/>
        </w:rPr>
        <w:t>,</w:t>
      </w:r>
      <w:r w:rsidR="00D115ED" w:rsidRPr="002B5AEC">
        <w:rPr>
          <w:sz w:val="18"/>
          <w:szCs w:val="18"/>
        </w:rPr>
        <w:t xml:space="preserve"> </w:t>
      </w:r>
      <w:proofErr w:type="spellStart"/>
      <w:r w:rsidRPr="002B5AEC">
        <w:rPr>
          <w:sz w:val="18"/>
          <w:szCs w:val="18"/>
        </w:rPr>
        <w:t>Yahaya</w:t>
      </w:r>
      <w:proofErr w:type="spellEnd"/>
      <w:r w:rsidRPr="002B5AEC">
        <w:rPr>
          <w:sz w:val="18"/>
          <w:szCs w:val="18"/>
        </w:rPr>
        <w:t xml:space="preserve">, </w:t>
      </w:r>
      <w:r w:rsidR="00D115ED" w:rsidRPr="002B5AEC">
        <w:rPr>
          <w:sz w:val="18"/>
          <w:szCs w:val="18"/>
        </w:rPr>
        <w:t>N.</w:t>
      </w:r>
      <w:r w:rsidRPr="002B5AEC">
        <w:rPr>
          <w:sz w:val="18"/>
          <w:szCs w:val="18"/>
        </w:rPr>
        <w:t>,</w:t>
      </w:r>
      <w:r w:rsidR="00D115ED" w:rsidRPr="002B5AEC">
        <w:rPr>
          <w:sz w:val="18"/>
          <w:szCs w:val="18"/>
        </w:rPr>
        <w:t xml:space="preserve"> </w:t>
      </w:r>
      <w:r w:rsidRPr="002B5AEC">
        <w:rPr>
          <w:sz w:val="18"/>
          <w:szCs w:val="18"/>
        </w:rPr>
        <w:t xml:space="preserve">Nair, </w:t>
      </w:r>
      <w:r w:rsidR="00D115ED" w:rsidRPr="002B5AEC">
        <w:rPr>
          <w:sz w:val="18"/>
          <w:szCs w:val="18"/>
        </w:rPr>
        <w:t>N.K.</w:t>
      </w:r>
      <w:r w:rsidRPr="002B5AEC">
        <w:rPr>
          <w:sz w:val="18"/>
          <w:szCs w:val="18"/>
        </w:rPr>
        <w:t>,</w:t>
      </w:r>
      <w:r w:rsidR="00D115ED" w:rsidRPr="002B5AEC">
        <w:rPr>
          <w:sz w:val="18"/>
          <w:szCs w:val="18"/>
        </w:rPr>
        <w:t xml:space="preserve"> </w:t>
      </w:r>
      <w:proofErr w:type="spellStart"/>
      <w:r w:rsidRPr="002B5AEC">
        <w:rPr>
          <w:sz w:val="18"/>
          <w:szCs w:val="18"/>
        </w:rPr>
        <w:t>Wernsdorfer</w:t>
      </w:r>
      <w:proofErr w:type="spellEnd"/>
      <w:r w:rsidRPr="002B5AEC">
        <w:rPr>
          <w:sz w:val="18"/>
          <w:szCs w:val="18"/>
        </w:rPr>
        <w:t xml:space="preserve">, </w:t>
      </w:r>
      <w:r w:rsidR="00D115ED" w:rsidRPr="002B5AEC">
        <w:rPr>
          <w:sz w:val="18"/>
          <w:szCs w:val="18"/>
        </w:rPr>
        <w:t>W.H.</w:t>
      </w:r>
      <w:r w:rsidR="00FE52AE" w:rsidRPr="002B5AEC">
        <w:rPr>
          <w:sz w:val="18"/>
          <w:szCs w:val="18"/>
        </w:rPr>
        <w:t xml:space="preserve"> &amp; </w:t>
      </w:r>
      <w:proofErr w:type="spellStart"/>
      <w:r w:rsidRPr="002B5AEC">
        <w:rPr>
          <w:sz w:val="18"/>
          <w:szCs w:val="18"/>
        </w:rPr>
        <w:t>Degen</w:t>
      </w:r>
      <w:proofErr w:type="spellEnd"/>
      <w:r w:rsidRPr="002B5AEC">
        <w:rPr>
          <w:sz w:val="18"/>
          <w:szCs w:val="18"/>
        </w:rPr>
        <w:t xml:space="preserve">, </w:t>
      </w:r>
      <w:r w:rsidR="00D115ED" w:rsidRPr="002B5AEC">
        <w:rPr>
          <w:sz w:val="18"/>
          <w:szCs w:val="18"/>
        </w:rPr>
        <w:t>P.H.</w:t>
      </w:r>
      <w:r w:rsidRPr="002B5AEC">
        <w:rPr>
          <w:sz w:val="18"/>
          <w:szCs w:val="18"/>
        </w:rPr>
        <w:t>,</w:t>
      </w:r>
      <w:r w:rsidR="00D115ED" w:rsidRPr="002B5AEC">
        <w:rPr>
          <w:sz w:val="18"/>
          <w:szCs w:val="18"/>
        </w:rPr>
        <w:t xml:space="preserve"> </w:t>
      </w:r>
      <w:r w:rsidR="0094625F" w:rsidRPr="002B5AEC">
        <w:rPr>
          <w:sz w:val="18"/>
          <w:szCs w:val="18"/>
        </w:rPr>
        <w:t>(</w:t>
      </w:r>
      <w:r w:rsidR="00471FDD" w:rsidRPr="002B5AEC">
        <w:rPr>
          <w:sz w:val="18"/>
          <w:szCs w:val="18"/>
        </w:rPr>
        <w:t>1996</w:t>
      </w:r>
      <w:r w:rsidR="0094625F" w:rsidRPr="002B5AEC">
        <w:rPr>
          <w:sz w:val="18"/>
          <w:szCs w:val="18"/>
        </w:rPr>
        <w:t>)</w:t>
      </w:r>
      <w:r w:rsidR="002B5AEC">
        <w:rPr>
          <w:sz w:val="18"/>
          <w:szCs w:val="18"/>
        </w:rPr>
        <w:t>.</w:t>
      </w:r>
      <w:r w:rsidR="00471FDD" w:rsidRPr="002B5AEC">
        <w:rPr>
          <w:sz w:val="18"/>
          <w:szCs w:val="18"/>
        </w:rPr>
        <w:t xml:space="preserve"> </w:t>
      </w:r>
      <w:r w:rsidR="00344431" w:rsidRPr="002B5AEC">
        <w:rPr>
          <w:sz w:val="18"/>
          <w:szCs w:val="18"/>
        </w:rPr>
        <w:t xml:space="preserve">Determination of a new </w:t>
      </w:r>
      <w:r w:rsidR="00D115ED" w:rsidRPr="002B5AEC">
        <w:rPr>
          <w:sz w:val="18"/>
          <w:szCs w:val="18"/>
        </w:rPr>
        <w:t xml:space="preserve">antimalarial drug, </w:t>
      </w:r>
      <w:proofErr w:type="spellStart"/>
      <w:r w:rsidR="00D115ED" w:rsidRPr="002B5AEC">
        <w:rPr>
          <w:sz w:val="18"/>
          <w:szCs w:val="18"/>
        </w:rPr>
        <w:t>benflumetol</w:t>
      </w:r>
      <w:proofErr w:type="spellEnd"/>
      <w:r w:rsidR="00D115ED" w:rsidRPr="002B5AEC">
        <w:rPr>
          <w:sz w:val="18"/>
          <w:szCs w:val="18"/>
        </w:rPr>
        <w:t>, in blood plasma by high-performance</w:t>
      </w:r>
      <w:r w:rsidR="00344431" w:rsidRPr="002B5AEC">
        <w:rPr>
          <w:sz w:val="18"/>
          <w:szCs w:val="18"/>
        </w:rPr>
        <w:t xml:space="preserve"> </w:t>
      </w:r>
      <w:r w:rsidR="00D115ED" w:rsidRPr="002B5AEC">
        <w:rPr>
          <w:sz w:val="18"/>
          <w:szCs w:val="18"/>
        </w:rPr>
        <w:t xml:space="preserve">liquid chromatography, </w:t>
      </w:r>
      <w:r w:rsidR="00D115ED" w:rsidRPr="002B5AEC">
        <w:rPr>
          <w:i/>
          <w:sz w:val="18"/>
          <w:szCs w:val="18"/>
        </w:rPr>
        <w:t xml:space="preserve">J. </w:t>
      </w:r>
      <w:proofErr w:type="spellStart"/>
      <w:r w:rsidR="00D115ED" w:rsidRPr="002B5AEC">
        <w:rPr>
          <w:i/>
          <w:sz w:val="18"/>
          <w:szCs w:val="18"/>
        </w:rPr>
        <w:t>Chromatogr</w:t>
      </w:r>
      <w:proofErr w:type="spellEnd"/>
      <w:r w:rsidR="00D115ED" w:rsidRPr="002B5AEC">
        <w:rPr>
          <w:sz w:val="18"/>
          <w:szCs w:val="18"/>
        </w:rPr>
        <w:t>. B, 682: 321</w:t>
      </w:r>
      <w:r w:rsidR="002B5AEC">
        <w:rPr>
          <w:sz w:val="18"/>
          <w:szCs w:val="18"/>
        </w:rPr>
        <w:t xml:space="preserve"> </w:t>
      </w:r>
      <w:r w:rsidR="00D115ED" w:rsidRPr="002B5AEC">
        <w:rPr>
          <w:sz w:val="18"/>
          <w:szCs w:val="18"/>
        </w:rPr>
        <w:t>–</w:t>
      </w:r>
      <w:r w:rsidR="002B5AEC">
        <w:rPr>
          <w:sz w:val="18"/>
          <w:szCs w:val="18"/>
        </w:rPr>
        <w:t xml:space="preserve"> </w:t>
      </w:r>
      <w:r w:rsidR="00D115ED" w:rsidRPr="002B5AEC">
        <w:rPr>
          <w:sz w:val="18"/>
          <w:szCs w:val="18"/>
        </w:rPr>
        <w:t>325.</w:t>
      </w:r>
    </w:p>
    <w:p w:rsidR="002B5AEC" w:rsidRPr="002B5AEC" w:rsidRDefault="00845B39" w:rsidP="002B5AEC">
      <w:pPr>
        <w:pStyle w:val="Default"/>
        <w:numPr>
          <w:ilvl w:val="0"/>
          <w:numId w:val="5"/>
        </w:numPr>
        <w:ind w:hanging="720"/>
        <w:jc w:val="both"/>
        <w:rPr>
          <w:color w:val="auto"/>
          <w:sz w:val="18"/>
          <w:szCs w:val="18"/>
        </w:rPr>
      </w:pPr>
      <w:r w:rsidRPr="002B5AEC">
        <w:rPr>
          <w:sz w:val="18"/>
          <w:szCs w:val="18"/>
        </w:rPr>
        <w:t xml:space="preserve">César </w:t>
      </w:r>
      <w:r w:rsidR="00D115ED" w:rsidRPr="002B5AEC">
        <w:rPr>
          <w:sz w:val="18"/>
          <w:szCs w:val="18"/>
        </w:rPr>
        <w:t xml:space="preserve">I, </w:t>
      </w:r>
      <w:proofErr w:type="spellStart"/>
      <w:r w:rsidR="00D115ED" w:rsidRPr="002B5AEC">
        <w:rPr>
          <w:sz w:val="18"/>
          <w:szCs w:val="18"/>
        </w:rPr>
        <w:t>Nogueira</w:t>
      </w:r>
      <w:proofErr w:type="spellEnd"/>
      <w:r w:rsidR="00D115ED" w:rsidRPr="002B5AEC">
        <w:rPr>
          <w:sz w:val="18"/>
          <w:szCs w:val="18"/>
        </w:rPr>
        <w:t xml:space="preserve"> </w:t>
      </w:r>
      <w:r w:rsidRPr="002B5AEC">
        <w:rPr>
          <w:sz w:val="18"/>
          <w:szCs w:val="18"/>
        </w:rPr>
        <w:t>F</w:t>
      </w:r>
      <w:r w:rsidR="006D74A7" w:rsidRPr="002B5AEC">
        <w:rPr>
          <w:sz w:val="18"/>
          <w:szCs w:val="18"/>
        </w:rPr>
        <w:t xml:space="preserve">. &amp; </w:t>
      </w:r>
      <w:proofErr w:type="spellStart"/>
      <w:r w:rsidR="00D115ED" w:rsidRPr="002B5AEC">
        <w:rPr>
          <w:sz w:val="18"/>
          <w:szCs w:val="18"/>
        </w:rPr>
        <w:t>Pianetti</w:t>
      </w:r>
      <w:proofErr w:type="spellEnd"/>
      <w:r w:rsidR="00FE450D" w:rsidRPr="002B5AEC">
        <w:rPr>
          <w:sz w:val="18"/>
          <w:szCs w:val="18"/>
        </w:rPr>
        <w:t xml:space="preserve"> G</w:t>
      </w:r>
      <w:r w:rsidR="00D115ED" w:rsidRPr="002B5AEC">
        <w:rPr>
          <w:sz w:val="18"/>
          <w:szCs w:val="18"/>
        </w:rPr>
        <w:t>,</w:t>
      </w:r>
      <w:r w:rsidR="00344431" w:rsidRPr="002B5AEC">
        <w:rPr>
          <w:sz w:val="18"/>
          <w:szCs w:val="18"/>
        </w:rPr>
        <w:t xml:space="preserve"> </w:t>
      </w:r>
      <w:r w:rsidR="002B5AEC">
        <w:rPr>
          <w:sz w:val="18"/>
          <w:szCs w:val="18"/>
        </w:rPr>
        <w:t>(</w:t>
      </w:r>
      <w:r w:rsidR="00471FDD" w:rsidRPr="002B5AEC">
        <w:rPr>
          <w:sz w:val="18"/>
          <w:szCs w:val="18"/>
        </w:rPr>
        <w:t>2008</w:t>
      </w:r>
      <w:r w:rsidR="002B5AEC">
        <w:rPr>
          <w:sz w:val="18"/>
          <w:szCs w:val="18"/>
        </w:rPr>
        <w:t>).</w:t>
      </w:r>
      <w:r w:rsidR="00471FDD" w:rsidRPr="002B5AEC">
        <w:rPr>
          <w:sz w:val="18"/>
          <w:szCs w:val="18"/>
        </w:rPr>
        <w:t xml:space="preserve"> </w:t>
      </w:r>
      <w:r w:rsidR="00D115ED" w:rsidRPr="002B5AEC">
        <w:rPr>
          <w:sz w:val="18"/>
          <w:szCs w:val="18"/>
        </w:rPr>
        <w:t xml:space="preserve">Simultaneous determination of </w:t>
      </w:r>
      <w:proofErr w:type="spellStart"/>
      <w:r w:rsidR="00D115ED" w:rsidRPr="002B5AEC">
        <w:rPr>
          <w:sz w:val="18"/>
          <w:szCs w:val="18"/>
        </w:rPr>
        <w:t>artemether</w:t>
      </w:r>
      <w:proofErr w:type="spellEnd"/>
      <w:r w:rsidR="00D115ED" w:rsidRPr="002B5AEC">
        <w:rPr>
          <w:sz w:val="18"/>
          <w:szCs w:val="18"/>
        </w:rPr>
        <w:t xml:space="preserve"> and </w:t>
      </w:r>
      <w:proofErr w:type="spellStart"/>
      <w:r w:rsidR="00D115ED" w:rsidRPr="002B5AEC">
        <w:rPr>
          <w:sz w:val="18"/>
          <w:szCs w:val="18"/>
        </w:rPr>
        <w:t>lumefantrine</w:t>
      </w:r>
      <w:proofErr w:type="spellEnd"/>
      <w:r w:rsidR="00D115ED" w:rsidRPr="002B5AEC">
        <w:rPr>
          <w:sz w:val="18"/>
          <w:szCs w:val="18"/>
        </w:rPr>
        <w:t xml:space="preserve"> in fixed dose combination tablets by</w:t>
      </w:r>
      <w:r w:rsidR="00FE450D" w:rsidRPr="002B5AEC">
        <w:rPr>
          <w:sz w:val="18"/>
          <w:szCs w:val="18"/>
        </w:rPr>
        <w:t xml:space="preserve"> HPLC with UV detection, </w:t>
      </w:r>
      <w:r w:rsidR="00FE450D" w:rsidRPr="002B5AEC">
        <w:rPr>
          <w:i/>
          <w:iCs/>
          <w:sz w:val="18"/>
          <w:szCs w:val="18"/>
        </w:rPr>
        <w:t xml:space="preserve">J. of </w:t>
      </w:r>
      <w:r w:rsidRPr="002B5AEC">
        <w:rPr>
          <w:i/>
          <w:iCs/>
          <w:sz w:val="18"/>
          <w:szCs w:val="18"/>
        </w:rPr>
        <w:t>P</w:t>
      </w:r>
      <w:r w:rsidR="00FE450D" w:rsidRPr="002B5AEC">
        <w:rPr>
          <w:i/>
          <w:iCs/>
          <w:sz w:val="18"/>
          <w:szCs w:val="18"/>
        </w:rPr>
        <w:t>harm</w:t>
      </w:r>
      <w:r w:rsidRPr="002B5AEC">
        <w:rPr>
          <w:i/>
          <w:iCs/>
          <w:sz w:val="18"/>
          <w:szCs w:val="18"/>
        </w:rPr>
        <w:t>. Biomed. Anal</w:t>
      </w:r>
      <w:r w:rsidR="00FE450D" w:rsidRPr="002B5AEC">
        <w:rPr>
          <w:i/>
          <w:iCs/>
          <w:sz w:val="18"/>
          <w:szCs w:val="18"/>
        </w:rPr>
        <w:t>ysis</w:t>
      </w:r>
      <w:r w:rsidRPr="002B5AEC">
        <w:rPr>
          <w:sz w:val="18"/>
          <w:szCs w:val="18"/>
        </w:rPr>
        <w:t>.</w:t>
      </w:r>
      <w:r w:rsidR="002B5AEC">
        <w:rPr>
          <w:sz w:val="18"/>
          <w:szCs w:val="18"/>
        </w:rPr>
        <w:t xml:space="preserve"> </w:t>
      </w:r>
      <w:r w:rsidR="00D115ED" w:rsidRPr="002B5AEC">
        <w:rPr>
          <w:sz w:val="18"/>
          <w:szCs w:val="18"/>
        </w:rPr>
        <w:t>45: 951</w:t>
      </w:r>
      <w:r w:rsidR="002B5AEC">
        <w:rPr>
          <w:sz w:val="18"/>
          <w:szCs w:val="18"/>
        </w:rPr>
        <w:t xml:space="preserve"> </w:t>
      </w:r>
      <w:r w:rsidR="00D115ED" w:rsidRPr="002B5AEC">
        <w:rPr>
          <w:sz w:val="18"/>
          <w:szCs w:val="18"/>
        </w:rPr>
        <w:t>-</w:t>
      </w:r>
      <w:r w:rsidR="002B5AEC">
        <w:rPr>
          <w:sz w:val="18"/>
          <w:szCs w:val="18"/>
        </w:rPr>
        <w:t xml:space="preserve"> </w:t>
      </w:r>
      <w:r w:rsidR="00D115ED" w:rsidRPr="002B5AEC">
        <w:rPr>
          <w:sz w:val="18"/>
          <w:szCs w:val="18"/>
        </w:rPr>
        <w:t>954.</w:t>
      </w:r>
    </w:p>
    <w:p w:rsidR="002B5AEC" w:rsidRPr="002B5AEC" w:rsidRDefault="006D74A7" w:rsidP="002B5AEC">
      <w:pPr>
        <w:pStyle w:val="Default"/>
        <w:numPr>
          <w:ilvl w:val="0"/>
          <w:numId w:val="5"/>
        </w:numPr>
        <w:ind w:hanging="720"/>
        <w:jc w:val="both"/>
        <w:rPr>
          <w:color w:val="auto"/>
          <w:sz w:val="18"/>
          <w:szCs w:val="18"/>
        </w:rPr>
      </w:pPr>
      <w:proofErr w:type="spellStart"/>
      <w:r w:rsidRPr="002B5AEC">
        <w:rPr>
          <w:bCs/>
          <w:sz w:val="18"/>
          <w:szCs w:val="18"/>
        </w:rPr>
        <w:t>Kalyankar</w:t>
      </w:r>
      <w:proofErr w:type="spellEnd"/>
      <w:r w:rsidRPr="002B5AEC">
        <w:rPr>
          <w:bCs/>
          <w:sz w:val="18"/>
          <w:szCs w:val="18"/>
        </w:rPr>
        <w:t xml:space="preserve"> T.M. &amp; </w:t>
      </w:r>
      <w:proofErr w:type="spellStart"/>
      <w:r w:rsidRPr="002B5AEC">
        <w:rPr>
          <w:bCs/>
          <w:sz w:val="18"/>
          <w:szCs w:val="18"/>
        </w:rPr>
        <w:t>Kakde</w:t>
      </w:r>
      <w:proofErr w:type="spellEnd"/>
      <w:r w:rsidRPr="002B5AEC">
        <w:rPr>
          <w:bCs/>
          <w:sz w:val="18"/>
          <w:szCs w:val="18"/>
        </w:rPr>
        <w:t xml:space="preserve"> R.B.</w:t>
      </w:r>
      <w:r w:rsidR="00E43E07" w:rsidRPr="002B5AEC">
        <w:rPr>
          <w:bCs/>
          <w:sz w:val="18"/>
          <w:szCs w:val="18"/>
        </w:rPr>
        <w:t xml:space="preserve"> (2011)</w:t>
      </w:r>
      <w:r w:rsidR="0094625F" w:rsidRPr="002B5AEC">
        <w:rPr>
          <w:bCs/>
          <w:sz w:val="18"/>
          <w:szCs w:val="18"/>
        </w:rPr>
        <w:t xml:space="preserve"> Reversed-phase liquid chromatographic method for simultaneous determination of </w:t>
      </w:r>
      <w:proofErr w:type="spellStart"/>
      <w:r w:rsidR="0094625F" w:rsidRPr="002B5AEC">
        <w:rPr>
          <w:bCs/>
          <w:sz w:val="18"/>
          <w:szCs w:val="18"/>
        </w:rPr>
        <w:t>artemether</w:t>
      </w:r>
      <w:proofErr w:type="spellEnd"/>
      <w:r w:rsidR="0094625F" w:rsidRPr="002B5AEC">
        <w:rPr>
          <w:bCs/>
          <w:sz w:val="18"/>
          <w:szCs w:val="18"/>
        </w:rPr>
        <w:t xml:space="preserve"> and </w:t>
      </w:r>
      <w:proofErr w:type="spellStart"/>
      <w:r w:rsidR="0094625F" w:rsidRPr="002B5AEC">
        <w:rPr>
          <w:bCs/>
          <w:sz w:val="18"/>
          <w:szCs w:val="18"/>
        </w:rPr>
        <w:t>lumefantrine</w:t>
      </w:r>
      <w:proofErr w:type="spellEnd"/>
      <w:r w:rsidR="0094625F" w:rsidRPr="002B5AEC">
        <w:rPr>
          <w:bCs/>
          <w:sz w:val="18"/>
          <w:szCs w:val="18"/>
        </w:rPr>
        <w:t xml:space="preserve"> in pharmaceutical preparation</w:t>
      </w:r>
      <w:r w:rsidR="00E43E07" w:rsidRPr="002B5AEC">
        <w:rPr>
          <w:bCs/>
          <w:sz w:val="18"/>
          <w:szCs w:val="18"/>
        </w:rPr>
        <w:t xml:space="preserve">. </w:t>
      </w:r>
      <w:r w:rsidR="00E43E07" w:rsidRPr="002B5AEC">
        <w:rPr>
          <w:bCs/>
          <w:i/>
          <w:sz w:val="18"/>
          <w:szCs w:val="18"/>
        </w:rPr>
        <w:t xml:space="preserve">International Journal of </w:t>
      </w:r>
      <w:proofErr w:type="spellStart"/>
      <w:r w:rsidR="00E43E07" w:rsidRPr="002B5AEC">
        <w:rPr>
          <w:bCs/>
          <w:i/>
          <w:sz w:val="18"/>
          <w:szCs w:val="18"/>
        </w:rPr>
        <w:t>ChemTech</w:t>
      </w:r>
      <w:proofErr w:type="spellEnd"/>
      <w:r w:rsidR="00E43E07" w:rsidRPr="002B5AEC">
        <w:rPr>
          <w:bCs/>
          <w:i/>
          <w:sz w:val="18"/>
          <w:szCs w:val="18"/>
        </w:rPr>
        <w:t xml:space="preserve"> Research</w:t>
      </w:r>
      <w:r w:rsidR="00510633" w:rsidRPr="002B5AEC">
        <w:rPr>
          <w:bCs/>
          <w:sz w:val="18"/>
          <w:szCs w:val="18"/>
        </w:rPr>
        <w:t>,</w:t>
      </w:r>
      <w:r w:rsidR="00E43E07" w:rsidRPr="002B5AEC">
        <w:rPr>
          <w:b/>
          <w:bCs/>
          <w:sz w:val="18"/>
          <w:szCs w:val="18"/>
        </w:rPr>
        <w:t xml:space="preserve"> </w:t>
      </w:r>
      <w:r w:rsidR="00E43E07" w:rsidRPr="002B5AEC">
        <w:rPr>
          <w:bCs/>
          <w:sz w:val="18"/>
          <w:szCs w:val="18"/>
        </w:rPr>
        <w:t>3(3):</w:t>
      </w:r>
      <w:r w:rsidR="002B5AEC">
        <w:rPr>
          <w:bCs/>
          <w:sz w:val="18"/>
          <w:szCs w:val="18"/>
        </w:rPr>
        <w:t xml:space="preserve"> </w:t>
      </w:r>
      <w:r w:rsidR="00E43E07" w:rsidRPr="002B5AEC">
        <w:rPr>
          <w:bCs/>
          <w:sz w:val="18"/>
          <w:szCs w:val="18"/>
        </w:rPr>
        <w:t>1722</w:t>
      </w:r>
      <w:r w:rsidR="002B5AEC">
        <w:rPr>
          <w:bCs/>
          <w:sz w:val="18"/>
          <w:szCs w:val="18"/>
        </w:rPr>
        <w:t xml:space="preserve"> </w:t>
      </w:r>
      <w:r w:rsidR="00E43E07" w:rsidRPr="002B5AEC">
        <w:rPr>
          <w:bCs/>
          <w:sz w:val="18"/>
          <w:szCs w:val="18"/>
        </w:rPr>
        <w:t>-</w:t>
      </w:r>
      <w:r w:rsidR="002B5AEC">
        <w:rPr>
          <w:bCs/>
          <w:sz w:val="18"/>
          <w:szCs w:val="18"/>
        </w:rPr>
        <w:t xml:space="preserve"> </w:t>
      </w:r>
      <w:r w:rsidR="00E43E07" w:rsidRPr="002B5AEC">
        <w:rPr>
          <w:bCs/>
          <w:sz w:val="18"/>
          <w:szCs w:val="18"/>
        </w:rPr>
        <w:t>1727.</w:t>
      </w:r>
    </w:p>
    <w:p w:rsidR="002B5AEC" w:rsidRPr="002B5AEC" w:rsidRDefault="00747FD3" w:rsidP="002B5AEC">
      <w:pPr>
        <w:pStyle w:val="Default"/>
        <w:numPr>
          <w:ilvl w:val="0"/>
          <w:numId w:val="5"/>
        </w:numPr>
        <w:ind w:hanging="720"/>
        <w:jc w:val="both"/>
        <w:rPr>
          <w:color w:val="auto"/>
          <w:sz w:val="18"/>
          <w:szCs w:val="18"/>
        </w:rPr>
      </w:pPr>
      <w:r w:rsidRPr="002B5AEC">
        <w:rPr>
          <w:sz w:val="18"/>
          <w:szCs w:val="18"/>
        </w:rPr>
        <w:t xml:space="preserve">Sridhar B., </w:t>
      </w:r>
      <w:proofErr w:type="spellStart"/>
      <w:r w:rsidRPr="002B5AEC">
        <w:rPr>
          <w:sz w:val="18"/>
          <w:szCs w:val="18"/>
        </w:rPr>
        <w:t>Rao</w:t>
      </w:r>
      <w:proofErr w:type="spellEnd"/>
      <w:r w:rsidRPr="002B5AEC">
        <w:rPr>
          <w:sz w:val="18"/>
          <w:szCs w:val="18"/>
        </w:rPr>
        <w:t xml:space="preserve"> K.H</w:t>
      </w:r>
      <w:r w:rsidR="002B5AEC">
        <w:rPr>
          <w:sz w:val="18"/>
          <w:szCs w:val="18"/>
        </w:rPr>
        <w:t xml:space="preserve">., </w:t>
      </w:r>
      <w:proofErr w:type="spellStart"/>
      <w:r w:rsidR="002B5AEC">
        <w:rPr>
          <w:sz w:val="18"/>
          <w:szCs w:val="18"/>
        </w:rPr>
        <w:t>Srinivas</w:t>
      </w:r>
      <w:proofErr w:type="spellEnd"/>
      <w:r w:rsidR="002B5AEC">
        <w:rPr>
          <w:sz w:val="18"/>
          <w:szCs w:val="18"/>
        </w:rPr>
        <w:t xml:space="preserve"> T.V.S., </w:t>
      </w:r>
      <w:proofErr w:type="spellStart"/>
      <w:r w:rsidR="002B5AEC">
        <w:rPr>
          <w:sz w:val="18"/>
          <w:szCs w:val="18"/>
        </w:rPr>
        <w:t>Madhuri</w:t>
      </w:r>
      <w:proofErr w:type="spellEnd"/>
      <w:r w:rsidR="002B5AEC">
        <w:rPr>
          <w:sz w:val="18"/>
          <w:szCs w:val="18"/>
        </w:rPr>
        <w:t xml:space="preserve"> V.S</w:t>
      </w:r>
      <w:r w:rsidRPr="002B5AEC">
        <w:rPr>
          <w:sz w:val="18"/>
          <w:szCs w:val="18"/>
        </w:rPr>
        <w:t xml:space="preserve">., </w:t>
      </w:r>
      <w:proofErr w:type="spellStart"/>
      <w:r w:rsidRPr="002B5AEC">
        <w:rPr>
          <w:sz w:val="18"/>
          <w:szCs w:val="18"/>
        </w:rPr>
        <w:t>Madhuri</w:t>
      </w:r>
      <w:proofErr w:type="spellEnd"/>
      <w:r w:rsidRPr="002B5AEC">
        <w:rPr>
          <w:sz w:val="18"/>
          <w:szCs w:val="18"/>
        </w:rPr>
        <w:t xml:space="preserve"> K. &amp; </w:t>
      </w:r>
      <w:proofErr w:type="spellStart"/>
      <w:r w:rsidRPr="002B5AEC">
        <w:rPr>
          <w:sz w:val="18"/>
          <w:szCs w:val="18"/>
        </w:rPr>
        <w:t>Rao</w:t>
      </w:r>
      <w:proofErr w:type="spellEnd"/>
      <w:r w:rsidRPr="002B5AEC">
        <w:rPr>
          <w:sz w:val="18"/>
          <w:szCs w:val="18"/>
        </w:rPr>
        <w:t xml:space="preserve"> J.V.L.N.S.(2010). A validated reverse phase </w:t>
      </w:r>
      <w:proofErr w:type="spellStart"/>
      <w:r w:rsidRPr="002B5AEC">
        <w:rPr>
          <w:sz w:val="18"/>
          <w:szCs w:val="18"/>
        </w:rPr>
        <w:t>hplc</w:t>
      </w:r>
      <w:proofErr w:type="spellEnd"/>
      <w:r w:rsidRPr="002B5AEC">
        <w:rPr>
          <w:sz w:val="18"/>
          <w:szCs w:val="18"/>
        </w:rPr>
        <w:t xml:space="preserve"> method for the simultaneous estimation of </w:t>
      </w:r>
      <w:proofErr w:type="spellStart"/>
      <w:r w:rsidRPr="002B5AEC">
        <w:rPr>
          <w:sz w:val="18"/>
          <w:szCs w:val="18"/>
        </w:rPr>
        <w:t>artemether</w:t>
      </w:r>
      <w:proofErr w:type="spellEnd"/>
      <w:r w:rsidRPr="002B5AEC">
        <w:rPr>
          <w:sz w:val="18"/>
          <w:szCs w:val="18"/>
        </w:rPr>
        <w:t xml:space="preserve"> and </w:t>
      </w:r>
      <w:proofErr w:type="spellStart"/>
      <w:r w:rsidRPr="002B5AEC">
        <w:rPr>
          <w:sz w:val="18"/>
          <w:szCs w:val="18"/>
        </w:rPr>
        <w:t>lumefantrine</w:t>
      </w:r>
      <w:proofErr w:type="spellEnd"/>
      <w:r w:rsidRPr="002B5AEC">
        <w:rPr>
          <w:sz w:val="18"/>
          <w:szCs w:val="18"/>
        </w:rPr>
        <w:t xml:space="preserve"> in pharmaceutical dosage forms.</w:t>
      </w:r>
      <w:r w:rsidRPr="0068369B">
        <w:t xml:space="preserve"> </w:t>
      </w:r>
      <w:r w:rsidRPr="002B5AEC">
        <w:rPr>
          <w:i/>
          <w:sz w:val="18"/>
          <w:szCs w:val="18"/>
        </w:rPr>
        <w:t xml:space="preserve">An International Journal of Advances </w:t>
      </w:r>
      <w:proofErr w:type="gramStart"/>
      <w:r w:rsidRPr="002B5AEC">
        <w:rPr>
          <w:i/>
          <w:sz w:val="18"/>
          <w:szCs w:val="18"/>
        </w:rPr>
        <w:t>In</w:t>
      </w:r>
      <w:proofErr w:type="gramEnd"/>
      <w:r w:rsidRPr="002B5AEC">
        <w:rPr>
          <w:i/>
          <w:sz w:val="18"/>
          <w:szCs w:val="18"/>
        </w:rPr>
        <w:t xml:space="preserve"> Pharmaceutical Science</w:t>
      </w:r>
      <w:r w:rsidR="002B5AEC">
        <w:rPr>
          <w:i/>
          <w:sz w:val="18"/>
          <w:szCs w:val="18"/>
        </w:rPr>
        <w:t xml:space="preserve">s </w:t>
      </w:r>
      <w:r w:rsidR="00510633" w:rsidRPr="002B5AEC">
        <w:rPr>
          <w:sz w:val="18"/>
          <w:szCs w:val="18"/>
        </w:rPr>
        <w:t>1(1): 95</w:t>
      </w:r>
      <w:r w:rsidR="002B5AEC">
        <w:rPr>
          <w:sz w:val="18"/>
          <w:szCs w:val="18"/>
        </w:rPr>
        <w:t xml:space="preserve"> </w:t>
      </w:r>
      <w:r w:rsidR="00510633" w:rsidRPr="002B5AEC">
        <w:rPr>
          <w:sz w:val="18"/>
          <w:szCs w:val="18"/>
        </w:rPr>
        <w:t>-</w:t>
      </w:r>
      <w:r w:rsidR="002B5AEC">
        <w:rPr>
          <w:sz w:val="18"/>
          <w:szCs w:val="18"/>
        </w:rPr>
        <w:t xml:space="preserve"> </w:t>
      </w:r>
      <w:r w:rsidR="00510633" w:rsidRPr="002B5AEC">
        <w:rPr>
          <w:sz w:val="18"/>
          <w:szCs w:val="18"/>
        </w:rPr>
        <w:t>99.</w:t>
      </w:r>
    </w:p>
    <w:p w:rsidR="002B5AEC" w:rsidRPr="002B5AEC" w:rsidRDefault="009D28C1" w:rsidP="002B5AEC">
      <w:pPr>
        <w:pStyle w:val="Default"/>
        <w:numPr>
          <w:ilvl w:val="0"/>
          <w:numId w:val="5"/>
        </w:numPr>
        <w:ind w:hanging="720"/>
        <w:jc w:val="both"/>
        <w:rPr>
          <w:color w:val="auto"/>
          <w:sz w:val="18"/>
          <w:szCs w:val="18"/>
        </w:rPr>
      </w:pPr>
      <w:r w:rsidRPr="002B5AEC">
        <w:rPr>
          <w:bCs/>
          <w:sz w:val="18"/>
          <w:szCs w:val="18"/>
        </w:rPr>
        <w:t xml:space="preserve">Sunil J., </w:t>
      </w:r>
      <w:proofErr w:type="spellStart"/>
      <w:r w:rsidRPr="002B5AEC">
        <w:rPr>
          <w:bCs/>
          <w:sz w:val="18"/>
          <w:szCs w:val="18"/>
        </w:rPr>
        <w:t>Nath</w:t>
      </w:r>
      <w:proofErr w:type="spellEnd"/>
      <w:r w:rsidRPr="002B5AEC">
        <w:rPr>
          <w:bCs/>
          <w:sz w:val="18"/>
          <w:szCs w:val="18"/>
        </w:rPr>
        <w:t xml:space="preserve"> </w:t>
      </w:r>
      <w:r w:rsidR="00747FD3" w:rsidRPr="002B5AEC">
        <w:rPr>
          <w:bCs/>
          <w:sz w:val="18"/>
          <w:szCs w:val="18"/>
        </w:rPr>
        <w:t>M.</w:t>
      </w:r>
      <w:r w:rsidRPr="002B5AEC">
        <w:rPr>
          <w:bCs/>
          <w:sz w:val="18"/>
          <w:szCs w:val="18"/>
        </w:rPr>
        <w:t>S.</w:t>
      </w:r>
      <w:r w:rsidR="00747FD3" w:rsidRPr="002B5AEC">
        <w:rPr>
          <w:bCs/>
          <w:sz w:val="18"/>
          <w:szCs w:val="18"/>
        </w:rPr>
        <w:t>, .M &amp;</w:t>
      </w:r>
      <w:r w:rsidRPr="002B5AEC">
        <w:rPr>
          <w:bCs/>
          <w:sz w:val="18"/>
          <w:szCs w:val="18"/>
        </w:rPr>
        <w:t xml:space="preserve"> </w:t>
      </w:r>
      <w:proofErr w:type="spellStart"/>
      <w:r w:rsidRPr="002B5AEC">
        <w:rPr>
          <w:bCs/>
          <w:sz w:val="18"/>
          <w:szCs w:val="18"/>
        </w:rPr>
        <w:t>Moorthy</w:t>
      </w:r>
      <w:proofErr w:type="spellEnd"/>
      <w:r w:rsidRPr="002B5AEC">
        <w:rPr>
          <w:bCs/>
          <w:sz w:val="18"/>
          <w:szCs w:val="18"/>
        </w:rPr>
        <w:t xml:space="preserve"> U</w:t>
      </w:r>
      <w:r w:rsidR="00747FD3" w:rsidRPr="002B5AEC">
        <w:rPr>
          <w:bCs/>
          <w:sz w:val="18"/>
          <w:szCs w:val="18"/>
        </w:rPr>
        <w:t>.</w:t>
      </w:r>
      <w:r w:rsidRPr="002B5AEC">
        <w:rPr>
          <w:bCs/>
          <w:sz w:val="18"/>
          <w:szCs w:val="18"/>
        </w:rPr>
        <w:t>S</w:t>
      </w:r>
      <w:r w:rsidR="002B5AEC">
        <w:rPr>
          <w:bCs/>
          <w:sz w:val="18"/>
          <w:szCs w:val="18"/>
        </w:rPr>
        <w:t>. (2010) HPLC</w:t>
      </w:r>
      <w:r w:rsidR="00747FD3" w:rsidRPr="002B5AEC">
        <w:rPr>
          <w:bCs/>
          <w:sz w:val="18"/>
          <w:szCs w:val="18"/>
        </w:rPr>
        <w:t xml:space="preserve"> method development and validation for simultaneous estimation of </w:t>
      </w:r>
      <w:proofErr w:type="spellStart"/>
      <w:r w:rsidR="00747FD3" w:rsidRPr="002B5AEC">
        <w:rPr>
          <w:bCs/>
          <w:sz w:val="18"/>
          <w:szCs w:val="18"/>
        </w:rPr>
        <w:t>artemether</w:t>
      </w:r>
      <w:proofErr w:type="spellEnd"/>
      <w:r w:rsidR="00747FD3" w:rsidRPr="002B5AEC">
        <w:rPr>
          <w:bCs/>
          <w:sz w:val="18"/>
          <w:szCs w:val="18"/>
        </w:rPr>
        <w:t xml:space="preserve"> and </w:t>
      </w:r>
      <w:proofErr w:type="spellStart"/>
      <w:r w:rsidR="00747FD3" w:rsidRPr="002B5AEC">
        <w:rPr>
          <w:bCs/>
          <w:sz w:val="18"/>
          <w:szCs w:val="18"/>
        </w:rPr>
        <w:t>lumefantrine</w:t>
      </w:r>
      <w:proofErr w:type="spellEnd"/>
      <w:r w:rsidR="00747FD3" w:rsidRPr="002B5AEC">
        <w:rPr>
          <w:bCs/>
          <w:sz w:val="18"/>
          <w:szCs w:val="18"/>
        </w:rPr>
        <w:t xml:space="preserve"> in pharmaceutical dosage forms.</w:t>
      </w:r>
      <w:r w:rsidR="00747FD3" w:rsidRPr="002B5AEC">
        <w:rPr>
          <w:rFonts w:ascii="BernardMT-Condensed" w:hAnsi="BernardMT-Condensed" w:cs="BernardMT-Condensed"/>
          <w:sz w:val="19"/>
          <w:szCs w:val="19"/>
        </w:rPr>
        <w:t xml:space="preserve"> </w:t>
      </w:r>
      <w:r w:rsidR="00747FD3" w:rsidRPr="002B5AEC">
        <w:rPr>
          <w:i/>
          <w:sz w:val="18"/>
          <w:szCs w:val="18"/>
        </w:rPr>
        <w:t xml:space="preserve">International Journal of Pharmacy and Pharmaceutical Sciences. </w:t>
      </w:r>
      <w:r w:rsidR="00747FD3" w:rsidRPr="002B5AEC">
        <w:rPr>
          <w:sz w:val="18"/>
          <w:szCs w:val="18"/>
        </w:rPr>
        <w:t>2(4)</w:t>
      </w:r>
      <w:r w:rsidR="009621E1">
        <w:rPr>
          <w:sz w:val="18"/>
          <w:szCs w:val="18"/>
        </w:rPr>
        <w:t>: 93 - 96</w:t>
      </w:r>
      <w:r w:rsidR="00747FD3" w:rsidRPr="002B5AEC">
        <w:rPr>
          <w:sz w:val="18"/>
          <w:szCs w:val="18"/>
        </w:rPr>
        <w:t xml:space="preserve">. </w:t>
      </w:r>
    </w:p>
    <w:p w:rsidR="00094983" w:rsidRPr="002B5AEC" w:rsidRDefault="0061146D" w:rsidP="002B5AEC">
      <w:pPr>
        <w:pStyle w:val="Default"/>
        <w:numPr>
          <w:ilvl w:val="0"/>
          <w:numId w:val="5"/>
        </w:numPr>
        <w:ind w:hanging="720"/>
        <w:jc w:val="both"/>
        <w:rPr>
          <w:color w:val="auto"/>
          <w:sz w:val="18"/>
          <w:szCs w:val="18"/>
        </w:rPr>
      </w:pPr>
      <w:r w:rsidRPr="002B5AEC">
        <w:rPr>
          <w:sz w:val="18"/>
          <w:szCs w:val="18"/>
        </w:rPr>
        <w:t xml:space="preserve">CMPM/ICH/381/95, ICH Topic Q2B Validation of Analytical </w:t>
      </w:r>
      <w:r w:rsidR="009621E1">
        <w:rPr>
          <w:sz w:val="18"/>
          <w:szCs w:val="18"/>
        </w:rPr>
        <w:t xml:space="preserve">Procedures: Methodology. Step 4 </w:t>
      </w:r>
      <w:r w:rsidRPr="002B5AEC">
        <w:rPr>
          <w:sz w:val="18"/>
          <w:szCs w:val="18"/>
        </w:rPr>
        <w:t xml:space="preserve">consensus guideline, </w:t>
      </w:r>
      <w:r w:rsidR="0094625F" w:rsidRPr="002B5AEC">
        <w:rPr>
          <w:sz w:val="18"/>
          <w:szCs w:val="18"/>
        </w:rPr>
        <w:t>(</w:t>
      </w:r>
      <w:r w:rsidRPr="002B5AEC">
        <w:rPr>
          <w:sz w:val="18"/>
          <w:szCs w:val="18"/>
        </w:rPr>
        <w:t>1996</w:t>
      </w:r>
      <w:r w:rsidR="0094625F" w:rsidRPr="002B5AEC">
        <w:rPr>
          <w:sz w:val="18"/>
          <w:szCs w:val="18"/>
        </w:rPr>
        <w:t>)</w:t>
      </w:r>
      <w:r w:rsidRPr="002B5AEC">
        <w:rPr>
          <w:sz w:val="18"/>
          <w:szCs w:val="18"/>
        </w:rPr>
        <w:t>; Nov: 1-9</w:t>
      </w:r>
    </w:p>
    <w:p w:rsidR="00CC3D4C" w:rsidRPr="0068369B" w:rsidRDefault="00CC3D4C" w:rsidP="00344431">
      <w:pPr>
        <w:pStyle w:val="Default"/>
        <w:spacing w:line="480" w:lineRule="auto"/>
        <w:jc w:val="both"/>
        <w:rPr>
          <w:b/>
          <w:color w:val="auto"/>
          <w:sz w:val="20"/>
          <w:szCs w:val="20"/>
        </w:rPr>
      </w:pPr>
    </w:p>
    <w:p w:rsidR="0051385F" w:rsidRPr="0068369B" w:rsidRDefault="0051385F" w:rsidP="0051385F">
      <w:pPr>
        <w:rPr>
          <w:rFonts w:ascii="Times New Roman" w:hAnsi="Times New Roman" w:cs="Times New Roman"/>
          <w:b/>
          <w:sz w:val="20"/>
          <w:szCs w:val="20"/>
        </w:rPr>
      </w:pPr>
    </w:p>
    <w:p w:rsidR="0051385F" w:rsidRPr="0068369B" w:rsidRDefault="0051385F" w:rsidP="0051385F">
      <w:pPr>
        <w:rPr>
          <w:rFonts w:ascii="Times New Roman" w:hAnsi="Times New Roman" w:cs="Times New Roman"/>
          <w:b/>
          <w:sz w:val="20"/>
          <w:szCs w:val="20"/>
        </w:rPr>
      </w:pPr>
    </w:p>
    <w:p w:rsidR="0051385F" w:rsidRPr="0068369B" w:rsidRDefault="0051385F" w:rsidP="0051385F">
      <w:pPr>
        <w:rPr>
          <w:rFonts w:ascii="Times New Roman" w:hAnsi="Times New Roman" w:cs="Times New Roman"/>
          <w:b/>
          <w:sz w:val="18"/>
          <w:szCs w:val="18"/>
        </w:rPr>
      </w:pPr>
    </w:p>
    <w:sectPr w:rsidR="0051385F" w:rsidRPr="0068369B" w:rsidSect="00F57EA4">
      <w:headerReference w:type="default" r:id="rId14"/>
      <w:pgSz w:w="11907" w:h="16839" w:code="9"/>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C1" w:rsidRDefault="009831C1" w:rsidP="00E60F09">
      <w:pPr>
        <w:spacing w:after="0" w:line="240" w:lineRule="auto"/>
      </w:pPr>
      <w:r>
        <w:separator/>
      </w:r>
    </w:p>
  </w:endnote>
  <w:endnote w:type="continuationSeparator" w:id="0">
    <w:p w:rsidR="009831C1" w:rsidRDefault="009831C1" w:rsidP="00E6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neGulliverA">
    <w:altName w:val="MS Mincho"/>
    <w:panose1 w:val="00000000000000000000"/>
    <w:charset w:val="80"/>
    <w:family w:val="auto"/>
    <w:notTrueType/>
    <w:pitch w:val="default"/>
    <w:sig w:usb0="00000003" w:usb1="08070000" w:usb2="00000010" w:usb3="00000000" w:csb0="00020001" w:csb1="00000000"/>
  </w:font>
  <w:font w:name="BernardMT-Condense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C1" w:rsidRDefault="009831C1" w:rsidP="00E60F09">
      <w:pPr>
        <w:spacing w:after="0" w:line="240" w:lineRule="auto"/>
      </w:pPr>
      <w:r>
        <w:separator/>
      </w:r>
    </w:p>
  </w:footnote>
  <w:footnote w:type="continuationSeparator" w:id="0">
    <w:p w:rsidR="009831C1" w:rsidRDefault="009831C1" w:rsidP="00E6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4FE" w:rsidRDefault="006C74FE" w:rsidP="001B0D02">
    <w:pPr>
      <w:pStyle w:val="Header"/>
      <w:tabs>
        <w:tab w:val="clear" w:pos="4680"/>
        <w:tab w:val="clear" w:pos="9360"/>
        <w:tab w:val="left" w:pos="296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1AA5"/>
    <w:multiLevelType w:val="hybridMultilevel"/>
    <w:tmpl w:val="C4046332"/>
    <w:lvl w:ilvl="0" w:tplc="70D626E2">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B6C24"/>
    <w:multiLevelType w:val="hybridMultilevel"/>
    <w:tmpl w:val="C4046332"/>
    <w:lvl w:ilvl="0" w:tplc="70D626E2">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C55412"/>
    <w:multiLevelType w:val="hybridMultilevel"/>
    <w:tmpl w:val="0D98F57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9658E8"/>
    <w:multiLevelType w:val="hybridMultilevel"/>
    <w:tmpl w:val="C4046332"/>
    <w:lvl w:ilvl="0" w:tplc="70D626E2">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16B57"/>
    <w:multiLevelType w:val="hybridMultilevel"/>
    <w:tmpl w:val="7D244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591021"/>
    <w:multiLevelType w:val="hybridMultilevel"/>
    <w:tmpl w:val="C4046332"/>
    <w:lvl w:ilvl="0" w:tplc="70D626E2">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EE5375"/>
    <w:multiLevelType w:val="multilevel"/>
    <w:tmpl w:val="D96A74F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7753"/>
    <w:rsid w:val="0000388A"/>
    <w:rsid w:val="00024D72"/>
    <w:rsid w:val="00033E6C"/>
    <w:rsid w:val="00054563"/>
    <w:rsid w:val="00076000"/>
    <w:rsid w:val="00093E68"/>
    <w:rsid w:val="00094983"/>
    <w:rsid w:val="000A7A60"/>
    <w:rsid w:val="000B04DA"/>
    <w:rsid w:val="000B632A"/>
    <w:rsid w:val="000C15BE"/>
    <w:rsid w:val="000C2DAC"/>
    <w:rsid w:val="000D2DA0"/>
    <w:rsid w:val="000E6940"/>
    <w:rsid w:val="0010083B"/>
    <w:rsid w:val="00135CE2"/>
    <w:rsid w:val="0014787B"/>
    <w:rsid w:val="00180E72"/>
    <w:rsid w:val="00183CB1"/>
    <w:rsid w:val="001A0903"/>
    <w:rsid w:val="001B0D02"/>
    <w:rsid w:val="001B1337"/>
    <w:rsid w:val="001C4479"/>
    <w:rsid w:val="0020164A"/>
    <w:rsid w:val="00204868"/>
    <w:rsid w:val="00217024"/>
    <w:rsid w:val="00223481"/>
    <w:rsid w:val="00227192"/>
    <w:rsid w:val="0024560C"/>
    <w:rsid w:val="0024739D"/>
    <w:rsid w:val="00265C53"/>
    <w:rsid w:val="00297DF1"/>
    <w:rsid w:val="002A7EAF"/>
    <w:rsid w:val="002B15AA"/>
    <w:rsid w:val="002B5AEC"/>
    <w:rsid w:val="002D62E7"/>
    <w:rsid w:val="002F0033"/>
    <w:rsid w:val="0031622F"/>
    <w:rsid w:val="00317317"/>
    <w:rsid w:val="00327930"/>
    <w:rsid w:val="00327A72"/>
    <w:rsid w:val="00344431"/>
    <w:rsid w:val="00391B24"/>
    <w:rsid w:val="0039501B"/>
    <w:rsid w:val="003D646A"/>
    <w:rsid w:val="003F42A9"/>
    <w:rsid w:val="00404926"/>
    <w:rsid w:val="004111DC"/>
    <w:rsid w:val="00414CF5"/>
    <w:rsid w:val="004168F0"/>
    <w:rsid w:val="00442C7A"/>
    <w:rsid w:val="00471FDD"/>
    <w:rsid w:val="004724E6"/>
    <w:rsid w:val="004820D1"/>
    <w:rsid w:val="004963EA"/>
    <w:rsid w:val="004A29C4"/>
    <w:rsid w:val="004B2798"/>
    <w:rsid w:val="004C0E9B"/>
    <w:rsid w:val="004D750E"/>
    <w:rsid w:val="00500486"/>
    <w:rsid w:val="005032D9"/>
    <w:rsid w:val="00510633"/>
    <w:rsid w:val="0051385F"/>
    <w:rsid w:val="00521ECE"/>
    <w:rsid w:val="00523589"/>
    <w:rsid w:val="00564835"/>
    <w:rsid w:val="00567021"/>
    <w:rsid w:val="0057101D"/>
    <w:rsid w:val="005D4078"/>
    <w:rsid w:val="005E520C"/>
    <w:rsid w:val="005F0FA6"/>
    <w:rsid w:val="005F2425"/>
    <w:rsid w:val="0061146D"/>
    <w:rsid w:val="00611D76"/>
    <w:rsid w:val="00614CD9"/>
    <w:rsid w:val="00617753"/>
    <w:rsid w:val="00635543"/>
    <w:rsid w:val="006462B7"/>
    <w:rsid w:val="006538D6"/>
    <w:rsid w:val="00655293"/>
    <w:rsid w:val="0068097A"/>
    <w:rsid w:val="0068369B"/>
    <w:rsid w:val="00686D09"/>
    <w:rsid w:val="00686DC8"/>
    <w:rsid w:val="006A5228"/>
    <w:rsid w:val="006B58F9"/>
    <w:rsid w:val="006B6AFE"/>
    <w:rsid w:val="006C74FE"/>
    <w:rsid w:val="006C7BFF"/>
    <w:rsid w:val="006D74A7"/>
    <w:rsid w:val="006E14C3"/>
    <w:rsid w:val="006E258E"/>
    <w:rsid w:val="006E5114"/>
    <w:rsid w:val="006F3C32"/>
    <w:rsid w:val="007110B6"/>
    <w:rsid w:val="00743CD6"/>
    <w:rsid w:val="00747FD3"/>
    <w:rsid w:val="00776FD4"/>
    <w:rsid w:val="00781342"/>
    <w:rsid w:val="0078620B"/>
    <w:rsid w:val="00797F6A"/>
    <w:rsid w:val="007A3B87"/>
    <w:rsid w:val="007B1295"/>
    <w:rsid w:val="007D41E2"/>
    <w:rsid w:val="007E68E9"/>
    <w:rsid w:val="007F1F2A"/>
    <w:rsid w:val="007F3036"/>
    <w:rsid w:val="00804EBD"/>
    <w:rsid w:val="00810146"/>
    <w:rsid w:val="00820A32"/>
    <w:rsid w:val="008360C5"/>
    <w:rsid w:val="00845B39"/>
    <w:rsid w:val="00875ECB"/>
    <w:rsid w:val="00883E5B"/>
    <w:rsid w:val="0088463D"/>
    <w:rsid w:val="00886F49"/>
    <w:rsid w:val="008B3ECD"/>
    <w:rsid w:val="008B7AF9"/>
    <w:rsid w:val="008D3CDB"/>
    <w:rsid w:val="008E3B87"/>
    <w:rsid w:val="00901EA6"/>
    <w:rsid w:val="0091094B"/>
    <w:rsid w:val="0094625F"/>
    <w:rsid w:val="00960A2B"/>
    <w:rsid w:val="009621E1"/>
    <w:rsid w:val="00964DFE"/>
    <w:rsid w:val="0097027F"/>
    <w:rsid w:val="009740F0"/>
    <w:rsid w:val="009831C1"/>
    <w:rsid w:val="009833A5"/>
    <w:rsid w:val="00985573"/>
    <w:rsid w:val="00995BDC"/>
    <w:rsid w:val="0099654C"/>
    <w:rsid w:val="009A15DE"/>
    <w:rsid w:val="009B154F"/>
    <w:rsid w:val="009B1757"/>
    <w:rsid w:val="009C0D44"/>
    <w:rsid w:val="009C39CD"/>
    <w:rsid w:val="009C3DD1"/>
    <w:rsid w:val="009D28C1"/>
    <w:rsid w:val="009F6794"/>
    <w:rsid w:val="00A00FE3"/>
    <w:rsid w:val="00A2391D"/>
    <w:rsid w:val="00A42245"/>
    <w:rsid w:val="00A4282E"/>
    <w:rsid w:val="00A43667"/>
    <w:rsid w:val="00A53E20"/>
    <w:rsid w:val="00A54A12"/>
    <w:rsid w:val="00A5761F"/>
    <w:rsid w:val="00A65BC8"/>
    <w:rsid w:val="00A7377D"/>
    <w:rsid w:val="00A80687"/>
    <w:rsid w:val="00A80C00"/>
    <w:rsid w:val="00A90D5B"/>
    <w:rsid w:val="00AB09DD"/>
    <w:rsid w:val="00AD19B2"/>
    <w:rsid w:val="00AD4A5F"/>
    <w:rsid w:val="00AE1147"/>
    <w:rsid w:val="00AE3317"/>
    <w:rsid w:val="00B16059"/>
    <w:rsid w:val="00B65FAB"/>
    <w:rsid w:val="00B75FCC"/>
    <w:rsid w:val="00B87C5D"/>
    <w:rsid w:val="00B926E8"/>
    <w:rsid w:val="00BB58D6"/>
    <w:rsid w:val="00BC66AD"/>
    <w:rsid w:val="00BD2056"/>
    <w:rsid w:val="00BD7187"/>
    <w:rsid w:val="00C06908"/>
    <w:rsid w:val="00C1522F"/>
    <w:rsid w:val="00C366FE"/>
    <w:rsid w:val="00C47010"/>
    <w:rsid w:val="00C72E46"/>
    <w:rsid w:val="00C92206"/>
    <w:rsid w:val="00C9555E"/>
    <w:rsid w:val="00CB3697"/>
    <w:rsid w:val="00CB7D31"/>
    <w:rsid w:val="00CC3D4C"/>
    <w:rsid w:val="00CD1105"/>
    <w:rsid w:val="00CD2CC5"/>
    <w:rsid w:val="00CD394A"/>
    <w:rsid w:val="00CD4DF4"/>
    <w:rsid w:val="00CD535C"/>
    <w:rsid w:val="00CF380B"/>
    <w:rsid w:val="00D03D54"/>
    <w:rsid w:val="00D115ED"/>
    <w:rsid w:val="00D11719"/>
    <w:rsid w:val="00D212D7"/>
    <w:rsid w:val="00D253A1"/>
    <w:rsid w:val="00D41991"/>
    <w:rsid w:val="00D632E7"/>
    <w:rsid w:val="00D67F04"/>
    <w:rsid w:val="00D84EF3"/>
    <w:rsid w:val="00DA4833"/>
    <w:rsid w:val="00DB01E2"/>
    <w:rsid w:val="00DC7C7F"/>
    <w:rsid w:val="00DF1605"/>
    <w:rsid w:val="00E0606D"/>
    <w:rsid w:val="00E149C9"/>
    <w:rsid w:val="00E175D3"/>
    <w:rsid w:val="00E248D7"/>
    <w:rsid w:val="00E27A5A"/>
    <w:rsid w:val="00E41B2E"/>
    <w:rsid w:val="00E437AA"/>
    <w:rsid w:val="00E43E07"/>
    <w:rsid w:val="00E57D9C"/>
    <w:rsid w:val="00E60F09"/>
    <w:rsid w:val="00E6235E"/>
    <w:rsid w:val="00E710C2"/>
    <w:rsid w:val="00E8057B"/>
    <w:rsid w:val="00EB5515"/>
    <w:rsid w:val="00EC5823"/>
    <w:rsid w:val="00EE1B37"/>
    <w:rsid w:val="00EE77B8"/>
    <w:rsid w:val="00EF4FAB"/>
    <w:rsid w:val="00EF5688"/>
    <w:rsid w:val="00F118BD"/>
    <w:rsid w:val="00F33B19"/>
    <w:rsid w:val="00F3569F"/>
    <w:rsid w:val="00F57EA4"/>
    <w:rsid w:val="00F6130C"/>
    <w:rsid w:val="00F84D91"/>
    <w:rsid w:val="00F87D9C"/>
    <w:rsid w:val="00FB548F"/>
    <w:rsid w:val="00FB71AC"/>
    <w:rsid w:val="00FE2717"/>
    <w:rsid w:val="00FE450D"/>
    <w:rsid w:val="00FE52AE"/>
    <w:rsid w:val="00FF78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C8"/>
  </w:style>
  <w:style w:type="paragraph" w:styleId="Heading1">
    <w:name w:val="heading 1"/>
    <w:basedOn w:val="Normal"/>
    <w:next w:val="Normal"/>
    <w:link w:val="Heading1Char"/>
    <w:uiPriority w:val="9"/>
    <w:qFormat/>
    <w:rsid w:val="00E43E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3E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753"/>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3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0C5"/>
    <w:rPr>
      <w:rFonts w:ascii="Tahoma" w:hAnsi="Tahoma" w:cs="Tahoma"/>
      <w:sz w:val="16"/>
      <w:szCs w:val="16"/>
    </w:rPr>
  </w:style>
  <w:style w:type="character" w:styleId="Hyperlink">
    <w:name w:val="Hyperlink"/>
    <w:basedOn w:val="DefaultParagraphFont"/>
    <w:uiPriority w:val="99"/>
    <w:unhideWhenUsed/>
    <w:rsid w:val="00D632E7"/>
    <w:rPr>
      <w:color w:val="0000FF" w:themeColor="hyperlink"/>
      <w:u w:val="single"/>
    </w:rPr>
  </w:style>
  <w:style w:type="paragraph" w:customStyle="1" w:styleId="Default">
    <w:name w:val="Default"/>
    <w:rsid w:val="00D632E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724E6"/>
    <w:pPr>
      <w:spacing w:after="0" w:line="240" w:lineRule="auto"/>
    </w:pPr>
    <w:tblPr>
      <w:tblInd w:w="0" w:type="dxa"/>
      <w:tblBorders>
        <w:top w:val="single" w:sz="4" w:space="0" w:color="3C3C3C" w:themeColor="text1"/>
        <w:left w:val="single" w:sz="4" w:space="0" w:color="3C3C3C" w:themeColor="text1"/>
        <w:bottom w:val="single" w:sz="4" w:space="0" w:color="3C3C3C" w:themeColor="text1"/>
        <w:right w:val="single" w:sz="4" w:space="0" w:color="3C3C3C" w:themeColor="text1"/>
        <w:insideH w:val="single" w:sz="4" w:space="0" w:color="3C3C3C" w:themeColor="text1"/>
        <w:insideV w:val="single" w:sz="4" w:space="0" w:color="3C3C3C"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60F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0F09"/>
  </w:style>
  <w:style w:type="paragraph" w:styleId="Footer">
    <w:name w:val="footer"/>
    <w:basedOn w:val="Normal"/>
    <w:link w:val="FooterChar"/>
    <w:uiPriority w:val="99"/>
    <w:semiHidden/>
    <w:unhideWhenUsed/>
    <w:rsid w:val="00E60F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0F09"/>
  </w:style>
  <w:style w:type="character" w:customStyle="1" w:styleId="Heading2Char">
    <w:name w:val="Heading 2 Char"/>
    <w:basedOn w:val="DefaultParagraphFont"/>
    <w:link w:val="Heading2"/>
    <w:uiPriority w:val="9"/>
    <w:rsid w:val="00E43E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43E0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vinodhmannur@yahoo.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nkaj\Desktop\pankaj%20project%20data\Pankaj%20Arte+Lume-2\Arte+Lum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nkaj\Desktop\pankaj%20project%20data\Pankaj%20Arte+Lume-2\Arte+Lum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32885087970974"/>
          <c:y val="0.22310756972111537"/>
          <c:w val="0.66788440188113363"/>
          <c:h val="0.54980079681274896"/>
        </c:manualLayout>
      </c:layout>
      <c:scatterChart>
        <c:scatterStyle val="lineMarker"/>
        <c:varyColors val="0"/>
        <c:ser>
          <c:idx val="0"/>
          <c:order val="0"/>
          <c:tx>
            <c:strRef>
              <c:f>linearity!$D$4</c:f>
              <c:strCache>
                <c:ptCount val="1"/>
                <c:pt idx="0">
                  <c:v>Area</c:v>
                </c:pt>
              </c:strCache>
            </c:strRef>
          </c:tx>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linear"/>
            <c:dispRSqr val="1"/>
            <c:dispEq val="1"/>
            <c:trendlineLbl>
              <c:layout>
                <c:manualLayout>
                  <c:x val="0.35827830352507056"/>
                  <c:y val="-0.23371133258827587"/>
                </c:manualLayout>
              </c:layout>
              <c:tx>
                <c:rich>
                  <a:bodyPr/>
                  <a:lstStyle/>
                  <a:p>
                    <a:pPr>
                      <a:defRPr sz="850" b="0" i="0" u="none" strike="noStrike" baseline="0">
                        <a:solidFill>
                          <a:srgbClr val="000000"/>
                        </a:solidFill>
                        <a:latin typeface="Arial"/>
                        <a:ea typeface="Arial"/>
                        <a:cs typeface="Arial"/>
                      </a:defRPr>
                    </a:pPr>
                    <a:r>
                      <a:rPr lang="en-US" sz="900" baseline="0">
                        <a:latin typeface="Times New Roman" pitchFamily="18" charset="0"/>
                        <a:cs typeface="Times New Roman" pitchFamily="18" charset="0"/>
                      </a:rPr>
                      <a:t>y = 14.71x + 2.044
R² = 0.999</a:t>
                    </a:r>
                    <a:endParaRPr lang="en-US" sz="900">
                      <a:latin typeface="Times New Roman" pitchFamily="18" charset="0"/>
                      <a:cs typeface="Times New Roman" pitchFamily="18" charset="0"/>
                    </a:endParaRPr>
                  </a:p>
                </c:rich>
              </c:tx>
              <c:numFmt formatCode="General" sourceLinked="0"/>
              <c:spPr>
                <a:noFill/>
                <a:ln w="25400">
                  <a:noFill/>
                </a:ln>
              </c:spPr>
            </c:trendlineLbl>
          </c:trendline>
          <c:xVal>
            <c:numRef>
              <c:f>linearity!$C$5:$C$11</c:f>
              <c:numCache>
                <c:formatCode>General</c:formatCode>
                <c:ptCount val="7"/>
                <c:pt idx="0">
                  <c:v>0</c:v>
                </c:pt>
                <c:pt idx="1">
                  <c:v>3.2</c:v>
                </c:pt>
                <c:pt idx="2">
                  <c:v>6.4</c:v>
                </c:pt>
                <c:pt idx="3">
                  <c:v>9.6</c:v>
                </c:pt>
                <c:pt idx="4">
                  <c:v>12.8</c:v>
                </c:pt>
                <c:pt idx="5">
                  <c:v>16</c:v>
                </c:pt>
                <c:pt idx="6">
                  <c:v>19.2</c:v>
                </c:pt>
              </c:numCache>
            </c:numRef>
          </c:xVal>
          <c:yVal>
            <c:numRef>
              <c:f>linearity!$D$5:$D$11</c:f>
              <c:numCache>
                <c:formatCode>General</c:formatCode>
                <c:ptCount val="7"/>
                <c:pt idx="0">
                  <c:v>0</c:v>
                </c:pt>
                <c:pt idx="1">
                  <c:v>53.537000000000006</c:v>
                </c:pt>
                <c:pt idx="2">
                  <c:v>92.727999999999994</c:v>
                </c:pt>
                <c:pt idx="3">
                  <c:v>144.80500000000001</c:v>
                </c:pt>
                <c:pt idx="4">
                  <c:v>189.06300000000002</c:v>
                </c:pt>
                <c:pt idx="5">
                  <c:v>239.39400000000001</c:v>
                </c:pt>
                <c:pt idx="6">
                  <c:v>283.34300000000002</c:v>
                </c:pt>
              </c:numCache>
            </c:numRef>
          </c:yVal>
          <c:smooth val="0"/>
        </c:ser>
        <c:dLbls>
          <c:showLegendKey val="0"/>
          <c:showVal val="0"/>
          <c:showCatName val="0"/>
          <c:showSerName val="0"/>
          <c:showPercent val="0"/>
          <c:showBubbleSize val="0"/>
        </c:dLbls>
        <c:axId val="27606400"/>
        <c:axId val="77968896"/>
      </c:scatterChart>
      <c:valAx>
        <c:axId val="27606400"/>
        <c:scaling>
          <c:orientation val="minMax"/>
        </c:scaling>
        <c:delete val="0"/>
        <c:axPos val="b"/>
        <c:title>
          <c:tx>
            <c:rich>
              <a:bodyPr/>
              <a:lstStyle/>
              <a:p>
                <a:pPr>
                  <a:defRPr sz="825" b="1" i="0" u="none" strike="noStrike" baseline="0">
                    <a:solidFill>
                      <a:srgbClr val="000000"/>
                    </a:solidFill>
                    <a:latin typeface="Arial"/>
                    <a:ea typeface="Arial"/>
                    <a:cs typeface="Arial"/>
                  </a:defRPr>
                </a:pPr>
                <a:r>
                  <a:rPr lang="en-US" sz="900">
                    <a:latin typeface="Times New Roman" pitchFamily="18" charset="0"/>
                    <a:cs typeface="Times New Roman" pitchFamily="18" charset="0"/>
                  </a:rPr>
                  <a:t>Conc</a:t>
                </a:r>
                <a:r>
                  <a:rPr lang="en-US" sz="900" b="1" i="0" u="none" strike="noStrike" baseline="0">
                    <a:latin typeface="Times New Roman" pitchFamily="18" charset="0"/>
                    <a:cs typeface="Times New Roman" pitchFamily="18" charset="0"/>
                  </a:rPr>
                  <a:t>(µg/ml)</a:t>
                </a:r>
                <a:endParaRPr lang="en-US" sz="900">
                  <a:latin typeface="Times New Roman" pitchFamily="18" charset="0"/>
                  <a:cs typeface="Times New Roman" pitchFamily="18" charset="0"/>
                </a:endParaRPr>
              </a:p>
            </c:rich>
          </c:tx>
          <c:layout>
            <c:manualLayout>
              <c:xMode val="edge"/>
              <c:yMode val="edge"/>
              <c:x val="0.48271938496976696"/>
              <c:y val="0.8857383928493779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en-US"/>
          </a:p>
        </c:txPr>
        <c:crossAx val="77968896"/>
        <c:crosses val="autoZero"/>
        <c:crossBetween val="midCat"/>
      </c:valAx>
      <c:valAx>
        <c:axId val="77968896"/>
        <c:scaling>
          <c:orientation val="minMax"/>
        </c:scaling>
        <c:delete val="0"/>
        <c:axPos val="l"/>
        <c:title>
          <c:tx>
            <c:rich>
              <a:bodyPr/>
              <a:lstStyle/>
              <a:p>
                <a:pPr>
                  <a:defRPr sz="825" b="1" i="0" u="none" strike="noStrike" baseline="0">
                    <a:solidFill>
                      <a:srgbClr val="000000"/>
                    </a:solidFill>
                    <a:latin typeface="Arial"/>
                    <a:ea typeface="Arial"/>
                    <a:cs typeface="Arial"/>
                  </a:defRPr>
                </a:pPr>
                <a:r>
                  <a:rPr lang="en-US" sz="900">
                    <a:latin typeface="Times New Roman" pitchFamily="18" charset="0"/>
                    <a:cs typeface="Times New Roman" pitchFamily="18" charset="0"/>
                  </a:rPr>
                  <a:t>Area(mV)</a:t>
                </a:r>
              </a:p>
            </c:rich>
          </c:tx>
          <c:layout>
            <c:manualLayout>
              <c:xMode val="edge"/>
              <c:yMode val="edge"/>
              <c:x val="0.11757869095760948"/>
              <c:y val="0.3330297159790159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en-US"/>
          </a:p>
        </c:txPr>
        <c:crossAx val="27606400"/>
        <c:crosses val="autoZero"/>
        <c:crossBetween val="midCat"/>
      </c:valAx>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55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38675958188194"/>
          <c:y val="0.22440944881889993"/>
          <c:w val="0.64459930313589875"/>
          <c:h val="0.53937007874015752"/>
        </c:manualLayout>
      </c:layout>
      <c:scatterChart>
        <c:scatterStyle val="lineMarker"/>
        <c:varyColors val="0"/>
        <c:ser>
          <c:idx val="0"/>
          <c:order val="0"/>
          <c:tx>
            <c:strRef>
              <c:f>linearity!$H$4</c:f>
              <c:strCache>
                <c:ptCount val="1"/>
                <c:pt idx="0">
                  <c:v>Area</c:v>
                </c:pt>
              </c:strCache>
            </c:strRef>
          </c:tx>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linear"/>
            <c:dispRSqr val="1"/>
            <c:dispEq val="1"/>
            <c:trendlineLbl>
              <c:layout>
                <c:manualLayout>
                  <c:x val="0.23800232288037357"/>
                  <c:y val="-0.22440944881889993"/>
                </c:manualLayout>
              </c:layout>
              <c:tx>
                <c:rich>
                  <a:bodyPr/>
                  <a:lstStyle/>
                  <a:p>
                    <a:pPr>
                      <a:defRPr sz="800" b="0" i="0" u="none" strike="noStrike" baseline="0">
                        <a:solidFill>
                          <a:srgbClr val="000000"/>
                        </a:solidFill>
                        <a:latin typeface="Arial"/>
                        <a:ea typeface="Arial"/>
                        <a:cs typeface="Arial"/>
                      </a:defRPr>
                    </a:pPr>
                    <a:r>
                      <a:rPr lang="en-US" baseline="0"/>
                      <a:t>y = 54.70x + 55.09
R² = 0.999</a:t>
                    </a:r>
                    <a:endParaRPr lang="en-US">
                      <a:latin typeface="Times New Roman" pitchFamily="18" charset="0"/>
                      <a:cs typeface="Times New Roman" pitchFamily="18" charset="0"/>
                    </a:endParaRPr>
                  </a:p>
                </c:rich>
              </c:tx>
              <c:numFmt formatCode="General" sourceLinked="0"/>
              <c:spPr>
                <a:noFill/>
                <a:ln w="25400">
                  <a:noFill/>
                </a:ln>
              </c:spPr>
            </c:trendlineLbl>
          </c:trendline>
          <c:xVal>
            <c:numRef>
              <c:f>linearity!$G$5:$G$11</c:f>
              <c:numCache>
                <c:formatCode>General</c:formatCode>
                <c:ptCount val="7"/>
                <c:pt idx="0">
                  <c:v>0</c:v>
                </c:pt>
                <c:pt idx="1">
                  <c:v>19.2</c:v>
                </c:pt>
                <c:pt idx="2">
                  <c:v>38.4</c:v>
                </c:pt>
                <c:pt idx="3">
                  <c:v>57.6</c:v>
                </c:pt>
                <c:pt idx="4">
                  <c:v>76.8</c:v>
                </c:pt>
                <c:pt idx="5">
                  <c:v>96</c:v>
                </c:pt>
                <c:pt idx="6">
                  <c:v>115.2</c:v>
                </c:pt>
              </c:numCache>
            </c:numRef>
          </c:xVal>
          <c:yVal>
            <c:numRef>
              <c:f>linearity!$H$5:$H$11</c:f>
              <c:numCache>
                <c:formatCode>General</c:formatCode>
                <c:ptCount val="7"/>
                <c:pt idx="0">
                  <c:v>0</c:v>
                </c:pt>
                <c:pt idx="1">
                  <c:v>1222.24</c:v>
                </c:pt>
                <c:pt idx="2">
                  <c:v>2048.86</c:v>
                </c:pt>
                <c:pt idx="3">
                  <c:v>3236.6550000000002</c:v>
                </c:pt>
                <c:pt idx="4">
                  <c:v>4283.9660000000003</c:v>
                </c:pt>
                <c:pt idx="5">
                  <c:v>5331.527</c:v>
                </c:pt>
                <c:pt idx="6">
                  <c:v>6317.8710000000001</c:v>
                </c:pt>
              </c:numCache>
            </c:numRef>
          </c:yVal>
          <c:smooth val="0"/>
        </c:ser>
        <c:dLbls>
          <c:showLegendKey val="0"/>
          <c:showVal val="0"/>
          <c:showCatName val="0"/>
          <c:showSerName val="0"/>
          <c:showPercent val="0"/>
          <c:showBubbleSize val="0"/>
        </c:dLbls>
        <c:axId val="65685760"/>
        <c:axId val="65692032"/>
      </c:scatterChart>
      <c:valAx>
        <c:axId val="65685760"/>
        <c:scaling>
          <c:orientation val="minMax"/>
        </c:scaling>
        <c:delete val="0"/>
        <c:axPos val="b"/>
        <c:title>
          <c:tx>
            <c:rich>
              <a:bodyPr/>
              <a:lstStyle/>
              <a:p>
                <a:pPr>
                  <a:defRPr sz="875" b="1" i="0" u="none" strike="noStrike" baseline="0">
                    <a:solidFill>
                      <a:srgbClr val="000000"/>
                    </a:solidFill>
                    <a:latin typeface="Arial"/>
                    <a:ea typeface="Arial"/>
                    <a:cs typeface="Arial"/>
                  </a:defRPr>
                </a:pPr>
                <a:r>
                  <a:rPr lang="en-US" sz="900">
                    <a:latin typeface="Times New Roman" pitchFamily="18" charset="0"/>
                    <a:cs typeface="Times New Roman" pitchFamily="18" charset="0"/>
                  </a:rPr>
                  <a:t>Conc(µg/ml)</a:t>
                </a:r>
              </a:p>
            </c:rich>
          </c:tx>
          <c:layout>
            <c:manualLayout>
              <c:xMode val="edge"/>
              <c:yMode val="edge"/>
              <c:x val="0.50094150163048023"/>
              <c:y val="0.8818897637795275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n-US"/>
          </a:p>
        </c:txPr>
        <c:crossAx val="65692032"/>
        <c:crosses val="autoZero"/>
        <c:crossBetween val="midCat"/>
      </c:valAx>
      <c:valAx>
        <c:axId val="65692032"/>
        <c:scaling>
          <c:orientation val="minMax"/>
        </c:scaling>
        <c:delete val="0"/>
        <c:axPos val="l"/>
        <c:title>
          <c:tx>
            <c:rich>
              <a:bodyPr/>
              <a:lstStyle/>
              <a:p>
                <a:pPr>
                  <a:defRPr sz="875" b="1" i="0" u="none" strike="noStrike" baseline="0">
                    <a:solidFill>
                      <a:srgbClr val="000000"/>
                    </a:solidFill>
                    <a:latin typeface="Arial"/>
                    <a:ea typeface="Arial"/>
                    <a:cs typeface="Arial"/>
                  </a:defRPr>
                </a:pPr>
                <a:r>
                  <a:rPr lang="en-US" sz="900">
                    <a:latin typeface="Times New Roman" pitchFamily="18" charset="0"/>
                    <a:cs typeface="Times New Roman" pitchFamily="18" charset="0"/>
                  </a:rPr>
                  <a:t>Area(mV)</a:t>
                </a:r>
              </a:p>
            </c:rich>
          </c:tx>
          <c:layout>
            <c:manualLayout>
              <c:xMode val="edge"/>
              <c:yMode val="edge"/>
              <c:x val="0.10711643999045574"/>
              <c:y val="0.3573132903841589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n-US"/>
          </a:p>
        </c:txPr>
        <c:crossAx val="65685760"/>
        <c:crosses val="autoZero"/>
        <c:crossBetween val="midCat"/>
      </c:valAx>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57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30C68-4199-414A-8439-0433F9C9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10</Pages>
  <Words>3584</Words>
  <Characters>20434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dc:creator>
  <cp:keywords/>
  <dc:description/>
  <cp:lastModifiedBy>HP</cp:lastModifiedBy>
  <cp:revision>12</cp:revision>
  <dcterms:created xsi:type="dcterms:W3CDTF">2012-02-28T05:13:00Z</dcterms:created>
  <dcterms:modified xsi:type="dcterms:W3CDTF">2013-11-08T07:37:00Z</dcterms:modified>
</cp:coreProperties>
</file>