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A2" w:rsidRPr="009D26A5" w:rsidRDefault="00ED5C62" w:rsidP="009047A2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  <w:r w:rsidRPr="009D26A5">
        <w:rPr>
          <w:sz w:val="28"/>
          <w:szCs w:val="28"/>
        </w:rPr>
        <w:t>PHENOLIC COMPOUND</w:t>
      </w:r>
      <w:r w:rsidR="00CA2B2E" w:rsidRPr="009D26A5">
        <w:rPr>
          <w:sz w:val="28"/>
          <w:szCs w:val="28"/>
        </w:rPr>
        <w:t>S</w:t>
      </w:r>
      <w:r w:rsidRPr="009D26A5">
        <w:rPr>
          <w:sz w:val="28"/>
          <w:szCs w:val="28"/>
        </w:rPr>
        <w:t xml:space="preserve"> FROM </w:t>
      </w:r>
      <w:r w:rsidR="00CA2B2E" w:rsidRPr="009D26A5">
        <w:rPr>
          <w:sz w:val="28"/>
          <w:szCs w:val="28"/>
        </w:rPr>
        <w:t xml:space="preserve">THE </w:t>
      </w:r>
      <w:r w:rsidRPr="009D26A5">
        <w:rPr>
          <w:sz w:val="28"/>
          <w:szCs w:val="28"/>
        </w:rPr>
        <w:t>FRUIT</w:t>
      </w:r>
      <w:r w:rsidR="000314F9" w:rsidRPr="009D26A5">
        <w:rPr>
          <w:sz w:val="28"/>
          <w:szCs w:val="28"/>
        </w:rPr>
        <w:t>S</w:t>
      </w:r>
      <w:r w:rsidRPr="009D26A5">
        <w:rPr>
          <w:sz w:val="28"/>
          <w:szCs w:val="28"/>
        </w:rPr>
        <w:t xml:space="preserve"> OF </w:t>
      </w:r>
      <w:r w:rsidRPr="009D26A5">
        <w:rPr>
          <w:i/>
          <w:sz w:val="28"/>
          <w:szCs w:val="28"/>
        </w:rPr>
        <w:t>ORANIA SYLVICOLA</w:t>
      </w:r>
    </w:p>
    <w:p w:rsidR="00CD4482" w:rsidRPr="009D26A5" w:rsidRDefault="00CD4482" w:rsidP="009047A2">
      <w:pPr>
        <w:spacing w:after="0" w:line="240" w:lineRule="auto"/>
        <w:jc w:val="both"/>
        <w:rPr>
          <w:sz w:val="28"/>
          <w:szCs w:val="28"/>
        </w:rPr>
      </w:pPr>
    </w:p>
    <w:p w:rsidR="00B663BE" w:rsidRPr="009047A2" w:rsidRDefault="005C174F" w:rsidP="003D0404">
      <w:pPr>
        <w:spacing w:after="0" w:line="240" w:lineRule="auto"/>
        <w:jc w:val="center"/>
        <w:rPr>
          <w:sz w:val="28"/>
          <w:szCs w:val="24"/>
        </w:rPr>
      </w:pPr>
      <w:r w:rsidRPr="009047A2">
        <w:rPr>
          <w:sz w:val="28"/>
          <w:szCs w:val="24"/>
        </w:rPr>
        <w:t>(</w:t>
      </w:r>
      <w:r w:rsidR="00C42BEE" w:rsidRPr="009047A2">
        <w:rPr>
          <w:sz w:val="28"/>
          <w:szCs w:val="24"/>
        </w:rPr>
        <w:t xml:space="preserve">Sebatian Fenol daripada Buah </w:t>
      </w:r>
      <w:r w:rsidR="00917DAC" w:rsidRPr="009047A2">
        <w:rPr>
          <w:i/>
          <w:sz w:val="28"/>
          <w:szCs w:val="24"/>
        </w:rPr>
        <w:t>Orania s</w:t>
      </w:r>
      <w:r w:rsidR="00C42BEE" w:rsidRPr="009047A2">
        <w:rPr>
          <w:i/>
          <w:sz w:val="28"/>
          <w:szCs w:val="24"/>
        </w:rPr>
        <w:t>ylvicola</w:t>
      </w:r>
      <w:r w:rsidRPr="009047A2">
        <w:rPr>
          <w:sz w:val="28"/>
          <w:szCs w:val="24"/>
        </w:rPr>
        <w:t>)</w:t>
      </w:r>
    </w:p>
    <w:p w:rsidR="005A162F" w:rsidRPr="009D26A5" w:rsidRDefault="005A162F" w:rsidP="003D0404">
      <w:pPr>
        <w:spacing w:after="0" w:line="240" w:lineRule="auto"/>
        <w:jc w:val="center"/>
        <w:rPr>
          <w:sz w:val="20"/>
          <w:szCs w:val="20"/>
        </w:rPr>
      </w:pPr>
    </w:p>
    <w:p w:rsidR="00356EA3" w:rsidRPr="009D26A5" w:rsidRDefault="00356EA3" w:rsidP="003D0404">
      <w:pPr>
        <w:spacing w:after="0" w:line="240" w:lineRule="auto"/>
        <w:jc w:val="center"/>
        <w:rPr>
          <w:sz w:val="20"/>
          <w:szCs w:val="20"/>
        </w:rPr>
      </w:pPr>
      <w:r w:rsidRPr="009D26A5">
        <w:rPr>
          <w:sz w:val="20"/>
          <w:szCs w:val="20"/>
        </w:rPr>
        <w:t>Solihah</w:t>
      </w:r>
      <w:r w:rsidR="000A2BB8" w:rsidRPr="009D26A5">
        <w:rPr>
          <w:sz w:val="20"/>
          <w:szCs w:val="20"/>
        </w:rPr>
        <w:t xml:space="preserve"> Sukari</w:t>
      </w:r>
      <w:r w:rsidR="00ED5C62" w:rsidRPr="009D26A5">
        <w:rPr>
          <w:sz w:val="20"/>
          <w:szCs w:val="20"/>
        </w:rPr>
        <w:t xml:space="preserve"> </w:t>
      </w:r>
      <w:r w:rsidR="00F36ADE" w:rsidRPr="009D26A5">
        <w:rPr>
          <w:sz w:val="20"/>
          <w:szCs w:val="20"/>
        </w:rPr>
        <w:t>and</w:t>
      </w:r>
      <w:r w:rsidRPr="009D26A5">
        <w:rPr>
          <w:sz w:val="20"/>
          <w:szCs w:val="20"/>
        </w:rPr>
        <w:t xml:space="preserve"> Ikram M. Said</w:t>
      </w:r>
    </w:p>
    <w:p w:rsidR="00BC4DD6" w:rsidRPr="009D26A5" w:rsidRDefault="00BC4DD6" w:rsidP="003D0404">
      <w:pPr>
        <w:spacing w:after="0" w:line="240" w:lineRule="auto"/>
        <w:jc w:val="center"/>
        <w:rPr>
          <w:sz w:val="18"/>
          <w:szCs w:val="18"/>
        </w:rPr>
      </w:pPr>
    </w:p>
    <w:p w:rsidR="008E6E1B" w:rsidRPr="009D26A5" w:rsidRDefault="000A2BB8" w:rsidP="008E6E1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9D26A5"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="00356EA3" w:rsidRPr="009D26A5">
        <w:rPr>
          <w:rFonts w:asciiTheme="majorHAnsi" w:hAnsiTheme="majorHAnsi" w:cstheme="majorHAnsi"/>
          <w:i/>
          <w:iCs/>
          <w:sz w:val="18"/>
          <w:szCs w:val="18"/>
        </w:rPr>
        <w:t xml:space="preserve">School of Chemical Sciences and Food Technology, Faculty of Science and Technology, </w:t>
      </w:r>
    </w:p>
    <w:p w:rsidR="00BC4DD6" w:rsidRPr="009D26A5" w:rsidRDefault="00356EA3" w:rsidP="008E6E1B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9D26A5">
        <w:rPr>
          <w:rFonts w:asciiTheme="majorHAnsi" w:hAnsiTheme="majorHAnsi" w:cstheme="majorHAnsi"/>
          <w:i/>
          <w:iCs/>
          <w:sz w:val="18"/>
          <w:szCs w:val="18"/>
        </w:rPr>
        <w:t>Universiti</w:t>
      </w:r>
      <w:r w:rsidR="004B5CF0" w:rsidRPr="009D26A5"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9D26A5">
        <w:rPr>
          <w:rFonts w:asciiTheme="majorHAnsi" w:hAnsiTheme="majorHAnsi" w:cstheme="majorHAnsi"/>
          <w:i/>
          <w:iCs/>
          <w:sz w:val="18"/>
          <w:szCs w:val="18"/>
        </w:rPr>
        <w:t>Kebangsaan Malaysia, 43600 Bangi, Selangor Darul Ehsan, Malaysia.</w:t>
      </w:r>
    </w:p>
    <w:p w:rsidR="005A162F" w:rsidRPr="009D26A5" w:rsidRDefault="005A162F" w:rsidP="003D0404">
      <w:pPr>
        <w:spacing w:after="0" w:line="240" w:lineRule="auto"/>
        <w:jc w:val="center"/>
        <w:rPr>
          <w:rFonts w:asciiTheme="majorHAnsi" w:hAnsiTheme="majorHAnsi" w:cstheme="majorHAnsi"/>
          <w:iCs/>
          <w:sz w:val="18"/>
          <w:szCs w:val="18"/>
        </w:rPr>
      </w:pPr>
    </w:p>
    <w:p w:rsidR="00CD4482" w:rsidRPr="007C7D46" w:rsidRDefault="007C7D46" w:rsidP="003D0404">
      <w:pPr>
        <w:spacing w:after="0" w:line="240" w:lineRule="auto"/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7C7D46">
        <w:rPr>
          <w:rFonts w:asciiTheme="majorHAnsi" w:hAnsiTheme="majorHAnsi" w:cstheme="majorHAnsi"/>
          <w:i/>
          <w:iCs/>
          <w:sz w:val="18"/>
          <w:szCs w:val="18"/>
        </w:rPr>
        <w:t>*Corresponding author: solihah_sukari@yahoo.com</w:t>
      </w:r>
    </w:p>
    <w:p w:rsidR="00CD4482" w:rsidRDefault="00CD4482" w:rsidP="003D0404">
      <w:pPr>
        <w:spacing w:after="0" w:line="240" w:lineRule="auto"/>
        <w:jc w:val="center"/>
        <w:rPr>
          <w:rFonts w:asciiTheme="majorHAnsi" w:hAnsiTheme="majorHAnsi" w:cstheme="majorHAnsi"/>
          <w:iCs/>
          <w:sz w:val="18"/>
          <w:szCs w:val="18"/>
        </w:rPr>
      </w:pPr>
    </w:p>
    <w:p w:rsidR="005B3E26" w:rsidRPr="005B3E26" w:rsidRDefault="00C42BEE" w:rsidP="005B3E26">
      <w:pPr>
        <w:spacing w:after="0" w:line="240" w:lineRule="auto"/>
        <w:jc w:val="center"/>
        <w:rPr>
          <w:rFonts w:asciiTheme="majorHAnsi" w:hAnsiTheme="majorHAnsi" w:cstheme="majorHAnsi"/>
          <w:b/>
          <w:iCs/>
          <w:sz w:val="18"/>
          <w:szCs w:val="18"/>
        </w:rPr>
      </w:pPr>
      <w:r w:rsidRPr="005C174F">
        <w:rPr>
          <w:rFonts w:asciiTheme="majorHAnsi" w:hAnsiTheme="majorHAnsi" w:cstheme="majorHAnsi"/>
          <w:b/>
          <w:iCs/>
          <w:sz w:val="18"/>
          <w:szCs w:val="18"/>
        </w:rPr>
        <w:t>Abstract</w:t>
      </w:r>
    </w:p>
    <w:p w:rsidR="005B3E26" w:rsidRPr="009D26A5" w:rsidRDefault="005B3E26" w:rsidP="005B3E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D26A5">
        <w:rPr>
          <w:rFonts w:asciiTheme="majorHAnsi" w:hAnsiTheme="majorHAnsi" w:cstheme="majorHAnsi"/>
          <w:sz w:val="18"/>
          <w:szCs w:val="18"/>
        </w:rPr>
        <w:t xml:space="preserve">Fruits of </w:t>
      </w:r>
      <w:r w:rsidRPr="009D26A5">
        <w:rPr>
          <w:rFonts w:asciiTheme="majorHAnsi" w:hAnsiTheme="majorHAnsi" w:cstheme="majorHAnsi"/>
          <w:i/>
          <w:sz w:val="18"/>
          <w:szCs w:val="18"/>
        </w:rPr>
        <w:t xml:space="preserve">Orania sylvicola </w:t>
      </w:r>
      <w:r w:rsidRPr="009D26A5">
        <w:rPr>
          <w:rFonts w:asciiTheme="majorHAnsi" w:hAnsiTheme="majorHAnsi" w:cstheme="majorHAnsi"/>
          <w:sz w:val="18"/>
          <w:szCs w:val="18"/>
        </w:rPr>
        <w:t>(Arecaceae) were extracted with methanol and partitioned with chloroform and n-butanol. Investigation of the chloroform and n-butanol partitions by repetitive chromatographic method resulted in the isolation of two known compounds, namely, 5-hydroxy-7,4’-dimethoxyflavone (</w:t>
      </w:r>
      <w:r w:rsidRPr="009D26A5">
        <w:rPr>
          <w:rFonts w:asciiTheme="majorHAnsi" w:hAnsiTheme="majorHAnsi" w:cstheme="majorHAnsi"/>
          <w:b/>
          <w:sz w:val="18"/>
          <w:szCs w:val="18"/>
        </w:rPr>
        <w:t>1</w:t>
      </w:r>
      <w:r w:rsidRPr="009D26A5">
        <w:rPr>
          <w:rFonts w:asciiTheme="majorHAnsi" w:hAnsiTheme="majorHAnsi" w:cstheme="majorHAnsi"/>
          <w:sz w:val="18"/>
          <w:szCs w:val="18"/>
        </w:rPr>
        <w:t>) and 4-hydroxybenzoic acid (</w:t>
      </w:r>
      <w:r w:rsidRPr="009D26A5">
        <w:rPr>
          <w:rFonts w:asciiTheme="majorHAnsi" w:hAnsiTheme="majorHAnsi" w:cstheme="majorHAnsi"/>
          <w:b/>
          <w:sz w:val="18"/>
          <w:szCs w:val="18"/>
        </w:rPr>
        <w:t>2</w:t>
      </w:r>
      <w:r w:rsidRPr="009D26A5">
        <w:rPr>
          <w:rFonts w:asciiTheme="majorHAnsi" w:hAnsiTheme="majorHAnsi" w:cstheme="majorHAnsi"/>
          <w:sz w:val="18"/>
          <w:szCs w:val="18"/>
        </w:rPr>
        <w:t xml:space="preserve">). </w:t>
      </w:r>
      <w:r>
        <w:rPr>
          <w:rFonts w:asciiTheme="majorHAnsi" w:hAnsiTheme="majorHAnsi" w:cstheme="majorHAnsi"/>
          <w:sz w:val="18"/>
          <w:szCs w:val="18"/>
        </w:rPr>
        <w:t xml:space="preserve">Compound </w:t>
      </w:r>
      <w:r w:rsidRPr="00954789">
        <w:rPr>
          <w:rFonts w:asciiTheme="majorHAnsi" w:hAnsiTheme="majorHAnsi" w:cstheme="majorHAnsi"/>
          <w:b/>
          <w:sz w:val="18"/>
          <w:szCs w:val="18"/>
        </w:rPr>
        <w:t>1</w:t>
      </w:r>
      <w:r>
        <w:rPr>
          <w:rFonts w:asciiTheme="majorHAnsi" w:hAnsiTheme="majorHAnsi" w:cstheme="majorHAnsi"/>
          <w:sz w:val="18"/>
          <w:szCs w:val="18"/>
        </w:rPr>
        <w:t xml:space="preserve"> was isolated from chloroform fraction while compound </w:t>
      </w:r>
      <w:r w:rsidRPr="00954789">
        <w:rPr>
          <w:rFonts w:asciiTheme="majorHAnsi" w:hAnsiTheme="majorHAnsi" w:cstheme="majorHAnsi"/>
          <w:b/>
          <w:sz w:val="18"/>
          <w:szCs w:val="18"/>
        </w:rPr>
        <w:t>2</w:t>
      </w:r>
      <w:r>
        <w:rPr>
          <w:rFonts w:asciiTheme="majorHAnsi" w:hAnsiTheme="majorHAnsi" w:cstheme="majorHAnsi"/>
          <w:sz w:val="18"/>
          <w:szCs w:val="18"/>
        </w:rPr>
        <w:t xml:space="preserve"> was presented in n-butanol fraction. </w:t>
      </w:r>
      <w:r w:rsidRPr="009D26A5">
        <w:rPr>
          <w:rFonts w:asciiTheme="majorHAnsi" w:hAnsiTheme="majorHAnsi" w:cstheme="majorHAnsi"/>
          <w:sz w:val="18"/>
          <w:szCs w:val="18"/>
        </w:rPr>
        <w:t>4-hydroxybenzoic acid is the major phenolic compound and has been used as a chemotaxonomic marker for the Arecaceae family. Their structures were elucidated with UV-VIS, IR, NMR (</w:t>
      </w:r>
      <w:r w:rsidRPr="009D26A5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9D26A5">
        <w:rPr>
          <w:rFonts w:asciiTheme="majorHAnsi" w:hAnsiTheme="majorHAnsi" w:cstheme="majorHAnsi"/>
          <w:sz w:val="18"/>
          <w:szCs w:val="18"/>
        </w:rPr>
        <w:t xml:space="preserve">H, </w:t>
      </w:r>
      <w:r w:rsidRPr="009D26A5">
        <w:rPr>
          <w:rFonts w:asciiTheme="majorHAnsi" w:hAnsiTheme="majorHAnsi" w:cstheme="majorHAnsi"/>
          <w:sz w:val="18"/>
          <w:szCs w:val="18"/>
          <w:vertAlign w:val="superscript"/>
        </w:rPr>
        <w:t>13</w:t>
      </w:r>
      <w:r w:rsidRPr="009D26A5">
        <w:rPr>
          <w:rFonts w:asciiTheme="majorHAnsi" w:hAnsiTheme="majorHAnsi" w:cstheme="majorHAnsi"/>
          <w:sz w:val="18"/>
          <w:szCs w:val="18"/>
        </w:rPr>
        <w:t>C, HSQC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  <w:r w:rsidRPr="009D26A5">
        <w:rPr>
          <w:rFonts w:asciiTheme="majorHAnsi" w:hAnsiTheme="majorHAnsi" w:cstheme="majorHAnsi"/>
          <w:sz w:val="18"/>
          <w:szCs w:val="18"/>
        </w:rPr>
        <w:t>HMBC</w:t>
      </w:r>
      <w:r>
        <w:rPr>
          <w:rFonts w:asciiTheme="majorHAnsi" w:hAnsiTheme="majorHAnsi" w:cstheme="majorHAnsi"/>
          <w:sz w:val="18"/>
          <w:szCs w:val="18"/>
        </w:rPr>
        <w:t>, COSY and NOESY</w:t>
      </w:r>
      <w:r w:rsidRPr="009D26A5">
        <w:rPr>
          <w:rFonts w:asciiTheme="majorHAnsi" w:hAnsiTheme="majorHAnsi" w:cstheme="majorHAnsi"/>
          <w:sz w:val="18"/>
          <w:szCs w:val="18"/>
        </w:rPr>
        <w:t>) and MS.</w:t>
      </w:r>
    </w:p>
    <w:p w:rsidR="005B3E26" w:rsidRPr="009047A2" w:rsidRDefault="005B3E26" w:rsidP="00C42BEE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7C7D46" w:rsidRPr="007C7D46" w:rsidRDefault="007C7D46" w:rsidP="003D0404">
      <w:pPr>
        <w:spacing w:after="0" w:line="240" w:lineRule="auto"/>
        <w:jc w:val="center"/>
        <w:rPr>
          <w:rFonts w:asciiTheme="majorHAnsi" w:hAnsiTheme="majorHAnsi" w:cstheme="majorHAnsi"/>
          <w:iCs/>
          <w:sz w:val="18"/>
          <w:szCs w:val="18"/>
        </w:rPr>
      </w:pPr>
    </w:p>
    <w:p w:rsidR="00B47D23" w:rsidRDefault="009047A2" w:rsidP="00C42BEE">
      <w:pPr>
        <w:spacing w:after="0" w:line="240" w:lineRule="auto"/>
        <w:rPr>
          <w:rFonts w:asciiTheme="majorHAnsi" w:hAnsiTheme="majorHAnsi" w:cstheme="majorHAnsi"/>
          <w:iCs/>
          <w:sz w:val="18"/>
          <w:szCs w:val="18"/>
        </w:rPr>
      </w:pPr>
      <w:r>
        <w:rPr>
          <w:rFonts w:asciiTheme="majorHAnsi" w:hAnsiTheme="majorHAnsi" w:cstheme="majorHAnsi"/>
          <w:b/>
          <w:iCs/>
          <w:sz w:val="18"/>
          <w:szCs w:val="18"/>
        </w:rPr>
        <w:t>Keywords</w:t>
      </w:r>
      <w:r w:rsidR="00BC4DD6" w:rsidRPr="009047A2">
        <w:rPr>
          <w:rFonts w:asciiTheme="majorHAnsi" w:hAnsiTheme="majorHAnsi" w:cstheme="majorHAnsi"/>
          <w:b/>
          <w:iCs/>
          <w:sz w:val="18"/>
          <w:szCs w:val="18"/>
        </w:rPr>
        <w:t>:</w:t>
      </w:r>
      <w:r w:rsidR="00BC4DD6" w:rsidRPr="009D26A5">
        <w:rPr>
          <w:rFonts w:asciiTheme="majorHAnsi" w:hAnsiTheme="majorHAnsi" w:cstheme="majorHAnsi"/>
          <w:iCs/>
          <w:sz w:val="18"/>
          <w:szCs w:val="18"/>
        </w:rPr>
        <w:t xml:space="preserve"> Arecaceae, </w:t>
      </w:r>
      <w:r w:rsidR="00BC4DD6" w:rsidRPr="009D26A5">
        <w:rPr>
          <w:rFonts w:asciiTheme="majorHAnsi" w:hAnsiTheme="majorHAnsi" w:cstheme="majorHAnsi"/>
          <w:i/>
          <w:iCs/>
          <w:sz w:val="18"/>
          <w:szCs w:val="18"/>
        </w:rPr>
        <w:t>Orania sylvicola</w:t>
      </w:r>
      <w:r w:rsidR="00BC4DD6" w:rsidRPr="009D26A5">
        <w:rPr>
          <w:rFonts w:asciiTheme="majorHAnsi" w:hAnsiTheme="majorHAnsi" w:cstheme="majorHAnsi"/>
          <w:iCs/>
          <w:sz w:val="18"/>
          <w:szCs w:val="18"/>
        </w:rPr>
        <w:t>, 4-hydroxybenzoic acid, 5-hydroxy-7,4’-dimethoxyflavone</w:t>
      </w:r>
    </w:p>
    <w:p w:rsidR="005C174F" w:rsidRPr="009D26A5" w:rsidRDefault="005C174F" w:rsidP="00B30FAD">
      <w:pPr>
        <w:spacing w:after="0" w:line="240" w:lineRule="auto"/>
        <w:jc w:val="center"/>
        <w:rPr>
          <w:rFonts w:asciiTheme="majorHAnsi" w:hAnsiTheme="majorHAnsi" w:cstheme="majorHAnsi"/>
          <w:iCs/>
          <w:sz w:val="18"/>
          <w:szCs w:val="18"/>
        </w:rPr>
      </w:pPr>
    </w:p>
    <w:p w:rsidR="00C42BEE" w:rsidRPr="009D26A5" w:rsidRDefault="00C42BEE" w:rsidP="00C42BEE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  <w:r w:rsidRPr="005C174F">
        <w:rPr>
          <w:rFonts w:asciiTheme="majorHAnsi" w:hAnsiTheme="majorHAnsi" w:cstheme="majorHAnsi"/>
          <w:b/>
          <w:sz w:val="18"/>
          <w:szCs w:val="18"/>
        </w:rPr>
        <w:t xml:space="preserve">Abstrak </w:t>
      </w:r>
    </w:p>
    <w:p w:rsidR="005B3E26" w:rsidRPr="009D26A5" w:rsidRDefault="005B3E26" w:rsidP="005B3E26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9D26A5">
        <w:rPr>
          <w:rFonts w:asciiTheme="majorHAnsi" w:hAnsiTheme="majorHAnsi" w:cstheme="majorHAnsi"/>
          <w:sz w:val="18"/>
          <w:szCs w:val="18"/>
        </w:rPr>
        <w:t xml:space="preserve">Buah </w:t>
      </w:r>
      <w:r w:rsidRPr="009D26A5">
        <w:rPr>
          <w:rFonts w:asciiTheme="majorHAnsi" w:hAnsiTheme="majorHAnsi" w:cstheme="majorHAnsi"/>
          <w:i/>
          <w:sz w:val="18"/>
          <w:szCs w:val="18"/>
        </w:rPr>
        <w:t>Orania sylvicola</w:t>
      </w:r>
      <w:r w:rsidRPr="009D26A5">
        <w:rPr>
          <w:rFonts w:asciiTheme="majorHAnsi" w:hAnsiTheme="majorHAnsi" w:cstheme="majorHAnsi"/>
          <w:sz w:val="18"/>
          <w:szCs w:val="18"/>
        </w:rPr>
        <w:t xml:space="preserve"> (Arecaceae) diekstrak menggunakan metanol dan dipartisikan kepada bahagian kloroform dan n-butanol. Kajian ke atas partisi kloroform dan n-butanol dengan kaedah kromatografi yang berulangan telah menemui dua sebatian yang diketahui, iaitu 5-hidroksi-7,4’-dimetoksiflavon </w:t>
      </w:r>
      <w:r w:rsidRPr="009D26A5">
        <w:rPr>
          <w:rFonts w:asciiTheme="majorHAnsi" w:hAnsiTheme="majorHAnsi" w:cstheme="majorHAnsi"/>
          <w:b/>
          <w:sz w:val="18"/>
          <w:szCs w:val="18"/>
        </w:rPr>
        <w:t>(1</w:t>
      </w:r>
      <w:r w:rsidRPr="009D26A5">
        <w:rPr>
          <w:rFonts w:asciiTheme="majorHAnsi" w:hAnsiTheme="majorHAnsi" w:cstheme="majorHAnsi"/>
          <w:sz w:val="18"/>
          <w:szCs w:val="18"/>
        </w:rPr>
        <w:t>) dan asid 4-hidroksibenzoik (</w:t>
      </w:r>
      <w:r w:rsidRPr="009D26A5">
        <w:rPr>
          <w:rFonts w:asciiTheme="majorHAnsi" w:hAnsiTheme="majorHAnsi" w:cstheme="majorHAnsi"/>
          <w:b/>
          <w:sz w:val="18"/>
          <w:szCs w:val="18"/>
        </w:rPr>
        <w:t>2</w:t>
      </w:r>
      <w:r w:rsidRPr="009D26A5">
        <w:rPr>
          <w:rFonts w:asciiTheme="majorHAnsi" w:hAnsiTheme="majorHAnsi" w:cstheme="majorHAnsi"/>
          <w:sz w:val="18"/>
          <w:szCs w:val="18"/>
        </w:rPr>
        <w:t xml:space="preserve">). </w:t>
      </w:r>
      <w:r>
        <w:rPr>
          <w:rFonts w:asciiTheme="majorHAnsi" w:hAnsiTheme="majorHAnsi" w:cstheme="majorHAnsi"/>
          <w:sz w:val="18"/>
          <w:szCs w:val="18"/>
        </w:rPr>
        <w:t xml:space="preserve">Sebatian </w:t>
      </w:r>
      <w:r w:rsidRPr="00954789">
        <w:rPr>
          <w:rFonts w:asciiTheme="majorHAnsi" w:hAnsiTheme="majorHAnsi" w:cstheme="majorHAnsi"/>
          <w:b/>
          <w:sz w:val="18"/>
          <w:szCs w:val="18"/>
        </w:rPr>
        <w:t>1</w:t>
      </w:r>
      <w:r>
        <w:rPr>
          <w:rFonts w:asciiTheme="majorHAnsi" w:hAnsiTheme="majorHAnsi" w:cstheme="majorHAnsi"/>
          <w:sz w:val="18"/>
          <w:szCs w:val="18"/>
        </w:rPr>
        <w:t xml:space="preserve"> dipencilkan daripada fraksi kloroform manakala s</w:t>
      </w:r>
      <w:r w:rsidRPr="009D26A5">
        <w:rPr>
          <w:rFonts w:asciiTheme="majorHAnsi" w:hAnsiTheme="majorHAnsi" w:cstheme="majorHAnsi"/>
          <w:sz w:val="18"/>
          <w:szCs w:val="18"/>
        </w:rPr>
        <w:t xml:space="preserve">ebatian </w:t>
      </w:r>
      <w:r w:rsidRPr="009D26A5">
        <w:rPr>
          <w:rFonts w:asciiTheme="majorHAnsi" w:hAnsiTheme="majorHAnsi" w:cstheme="majorHAnsi"/>
          <w:b/>
          <w:sz w:val="18"/>
          <w:szCs w:val="18"/>
        </w:rPr>
        <w:t>2</w:t>
      </w:r>
      <w:r w:rsidRPr="009D26A5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hadir di dalam fraksi n-butanol. A</w:t>
      </w:r>
      <w:r w:rsidRPr="009D26A5">
        <w:rPr>
          <w:rFonts w:asciiTheme="majorHAnsi" w:hAnsiTheme="majorHAnsi" w:cstheme="majorHAnsi"/>
          <w:sz w:val="18"/>
          <w:szCs w:val="18"/>
        </w:rPr>
        <w:t xml:space="preserve">sid 4-hidroksibenzoik </w:t>
      </w:r>
      <w:r>
        <w:rPr>
          <w:rFonts w:asciiTheme="majorHAnsi" w:hAnsiTheme="majorHAnsi" w:cstheme="majorHAnsi"/>
          <w:sz w:val="18"/>
          <w:szCs w:val="18"/>
        </w:rPr>
        <w:t>ialah sebatian fenol yang utama dan</w:t>
      </w:r>
      <w:r w:rsidRPr="009D26A5">
        <w:rPr>
          <w:rFonts w:asciiTheme="majorHAnsi" w:hAnsiTheme="majorHAnsi" w:cstheme="majorHAnsi"/>
          <w:sz w:val="18"/>
          <w:szCs w:val="18"/>
        </w:rPr>
        <w:t xml:space="preserve"> bertindak sebagai penanda kemotaksonomi bagi famili Arecaceae. Struktur sebatian ini dikenal pasti melalui UV-VIS, IM, RMN (</w:t>
      </w:r>
      <w:r w:rsidRPr="009D26A5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9D26A5">
        <w:rPr>
          <w:rFonts w:asciiTheme="majorHAnsi" w:hAnsiTheme="majorHAnsi" w:cstheme="majorHAnsi"/>
          <w:sz w:val="18"/>
          <w:szCs w:val="18"/>
        </w:rPr>
        <w:t xml:space="preserve">H, </w:t>
      </w:r>
      <w:r w:rsidRPr="009D26A5">
        <w:rPr>
          <w:rFonts w:asciiTheme="majorHAnsi" w:hAnsiTheme="majorHAnsi" w:cstheme="majorHAnsi"/>
          <w:sz w:val="18"/>
          <w:szCs w:val="18"/>
          <w:vertAlign w:val="superscript"/>
        </w:rPr>
        <w:t>13</w:t>
      </w:r>
      <w:r w:rsidRPr="009D26A5">
        <w:rPr>
          <w:rFonts w:asciiTheme="majorHAnsi" w:hAnsiTheme="majorHAnsi" w:cstheme="majorHAnsi"/>
          <w:sz w:val="18"/>
          <w:szCs w:val="18"/>
        </w:rPr>
        <w:t>C, HSQC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  <w:r w:rsidRPr="009D26A5">
        <w:rPr>
          <w:rFonts w:asciiTheme="majorHAnsi" w:hAnsiTheme="majorHAnsi" w:cstheme="majorHAnsi"/>
          <w:sz w:val="18"/>
          <w:szCs w:val="18"/>
        </w:rPr>
        <w:t>HMBC</w:t>
      </w:r>
      <w:r>
        <w:rPr>
          <w:rFonts w:asciiTheme="majorHAnsi" w:hAnsiTheme="majorHAnsi" w:cstheme="majorHAnsi"/>
          <w:sz w:val="18"/>
          <w:szCs w:val="18"/>
        </w:rPr>
        <w:t>, COSY and NOESY</w:t>
      </w:r>
      <w:r w:rsidRPr="009D26A5">
        <w:rPr>
          <w:rFonts w:asciiTheme="majorHAnsi" w:hAnsiTheme="majorHAnsi" w:cstheme="majorHAnsi"/>
          <w:sz w:val="18"/>
          <w:szCs w:val="18"/>
        </w:rPr>
        <w:t>) dan JM.</w:t>
      </w:r>
    </w:p>
    <w:p w:rsidR="005B3E26" w:rsidRPr="009047A2" w:rsidRDefault="005B3E26" w:rsidP="00C42BEE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</w:p>
    <w:p w:rsidR="007C7D46" w:rsidRDefault="007C7D46" w:rsidP="003D0404">
      <w:pPr>
        <w:spacing w:after="0" w:line="240" w:lineRule="auto"/>
        <w:jc w:val="center"/>
        <w:rPr>
          <w:rFonts w:asciiTheme="majorHAnsi" w:hAnsiTheme="majorHAnsi" w:cstheme="majorHAnsi"/>
          <w:iCs/>
          <w:sz w:val="18"/>
          <w:szCs w:val="18"/>
        </w:rPr>
      </w:pPr>
    </w:p>
    <w:p w:rsidR="007C7D46" w:rsidRDefault="005C174F" w:rsidP="00C42BEE">
      <w:pPr>
        <w:spacing w:after="0" w:line="240" w:lineRule="auto"/>
        <w:rPr>
          <w:rFonts w:asciiTheme="majorHAnsi" w:hAnsiTheme="majorHAnsi" w:cstheme="majorHAnsi"/>
          <w:iCs/>
          <w:sz w:val="18"/>
          <w:szCs w:val="18"/>
        </w:rPr>
      </w:pPr>
      <w:r w:rsidRPr="009047A2">
        <w:rPr>
          <w:rFonts w:asciiTheme="majorHAnsi" w:hAnsiTheme="majorHAnsi" w:cstheme="majorHAnsi"/>
          <w:b/>
          <w:iCs/>
          <w:sz w:val="18"/>
          <w:szCs w:val="18"/>
        </w:rPr>
        <w:t>Kata kunci</w:t>
      </w:r>
      <w:r w:rsidRPr="009D26A5">
        <w:rPr>
          <w:rFonts w:asciiTheme="majorHAnsi" w:hAnsiTheme="majorHAnsi" w:cstheme="majorHAnsi"/>
          <w:iCs/>
          <w:sz w:val="18"/>
          <w:szCs w:val="18"/>
        </w:rPr>
        <w:t xml:space="preserve">: Arecaceae, </w:t>
      </w:r>
      <w:r w:rsidRPr="009D26A5">
        <w:rPr>
          <w:rFonts w:asciiTheme="majorHAnsi" w:hAnsiTheme="majorHAnsi" w:cstheme="majorHAnsi"/>
          <w:i/>
          <w:iCs/>
          <w:sz w:val="18"/>
          <w:szCs w:val="18"/>
        </w:rPr>
        <w:t>Orania sylvicola</w:t>
      </w:r>
      <w:r w:rsidRPr="009D26A5">
        <w:rPr>
          <w:rFonts w:asciiTheme="majorHAnsi" w:hAnsiTheme="majorHAnsi" w:cstheme="majorHAnsi"/>
          <w:iCs/>
          <w:sz w:val="18"/>
          <w:szCs w:val="18"/>
        </w:rPr>
        <w:t>, asid 4-hidroksibenzoik, 5-hidroksi-7,4’-dimetoksiflavon</w:t>
      </w:r>
    </w:p>
    <w:p w:rsidR="005C174F" w:rsidRDefault="005C174F" w:rsidP="003D0404">
      <w:pPr>
        <w:spacing w:after="0" w:line="240" w:lineRule="auto"/>
        <w:jc w:val="center"/>
        <w:rPr>
          <w:rFonts w:asciiTheme="majorHAnsi" w:hAnsiTheme="majorHAnsi" w:cstheme="majorHAnsi"/>
          <w:sz w:val="18"/>
          <w:szCs w:val="18"/>
        </w:rPr>
      </w:pPr>
    </w:p>
    <w:p w:rsidR="00A8728A" w:rsidRPr="009D26A5" w:rsidRDefault="00A8728A" w:rsidP="003D0404">
      <w:p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  <w:sectPr w:rsidR="00A8728A" w:rsidRPr="009D26A5" w:rsidSect="000B6503">
          <w:type w:val="continuous"/>
          <w:pgSz w:w="11907" w:h="16839" w:code="9"/>
          <w:pgMar w:top="1985" w:right="1418" w:bottom="2381" w:left="1418" w:header="709" w:footer="709" w:gutter="0"/>
          <w:cols w:space="708"/>
          <w:docGrid w:linePitch="360"/>
        </w:sectPr>
      </w:pPr>
    </w:p>
    <w:p w:rsidR="005C174F" w:rsidRDefault="005C174F" w:rsidP="003D0404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155F25" w:rsidRPr="009D26A5" w:rsidRDefault="00CA2B2E" w:rsidP="00155F25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Introduction</w:t>
      </w:r>
    </w:p>
    <w:p w:rsidR="004A7B4D" w:rsidRPr="00387A14" w:rsidRDefault="00A057AE" w:rsidP="002B192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131413"/>
          <w:sz w:val="20"/>
          <w:szCs w:val="20"/>
        </w:rPr>
      </w:pPr>
      <w:r w:rsidRPr="00387A14">
        <w:rPr>
          <w:rFonts w:cstheme="minorHAnsi"/>
          <w:i/>
          <w:sz w:val="20"/>
          <w:szCs w:val="20"/>
        </w:rPr>
        <w:t>Orania</w:t>
      </w:r>
      <w:r w:rsidRPr="00387A14">
        <w:rPr>
          <w:rFonts w:cstheme="minorHAnsi"/>
          <w:sz w:val="20"/>
          <w:szCs w:val="20"/>
        </w:rPr>
        <w:t xml:space="preserve">, genus from family </w:t>
      </w:r>
      <w:r w:rsidR="00CA2B2E" w:rsidRPr="00387A14">
        <w:rPr>
          <w:rFonts w:cstheme="minorHAnsi"/>
          <w:sz w:val="20"/>
          <w:szCs w:val="20"/>
        </w:rPr>
        <w:t>Arecaceae</w:t>
      </w:r>
      <w:r w:rsidRPr="00387A14">
        <w:rPr>
          <w:rFonts w:cstheme="minorHAnsi"/>
          <w:sz w:val="20"/>
          <w:szCs w:val="20"/>
        </w:rPr>
        <w:t xml:space="preserve"> (palm tree) </w:t>
      </w:r>
      <w:r w:rsidR="00CA2B2E" w:rsidRPr="00387A14">
        <w:rPr>
          <w:rFonts w:cstheme="minorHAnsi"/>
          <w:sz w:val="20"/>
          <w:szCs w:val="20"/>
        </w:rPr>
        <w:t>have been identified</w:t>
      </w:r>
      <w:r w:rsidR="00ED3056" w:rsidRPr="00387A14">
        <w:rPr>
          <w:rFonts w:cstheme="minorHAnsi"/>
          <w:sz w:val="20"/>
          <w:szCs w:val="20"/>
        </w:rPr>
        <w:t xml:space="preserve"> previously as </w:t>
      </w:r>
      <w:r w:rsidR="00DB7E10" w:rsidRPr="00387A14">
        <w:rPr>
          <w:rFonts w:cstheme="minorHAnsi"/>
          <w:sz w:val="20"/>
          <w:szCs w:val="20"/>
        </w:rPr>
        <w:t>consisting</w:t>
      </w:r>
      <w:r w:rsidR="00ED3056" w:rsidRPr="00387A14">
        <w:rPr>
          <w:rFonts w:cstheme="minorHAnsi"/>
          <w:sz w:val="20"/>
          <w:szCs w:val="20"/>
        </w:rPr>
        <w:t xml:space="preserve"> of </w:t>
      </w:r>
      <w:r w:rsidR="00100844" w:rsidRPr="00387A14">
        <w:rPr>
          <w:rFonts w:cstheme="minorHAnsi"/>
          <w:sz w:val="20"/>
          <w:szCs w:val="20"/>
        </w:rPr>
        <w:t>28</w:t>
      </w:r>
      <w:r w:rsidR="00ED3056" w:rsidRPr="00387A14">
        <w:rPr>
          <w:rFonts w:cstheme="minorHAnsi"/>
          <w:sz w:val="20"/>
          <w:szCs w:val="20"/>
        </w:rPr>
        <w:t xml:space="preserve"> species</w:t>
      </w:r>
      <w:r w:rsidR="00100844" w:rsidRPr="00387A14">
        <w:rPr>
          <w:rFonts w:cstheme="minorHAnsi"/>
          <w:sz w:val="20"/>
          <w:szCs w:val="20"/>
        </w:rPr>
        <w:t xml:space="preserve"> </w:t>
      </w:r>
      <w:r w:rsidR="000F67F6" w:rsidRPr="00387A14">
        <w:rPr>
          <w:rFonts w:eastAsia="AdvGulliv-R" w:cstheme="minorHAnsi"/>
          <w:sz w:val="20"/>
          <w:szCs w:val="20"/>
        </w:rPr>
        <w:t>[</w:t>
      </w:r>
      <w:r w:rsidR="009047A2" w:rsidRPr="00387A14">
        <w:rPr>
          <w:rFonts w:eastAsia="AdvGulliv-R" w:cstheme="minorHAnsi"/>
          <w:sz w:val="20"/>
          <w:szCs w:val="20"/>
        </w:rPr>
        <w:t>1</w:t>
      </w:r>
      <w:r w:rsidR="000F67F6" w:rsidRPr="00387A14">
        <w:rPr>
          <w:rFonts w:eastAsia="AdvGulliv-R" w:cstheme="minorHAnsi"/>
          <w:sz w:val="20"/>
          <w:szCs w:val="20"/>
        </w:rPr>
        <w:t xml:space="preserve">]. </w:t>
      </w:r>
      <w:r w:rsidR="004D13BC" w:rsidRPr="00387A14">
        <w:rPr>
          <w:rFonts w:cstheme="minorHAnsi"/>
          <w:sz w:val="20"/>
          <w:szCs w:val="20"/>
        </w:rPr>
        <w:t>Most</w:t>
      </w:r>
      <w:r w:rsidR="00CA2B2E" w:rsidRPr="00387A14">
        <w:rPr>
          <w:rFonts w:cstheme="minorHAnsi"/>
          <w:sz w:val="20"/>
          <w:szCs w:val="20"/>
        </w:rPr>
        <w:t xml:space="preserve"> of </w:t>
      </w:r>
      <w:r w:rsidR="004D13BC" w:rsidRPr="00387A14">
        <w:rPr>
          <w:rFonts w:cstheme="minorHAnsi"/>
          <w:sz w:val="20"/>
          <w:szCs w:val="20"/>
        </w:rPr>
        <w:t xml:space="preserve">the </w:t>
      </w:r>
      <w:r w:rsidR="00CA2B2E" w:rsidRPr="00387A14">
        <w:rPr>
          <w:rFonts w:cstheme="minorHAnsi"/>
          <w:sz w:val="20"/>
          <w:szCs w:val="20"/>
        </w:rPr>
        <w:t xml:space="preserve">species in genus </w:t>
      </w:r>
      <w:r w:rsidR="00CA2B2E" w:rsidRPr="00387A14">
        <w:rPr>
          <w:rFonts w:cstheme="minorHAnsi"/>
          <w:i/>
          <w:sz w:val="20"/>
          <w:szCs w:val="20"/>
        </w:rPr>
        <w:t>Orania</w:t>
      </w:r>
      <w:r w:rsidR="00CA2B2E" w:rsidRPr="00387A14">
        <w:rPr>
          <w:rFonts w:cstheme="minorHAnsi"/>
          <w:sz w:val="20"/>
          <w:szCs w:val="20"/>
        </w:rPr>
        <w:t xml:space="preserve"> </w:t>
      </w:r>
      <w:r w:rsidR="004D13BC" w:rsidRPr="00387A14">
        <w:rPr>
          <w:rFonts w:cstheme="minorHAnsi"/>
          <w:sz w:val="20"/>
          <w:szCs w:val="20"/>
        </w:rPr>
        <w:t xml:space="preserve">show a </w:t>
      </w:r>
      <w:r w:rsidR="00CA2B2E" w:rsidRPr="00387A14">
        <w:rPr>
          <w:rFonts w:cstheme="minorHAnsi"/>
          <w:sz w:val="20"/>
          <w:szCs w:val="20"/>
        </w:rPr>
        <w:t xml:space="preserve">robust canopy </w:t>
      </w:r>
      <w:r w:rsidR="004D13BC" w:rsidRPr="00387A14">
        <w:rPr>
          <w:rFonts w:cstheme="minorHAnsi"/>
          <w:sz w:val="20"/>
          <w:szCs w:val="20"/>
        </w:rPr>
        <w:t>while</w:t>
      </w:r>
      <w:r w:rsidR="00CA2B2E" w:rsidRPr="00387A14">
        <w:rPr>
          <w:rFonts w:cstheme="minorHAnsi"/>
          <w:sz w:val="20"/>
          <w:szCs w:val="20"/>
        </w:rPr>
        <w:t xml:space="preserve"> a few</w:t>
      </w:r>
      <w:r w:rsidR="00FA4DE9" w:rsidRPr="00387A14">
        <w:rPr>
          <w:rFonts w:cstheme="minorHAnsi"/>
          <w:sz w:val="20"/>
          <w:szCs w:val="20"/>
        </w:rPr>
        <w:t xml:space="preserve"> </w:t>
      </w:r>
      <w:r w:rsidR="004D13BC" w:rsidRPr="00387A14">
        <w:rPr>
          <w:rFonts w:cstheme="minorHAnsi"/>
          <w:sz w:val="20"/>
          <w:szCs w:val="20"/>
        </w:rPr>
        <w:t xml:space="preserve">exist </w:t>
      </w:r>
      <w:r w:rsidR="00ED3056" w:rsidRPr="00387A14">
        <w:rPr>
          <w:rFonts w:cstheme="minorHAnsi"/>
          <w:sz w:val="20"/>
          <w:szCs w:val="20"/>
        </w:rPr>
        <w:t>as a small understory palm, d</w:t>
      </w:r>
      <w:r w:rsidR="00CA2B2E" w:rsidRPr="00387A14">
        <w:rPr>
          <w:rFonts w:cstheme="minorHAnsi"/>
          <w:sz w:val="20"/>
          <w:szCs w:val="20"/>
        </w:rPr>
        <w:t xml:space="preserve">istributed from Malaysia to </w:t>
      </w:r>
      <w:r w:rsidR="004D13BC" w:rsidRPr="00387A14">
        <w:rPr>
          <w:rFonts w:cstheme="minorHAnsi"/>
          <w:sz w:val="20"/>
          <w:szCs w:val="20"/>
        </w:rPr>
        <w:t xml:space="preserve">the </w:t>
      </w:r>
      <w:r w:rsidR="0065320C" w:rsidRPr="00387A14">
        <w:rPr>
          <w:rFonts w:cstheme="minorHAnsi"/>
          <w:sz w:val="20"/>
          <w:szCs w:val="20"/>
        </w:rPr>
        <w:t xml:space="preserve">Philippines, New Guinea, </w:t>
      </w:r>
      <w:r w:rsidR="00CA2B2E" w:rsidRPr="00387A14">
        <w:rPr>
          <w:rFonts w:cstheme="minorHAnsi"/>
          <w:sz w:val="20"/>
          <w:szCs w:val="20"/>
        </w:rPr>
        <w:t>Australia</w:t>
      </w:r>
      <w:r w:rsidR="00F13328" w:rsidRPr="00387A14">
        <w:rPr>
          <w:rFonts w:cstheme="minorHAnsi"/>
          <w:sz w:val="20"/>
          <w:szCs w:val="20"/>
        </w:rPr>
        <w:t>,</w:t>
      </w:r>
      <w:r w:rsidR="0065320C" w:rsidRPr="00387A14">
        <w:rPr>
          <w:rFonts w:cstheme="minorHAnsi"/>
          <w:sz w:val="20"/>
          <w:szCs w:val="20"/>
        </w:rPr>
        <w:t xml:space="preserve"> Indonesia and West Irian</w:t>
      </w:r>
      <w:r w:rsidR="00CA2B2E" w:rsidRPr="00387A14">
        <w:rPr>
          <w:rFonts w:cstheme="minorHAnsi"/>
          <w:sz w:val="20"/>
          <w:szCs w:val="20"/>
        </w:rPr>
        <w:t xml:space="preserve">, but </w:t>
      </w:r>
      <w:r w:rsidR="00FA4DE9" w:rsidRPr="00387A14">
        <w:rPr>
          <w:rFonts w:cstheme="minorHAnsi"/>
          <w:sz w:val="20"/>
          <w:szCs w:val="20"/>
        </w:rPr>
        <w:t>mostly</w:t>
      </w:r>
      <w:r w:rsidR="00CA2B2E" w:rsidRPr="00387A14">
        <w:rPr>
          <w:rFonts w:cstheme="minorHAnsi"/>
          <w:sz w:val="20"/>
          <w:szCs w:val="20"/>
        </w:rPr>
        <w:t xml:space="preserve"> </w:t>
      </w:r>
      <w:r w:rsidR="00ED3056" w:rsidRPr="00387A14">
        <w:rPr>
          <w:rFonts w:cstheme="minorHAnsi"/>
          <w:sz w:val="20"/>
          <w:szCs w:val="20"/>
        </w:rPr>
        <w:t xml:space="preserve">it </w:t>
      </w:r>
      <w:r w:rsidR="004D13BC" w:rsidRPr="00387A14">
        <w:rPr>
          <w:rFonts w:cstheme="minorHAnsi"/>
          <w:sz w:val="20"/>
          <w:szCs w:val="20"/>
        </w:rPr>
        <w:t>is</w:t>
      </w:r>
      <w:r w:rsidR="00ED3056" w:rsidRPr="00387A14">
        <w:rPr>
          <w:rFonts w:cstheme="minorHAnsi"/>
          <w:sz w:val="20"/>
          <w:szCs w:val="20"/>
        </w:rPr>
        <w:t xml:space="preserve"> </w:t>
      </w:r>
      <w:r w:rsidR="00FA4DE9" w:rsidRPr="00387A14">
        <w:rPr>
          <w:rFonts w:cstheme="minorHAnsi"/>
          <w:sz w:val="20"/>
          <w:szCs w:val="20"/>
        </w:rPr>
        <w:t xml:space="preserve">found </w:t>
      </w:r>
      <w:r w:rsidR="00CA2B2E" w:rsidRPr="00387A14">
        <w:rPr>
          <w:rFonts w:cstheme="minorHAnsi"/>
          <w:sz w:val="20"/>
          <w:szCs w:val="20"/>
        </w:rPr>
        <w:t>in New Guinea</w:t>
      </w:r>
      <w:r w:rsidR="0065320C" w:rsidRPr="00387A14">
        <w:rPr>
          <w:rFonts w:cstheme="minorHAnsi"/>
          <w:sz w:val="20"/>
          <w:szCs w:val="20"/>
        </w:rPr>
        <w:t xml:space="preserve"> </w:t>
      </w:r>
      <w:r w:rsidR="009047A2" w:rsidRPr="00387A14">
        <w:rPr>
          <w:rFonts w:eastAsia="AdvGulliv-R" w:cstheme="minorHAnsi"/>
          <w:sz w:val="20"/>
          <w:szCs w:val="20"/>
        </w:rPr>
        <w:t>[2</w:t>
      </w:r>
      <w:r w:rsidR="0065320C" w:rsidRPr="00387A14">
        <w:rPr>
          <w:rFonts w:eastAsia="AdvGulliv-R" w:cstheme="minorHAnsi"/>
          <w:sz w:val="20"/>
          <w:szCs w:val="20"/>
        </w:rPr>
        <w:t>]</w:t>
      </w:r>
      <w:r w:rsidR="00CA2B2E" w:rsidRPr="00387A14">
        <w:rPr>
          <w:rFonts w:cstheme="minorHAnsi"/>
          <w:sz w:val="20"/>
          <w:szCs w:val="20"/>
        </w:rPr>
        <w:t xml:space="preserve">. </w:t>
      </w:r>
      <w:r w:rsidR="0093440B" w:rsidRPr="00387A14">
        <w:rPr>
          <w:rFonts w:cstheme="minorHAnsi"/>
          <w:i/>
          <w:sz w:val="20"/>
          <w:szCs w:val="20"/>
        </w:rPr>
        <w:t>O</w:t>
      </w:r>
      <w:r w:rsidR="000934A8" w:rsidRPr="00387A14">
        <w:rPr>
          <w:rFonts w:cstheme="minorHAnsi"/>
          <w:i/>
          <w:sz w:val="20"/>
          <w:szCs w:val="20"/>
        </w:rPr>
        <w:t>rania</w:t>
      </w:r>
      <w:r w:rsidR="000934A8" w:rsidRPr="00387A14">
        <w:rPr>
          <w:rFonts w:cstheme="minorHAnsi"/>
          <w:sz w:val="20"/>
          <w:szCs w:val="20"/>
        </w:rPr>
        <w:t xml:space="preserve"> species </w:t>
      </w:r>
      <w:r w:rsidR="0065320C" w:rsidRPr="00387A14">
        <w:rPr>
          <w:rFonts w:cstheme="minorHAnsi"/>
          <w:color w:val="131413"/>
          <w:sz w:val="20"/>
          <w:szCs w:val="20"/>
        </w:rPr>
        <w:t>can be found</w:t>
      </w:r>
      <w:r w:rsidR="002B1924" w:rsidRPr="00387A14">
        <w:rPr>
          <w:rFonts w:cstheme="minorHAnsi"/>
          <w:color w:val="131413"/>
          <w:sz w:val="20"/>
          <w:szCs w:val="20"/>
        </w:rPr>
        <w:t xml:space="preserve"> </w:t>
      </w:r>
      <w:r w:rsidR="00983593" w:rsidRPr="00387A14">
        <w:rPr>
          <w:rFonts w:cstheme="minorHAnsi"/>
          <w:color w:val="131413"/>
          <w:sz w:val="20"/>
          <w:szCs w:val="20"/>
        </w:rPr>
        <w:t>at</w:t>
      </w:r>
      <w:r w:rsidR="002B1924" w:rsidRPr="00387A14">
        <w:rPr>
          <w:rFonts w:cstheme="minorHAnsi"/>
          <w:color w:val="131413"/>
          <w:sz w:val="20"/>
          <w:szCs w:val="20"/>
        </w:rPr>
        <w:t xml:space="preserve"> lowland coastal swampy heath forest about 10 m above sea level </w:t>
      </w:r>
      <w:r w:rsidR="00983593" w:rsidRPr="00387A14">
        <w:rPr>
          <w:rFonts w:cstheme="minorHAnsi"/>
          <w:color w:val="131413"/>
          <w:sz w:val="20"/>
          <w:szCs w:val="20"/>
        </w:rPr>
        <w:t xml:space="preserve">and </w:t>
      </w:r>
      <w:r w:rsidR="002B1924" w:rsidRPr="00387A14">
        <w:rPr>
          <w:rFonts w:cstheme="minorHAnsi"/>
          <w:color w:val="131413"/>
          <w:sz w:val="20"/>
          <w:szCs w:val="20"/>
        </w:rPr>
        <w:t xml:space="preserve">highland tropical humid rainforest about 1220 m </w:t>
      </w:r>
      <w:r w:rsidR="00983593" w:rsidRPr="00387A14">
        <w:rPr>
          <w:rFonts w:cstheme="minorHAnsi"/>
          <w:color w:val="131413"/>
          <w:sz w:val="20"/>
          <w:szCs w:val="20"/>
        </w:rPr>
        <w:t xml:space="preserve">above sea level </w:t>
      </w:r>
      <w:r w:rsidR="002B1924" w:rsidRPr="00387A14">
        <w:rPr>
          <w:rFonts w:eastAsia="AdvGulliv-R" w:cstheme="minorHAnsi"/>
          <w:sz w:val="20"/>
          <w:szCs w:val="20"/>
        </w:rPr>
        <w:t>[</w:t>
      </w:r>
      <w:r w:rsidR="009047A2" w:rsidRPr="00387A14">
        <w:rPr>
          <w:rFonts w:eastAsia="AdvGulliv-R" w:cstheme="minorHAnsi"/>
          <w:sz w:val="20"/>
          <w:szCs w:val="20"/>
        </w:rPr>
        <w:t>1</w:t>
      </w:r>
      <w:r w:rsidR="002B1924" w:rsidRPr="00387A14">
        <w:rPr>
          <w:rFonts w:eastAsia="AdvGulliv-R" w:cstheme="minorHAnsi"/>
          <w:sz w:val="20"/>
          <w:szCs w:val="20"/>
        </w:rPr>
        <w:t>]</w:t>
      </w:r>
      <w:r w:rsidR="002B1924" w:rsidRPr="00387A14">
        <w:rPr>
          <w:rFonts w:cstheme="minorHAnsi"/>
          <w:color w:val="131413"/>
          <w:sz w:val="20"/>
          <w:szCs w:val="20"/>
        </w:rPr>
        <w:t>.</w:t>
      </w:r>
      <w:r w:rsidR="002B1924" w:rsidRPr="00387A14">
        <w:rPr>
          <w:rFonts w:cstheme="minorHAnsi"/>
          <w:color w:val="FF0000"/>
          <w:sz w:val="20"/>
          <w:szCs w:val="20"/>
        </w:rPr>
        <w:t xml:space="preserve"> </w:t>
      </w:r>
      <w:r w:rsidR="002B1924" w:rsidRPr="00387A14">
        <w:rPr>
          <w:rFonts w:cstheme="minorHAnsi"/>
          <w:sz w:val="20"/>
          <w:szCs w:val="20"/>
        </w:rPr>
        <w:t>T</w:t>
      </w:r>
      <w:r w:rsidR="00CA2B2E" w:rsidRPr="00387A14">
        <w:rPr>
          <w:rFonts w:cstheme="minorHAnsi"/>
          <w:sz w:val="20"/>
          <w:szCs w:val="20"/>
        </w:rPr>
        <w:t xml:space="preserve">here is little economic use, </w:t>
      </w:r>
      <w:r w:rsidR="008129D3" w:rsidRPr="00387A14">
        <w:rPr>
          <w:rFonts w:cstheme="minorHAnsi"/>
          <w:sz w:val="20"/>
          <w:szCs w:val="20"/>
        </w:rPr>
        <w:t xml:space="preserve">in </w:t>
      </w:r>
      <w:r w:rsidR="00BF6F2E" w:rsidRPr="00387A14">
        <w:rPr>
          <w:rFonts w:cstheme="minorHAnsi"/>
          <w:sz w:val="20"/>
          <w:szCs w:val="20"/>
        </w:rPr>
        <w:t>some spe</w:t>
      </w:r>
      <w:r w:rsidR="00507753" w:rsidRPr="00387A14">
        <w:rPr>
          <w:rFonts w:cstheme="minorHAnsi"/>
          <w:sz w:val="20"/>
          <w:szCs w:val="20"/>
        </w:rPr>
        <w:t>c</w:t>
      </w:r>
      <w:r w:rsidR="00BF6F2E" w:rsidRPr="00387A14">
        <w:rPr>
          <w:rFonts w:cstheme="minorHAnsi"/>
          <w:sz w:val="20"/>
          <w:szCs w:val="20"/>
        </w:rPr>
        <w:t>ies</w:t>
      </w:r>
      <w:r w:rsidR="008129D3" w:rsidRPr="00387A14">
        <w:rPr>
          <w:rFonts w:cstheme="minorHAnsi"/>
          <w:sz w:val="20"/>
          <w:szCs w:val="20"/>
        </w:rPr>
        <w:t>,</w:t>
      </w:r>
      <w:r w:rsidR="00BF6F2E" w:rsidRPr="00387A14">
        <w:rPr>
          <w:rFonts w:cstheme="minorHAnsi"/>
          <w:sz w:val="20"/>
          <w:szCs w:val="20"/>
        </w:rPr>
        <w:t xml:space="preserve"> </w:t>
      </w:r>
      <w:r w:rsidR="004D13BC" w:rsidRPr="00387A14">
        <w:rPr>
          <w:rFonts w:cstheme="minorHAnsi"/>
          <w:sz w:val="20"/>
          <w:szCs w:val="20"/>
        </w:rPr>
        <w:t xml:space="preserve">the </w:t>
      </w:r>
      <w:r w:rsidR="00CA2B2E" w:rsidRPr="00387A14">
        <w:rPr>
          <w:rFonts w:cstheme="minorHAnsi"/>
          <w:sz w:val="20"/>
          <w:szCs w:val="20"/>
        </w:rPr>
        <w:t>fruit</w:t>
      </w:r>
      <w:r w:rsidR="00FA4DE9" w:rsidRPr="00387A14">
        <w:rPr>
          <w:rFonts w:cstheme="minorHAnsi"/>
          <w:sz w:val="20"/>
          <w:szCs w:val="20"/>
        </w:rPr>
        <w:t>s</w:t>
      </w:r>
      <w:r w:rsidR="00CA2B2E" w:rsidRPr="00387A14">
        <w:rPr>
          <w:rFonts w:cstheme="minorHAnsi"/>
          <w:sz w:val="20"/>
          <w:szCs w:val="20"/>
        </w:rPr>
        <w:t xml:space="preserve"> and bud</w:t>
      </w:r>
      <w:r w:rsidR="00FA4DE9" w:rsidRPr="00387A14">
        <w:rPr>
          <w:rFonts w:cstheme="minorHAnsi"/>
          <w:sz w:val="20"/>
          <w:szCs w:val="20"/>
        </w:rPr>
        <w:t>s</w:t>
      </w:r>
      <w:r w:rsidR="00CA2B2E" w:rsidRPr="00387A14">
        <w:rPr>
          <w:rFonts w:cstheme="minorHAnsi"/>
          <w:sz w:val="20"/>
          <w:szCs w:val="20"/>
        </w:rPr>
        <w:t xml:space="preserve"> are said to be poisonous</w:t>
      </w:r>
      <w:r w:rsidR="00BF6F2E" w:rsidRPr="00387A14">
        <w:rPr>
          <w:rFonts w:cstheme="minorHAnsi"/>
          <w:sz w:val="20"/>
          <w:szCs w:val="20"/>
        </w:rPr>
        <w:t xml:space="preserve"> </w:t>
      </w:r>
      <w:r w:rsidR="000F67F6" w:rsidRPr="00387A14">
        <w:rPr>
          <w:rFonts w:eastAsia="AdvGulliv-R" w:cstheme="minorHAnsi"/>
          <w:sz w:val="20"/>
          <w:szCs w:val="20"/>
        </w:rPr>
        <w:t>[</w:t>
      </w:r>
      <w:r w:rsidR="009047A2" w:rsidRPr="00387A14">
        <w:rPr>
          <w:rFonts w:eastAsia="AdvGulliv-R" w:cstheme="minorHAnsi"/>
          <w:sz w:val="20"/>
          <w:szCs w:val="20"/>
        </w:rPr>
        <w:t>3 - 5</w:t>
      </w:r>
      <w:r w:rsidR="000F67F6" w:rsidRPr="00387A14">
        <w:rPr>
          <w:rFonts w:eastAsia="AdvGulliv-R" w:cstheme="minorHAnsi"/>
          <w:sz w:val="20"/>
          <w:szCs w:val="20"/>
        </w:rPr>
        <w:t>]</w:t>
      </w:r>
      <w:r w:rsidR="00CA2B2E" w:rsidRPr="00387A14">
        <w:rPr>
          <w:rFonts w:cstheme="minorHAnsi"/>
          <w:sz w:val="20"/>
          <w:szCs w:val="20"/>
        </w:rPr>
        <w:t>.</w:t>
      </w:r>
      <w:r w:rsidR="00D0621F" w:rsidRPr="00387A14">
        <w:rPr>
          <w:rFonts w:cstheme="minorHAnsi"/>
          <w:sz w:val="20"/>
          <w:szCs w:val="20"/>
        </w:rPr>
        <w:t xml:space="preserve"> </w:t>
      </w:r>
      <w:r w:rsidR="00ED3056" w:rsidRPr="00387A14">
        <w:rPr>
          <w:rFonts w:cstheme="minorHAnsi"/>
          <w:i/>
          <w:sz w:val="20"/>
          <w:szCs w:val="20"/>
        </w:rPr>
        <w:t xml:space="preserve">Orania </w:t>
      </w:r>
      <w:r w:rsidR="00683C48" w:rsidRPr="00387A14">
        <w:rPr>
          <w:rFonts w:cstheme="minorHAnsi"/>
          <w:i/>
          <w:sz w:val="20"/>
          <w:szCs w:val="20"/>
        </w:rPr>
        <w:t>sylvicola</w:t>
      </w:r>
      <w:r w:rsidR="00683C48" w:rsidRPr="00387A14">
        <w:rPr>
          <w:rFonts w:cstheme="minorHAnsi"/>
          <w:sz w:val="20"/>
          <w:szCs w:val="20"/>
        </w:rPr>
        <w:t xml:space="preserve"> </w:t>
      </w:r>
      <w:r w:rsidR="00ED3056" w:rsidRPr="00387A14">
        <w:rPr>
          <w:rFonts w:cstheme="minorHAnsi"/>
          <w:sz w:val="20"/>
          <w:szCs w:val="20"/>
        </w:rPr>
        <w:t xml:space="preserve">species </w:t>
      </w:r>
      <w:r w:rsidR="00116AD1" w:rsidRPr="00387A14">
        <w:rPr>
          <w:rFonts w:cstheme="minorHAnsi"/>
          <w:sz w:val="20"/>
          <w:szCs w:val="20"/>
        </w:rPr>
        <w:t>or in ancient time</w:t>
      </w:r>
      <w:r w:rsidR="00DB7E10" w:rsidRPr="00387A14">
        <w:rPr>
          <w:rFonts w:cstheme="minorHAnsi"/>
          <w:sz w:val="20"/>
          <w:szCs w:val="20"/>
        </w:rPr>
        <w:t>s</w:t>
      </w:r>
      <w:r w:rsidR="00116AD1" w:rsidRPr="00387A14">
        <w:rPr>
          <w:rFonts w:cstheme="minorHAnsi"/>
          <w:sz w:val="20"/>
          <w:szCs w:val="20"/>
        </w:rPr>
        <w:t xml:space="preserve"> known as </w:t>
      </w:r>
      <w:r w:rsidR="00116AD1" w:rsidRPr="00387A14">
        <w:rPr>
          <w:rFonts w:cstheme="minorHAnsi"/>
          <w:i/>
          <w:sz w:val="20"/>
          <w:szCs w:val="20"/>
        </w:rPr>
        <w:t>O. macrocladus</w:t>
      </w:r>
      <w:r w:rsidR="000C176A" w:rsidRPr="00387A14">
        <w:rPr>
          <w:rFonts w:cstheme="minorHAnsi"/>
          <w:sz w:val="20"/>
          <w:szCs w:val="20"/>
        </w:rPr>
        <w:t>, locally</w:t>
      </w:r>
      <w:r w:rsidR="00116AD1" w:rsidRPr="00387A14">
        <w:rPr>
          <w:rFonts w:cstheme="minorHAnsi"/>
          <w:sz w:val="20"/>
          <w:szCs w:val="20"/>
        </w:rPr>
        <w:t xml:space="preserve"> </w:t>
      </w:r>
      <w:r w:rsidR="00683C48" w:rsidRPr="00387A14">
        <w:rPr>
          <w:rFonts w:cstheme="minorHAnsi"/>
          <w:sz w:val="20"/>
          <w:szCs w:val="20"/>
        </w:rPr>
        <w:t>called ‘Ibul’</w:t>
      </w:r>
      <w:r w:rsidR="00116AD1" w:rsidRPr="00387A14">
        <w:rPr>
          <w:rFonts w:cstheme="minorHAnsi"/>
          <w:sz w:val="20"/>
          <w:szCs w:val="20"/>
        </w:rPr>
        <w:t xml:space="preserve"> is </w:t>
      </w:r>
      <w:r w:rsidR="00233A69" w:rsidRPr="00387A14">
        <w:rPr>
          <w:rFonts w:cstheme="minorHAnsi"/>
          <w:sz w:val="20"/>
          <w:szCs w:val="20"/>
        </w:rPr>
        <w:t>one of the poisonous fruit</w:t>
      </w:r>
      <w:r w:rsidR="00C451F8" w:rsidRPr="00387A14">
        <w:rPr>
          <w:rFonts w:cstheme="minorHAnsi"/>
          <w:sz w:val="20"/>
          <w:szCs w:val="20"/>
        </w:rPr>
        <w:t xml:space="preserve"> </w:t>
      </w:r>
      <w:r w:rsidR="000F67F6" w:rsidRPr="00387A14">
        <w:rPr>
          <w:rFonts w:eastAsia="AdvGulliv-R" w:cstheme="minorHAnsi"/>
          <w:sz w:val="20"/>
          <w:szCs w:val="20"/>
        </w:rPr>
        <w:t>[</w:t>
      </w:r>
      <w:r w:rsidR="009047A2" w:rsidRPr="00387A14">
        <w:rPr>
          <w:rFonts w:eastAsia="AdvGulliv-R" w:cstheme="minorHAnsi"/>
          <w:sz w:val="20"/>
          <w:szCs w:val="20"/>
        </w:rPr>
        <w:t>6</w:t>
      </w:r>
      <w:r w:rsidR="000F67F6" w:rsidRPr="00387A14">
        <w:rPr>
          <w:rFonts w:eastAsia="AdvGulliv-R" w:cstheme="minorHAnsi"/>
          <w:sz w:val="20"/>
          <w:szCs w:val="20"/>
        </w:rPr>
        <w:t>]</w:t>
      </w:r>
      <w:r w:rsidR="00C451F8" w:rsidRPr="00387A14">
        <w:rPr>
          <w:rFonts w:cstheme="minorHAnsi"/>
          <w:sz w:val="20"/>
          <w:szCs w:val="20"/>
        </w:rPr>
        <w:t xml:space="preserve">. </w:t>
      </w:r>
      <w:r w:rsidR="00C451F8" w:rsidRPr="00387A14">
        <w:rPr>
          <w:rFonts w:cstheme="minorHAnsi"/>
          <w:i/>
          <w:sz w:val="20"/>
          <w:szCs w:val="20"/>
        </w:rPr>
        <w:t>O. sylvicola</w:t>
      </w:r>
      <w:r w:rsidR="00C451F8" w:rsidRPr="00387A14">
        <w:rPr>
          <w:rFonts w:cstheme="minorHAnsi"/>
          <w:sz w:val="20"/>
          <w:szCs w:val="20"/>
        </w:rPr>
        <w:t xml:space="preserve"> </w:t>
      </w:r>
      <w:r w:rsidR="00DB7E10" w:rsidRPr="00387A14">
        <w:rPr>
          <w:rFonts w:cstheme="minorHAnsi"/>
          <w:sz w:val="20"/>
          <w:szCs w:val="20"/>
        </w:rPr>
        <w:t xml:space="preserve">is </w:t>
      </w:r>
      <w:r w:rsidR="00C451F8" w:rsidRPr="00387A14">
        <w:rPr>
          <w:rFonts w:cstheme="minorHAnsi"/>
          <w:sz w:val="20"/>
          <w:szCs w:val="20"/>
        </w:rPr>
        <w:t xml:space="preserve">found </w:t>
      </w:r>
      <w:r w:rsidR="00116AD1" w:rsidRPr="00387A14">
        <w:rPr>
          <w:rFonts w:cstheme="minorHAnsi"/>
          <w:sz w:val="20"/>
          <w:szCs w:val="20"/>
        </w:rPr>
        <w:t xml:space="preserve">in Malaysia </w:t>
      </w:r>
      <w:r w:rsidR="00C451F8" w:rsidRPr="00387A14">
        <w:rPr>
          <w:rFonts w:cstheme="minorHAnsi"/>
          <w:sz w:val="20"/>
          <w:szCs w:val="20"/>
        </w:rPr>
        <w:t xml:space="preserve">and </w:t>
      </w:r>
      <w:r w:rsidR="00116AD1" w:rsidRPr="00387A14">
        <w:rPr>
          <w:rFonts w:cstheme="minorHAnsi"/>
          <w:sz w:val="20"/>
          <w:szCs w:val="20"/>
        </w:rPr>
        <w:t xml:space="preserve">Indonesia </w:t>
      </w:r>
      <w:r w:rsidR="004B5CF0" w:rsidRPr="00387A14">
        <w:rPr>
          <w:rFonts w:cstheme="minorHAnsi"/>
          <w:sz w:val="20"/>
          <w:szCs w:val="20"/>
        </w:rPr>
        <w:t>notably in</w:t>
      </w:r>
      <w:r w:rsidR="00C451F8" w:rsidRPr="00387A14">
        <w:rPr>
          <w:rFonts w:cstheme="minorHAnsi"/>
          <w:sz w:val="20"/>
          <w:szCs w:val="20"/>
        </w:rPr>
        <w:t xml:space="preserve"> </w:t>
      </w:r>
      <w:r w:rsidR="00116AD1" w:rsidRPr="00387A14">
        <w:rPr>
          <w:rFonts w:cstheme="minorHAnsi"/>
          <w:sz w:val="20"/>
          <w:szCs w:val="20"/>
        </w:rPr>
        <w:t xml:space="preserve">Ulu Kesial (Kelantan), Melaka, Pahang, Pulau Pangkor, Cameron Highland, Perlis, Fraser Hill </w:t>
      </w:r>
      <w:r w:rsidR="00C451F8" w:rsidRPr="00387A14">
        <w:rPr>
          <w:rFonts w:cstheme="minorHAnsi"/>
          <w:sz w:val="20"/>
          <w:szCs w:val="20"/>
        </w:rPr>
        <w:t>and</w:t>
      </w:r>
      <w:r w:rsidR="00116AD1" w:rsidRPr="00387A14">
        <w:rPr>
          <w:rFonts w:cstheme="minorHAnsi"/>
          <w:sz w:val="20"/>
          <w:szCs w:val="20"/>
        </w:rPr>
        <w:t xml:space="preserve"> Jawa </w:t>
      </w:r>
      <w:r w:rsidR="000F67F6" w:rsidRPr="00387A14">
        <w:rPr>
          <w:rFonts w:eastAsia="AdvGulliv-R" w:cstheme="minorHAnsi"/>
          <w:sz w:val="20"/>
          <w:szCs w:val="20"/>
        </w:rPr>
        <w:t>[</w:t>
      </w:r>
      <w:r w:rsidR="009047A2" w:rsidRPr="00387A14">
        <w:rPr>
          <w:rFonts w:eastAsia="AdvGulliv-R" w:cstheme="minorHAnsi"/>
          <w:sz w:val="20"/>
          <w:szCs w:val="20"/>
        </w:rPr>
        <w:t>5 - 6</w:t>
      </w:r>
      <w:r w:rsidR="000F67F6" w:rsidRPr="00387A14">
        <w:rPr>
          <w:rFonts w:eastAsia="AdvGulliv-R" w:cstheme="minorHAnsi"/>
          <w:sz w:val="20"/>
          <w:szCs w:val="20"/>
        </w:rPr>
        <w:t>]</w:t>
      </w:r>
      <w:r w:rsidR="000F67F6" w:rsidRPr="00387A14">
        <w:rPr>
          <w:rFonts w:cstheme="minorHAnsi"/>
          <w:sz w:val="20"/>
          <w:szCs w:val="20"/>
        </w:rPr>
        <w:t xml:space="preserve">. </w:t>
      </w:r>
      <w:r w:rsidR="007A116C" w:rsidRPr="00387A14">
        <w:rPr>
          <w:rFonts w:cstheme="minorHAnsi"/>
          <w:sz w:val="20"/>
          <w:szCs w:val="20"/>
        </w:rPr>
        <w:t xml:space="preserve">It is a solitary large palm </w:t>
      </w:r>
      <w:r w:rsidR="004B5CF0" w:rsidRPr="00387A14">
        <w:rPr>
          <w:rFonts w:cstheme="minorHAnsi"/>
          <w:sz w:val="20"/>
          <w:szCs w:val="20"/>
        </w:rPr>
        <w:t>about</w:t>
      </w:r>
      <w:r w:rsidR="007A116C" w:rsidRPr="00387A14">
        <w:rPr>
          <w:rFonts w:cstheme="minorHAnsi"/>
          <w:sz w:val="20"/>
          <w:szCs w:val="20"/>
        </w:rPr>
        <w:t xml:space="preserve"> 60 feet tall and 18 inch diameter </w:t>
      </w:r>
      <w:r w:rsidR="009047A2" w:rsidRPr="00387A14">
        <w:rPr>
          <w:rFonts w:eastAsia="AdvGulliv-R" w:cstheme="minorHAnsi"/>
          <w:sz w:val="20"/>
          <w:szCs w:val="20"/>
        </w:rPr>
        <w:t>[5</w:t>
      </w:r>
      <w:r w:rsidR="000F67F6" w:rsidRPr="00387A14">
        <w:rPr>
          <w:rFonts w:eastAsia="AdvGulliv-R" w:cstheme="minorHAnsi"/>
          <w:sz w:val="20"/>
          <w:szCs w:val="20"/>
        </w:rPr>
        <w:t>]</w:t>
      </w:r>
      <w:r w:rsidR="007A116C" w:rsidRPr="00387A14">
        <w:rPr>
          <w:rFonts w:cstheme="minorHAnsi"/>
          <w:sz w:val="20"/>
          <w:szCs w:val="20"/>
        </w:rPr>
        <w:t xml:space="preserve">. </w:t>
      </w:r>
      <w:r w:rsidR="00665362" w:rsidRPr="00387A14">
        <w:rPr>
          <w:rFonts w:cstheme="minorHAnsi"/>
          <w:sz w:val="20"/>
          <w:szCs w:val="20"/>
        </w:rPr>
        <w:t>F</w:t>
      </w:r>
      <w:r w:rsidR="007A116C" w:rsidRPr="00387A14">
        <w:rPr>
          <w:rFonts w:cstheme="minorHAnsi"/>
          <w:sz w:val="20"/>
          <w:szCs w:val="20"/>
        </w:rPr>
        <w:t>ruits are globose</w:t>
      </w:r>
      <w:r w:rsidR="00665362" w:rsidRPr="00387A14">
        <w:rPr>
          <w:rFonts w:cstheme="minorHAnsi"/>
          <w:sz w:val="20"/>
          <w:szCs w:val="20"/>
        </w:rPr>
        <w:t xml:space="preserve"> with 4.5 - 5 cm diameter, dull green when young and yellowish green when mature </w:t>
      </w:r>
      <w:r w:rsidR="000057ED" w:rsidRPr="00387A14">
        <w:rPr>
          <w:rFonts w:eastAsia="AdvGulliv-R" w:cstheme="minorHAnsi"/>
          <w:sz w:val="20"/>
          <w:szCs w:val="20"/>
        </w:rPr>
        <w:t>[</w:t>
      </w:r>
      <w:r w:rsidR="009047A2" w:rsidRPr="00387A14">
        <w:rPr>
          <w:rFonts w:eastAsia="AdvGulliv-R" w:cstheme="minorHAnsi"/>
          <w:sz w:val="20"/>
          <w:szCs w:val="20"/>
        </w:rPr>
        <w:t>1</w:t>
      </w:r>
      <w:r w:rsidR="000057ED" w:rsidRPr="00387A14">
        <w:rPr>
          <w:rFonts w:eastAsia="AdvGulliv-R" w:cstheme="minorHAnsi"/>
          <w:sz w:val="20"/>
          <w:szCs w:val="20"/>
        </w:rPr>
        <w:t>]</w:t>
      </w:r>
      <w:r w:rsidR="00665362" w:rsidRPr="00387A14">
        <w:rPr>
          <w:rFonts w:cstheme="minorHAnsi"/>
          <w:sz w:val="20"/>
          <w:szCs w:val="20"/>
        </w:rPr>
        <w:t xml:space="preserve">. </w:t>
      </w:r>
      <w:r w:rsidR="00FA4DE9" w:rsidRPr="00387A14">
        <w:rPr>
          <w:rFonts w:cstheme="minorHAnsi"/>
          <w:sz w:val="20"/>
          <w:szCs w:val="20"/>
        </w:rPr>
        <w:t xml:space="preserve">There </w:t>
      </w:r>
      <w:r w:rsidR="00454EB4" w:rsidRPr="00387A14">
        <w:rPr>
          <w:rFonts w:cstheme="minorHAnsi"/>
          <w:sz w:val="20"/>
          <w:szCs w:val="20"/>
        </w:rPr>
        <w:t>has been</w:t>
      </w:r>
      <w:r w:rsidR="004D13BC" w:rsidRPr="00387A14">
        <w:rPr>
          <w:rFonts w:cstheme="minorHAnsi"/>
          <w:sz w:val="20"/>
          <w:szCs w:val="20"/>
        </w:rPr>
        <w:t xml:space="preserve"> no</w:t>
      </w:r>
      <w:r w:rsidR="00454EB4" w:rsidRPr="00387A14">
        <w:rPr>
          <w:rFonts w:cstheme="minorHAnsi"/>
          <w:sz w:val="20"/>
          <w:szCs w:val="20"/>
        </w:rPr>
        <w:t xml:space="preserve"> </w:t>
      </w:r>
      <w:r w:rsidR="004B5CF0" w:rsidRPr="00387A14">
        <w:rPr>
          <w:rFonts w:cstheme="minorHAnsi"/>
          <w:sz w:val="20"/>
          <w:szCs w:val="20"/>
        </w:rPr>
        <w:t xml:space="preserve">work </w:t>
      </w:r>
      <w:r w:rsidR="00454EB4" w:rsidRPr="00387A14">
        <w:rPr>
          <w:rFonts w:cstheme="minorHAnsi"/>
          <w:sz w:val="20"/>
          <w:szCs w:val="20"/>
        </w:rPr>
        <w:t xml:space="preserve">done on </w:t>
      </w:r>
      <w:r w:rsidR="004B5CF0" w:rsidRPr="00387A14">
        <w:rPr>
          <w:rFonts w:cstheme="minorHAnsi"/>
          <w:sz w:val="20"/>
          <w:szCs w:val="20"/>
        </w:rPr>
        <w:t xml:space="preserve">the </w:t>
      </w:r>
      <w:r w:rsidR="00683C48" w:rsidRPr="00387A14">
        <w:rPr>
          <w:rFonts w:cstheme="minorHAnsi"/>
          <w:sz w:val="20"/>
          <w:szCs w:val="20"/>
        </w:rPr>
        <w:t>chemical constituent</w:t>
      </w:r>
      <w:r w:rsidR="000B6D2E" w:rsidRPr="00387A14">
        <w:rPr>
          <w:rFonts w:cstheme="minorHAnsi"/>
          <w:sz w:val="20"/>
          <w:szCs w:val="20"/>
        </w:rPr>
        <w:t>s</w:t>
      </w:r>
      <w:r w:rsidR="00683C48" w:rsidRPr="00387A14">
        <w:rPr>
          <w:rFonts w:cstheme="minorHAnsi"/>
          <w:sz w:val="20"/>
          <w:szCs w:val="20"/>
        </w:rPr>
        <w:t xml:space="preserve"> </w:t>
      </w:r>
      <w:r w:rsidR="00454EB4" w:rsidRPr="00387A14">
        <w:rPr>
          <w:rFonts w:cstheme="minorHAnsi"/>
          <w:sz w:val="20"/>
          <w:szCs w:val="20"/>
        </w:rPr>
        <w:t>for</w:t>
      </w:r>
      <w:r w:rsidR="00507753" w:rsidRPr="00387A14">
        <w:rPr>
          <w:rFonts w:cstheme="minorHAnsi"/>
          <w:sz w:val="20"/>
          <w:szCs w:val="20"/>
        </w:rPr>
        <w:t xml:space="preserve"> any spec</w:t>
      </w:r>
      <w:r w:rsidR="0093440B" w:rsidRPr="00387A14">
        <w:rPr>
          <w:rFonts w:cstheme="minorHAnsi"/>
          <w:sz w:val="20"/>
          <w:szCs w:val="20"/>
        </w:rPr>
        <w:t xml:space="preserve">ies of </w:t>
      </w:r>
      <w:r w:rsidR="0093440B" w:rsidRPr="00387A14">
        <w:rPr>
          <w:rFonts w:cstheme="minorHAnsi"/>
          <w:i/>
          <w:sz w:val="20"/>
          <w:szCs w:val="20"/>
        </w:rPr>
        <w:t>O</w:t>
      </w:r>
      <w:r w:rsidR="00683C48" w:rsidRPr="00387A14">
        <w:rPr>
          <w:rFonts w:cstheme="minorHAnsi"/>
          <w:i/>
          <w:sz w:val="20"/>
          <w:szCs w:val="20"/>
        </w:rPr>
        <w:t>rania</w:t>
      </w:r>
      <w:r w:rsidR="00683C48" w:rsidRPr="00387A14">
        <w:rPr>
          <w:rFonts w:cstheme="minorHAnsi"/>
          <w:sz w:val="20"/>
          <w:szCs w:val="20"/>
        </w:rPr>
        <w:t>.</w:t>
      </w:r>
      <w:r w:rsidR="000B6D2E" w:rsidRPr="00387A14">
        <w:rPr>
          <w:rFonts w:cstheme="minorHAnsi"/>
          <w:sz w:val="20"/>
          <w:szCs w:val="20"/>
        </w:rPr>
        <w:t xml:space="preserve"> </w:t>
      </w:r>
      <w:r w:rsidR="00114C77" w:rsidRPr="00387A14">
        <w:rPr>
          <w:rFonts w:cstheme="minorHAnsi"/>
          <w:sz w:val="20"/>
          <w:szCs w:val="20"/>
        </w:rPr>
        <w:t>In this paper</w:t>
      </w:r>
      <w:r w:rsidR="00FA4DE9" w:rsidRPr="00387A14">
        <w:rPr>
          <w:rFonts w:cstheme="minorHAnsi"/>
          <w:sz w:val="20"/>
          <w:szCs w:val="20"/>
        </w:rPr>
        <w:t xml:space="preserve">, </w:t>
      </w:r>
      <w:r w:rsidR="007D6478" w:rsidRPr="00387A14">
        <w:rPr>
          <w:rFonts w:cstheme="minorHAnsi"/>
          <w:sz w:val="20"/>
          <w:szCs w:val="20"/>
        </w:rPr>
        <w:t xml:space="preserve">we </w:t>
      </w:r>
      <w:r w:rsidR="000B6D2E" w:rsidRPr="00387A14">
        <w:rPr>
          <w:rFonts w:cstheme="minorHAnsi"/>
          <w:sz w:val="20"/>
          <w:szCs w:val="20"/>
        </w:rPr>
        <w:t>investigate</w:t>
      </w:r>
      <w:r w:rsidR="007D6478" w:rsidRPr="00387A14">
        <w:rPr>
          <w:rFonts w:cstheme="minorHAnsi"/>
          <w:sz w:val="20"/>
          <w:szCs w:val="20"/>
        </w:rPr>
        <w:t xml:space="preserve"> </w:t>
      </w:r>
      <w:r w:rsidR="000B6D2E" w:rsidRPr="00387A14">
        <w:rPr>
          <w:rFonts w:cstheme="minorHAnsi"/>
          <w:sz w:val="20"/>
          <w:szCs w:val="20"/>
        </w:rPr>
        <w:t xml:space="preserve">the chemical </w:t>
      </w:r>
      <w:r w:rsidR="00D0621F" w:rsidRPr="00387A14">
        <w:rPr>
          <w:rFonts w:cstheme="minorHAnsi"/>
          <w:sz w:val="20"/>
          <w:szCs w:val="20"/>
        </w:rPr>
        <w:t>substituents</w:t>
      </w:r>
      <w:r w:rsidR="000B6D2E" w:rsidRPr="00387A14">
        <w:rPr>
          <w:rFonts w:cstheme="minorHAnsi"/>
          <w:sz w:val="20"/>
          <w:szCs w:val="20"/>
        </w:rPr>
        <w:t xml:space="preserve"> of </w:t>
      </w:r>
      <w:r w:rsidR="000B6D2E" w:rsidRPr="00387A14">
        <w:rPr>
          <w:rFonts w:cstheme="minorHAnsi"/>
          <w:i/>
          <w:sz w:val="20"/>
          <w:szCs w:val="20"/>
        </w:rPr>
        <w:t>O. sylvicola</w:t>
      </w:r>
      <w:r w:rsidR="000B6D2E" w:rsidRPr="00387A14">
        <w:rPr>
          <w:rFonts w:cstheme="minorHAnsi"/>
          <w:sz w:val="20"/>
          <w:szCs w:val="20"/>
        </w:rPr>
        <w:t xml:space="preserve"> fruits</w:t>
      </w:r>
      <w:r w:rsidR="0093440B" w:rsidRPr="00387A14">
        <w:rPr>
          <w:rFonts w:cstheme="minorHAnsi"/>
          <w:sz w:val="20"/>
          <w:szCs w:val="20"/>
        </w:rPr>
        <w:t xml:space="preserve"> where t</w:t>
      </w:r>
      <w:r w:rsidR="000B6D2E" w:rsidRPr="00387A14">
        <w:rPr>
          <w:rFonts w:cstheme="minorHAnsi"/>
          <w:sz w:val="20"/>
          <w:szCs w:val="20"/>
        </w:rPr>
        <w:t xml:space="preserve">wo phenolic compounds were isolated and </w:t>
      </w:r>
      <w:r w:rsidR="004D13BC" w:rsidRPr="00387A14">
        <w:rPr>
          <w:rFonts w:cstheme="minorHAnsi"/>
          <w:sz w:val="20"/>
          <w:szCs w:val="20"/>
        </w:rPr>
        <w:t xml:space="preserve">their structures </w:t>
      </w:r>
      <w:r w:rsidR="000B6D2E" w:rsidRPr="00387A14">
        <w:rPr>
          <w:rFonts w:cstheme="minorHAnsi"/>
          <w:sz w:val="20"/>
          <w:szCs w:val="20"/>
        </w:rPr>
        <w:t>elucidated with various spectroscopic technique</w:t>
      </w:r>
      <w:r w:rsidR="00155F25" w:rsidRPr="00387A14">
        <w:rPr>
          <w:rFonts w:cstheme="minorHAnsi"/>
          <w:sz w:val="20"/>
          <w:szCs w:val="20"/>
        </w:rPr>
        <w:t>s</w:t>
      </w:r>
      <w:r w:rsidR="000B6D2E" w:rsidRPr="00387A14">
        <w:rPr>
          <w:rFonts w:cstheme="minorHAnsi"/>
          <w:sz w:val="20"/>
          <w:szCs w:val="20"/>
        </w:rPr>
        <w:t xml:space="preserve">. </w:t>
      </w:r>
    </w:p>
    <w:p w:rsidR="003D0404" w:rsidRPr="009D26A5" w:rsidRDefault="003D0404" w:rsidP="003D0404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86617B" w:rsidRPr="009D26A5" w:rsidRDefault="00703914" w:rsidP="008E6E1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Experimental</w:t>
      </w:r>
    </w:p>
    <w:p w:rsidR="00D22EC1" w:rsidRPr="009D26A5" w:rsidRDefault="009C1DE1" w:rsidP="003D040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General Experimental Procedure</w:t>
      </w:r>
    </w:p>
    <w:p w:rsidR="009C1DE1" w:rsidRPr="00387A14" w:rsidRDefault="00A10C74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t>All solvent</w:t>
      </w:r>
      <w:r w:rsidR="008F3C66" w:rsidRPr="00387A14">
        <w:rPr>
          <w:rFonts w:cstheme="minorHAnsi"/>
          <w:sz w:val="20"/>
          <w:szCs w:val="20"/>
        </w:rPr>
        <w:t>s</w:t>
      </w:r>
      <w:r w:rsidRPr="00387A14">
        <w:rPr>
          <w:rFonts w:cstheme="minorHAnsi"/>
          <w:sz w:val="20"/>
          <w:szCs w:val="20"/>
        </w:rPr>
        <w:t xml:space="preserve"> used for chromatography were of analytical reagent grade. Silica gel 60 </w:t>
      </w:r>
      <w:r w:rsidR="00471F10" w:rsidRPr="00387A14">
        <w:rPr>
          <w:rFonts w:cstheme="minorHAnsi"/>
          <w:sz w:val="20"/>
          <w:szCs w:val="20"/>
        </w:rPr>
        <w:t xml:space="preserve">for CC and </w:t>
      </w:r>
      <w:r w:rsidR="008F3C66" w:rsidRPr="00387A14">
        <w:rPr>
          <w:rFonts w:cstheme="minorHAnsi"/>
          <w:sz w:val="20"/>
          <w:szCs w:val="20"/>
        </w:rPr>
        <w:t xml:space="preserve">radial </w:t>
      </w:r>
      <w:r w:rsidR="00471F10" w:rsidRPr="00387A14">
        <w:rPr>
          <w:rFonts w:cstheme="minorHAnsi"/>
          <w:sz w:val="20"/>
          <w:szCs w:val="20"/>
        </w:rPr>
        <w:t xml:space="preserve">chromatography </w:t>
      </w:r>
      <w:r w:rsidRPr="00387A14">
        <w:rPr>
          <w:rFonts w:cstheme="minorHAnsi"/>
          <w:sz w:val="20"/>
          <w:szCs w:val="20"/>
        </w:rPr>
        <w:t>were purchased from Merck</w:t>
      </w:r>
      <w:r w:rsidR="00FA76FA" w:rsidRPr="00387A14">
        <w:rPr>
          <w:rFonts w:cstheme="minorHAnsi"/>
          <w:sz w:val="20"/>
          <w:szCs w:val="20"/>
        </w:rPr>
        <w:t xml:space="preserve"> </w:t>
      </w:r>
      <w:r w:rsidR="00FA76FA" w:rsidRPr="00387A14">
        <w:rPr>
          <w:rFonts w:eastAsia="GulliverRM" w:cstheme="minorHAnsi"/>
          <w:sz w:val="20"/>
          <w:szCs w:val="20"/>
        </w:rPr>
        <w:t>(Darmstadt, Germany).</w:t>
      </w:r>
      <w:r w:rsidRPr="00387A14">
        <w:rPr>
          <w:rFonts w:cstheme="minorHAnsi"/>
          <w:sz w:val="20"/>
          <w:szCs w:val="20"/>
        </w:rPr>
        <w:t xml:space="preserve"> </w:t>
      </w:r>
      <w:r w:rsidR="00B00E30" w:rsidRPr="00387A14">
        <w:rPr>
          <w:rFonts w:cstheme="minorHAnsi"/>
          <w:sz w:val="20"/>
          <w:szCs w:val="20"/>
          <w:vertAlign w:val="superscript"/>
        </w:rPr>
        <w:t>1</w:t>
      </w:r>
      <w:r w:rsidR="00FD5B03" w:rsidRPr="00387A14">
        <w:rPr>
          <w:rFonts w:cstheme="minorHAnsi"/>
          <w:sz w:val="20"/>
          <w:szCs w:val="20"/>
        </w:rPr>
        <w:t xml:space="preserve">H, </w:t>
      </w:r>
      <w:r w:rsidR="00B00E30" w:rsidRPr="00387A14">
        <w:rPr>
          <w:rFonts w:cstheme="minorHAnsi"/>
          <w:sz w:val="20"/>
          <w:szCs w:val="20"/>
          <w:vertAlign w:val="superscript"/>
        </w:rPr>
        <w:t>13</w:t>
      </w:r>
      <w:r w:rsidR="00B00E30" w:rsidRPr="00387A14">
        <w:rPr>
          <w:rFonts w:cstheme="minorHAnsi"/>
          <w:sz w:val="20"/>
          <w:szCs w:val="20"/>
        </w:rPr>
        <w:t>C</w:t>
      </w:r>
      <w:r w:rsidR="00FD5B03" w:rsidRPr="00387A14">
        <w:rPr>
          <w:rFonts w:cstheme="minorHAnsi"/>
          <w:sz w:val="20"/>
          <w:szCs w:val="20"/>
        </w:rPr>
        <w:t>, HSQC, HMBC, COSY and NOESY</w:t>
      </w:r>
      <w:r w:rsidR="00B00E30" w:rsidRPr="00387A14">
        <w:rPr>
          <w:rFonts w:cstheme="minorHAnsi"/>
          <w:sz w:val="20"/>
          <w:szCs w:val="20"/>
        </w:rPr>
        <w:t xml:space="preserve"> </w:t>
      </w:r>
      <w:r w:rsidRPr="00387A14">
        <w:rPr>
          <w:rFonts w:cstheme="minorHAnsi"/>
          <w:sz w:val="20"/>
          <w:szCs w:val="20"/>
        </w:rPr>
        <w:t xml:space="preserve">NMR spectra were taken on </w:t>
      </w:r>
      <w:r w:rsidR="008B639A" w:rsidRPr="00387A14">
        <w:rPr>
          <w:rFonts w:cstheme="minorHAnsi"/>
          <w:sz w:val="20"/>
          <w:szCs w:val="20"/>
        </w:rPr>
        <w:t xml:space="preserve">a </w:t>
      </w:r>
      <w:r w:rsidR="00B00E30" w:rsidRPr="00387A14">
        <w:rPr>
          <w:rFonts w:cstheme="minorHAnsi"/>
          <w:sz w:val="20"/>
          <w:szCs w:val="20"/>
        </w:rPr>
        <w:t xml:space="preserve">Bruker/ Avance 111 600 MHz Cryoprobe </w:t>
      </w:r>
      <w:r w:rsidRPr="00387A14">
        <w:rPr>
          <w:rFonts w:cstheme="minorHAnsi"/>
          <w:sz w:val="20"/>
          <w:szCs w:val="20"/>
        </w:rPr>
        <w:t>spectrometer in CDCl</w:t>
      </w:r>
      <w:r w:rsidRPr="00387A14">
        <w:rPr>
          <w:rFonts w:cstheme="minorHAnsi"/>
          <w:sz w:val="20"/>
          <w:szCs w:val="20"/>
          <w:vertAlign w:val="subscript"/>
        </w:rPr>
        <w:t>3</w:t>
      </w:r>
      <w:r w:rsidRPr="00387A14">
        <w:rPr>
          <w:rFonts w:cstheme="minorHAnsi"/>
          <w:sz w:val="20"/>
          <w:szCs w:val="20"/>
        </w:rPr>
        <w:t xml:space="preserve"> </w:t>
      </w:r>
      <w:r w:rsidR="00B00E30" w:rsidRPr="00387A14">
        <w:rPr>
          <w:rFonts w:cstheme="minorHAnsi"/>
          <w:sz w:val="20"/>
          <w:szCs w:val="20"/>
        </w:rPr>
        <w:t>and</w:t>
      </w:r>
      <w:r w:rsidRPr="00387A14">
        <w:rPr>
          <w:rFonts w:cstheme="minorHAnsi"/>
          <w:sz w:val="20"/>
          <w:szCs w:val="20"/>
        </w:rPr>
        <w:t xml:space="preserve"> MeOD with </w:t>
      </w:r>
      <w:r w:rsidR="0032692B" w:rsidRPr="00387A14">
        <w:rPr>
          <w:rFonts w:cstheme="minorHAnsi"/>
          <w:sz w:val="20"/>
          <w:szCs w:val="20"/>
        </w:rPr>
        <w:t xml:space="preserve">TMS as internal standard. UV-VIS spectra were recorded on </w:t>
      </w:r>
      <w:r w:rsidR="008B639A" w:rsidRPr="00387A14">
        <w:rPr>
          <w:rFonts w:cstheme="minorHAnsi"/>
          <w:sz w:val="20"/>
          <w:szCs w:val="20"/>
        </w:rPr>
        <w:t xml:space="preserve">a </w:t>
      </w:r>
      <w:r w:rsidR="0032692B" w:rsidRPr="00387A14">
        <w:rPr>
          <w:rFonts w:cstheme="minorHAnsi"/>
          <w:sz w:val="20"/>
          <w:szCs w:val="20"/>
        </w:rPr>
        <w:t>Shima</w:t>
      </w:r>
      <w:r w:rsidR="008129D3" w:rsidRPr="00387A14">
        <w:rPr>
          <w:rFonts w:cstheme="minorHAnsi"/>
          <w:sz w:val="20"/>
          <w:szCs w:val="20"/>
        </w:rPr>
        <w:t xml:space="preserve">dzu UV-VIS </w:t>
      </w:r>
      <w:r w:rsidR="008129D3" w:rsidRPr="00387A14">
        <w:rPr>
          <w:rFonts w:cstheme="minorHAnsi"/>
          <w:sz w:val="20"/>
          <w:szCs w:val="20"/>
        </w:rPr>
        <w:lastRenderedPageBreak/>
        <w:t xml:space="preserve">Spectrophotometer- </w:t>
      </w:r>
      <w:r w:rsidR="0032692B" w:rsidRPr="00387A14">
        <w:rPr>
          <w:rFonts w:cstheme="minorHAnsi"/>
          <w:sz w:val="20"/>
          <w:szCs w:val="20"/>
        </w:rPr>
        <w:t>2450. IR sp</w:t>
      </w:r>
      <w:r w:rsidR="00861F79" w:rsidRPr="00387A14">
        <w:rPr>
          <w:rFonts w:cstheme="minorHAnsi"/>
          <w:sz w:val="20"/>
          <w:szCs w:val="20"/>
        </w:rPr>
        <w:t xml:space="preserve">ectral data were </w:t>
      </w:r>
      <w:r w:rsidR="008B639A" w:rsidRPr="00387A14">
        <w:rPr>
          <w:rFonts w:cstheme="minorHAnsi"/>
          <w:sz w:val="20"/>
          <w:szCs w:val="20"/>
        </w:rPr>
        <w:t>measured</w:t>
      </w:r>
      <w:r w:rsidR="00861F79" w:rsidRPr="00387A14">
        <w:rPr>
          <w:rFonts w:cstheme="minorHAnsi"/>
          <w:sz w:val="20"/>
          <w:szCs w:val="20"/>
        </w:rPr>
        <w:t xml:space="preserve"> </w:t>
      </w:r>
      <w:r w:rsidR="008B639A" w:rsidRPr="00387A14">
        <w:rPr>
          <w:rFonts w:cstheme="minorHAnsi"/>
          <w:sz w:val="20"/>
          <w:szCs w:val="20"/>
        </w:rPr>
        <w:t>on a</w:t>
      </w:r>
      <w:r w:rsidR="00861F79" w:rsidRPr="00387A14">
        <w:rPr>
          <w:rFonts w:cstheme="minorHAnsi"/>
          <w:sz w:val="20"/>
          <w:szCs w:val="20"/>
        </w:rPr>
        <w:t xml:space="preserve"> P</w:t>
      </w:r>
      <w:r w:rsidR="0032692B" w:rsidRPr="00387A14">
        <w:rPr>
          <w:rFonts w:cstheme="minorHAnsi"/>
          <w:sz w:val="20"/>
          <w:szCs w:val="20"/>
        </w:rPr>
        <w:t>erkin</w:t>
      </w:r>
      <w:r w:rsidR="00861F79" w:rsidRPr="00387A14">
        <w:rPr>
          <w:rFonts w:cstheme="minorHAnsi"/>
          <w:sz w:val="20"/>
          <w:szCs w:val="20"/>
        </w:rPr>
        <w:t xml:space="preserve"> Elmer </w:t>
      </w:r>
      <w:r w:rsidR="001E620E" w:rsidRPr="00387A14">
        <w:rPr>
          <w:rFonts w:cstheme="minorHAnsi"/>
          <w:sz w:val="20"/>
          <w:szCs w:val="20"/>
        </w:rPr>
        <w:t xml:space="preserve">Fourier Transform Infrared 400 Attenuated Total Reflectance (ATR) </w:t>
      </w:r>
      <w:r w:rsidR="00C26D4D" w:rsidRPr="00387A14">
        <w:rPr>
          <w:rFonts w:cstheme="minorHAnsi"/>
          <w:sz w:val="20"/>
          <w:szCs w:val="20"/>
        </w:rPr>
        <w:t xml:space="preserve">and sampel used are in solid state. </w:t>
      </w:r>
      <w:r w:rsidR="00DB7E10" w:rsidRPr="00387A14">
        <w:rPr>
          <w:rFonts w:cstheme="minorHAnsi"/>
          <w:sz w:val="20"/>
          <w:szCs w:val="20"/>
        </w:rPr>
        <w:t>M</w:t>
      </w:r>
      <w:r w:rsidR="0032692B" w:rsidRPr="00387A14">
        <w:rPr>
          <w:rFonts w:cstheme="minorHAnsi"/>
          <w:sz w:val="20"/>
          <w:szCs w:val="20"/>
        </w:rPr>
        <w:t xml:space="preserve">ass spectra </w:t>
      </w:r>
      <w:r w:rsidR="00DB7E10" w:rsidRPr="00387A14">
        <w:rPr>
          <w:rFonts w:cstheme="minorHAnsi"/>
          <w:sz w:val="20"/>
          <w:szCs w:val="20"/>
        </w:rPr>
        <w:t xml:space="preserve">were </w:t>
      </w:r>
      <w:r w:rsidR="0032692B" w:rsidRPr="00387A14">
        <w:rPr>
          <w:rFonts w:cstheme="minorHAnsi"/>
          <w:sz w:val="20"/>
          <w:szCs w:val="20"/>
        </w:rPr>
        <w:t xml:space="preserve">obtained from </w:t>
      </w:r>
      <w:r w:rsidR="008129D3" w:rsidRPr="00387A14">
        <w:rPr>
          <w:rFonts w:cstheme="minorHAnsi"/>
          <w:sz w:val="20"/>
          <w:szCs w:val="20"/>
        </w:rPr>
        <w:t>direct injection ESI-MS Bruker MicroTOF Q with flow rate 180 µ</w:t>
      </w:r>
      <w:r w:rsidR="00DB7E10" w:rsidRPr="00387A14">
        <w:rPr>
          <w:rFonts w:cstheme="minorHAnsi"/>
          <w:sz w:val="20"/>
          <w:szCs w:val="20"/>
        </w:rPr>
        <w:t>L</w:t>
      </w:r>
      <w:r w:rsidR="008129D3" w:rsidRPr="00387A14">
        <w:rPr>
          <w:rFonts w:cstheme="minorHAnsi"/>
          <w:sz w:val="20"/>
          <w:szCs w:val="20"/>
        </w:rPr>
        <w:t>/hour using syringe pump.</w:t>
      </w:r>
    </w:p>
    <w:p w:rsidR="00CD4482" w:rsidRPr="009D26A5" w:rsidRDefault="00CD4482" w:rsidP="003D0404">
      <w:pPr>
        <w:spacing w:after="0" w:line="240" w:lineRule="auto"/>
        <w:jc w:val="both"/>
        <w:rPr>
          <w:rFonts w:cstheme="minorHAnsi"/>
          <w:sz w:val="20"/>
          <w:szCs w:val="20"/>
        </w:rPr>
        <w:sectPr w:rsidR="00CD4482" w:rsidRPr="009D26A5" w:rsidSect="000B6503">
          <w:type w:val="continuous"/>
          <w:pgSz w:w="11907" w:h="16839" w:code="9"/>
          <w:pgMar w:top="1134" w:right="1440" w:bottom="1440" w:left="1440" w:header="709" w:footer="709" w:gutter="0"/>
          <w:cols w:space="708"/>
          <w:docGrid w:linePitch="360"/>
        </w:sectPr>
      </w:pPr>
    </w:p>
    <w:p w:rsidR="00C26D4D" w:rsidRDefault="00C26D4D" w:rsidP="003D040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86617B" w:rsidRPr="009D26A5" w:rsidRDefault="006F4ABC" w:rsidP="003D040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Plant material</w:t>
      </w:r>
    </w:p>
    <w:p w:rsidR="006F4ABC" w:rsidRPr="00387A14" w:rsidRDefault="009047A2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t>A fruit of O. sylvicola were collected from Perlis, Malaysia and was</w:t>
      </w:r>
      <w:r w:rsidR="004D13BC" w:rsidRPr="00387A14">
        <w:rPr>
          <w:rFonts w:cstheme="minorHAnsi"/>
          <w:sz w:val="20"/>
          <w:szCs w:val="20"/>
        </w:rPr>
        <w:t xml:space="preserve"> i</w:t>
      </w:r>
      <w:r w:rsidR="006F4ABC" w:rsidRPr="00387A14">
        <w:rPr>
          <w:rFonts w:cstheme="minorHAnsi"/>
          <w:sz w:val="20"/>
          <w:szCs w:val="20"/>
        </w:rPr>
        <w:t xml:space="preserve">dentified by Herbarium </w:t>
      </w:r>
      <w:r w:rsidR="00DB7E10" w:rsidRPr="00387A14">
        <w:rPr>
          <w:rFonts w:cstheme="minorHAnsi"/>
          <w:sz w:val="20"/>
          <w:szCs w:val="20"/>
        </w:rPr>
        <w:t>of Taman Botani</w:t>
      </w:r>
      <w:r w:rsidR="006F4ABC" w:rsidRPr="00387A14">
        <w:rPr>
          <w:rFonts w:cstheme="minorHAnsi"/>
          <w:sz w:val="20"/>
          <w:szCs w:val="20"/>
        </w:rPr>
        <w:t xml:space="preserve">, Putrajaya (voucher specimen, HTBP 2577). </w:t>
      </w:r>
      <w:r w:rsidR="001D45E8" w:rsidRPr="00387A14">
        <w:rPr>
          <w:rFonts w:cstheme="minorHAnsi"/>
          <w:sz w:val="20"/>
          <w:szCs w:val="20"/>
        </w:rPr>
        <w:t>Mature</w:t>
      </w:r>
      <w:r w:rsidR="007F6530" w:rsidRPr="00387A14">
        <w:rPr>
          <w:rFonts w:cstheme="minorHAnsi"/>
          <w:sz w:val="20"/>
          <w:szCs w:val="20"/>
        </w:rPr>
        <w:t xml:space="preserve"> </w:t>
      </w:r>
      <w:r w:rsidR="00A37F11" w:rsidRPr="00387A14">
        <w:rPr>
          <w:rFonts w:cstheme="minorHAnsi"/>
          <w:sz w:val="20"/>
          <w:szCs w:val="20"/>
        </w:rPr>
        <w:t xml:space="preserve">fruits </w:t>
      </w:r>
      <w:r w:rsidR="006F4ABC" w:rsidRPr="00387A14">
        <w:rPr>
          <w:rFonts w:cstheme="minorHAnsi"/>
          <w:sz w:val="20"/>
          <w:szCs w:val="20"/>
        </w:rPr>
        <w:t xml:space="preserve">were de-shelled and dried under room temperature. It was then ground to </w:t>
      </w:r>
      <w:r w:rsidR="00414823" w:rsidRPr="00387A14">
        <w:rPr>
          <w:rFonts w:cstheme="minorHAnsi"/>
          <w:sz w:val="20"/>
          <w:szCs w:val="20"/>
        </w:rPr>
        <w:t xml:space="preserve">fine meal </w:t>
      </w:r>
      <w:r w:rsidR="006F4ABC" w:rsidRPr="00387A14">
        <w:rPr>
          <w:rFonts w:cstheme="minorHAnsi"/>
          <w:sz w:val="20"/>
          <w:szCs w:val="20"/>
        </w:rPr>
        <w:t xml:space="preserve">using a grinder. </w:t>
      </w:r>
    </w:p>
    <w:p w:rsidR="0086617B" w:rsidRPr="009D26A5" w:rsidRDefault="0086617B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6617B" w:rsidRPr="009D26A5" w:rsidRDefault="006F4ABC" w:rsidP="003D0404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Extraction and Isolation</w:t>
      </w:r>
    </w:p>
    <w:p w:rsidR="00DE395B" w:rsidRPr="00387A14" w:rsidRDefault="007F6530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t xml:space="preserve">The </w:t>
      </w:r>
      <w:r w:rsidR="00414823" w:rsidRPr="00387A14">
        <w:rPr>
          <w:rFonts w:cstheme="minorHAnsi"/>
          <w:sz w:val="20"/>
          <w:szCs w:val="20"/>
        </w:rPr>
        <w:t>fine meal</w:t>
      </w:r>
      <w:r w:rsidRPr="00387A14">
        <w:rPr>
          <w:rFonts w:cstheme="minorHAnsi"/>
          <w:sz w:val="20"/>
          <w:szCs w:val="20"/>
        </w:rPr>
        <w:t xml:space="preserve"> (2 kg) was extracted </w:t>
      </w:r>
      <w:r w:rsidR="00D475BF" w:rsidRPr="00387A14">
        <w:rPr>
          <w:rFonts w:cstheme="minorHAnsi"/>
          <w:sz w:val="20"/>
          <w:szCs w:val="20"/>
        </w:rPr>
        <w:t>by</w:t>
      </w:r>
      <w:r w:rsidRPr="00387A14">
        <w:rPr>
          <w:rFonts w:cstheme="minorHAnsi"/>
          <w:sz w:val="20"/>
          <w:szCs w:val="20"/>
        </w:rPr>
        <w:t xml:space="preserve"> cold extraction method with n-hexane</w:t>
      </w:r>
      <w:r w:rsidR="00B674C0" w:rsidRPr="00387A14">
        <w:rPr>
          <w:rFonts w:cstheme="minorHAnsi"/>
          <w:sz w:val="20"/>
          <w:szCs w:val="20"/>
        </w:rPr>
        <w:t xml:space="preserve"> (</w:t>
      </w:r>
      <w:r w:rsidR="00F13328" w:rsidRPr="00387A14">
        <w:rPr>
          <w:rFonts w:cstheme="minorHAnsi"/>
          <w:sz w:val="20"/>
          <w:szCs w:val="20"/>
        </w:rPr>
        <w:t>3</w:t>
      </w:r>
      <w:r w:rsidR="00B674C0" w:rsidRPr="00387A14">
        <w:rPr>
          <w:rFonts w:cstheme="minorHAnsi"/>
          <w:sz w:val="20"/>
          <w:szCs w:val="20"/>
        </w:rPr>
        <w:t xml:space="preserve"> L)</w:t>
      </w:r>
      <w:r w:rsidRPr="00387A14">
        <w:rPr>
          <w:rFonts w:cstheme="minorHAnsi"/>
          <w:sz w:val="20"/>
          <w:szCs w:val="20"/>
        </w:rPr>
        <w:t xml:space="preserve"> </w:t>
      </w:r>
      <w:r w:rsidR="00D475BF" w:rsidRPr="00387A14">
        <w:rPr>
          <w:rFonts w:cstheme="minorHAnsi"/>
          <w:sz w:val="20"/>
          <w:szCs w:val="20"/>
        </w:rPr>
        <w:t>followed by methanol</w:t>
      </w:r>
      <w:r w:rsidR="002E21A9" w:rsidRPr="00387A14">
        <w:rPr>
          <w:rFonts w:cstheme="minorHAnsi"/>
          <w:sz w:val="20"/>
          <w:szCs w:val="20"/>
        </w:rPr>
        <w:t xml:space="preserve"> (</w:t>
      </w:r>
      <w:r w:rsidR="00F13328" w:rsidRPr="00387A14">
        <w:rPr>
          <w:rFonts w:cstheme="minorHAnsi"/>
          <w:sz w:val="20"/>
          <w:szCs w:val="20"/>
        </w:rPr>
        <w:t>3</w:t>
      </w:r>
      <w:r w:rsidR="002E21A9" w:rsidRPr="00387A14">
        <w:rPr>
          <w:rFonts w:cstheme="minorHAnsi"/>
          <w:sz w:val="20"/>
          <w:szCs w:val="20"/>
        </w:rPr>
        <w:t xml:space="preserve"> L), successively</w:t>
      </w:r>
      <w:r w:rsidRPr="00387A14">
        <w:rPr>
          <w:rFonts w:cstheme="minorHAnsi"/>
          <w:sz w:val="20"/>
          <w:szCs w:val="20"/>
        </w:rPr>
        <w:t xml:space="preserve">. </w:t>
      </w:r>
      <w:r w:rsidR="000133F1" w:rsidRPr="00387A14">
        <w:rPr>
          <w:rFonts w:cstheme="minorHAnsi"/>
          <w:sz w:val="20"/>
          <w:szCs w:val="20"/>
        </w:rPr>
        <w:t>After two days</w:t>
      </w:r>
      <w:r w:rsidR="00F13328" w:rsidRPr="00387A14">
        <w:rPr>
          <w:rFonts w:cstheme="minorHAnsi"/>
          <w:sz w:val="20"/>
          <w:szCs w:val="20"/>
        </w:rPr>
        <w:t xml:space="preserve"> extraction</w:t>
      </w:r>
      <w:r w:rsidR="000133F1" w:rsidRPr="00387A14">
        <w:rPr>
          <w:rFonts w:cstheme="minorHAnsi"/>
          <w:sz w:val="20"/>
          <w:szCs w:val="20"/>
        </w:rPr>
        <w:t>, the mixture was filtered to separate the soluble and re</w:t>
      </w:r>
      <w:r w:rsidR="00DB7E10" w:rsidRPr="00387A14">
        <w:rPr>
          <w:rFonts w:cstheme="minorHAnsi"/>
          <w:sz w:val="20"/>
          <w:szCs w:val="20"/>
        </w:rPr>
        <w:t xml:space="preserve">sidue. The extraction was </w:t>
      </w:r>
      <w:r w:rsidR="002E21A9" w:rsidRPr="00387A14">
        <w:rPr>
          <w:rFonts w:cstheme="minorHAnsi"/>
          <w:sz w:val="20"/>
          <w:szCs w:val="20"/>
        </w:rPr>
        <w:t>repeated</w:t>
      </w:r>
      <w:r w:rsidR="00355907" w:rsidRPr="00387A14">
        <w:rPr>
          <w:rFonts w:cstheme="minorHAnsi"/>
          <w:sz w:val="20"/>
          <w:szCs w:val="20"/>
        </w:rPr>
        <w:t xml:space="preserve"> three times. MeOH extracts were combined and </w:t>
      </w:r>
      <w:r w:rsidR="004D13BC" w:rsidRPr="00387A14">
        <w:rPr>
          <w:rFonts w:cstheme="minorHAnsi"/>
          <w:sz w:val="20"/>
          <w:szCs w:val="20"/>
        </w:rPr>
        <w:t xml:space="preserve">evaporated to </w:t>
      </w:r>
      <w:r w:rsidR="00355907" w:rsidRPr="00387A14">
        <w:rPr>
          <w:rFonts w:cstheme="minorHAnsi"/>
          <w:sz w:val="20"/>
          <w:szCs w:val="20"/>
        </w:rPr>
        <w:t>dryness by rotary evaporator. The dried MeOH extract (</w:t>
      </w:r>
      <w:r w:rsidR="00F13328" w:rsidRPr="00387A14">
        <w:rPr>
          <w:rFonts w:cstheme="minorHAnsi"/>
          <w:sz w:val="20"/>
          <w:szCs w:val="20"/>
        </w:rPr>
        <w:t>44</w:t>
      </w:r>
      <w:r w:rsidR="00D475BF" w:rsidRPr="00387A14">
        <w:rPr>
          <w:rFonts w:cstheme="minorHAnsi"/>
          <w:sz w:val="20"/>
          <w:szCs w:val="20"/>
        </w:rPr>
        <w:t xml:space="preserve"> g) </w:t>
      </w:r>
      <w:r w:rsidR="004D13BC" w:rsidRPr="00387A14">
        <w:rPr>
          <w:rFonts w:cstheme="minorHAnsi"/>
          <w:sz w:val="20"/>
          <w:szCs w:val="20"/>
        </w:rPr>
        <w:t xml:space="preserve">was </w:t>
      </w:r>
      <w:r w:rsidR="00CF58AC" w:rsidRPr="00387A14">
        <w:rPr>
          <w:rFonts w:cstheme="minorHAnsi"/>
          <w:sz w:val="20"/>
          <w:szCs w:val="20"/>
        </w:rPr>
        <w:t xml:space="preserve">dissolved in </w:t>
      </w:r>
      <w:r w:rsidR="00565B67" w:rsidRPr="00387A14">
        <w:rPr>
          <w:rFonts w:cstheme="minorHAnsi"/>
          <w:sz w:val="20"/>
          <w:szCs w:val="20"/>
        </w:rPr>
        <w:t>80% MeOH</w:t>
      </w:r>
      <w:r w:rsidR="00CF58AC" w:rsidRPr="00387A14">
        <w:rPr>
          <w:rFonts w:cstheme="minorHAnsi"/>
          <w:sz w:val="20"/>
          <w:szCs w:val="20"/>
        </w:rPr>
        <w:t xml:space="preserve"> </w:t>
      </w:r>
      <w:r w:rsidR="00836850" w:rsidRPr="00387A14">
        <w:rPr>
          <w:rFonts w:cstheme="minorHAnsi"/>
          <w:sz w:val="20"/>
          <w:szCs w:val="20"/>
        </w:rPr>
        <w:t>and 20 % H</w:t>
      </w:r>
      <w:r w:rsidR="00836850" w:rsidRPr="00387A14">
        <w:rPr>
          <w:rFonts w:cstheme="minorHAnsi"/>
          <w:sz w:val="20"/>
          <w:szCs w:val="20"/>
          <w:vertAlign w:val="subscript"/>
        </w:rPr>
        <w:t>2</w:t>
      </w:r>
      <w:r w:rsidR="00836850" w:rsidRPr="00387A14">
        <w:rPr>
          <w:rFonts w:cstheme="minorHAnsi"/>
          <w:sz w:val="20"/>
          <w:szCs w:val="20"/>
        </w:rPr>
        <w:t xml:space="preserve">O, </w:t>
      </w:r>
      <w:r w:rsidR="00CF58AC" w:rsidRPr="00387A14">
        <w:rPr>
          <w:rFonts w:cstheme="minorHAnsi"/>
          <w:sz w:val="20"/>
          <w:szCs w:val="20"/>
        </w:rPr>
        <w:t xml:space="preserve">and </w:t>
      </w:r>
      <w:r w:rsidR="00D475BF" w:rsidRPr="00387A14">
        <w:rPr>
          <w:rFonts w:cstheme="minorHAnsi"/>
          <w:sz w:val="20"/>
          <w:szCs w:val="20"/>
        </w:rPr>
        <w:t>pa</w:t>
      </w:r>
      <w:r w:rsidR="007149BE" w:rsidRPr="00387A14">
        <w:rPr>
          <w:rFonts w:cstheme="minorHAnsi"/>
          <w:sz w:val="20"/>
          <w:szCs w:val="20"/>
        </w:rPr>
        <w:t>rtition</w:t>
      </w:r>
      <w:r w:rsidR="00CF58AC" w:rsidRPr="00387A14">
        <w:rPr>
          <w:rFonts w:cstheme="minorHAnsi"/>
          <w:sz w:val="20"/>
          <w:szCs w:val="20"/>
        </w:rPr>
        <w:t>ed</w:t>
      </w:r>
      <w:r w:rsidR="007149BE" w:rsidRPr="00387A14">
        <w:rPr>
          <w:rFonts w:cstheme="minorHAnsi"/>
          <w:sz w:val="20"/>
          <w:szCs w:val="20"/>
        </w:rPr>
        <w:t xml:space="preserve"> between CHCl</w:t>
      </w:r>
      <w:r w:rsidR="007149BE" w:rsidRPr="00387A14">
        <w:rPr>
          <w:rFonts w:cstheme="minorHAnsi"/>
          <w:sz w:val="20"/>
          <w:szCs w:val="20"/>
          <w:vertAlign w:val="subscript"/>
        </w:rPr>
        <w:t>3</w:t>
      </w:r>
      <w:r w:rsidR="00D475BF" w:rsidRPr="00387A14">
        <w:rPr>
          <w:rFonts w:cstheme="minorHAnsi"/>
          <w:sz w:val="20"/>
          <w:szCs w:val="20"/>
        </w:rPr>
        <w:t xml:space="preserve"> and n-BuOH</w:t>
      </w:r>
      <w:r w:rsidR="002E21A9" w:rsidRPr="00387A14">
        <w:rPr>
          <w:rFonts w:cstheme="minorHAnsi"/>
          <w:sz w:val="20"/>
          <w:szCs w:val="20"/>
        </w:rPr>
        <w:t xml:space="preserve"> by </w:t>
      </w:r>
      <w:r w:rsidR="000E080A" w:rsidRPr="00387A14">
        <w:rPr>
          <w:rFonts w:cstheme="minorHAnsi"/>
          <w:sz w:val="20"/>
          <w:szCs w:val="20"/>
        </w:rPr>
        <w:t xml:space="preserve">liquid-liquid </w:t>
      </w:r>
      <w:r w:rsidR="00A37F11" w:rsidRPr="00387A14">
        <w:rPr>
          <w:rFonts w:cstheme="minorHAnsi"/>
          <w:sz w:val="20"/>
          <w:szCs w:val="20"/>
        </w:rPr>
        <w:t>extraction</w:t>
      </w:r>
      <w:r w:rsidR="00985A6B" w:rsidRPr="00387A14">
        <w:rPr>
          <w:rFonts w:cstheme="minorHAnsi"/>
          <w:sz w:val="20"/>
          <w:szCs w:val="20"/>
        </w:rPr>
        <w:t xml:space="preserve"> yield</w:t>
      </w:r>
      <w:r w:rsidR="00CF58AC" w:rsidRPr="00387A14">
        <w:rPr>
          <w:rFonts w:cstheme="minorHAnsi"/>
          <w:sz w:val="20"/>
          <w:szCs w:val="20"/>
        </w:rPr>
        <w:t>ing</w:t>
      </w:r>
      <w:r w:rsidR="00DB7E10" w:rsidRPr="00387A14">
        <w:rPr>
          <w:rFonts w:cstheme="minorHAnsi"/>
          <w:sz w:val="20"/>
          <w:szCs w:val="20"/>
        </w:rPr>
        <w:t xml:space="preserve"> chloroform fraction (</w:t>
      </w:r>
      <w:r w:rsidR="00C372DD" w:rsidRPr="00387A14">
        <w:rPr>
          <w:rFonts w:cstheme="minorHAnsi"/>
          <w:sz w:val="20"/>
          <w:szCs w:val="20"/>
        </w:rPr>
        <w:t>1.18 g</w:t>
      </w:r>
      <w:r w:rsidR="00DB7E10" w:rsidRPr="00387A14">
        <w:rPr>
          <w:rFonts w:cstheme="minorHAnsi"/>
          <w:sz w:val="20"/>
          <w:szCs w:val="20"/>
        </w:rPr>
        <w:t>)</w:t>
      </w:r>
      <w:r w:rsidR="00C372DD" w:rsidRPr="00387A14">
        <w:rPr>
          <w:rFonts w:cstheme="minorHAnsi"/>
          <w:sz w:val="20"/>
          <w:szCs w:val="20"/>
        </w:rPr>
        <w:t>,</w:t>
      </w:r>
      <w:r w:rsidR="00985A6B" w:rsidRPr="00387A14">
        <w:rPr>
          <w:rFonts w:cstheme="minorHAnsi"/>
          <w:sz w:val="20"/>
          <w:szCs w:val="20"/>
        </w:rPr>
        <w:t xml:space="preserve"> </w:t>
      </w:r>
      <w:r w:rsidR="00DB7E10" w:rsidRPr="00387A14">
        <w:rPr>
          <w:rFonts w:cstheme="minorHAnsi"/>
          <w:sz w:val="20"/>
          <w:szCs w:val="20"/>
        </w:rPr>
        <w:t>n-butanol fraction (</w:t>
      </w:r>
      <w:r w:rsidR="00985A6B" w:rsidRPr="00387A14">
        <w:rPr>
          <w:rFonts w:cstheme="minorHAnsi"/>
          <w:sz w:val="20"/>
          <w:szCs w:val="20"/>
        </w:rPr>
        <w:t>8.9</w:t>
      </w:r>
      <w:r w:rsidR="00982726" w:rsidRPr="00387A14">
        <w:rPr>
          <w:rFonts w:cstheme="minorHAnsi"/>
          <w:sz w:val="20"/>
          <w:szCs w:val="20"/>
        </w:rPr>
        <w:t>0</w:t>
      </w:r>
      <w:r w:rsidR="00985A6B" w:rsidRPr="00387A14">
        <w:rPr>
          <w:rFonts w:cstheme="minorHAnsi"/>
          <w:sz w:val="20"/>
          <w:szCs w:val="20"/>
        </w:rPr>
        <w:t xml:space="preserve"> g</w:t>
      </w:r>
      <w:r w:rsidR="00DB7E10" w:rsidRPr="00387A14">
        <w:rPr>
          <w:rFonts w:cstheme="minorHAnsi"/>
          <w:sz w:val="20"/>
          <w:szCs w:val="20"/>
        </w:rPr>
        <w:t xml:space="preserve">) </w:t>
      </w:r>
      <w:r w:rsidR="009047A2" w:rsidRPr="00387A14">
        <w:rPr>
          <w:rFonts w:cstheme="minorHAnsi"/>
          <w:sz w:val="20"/>
          <w:szCs w:val="20"/>
        </w:rPr>
        <w:t>and the</w:t>
      </w:r>
      <w:r w:rsidR="00C372DD" w:rsidRPr="00387A14">
        <w:rPr>
          <w:rFonts w:cstheme="minorHAnsi"/>
          <w:sz w:val="20"/>
          <w:szCs w:val="20"/>
        </w:rPr>
        <w:t xml:space="preserve"> methanol </w:t>
      </w:r>
      <w:r w:rsidR="00DB7E10" w:rsidRPr="00387A14">
        <w:rPr>
          <w:rFonts w:cstheme="minorHAnsi"/>
          <w:sz w:val="20"/>
          <w:szCs w:val="20"/>
        </w:rPr>
        <w:t xml:space="preserve">aqueous </w:t>
      </w:r>
      <w:r w:rsidR="00C372DD" w:rsidRPr="00387A14">
        <w:rPr>
          <w:rFonts w:cstheme="minorHAnsi"/>
          <w:sz w:val="20"/>
          <w:szCs w:val="20"/>
        </w:rPr>
        <w:t>fraction</w:t>
      </w:r>
      <w:r w:rsidR="00DB7E10" w:rsidRPr="00387A14">
        <w:rPr>
          <w:rFonts w:cstheme="minorHAnsi"/>
          <w:sz w:val="20"/>
          <w:szCs w:val="20"/>
        </w:rPr>
        <w:t xml:space="preserve"> (27.</w:t>
      </w:r>
      <w:r w:rsidR="00F24763" w:rsidRPr="00387A14">
        <w:rPr>
          <w:rFonts w:cstheme="minorHAnsi"/>
          <w:sz w:val="20"/>
          <w:szCs w:val="20"/>
        </w:rPr>
        <w:t>85 g)</w:t>
      </w:r>
      <w:r w:rsidR="000E080A" w:rsidRPr="00387A14">
        <w:rPr>
          <w:rFonts w:cstheme="minorHAnsi"/>
          <w:sz w:val="20"/>
          <w:szCs w:val="20"/>
        </w:rPr>
        <w:t>.</w:t>
      </w:r>
      <w:r w:rsidR="009418A2" w:rsidRPr="00387A14">
        <w:rPr>
          <w:rFonts w:cstheme="minorHAnsi"/>
          <w:sz w:val="20"/>
          <w:szCs w:val="20"/>
        </w:rPr>
        <w:t xml:space="preserve"> </w:t>
      </w:r>
    </w:p>
    <w:p w:rsidR="00C372DD" w:rsidRPr="00387A14" w:rsidRDefault="00C372DD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86617B" w:rsidRPr="00387A14" w:rsidRDefault="009047A2" w:rsidP="009047A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t>Separations on the chemical components of the chloroform fraction start</w:t>
      </w:r>
      <w:r w:rsidR="00E501EC" w:rsidRPr="00387A14">
        <w:rPr>
          <w:rFonts w:cstheme="minorHAnsi"/>
          <w:sz w:val="20"/>
          <w:szCs w:val="20"/>
        </w:rPr>
        <w:t xml:space="preserve"> with</w:t>
      </w:r>
      <w:r w:rsidR="00F13328" w:rsidRPr="00387A14">
        <w:rPr>
          <w:rFonts w:cstheme="minorHAnsi"/>
          <w:sz w:val="20"/>
          <w:szCs w:val="20"/>
        </w:rPr>
        <w:t xml:space="preserve"> injection on column </w:t>
      </w:r>
      <w:r w:rsidR="00E501EC" w:rsidRPr="00387A14">
        <w:rPr>
          <w:rFonts w:cstheme="minorHAnsi"/>
          <w:sz w:val="20"/>
          <w:szCs w:val="20"/>
        </w:rPr>
        <w:t xml:space="preserve">chromatography. The </w:t>
      </w:r>
      <w:r w:rsidR="008F3C66" w:rsidRPr="00387A14">
        <w:rPr>
          <w:rFonts w:cstheme="minorHAnsi"/>
          <w:sz w:val="20"/>
          <w:szCs w:val="20"/>
        </w:rPr>
        <w:t>eluent</w:t>
      </w:r>
      <w:r w:rsidR="009418A2" w:rsidRPr="00387A14">
        <w:rPr>
          <w:rFonts w:cstheme="minorHAnsi"/>
          <w:sz w:val="20"/>
          <w:szCs w:val="20"/>
        </w:rPr>
        <w:t xml:space="preserve"> </w:t>
      </w:r>
      <w:r w:rsidR="00E501EC" w:rsidRPr="00387A14">
        <w:rPr>
          <w:rFonts w:cstheme="minorHAnsi"/>
          <w:sz w:val="20"/>
          <w:szCs w:val="20"/>
        </w:rPr>
        <w:t xml:space="preserve">consisting a mixture of </w:t>
      </w:r>
      <w:r w:rsidR="00605864" w:rsidRPr="00387A14">
        <w:rPr>
          <w:rFonts w:cstheme="minorHAnsi"/>
          <w:sz w:val="20"/>
          <w:szCs w:val="20"/>
        </w:rPr>
        <w:t>diethyl eter: chloroform: methanol</w:t>
      </w:r>
      <w:r w:rsidR="00516590" w:rsidRPr="00387A14">
        <w:rPr>
          <w:rFonts w:cstheme="minorHAnsi"/>
          <w:sz w:val="20"/>
          <w:szCs w:val="20"/>
        </w:rPr>
        <w:t xml:space="preserve"> </w:t>
      </w:r>
      <w:r w:rsidR="009D053C" w:rsidRPr="00387A14">
        <w:rPr>
          <w:rFonts w:cstheme="minorHAnsi"/>
          <w:sz w:val="20"/>
          <w:szCs w:val="20"/>
        </w:rPr>
        <w:t>(</w:t>
      </w:r>
      <w:r w:rsidR="00605864" w:rsidRPr="00387A14">
        <w:rPr>
          <w:rFonts w:cstheme="minorHAnsi"/>
          <w:sz w:val="20"/>
          <w:szCs w:val="20"/>
        </w:rPr>
        <w:t>6: 3.5</w:t>
      </w:r>
      <w:r w:rsidR="009D053C" w:rsidRPr="00387A14">
        <w:rPr>
          <w:rFonts w:cstheme="minorHAnsi"/>
          <w:sz w:val="20"/>
          <w:szCs w:val="20"/>
        </w:rPr>
        <w:t xml:space="preserve">: 0.5 v/v) </w:t>
      </w:r>
      <w:r w:rsidR="00CF58AC" w:rsidRPr="00387A14">
        <w:rPr>
          <w:rFonts w:cstheme="minorHAnsi"/>
          <w:sz w:val="20"/>
          <w:szCs w:val="20"/>
        </w:rPr>
        <w:t xml:space="preserve">at </w:t>
      </w:r>
      <w:r w:rsidR="00691A91" w:rsidRPr="00387A14">
        <w:rPr>
          <w:rFonts w:cstheme="minorHAnsi"/>
          <w:sz w:val="20"/>
          <w:szCs w:val="20"/>
        </w:rPr>
        <w:t>normal phase silica gel</w:t>
      </w:r>
      <w:r w:rsidR="009418A2" w:rsidRPr="00387A14">
        <w:rPr>
          <w:rFonts w:cstheme="minorHAnsi"/>
          <w:sz w:val="20"/>
          <w:szCs w:val="20"/>
        </w:rPr>
        <w:t>.</w:t>
      </w:r>
      <w:r w:rsidR="00691A91" w:rsidRPr="00387A14">
        <w:rPr>
          <w:rFonts w:cstheme="minorHAnsi"/>
          <w:sz w:val="20"/>
          <w:szCs w:val="20"/>
        </w:rPr>
        <w:t xml:space="preserve"> By observation with </w:t>
      </w:r>
      <w:r w:rsidR="00797963" w:rsidRPr="00387A14">
        <w:rPr>
          <w:rFonts w:cstheme="minorHAnsi"/>
          <w:sz w:val="20"/>
          <w:szCs w:val="20"/>
        </w:rPr>
        <w:t>thin layer chromatography (</w:t>
      </w:r>
      <w:r w:rsidR="00691A91" w:rsidRPr="00387A14">
        <w:rPr>
          <w:rFonts w:cstheme="minorHAnsi"/>
          <w:sz w:val="20"/>
          <w:szCs w:val="20"/>
        </w:rPr>
        <w:t>TLC</w:t>
      </w:r>
      <w:r w:rsidR="00797963" w:rsidRPr="00387A14">
        <w:rPr>
          <w:rFonts w:cstheme="minorHAnsi"/>
          <w:sz w:val="20"/>
          <w:szCs w:val="20"/>
        </w:rPr>
        <w:t>)</w:t>
      </w:r>
      <w:r w:rsidR="00691A91" w:rsidRPr="00387A14">
        <w:rPr>
          <w:rFonts w:cstheme="minorHAnsi"/>
          <w:sz w:val="20"/>
          <w:szCs w:val="20"/>
        </w:rPr>
        <w:t xml:space="preserve">, </w:t>
      </w:r>
      <w:r w:rsidR="00797963" w:rsidRPr="00387A14">
        <w:rPr>
          <w:rFonts w:cstheme="minorHAnsi"/>
          <w:sz w:val="20"/>
          <w:szCs w:val="20"/>
        </w:rPr>
        <w:t>seven</w:t>
      </w:r>
      <w:r w:rsidR="00691A91" w:rsidRPr="00387A14">
        <w:rPr>
          <w:rFonts w:cstheme="minorHAnsi"/>
          <w:sz w:val="20"/>
          <w:szCs w:val="20"/>
        </w:rPr>
        <w:t xml:space="preserve"> </w:t>
      </w:r>
      <w:r w:rsidR="00CF58AC" w:rsidRPr="00387A14">
        <w:rPr>
          <w:rFonts w:cstheme="minorHAnsi"/>
          <w:sz w:val="20"/>
          <w:szCs w:val="20"/>
        </w:rPr>
        <w:t>combination</w:t>
      </w:r>
      <w:r w:rsidR="005F295C" w:rsidRPr="00387A14">
        <w:rPr>
          <w:rFonts w:cstheme="minorHAnsi"/>
          <w:sz w:val="20"/>
          <w:szCs w:val="20"/>
        </w:rPr>
        <w:t xml:space="preserve"> </w:t>
      </w:r>
      <w:r w:rsidR="00691A91" w:rsidRPr="00387A14">
        <w:rPr>
          <w:rFonts w:cstheme="minorHAnsi"/>
          <w:sz w:val="20"/>
          <w:szCs w:val="20"/>
        </w:rPr>
        <w:t>fraction</w:t>
      </w:r>
      <w:r w:rsidR="00797963" w:rsidRPr="00387A14">
        <w:rPr>
          <w:rFonts w:cstheme="minorHAnsi"/>
          <w:sz w:val="20"/>
          <w:szCs w:val="20"/>
        </w:rPr>
        <w:t>s</w:t>
      </w:r>
      <w:r w:rsidR="00691A91" w:rsidRPr="00387A14">
        <w:rPr>
          <w:rFonts w:cstheme="minorHAnsi"/>
          <w:sz w:val="20"/>
          <w:szCs w:val="20"/>
        </w:rPr>
        <w:t xml:space="preserve"> </w:t>
      </w:r>
      <w:r w:rsidR="00DE395B" w:rsidRPr="00387A14">
        <w:rPr>
          <w:rFonts w:cstheme="minorHAnsi"/>
          <w:sz w:val="20"/>
          <w:szCs w:val="20"/>
        </w:rPr>
        <w:t xml:space="preserve">were </w:t>
      </w:r>
      <w:r w:rsidR="003E4EB7" w:rsidRPr="00387A14">
        <w:rPr>
          <w:rFonts w:cstheme="minorHAnsi"/>
          <w:sz w:val="20"/>
          <w:szCs w:val="20"/>
        </w:rPr>
        <w:t>pooled</w:t>
      </w:r>
      <w:r w:rsidR="00DE395B" w:rsidRPr="00387A14">
        <w:rPr>
          <w:rFonts w:cstheme="minorHAnsi"/>
          <w:sz w:val="20"/>
          <w:szCs w:val="20"/>
        </w:rPr>
        <w:t xml:space="preserve">. </w:t>
      </w:r>
      <w:r w:rsidR="00FF192A" w:rsidRPr="00387A14">
        <w:rPr>
          <w:rFonts w:cstheme="minorHAnsi"/>
          <w:sz w:val="20"/>
          <w:szCs w:val="20"/>
        </w:rPr>
        <w:t>T</w:t>
      </w:r>
      <w:r w:rsidR="00F24763" w:rsidRPr="00387A14">
        <w:rPr>
          <w:rFonts w:cstheme="minorHAnsi"/>
          <w:sz w:val="20"/>
          <w:szCs w:val="20"/>
        </w:rPr>
        <w:t>he t</w:t>
      </w:r>
      <w:r w:rsidR="00CF58AC" w:rsidRPr="00387A14">
        <w:rPr>
          <w:rFonts w:cstheme="minorHAnsi"/>
          <w:sz w:val="20"/>
          <w:szCs w:val="20"/>
        </w:rPr>
        <w:t xml:space="preserve">hird </w:t>
      </w:r>
      <w:r w:rsidR="005F295C" w:rsidRPr="00387A14">
        <w:rPr>
          <w:rFonts w:cstheme="minorHAnsi"/>
          <w:sz w:val="20"/>
          <w:szCs w:val="20"/>
        </w:rPr>
        <w:t>fraction</w:t>
      </w:r>
      <w:r w:rsidR="00797963" w:rsidRPr="00387A14">
        <w:rPr>
          <w:rFonts w:cstheme="minorHAnsi"/>
          <w:sz w:val="20"/>
          <w:szCs w:val="20"/>
        </w:rPr>
        <w:t xml:space="preserve"> </w:t>
      </w:r>
      <w:r w:rsidR="005F295C" w:rsidRPr="00387A14">
        <w:rPr>
          <w:rFonts w:cstheme="minorHAnsi"/>
          <w:sz w:val="20"/>
          <w:szCs w:val="20"/>
        </w:rPr>
        <w:t>was</w:t>
      </w:r>
      <w:r w:rsidR="003F43A5" w:rsidRPr="00387A14">
        <w:rPr>
          <w:rFonts w:cstheme="minorHAnsi"/>
          <w:sz w:val="20"/>
          <w:szCs w:val="20"/>
        </w:rPr>
        <w:t xml:space="preserve"> </w:t>
      </w:r>
      <w:r w:rsidR="00E91E06" w:rsidRPr="00387A14">
        <w:rPr>
          <w:rFonts w:cstheme="minorHAnsi"/>
          <w:sz w:val="20"/>
          <w:szCs w:val="20"/>
        </w:rPr>
        <w:t>applied to a</w:t>
      </w:r>
      <w:r w:rsidR="00565B67" w:rsidRPr="00387A14">
        <w:rPr>
          <w:rFonts w:cstheme="minorHAnsi"/>
          <w:sz w:val="20"/>
          <w:szCs w:val="20"/>
        </w:rPr>
        <w:t xml:space="preserve"> </w:t>
      </w:r>
      <w:r w:rsidR="00797963" w:rsidRPr="00387A14">
        <w:rPr>
          <w:rFonts w:cstheme="minorHAnsi"/>
          <w:sz w:val="20"/>
          <w:szCs w:val="20"/>
        </w:rPr>
        <w:t xml:space="preserve">silica gel column chromatography </w:t>
      </w:r>
      <w:r w:rsidR="00E91E06" w:rsidRPr="00387A14">
        <w:rPr>
          <w:rFonts w:cstheme="minorHAnsi"/>
          <w:sz w:val="20"/>
          <w:szCs w:val="20"/>
        </w:rPr>
        <w:t>eluted with</w:t>
      </w:r>
      <w:r w:rsidR="00797963" w:rsidRPr="00387A14">
        <w:rPr>
          <w:rFonts w:cstheme="minorHAnsi"/>
          <w:sz w:val="20"/>
          <w:szCs w:val="20"/>
        </w:rPr>
        <w:t xml:space="preserve"> hexane: chlorofo</w:t>
      </w:r>
      <w:r w:rsidR="005F295C" w:rsidRPr="00387A14">
        <w:rPr>
          <w:rFonts w:cstheme="minorHAnsi"/>
          <w:sz w:val="20"/>
          <w:szCs w:val="20"/>
        </w:rPr>
        <w:t>r</w:t>
      </w:r>
      <w:r w:rsidR="00797963" w:rsidRPr="00387A14">
        <w:rPr>
          <w:rFonts w:cstheme="minorHAnsi"/>
          <w:sz w:val="20"/>
          <w:szCs w:val="20"/>
        </w:rPr>
        <w:t>m: methanol (2.5: 7: 0.5, v/v</w:t>
      </w:r>
      <w:r w:rsidR="00DE395B" w:rsidRPr="00387A14">
        <w:rPr>
          <w:rFonts w:cstheme="minorHAnsi"/>
          <w:sz w:val="20"/>
          <w:szCs w:val="20"/>
        </w:rPr>
        <w:t xml:space="preserve">), yielding compound </w:t>
      </w:r>
      <w:r w:rsidR="00A37F11" w:rsidRPr="00387A14">
        <w:rPr>
          <w:rFonts w:cstheme="minorHAnsi"/>
          <w:sz w:val="20"/>
          <w:szCs w:val="20"/>
        </w:rPr>
        <w:t>1</w:t>
      </w:r>
      <w:r w:rsidR="00861F79" w:rsidRPr="00387A14">
        <w:rPr>
          <w:rFonts w:cstheme="minorHAnsi"/>
          <w:sz w:val="20"/>
          <w:szCs w:val="20"/>
        </w:rPr>
        <w:t xml:space="preserve"> (</w:t>
      </w:r>
      <w:r w:rsidR="00FF192A" w:rsidRPr="00387A14">
        <w:rPr>
          <w:rFonts w:cstheme="minorHAnsi"/>
          <w:sz w:val="20"/>
          <w:szCs w:val="20"/>
        </w:rPr>
        <w:t>0.5</w:t>
      </w:r>
      <w:r w:rsidR="00C74679" w:rsidRPr="00387A14">
        <w:rPr>
          <w:rFonts w:cstheme="minorHAnsi"/>
          <w:sz w:val="20"/>
          <w:szCs w:val="20"/>
        </w:rPr>
        <w:t xml:space="preserve"> mg</w:t>
      </w:r>
      <w:r w:rsidR="00861F79" w:rsidRPr="00387A14">
        <w:rPr>
          <w:rFonts w:cstheme="minorHAnsi"/>
          <w:sz w:val="20"/>
          <w:szCs w:val="20"/>
        </w:rPr>
        <w:t>)</w:t>
      </w:r>
      <w:r w:rsidR="003E4EB7" w:rsidRPr="00387A14">
        <w:rPr>
          <w:rFonts w:cstheme="minorHAnsi"/>
          <w:sz w:val="20"/>
          <w:szCs w:val="20"/>
        </w:rPr>
        <w:t xml:space="preserve">, which </w:t>
      </w:r>
      <w:r w:rsidR="00DE395B" w:rsidRPr="00387A14">
        <w:rPr>
          <w:rFonts w:cstheme="minorHAnsi"/>
          <w:sz w:val="20"/>
          <w:szCs w:val="20"/>
        </w:rPr>
        <w:t xml:space="preserve">was purified </w:t>
      </w:r>
      <w:r w:rsidR="00E91E06" w:rsidRPr="00387A14">
        <w:rPr>
          <w:rFonts w:cstheme="minorHAnsi"/>
          <w:sz w:val="20"/>
          <w:szCs w:val="20"/>
        </w:rPr>
        <w:t>with</w:t>
      </w:r>
      <w:r w:rsidR="00DE395B" w:rsidRPr="00387A14">
        <w:rPr>
          <w:rFonts w:cstheme="minorHAnsi"/>
          <w:sz w:val="20"/>
          <w:szCs w:val="20"/>
        </w:rPr>
        <w:t xml:space="preserve"> </w:t>
      </w:r>
      <w:r w:rsidR="00565B67" w:rsidRPr="00387A14">
        <w:rPr>
          <w:rFonts w:cstheme="minorHAnsi"/>
          <w:sz w:val="20"/>
          <w:szCs w:val="20"/>
        </w:rPr>
        <w:t xml:space="preserve">repeated </w:t>
      </w:r>
      <w:r w:rsidR="003E4EB7" w:rsidRPr="00387A14">
        <w:rPr>
          <w:rFonts w:cstheme="minorHAnsi"/>
          <w:sz w:val="20"/>
          <w:szCs w:val="20"/>
        </w:rPr>
        <w:t xml:space="preserve">radial </w:t>
      </w:r>
      <w:r w:rsidR="005F295C" w:rsidRPr="00387A14">
        <w:rPr>
          <w:rFonts w:cstheme="minorHAnsi"/>
          <w:sz w:val="20"/>
          <w:szCs w:val="20"/>
        </w:rPr>
        <w:t xml:space="preserve">chromatography </w:t>
      </w:r>
      <w:r w:rsidR="00F023D9" w:rsidRPr="00387A14">
        <w:rPr>
          <w:rFonts w:cstheme="minorHAnsi"/>
          <w:sz w:val="20"/>
          <w:szCs w:val="20"/>
        </w:rPr>
        <w:t xml:space="preserve">using 100% </w:t>
      </w:r>
      <w:r w:rsidR="00507753" w:rsidRPr="00387A14">
        <w:rPr>
          <w:rFonts w:cstheme="minorHAnsi"/>
          <w:sz w:val="20"/>
          <w:szCs w:val="20"/>
        </w:rPr>
        <w:t>ch</w:t>
      </w:r>
      <w:r w:rsidR="005F295C" w:rsidRPr="00387A14">
        <w:rPr>
          <w:rFonts w:cstheme="minorHAnsi"/>
          <w:sz w:val="20"/>
          <w:szCs w:val="20"/>
        </w:rPr>
        <w:t xml:space="preserve">loroform. </w:t>
      </w:r>
      <w:r w:rsidR="003F43A5" w:rsidRPr="00387A14">
        <w:rPr>
          <w:rFonts w:cstheme="minorHAnsi"/>
          <w:sz w:val="20"/>
          <w:szCs w:val="20"/>
        </w:rPr>
        <w:t xml:space="preserve">For </w:t>
      </w:r>
      <w:r w:rsidR="004D13BC" w:rsidRPr="00387A14">
        <w:rPr>
          <w:rFonts w:cstheme="minorHAnsi"/>
          <w:sz w:val="20"/>
          <w:szCs w:val="20"/>
        </w:rPr>
        <w:t xml:space="preserve">the </w:t>
      </w:r>
      <w:r w:rsidR="003F43A5" w:rsidRPr="00387A14">
        <w:rPr>
          <w:rFonts w:cstheme="minorHAnsi"/>
          <w:sz w:val="20"/>
          <w:szCs w:val="20"/>
        </w:rPr>
        <w:t xml:space="preserve">n-butanol fraction, </w:t>
      </w:r>
      <w:r w:rsidR="004D13BC" w:rsidRPr="00387A14">
        <w:rPr>
          <w:rFonts w:cstheme="minorHAnsi"/>
          <w:sz w:val="20"/>
          <w:szCs w:val="20"/>
        </w:rPr>
        <w:t xml:space="preserve">the </w:t>
      </w:r>
      <w:r w:rsidR="004B7885" w:rsidRPr="00387A14">
        <w:rPr>
          <w:rFonts w:cstheme="minorHAnsi"/>
          <w:sz w:val="20"/>
          <w:szCs w:val="20"/>
        </w:rPr>
        <w:t xml:space="preserve">crude </w:t>
      </w:r>
      <w:r w:rsidR="004D13BC" w:rsidRPr="00387A14">
        <w:rPr>
          <w:rFonts w:cstheme="minorHAnsi"/>
          <w:sz w:val="20"/>
          <w:szCs w:val="20"/>
        </w:rPr>
        <w:t xml:space="preserve">extract </w:t>
      </w:r>
      <w:r w:rsidR="004B7885" w:rsidRPr="00387A14">
        <w:rPr>
          <w:rFonts w:cstheme="minorHAnsi"/>
          <w:sz w:val="20"/>
          <w:szCs w:val="20"/>
        </w:rPr>
        <w:t xml:space="preserve">was injected on silica gel column chromatography </w:t>
      </w:r>
      <w:r w:rsidR="00F24763" w:rsidRPr="00387A14">
        <w:rPr>
          <w:rFonts w:cstheme="minorHAnsi"/>
          <w:sz w:val="20"/>
          <w:szCs w:val="20"/>
        </w:rPr>
        <w:t xml:space="preserve">and </w:t>
      </w:r>
      <w:r w:rsidR="000A054D" w:rsidRPr="00387A14">
        <w:rPr>
          <w:rFonts w:cstheme="minorHAnsi"/>
          <w:sz w:val="20"/>
          <w:szCs w:val="20"/>
        </w:rPr>
        <w:t xml:space="preserve">eluted </w:t>
      </w:r>
      <w:r w:rsidR="004B7885" w:rsidRPr="00387A14">
        <w:rPr>
          <w:rFonts w:cstheme="minorHAnsi"/>
          <w:sz w:val="20"/>
          <w:szCs w:val="20"/>
        </w:rPr>
        <w:t>with hexane: chloroform: methanol (3.5: 6: 0.5, v/v)</w:t>
      </w:r>
      <w:r w:rsidR="00221696" w:rsidRPr="00387A14">
        <w:rPr>
          <w:rFonts w:cstheme="minorHAnsi"/>
          <w:sz w:val="20"/>
          <w:szCs w:val="20"/>
        </w:rPr>
        <w:t xml:space="preserve"> </w:t>
      </w:r>
      <w:r w:rsidR="005A07B8" w:rsidRPr="00387A14">
        <w:rPr>
          <w:rFonts w:cstheme="minorHAnsi"/>
          <w:sz w:val="20"/>
          <w:szCs w:val="20"/>
        </w:rPr>
        <w:t>with increasing polarity,</w:t>
      </w:r>
      <w:r w:rsidR="00221696" w:rsidRPr="00387A14">
        <w:rPr>
          <w:rFonts w:cstheme="minorHAnsi"/>
          <w:sz w:val="20"/>
          <w:szCs w:val="20"/>
        </w:rPr>
        <w:t xml:space="preserve"> </w:t>
      </w:r>
      <w:r w:rsidR="00F0483F" w:rsidRPr="00387A14">
        <w:rPr>
          <w:rFonts w:cstheme="minorHAnsi"/>
          <w:sz w:val="20"/>
          <w:szCs w:val="20"/>
        </w:rPr>
        <w:t>yielded</w:t>
      </w:r>
      <w:r w:rsidR="005A07B8" w:rsidRPr="00387A14">
        <w:rPr>
          <w:rFonts w:cstheme="minorHAnsi"/>
          <w:sz w:val="20"/>
          <w:szCs w:val="20"/>
        </w:rPr>
        <w:t xml:space="preserve"> </w:t>
      </w:r>
      <w:r w:rsidR="004D13BC" w:rsidRPr="00387A14">
        <w:rPr>
          <w:rFonts w:cstheme="minorHAnsi"/>
          <w:sz w:val="20"/>
          <w:szCs w:val="20"/>
        </w:rPr>
        <w:t>six</w:t>
      </w:r>
      <w:r w:rsidR="005A07B8" w:rsidRPr="00387A14">
        <w:rPr>
          <w:rFonts w:cstheme="minorHAnsi"/>
          <w:sz w:val="20"/>
          <w:szCs w:val="20"/>
        </w:rPr>
        <w:t xml:space="preserve"> </w:t>
      </w:r>
      <w:r w:rsidR="00353A2C" w:rsidRPr="00387A14">
        <w:rPr>
          <w:rFonts w:cstheme="minorHAnsi"/>
          <w:sz w:val="20"/>
          <w:szCs w:val="20"/>
        </w:rPr>
        <w:t>fractions</w:t>
      </w:r>
      <w:r w:rsidR="004B7885" w:rsidRPr="00387A14">
        <w:rPr>
          <w:rFonts w:cstheme="minorHAnsi"/>
          <w:sz w:val="20"/>
          <w:szCs w:val="20"/>
        </w:rPr>
        <w:t>.</w:t>
      </w:r>
      <w:r w:rsidR="005A07B8" w:rsidRPr="00387A14">
        <w:rPr>
          <w:rFonts w:cstheme="minorHAnsi"/>
          <w:sz w:val="20"/>
          <w:szCs w:val="20"/>
        </w:rPr>
        <w:t xml:space="preserve"> </w:t>
      </w:r>
      <w:r w:rsidR="004D13BC" w:rsidRPr="00387A14">
        <w:rPr>
          <w:rFonts w:cstheme="minorHAnsi"/>
          <w:sz w:val="20"/>
          <w:szCs w:val="20"/>
        </w:rPr>
        <w:t>Purification of</w:t>
      </w:r>
      <w:r w:rsidR="00353A2C" w:rsidRPr="00387A14">
        <w:rPr>
          <w:rFonts w:cstheme="minorHAnsi"/>
          <w:sz w:val="20"/>
          <w:szCs w:val="20"/>
        </w:rPr>
        <w:t xml:space="preserve"> fraction </w:t>
      </w:r>
      <w:r w:rsidR="00FF192A" w:rsidRPr="00387A14">
        <w:rPr>
          <w:rFonts w:cstheme="minorHAnsi"/>
          <w:sz w:val="20"/>
          <w:szCs w:val="20"/>
        </w:rPr>
        <w:t>two</w:t>
      </w:r>
      <w:r w:rsidR="00353A2C" w:rsidRPr="00387A14">
        <w:rPr>
          <w:rFonts w:cstheme="minorHAnsi"/>
          <w:sz w:val="20"/>
          <w:szCs w:val="20"/>
        </w:rPr>
        <w:t xml:space="preserve"> by </w:t>
      </w:r>
      <w:r w:rsidR="00241738" w:rsidRPr="00387A14">
        <w:rPr>
          <w:rFonts w:cstheme="minorHAnsi"/>
          <w:sz w:val="20"/>
          <w:szCs w:val="20"/>
        </w:rPr>
        <w:t xml:space="preserve">repeated </w:t>
      </w:r>
      <w:r w:rsidR="004D13BC" w:rsidRPr="00387A14">
        <w:rPr>
          <w:rFonts w:cstheme="minorHAnsi"/>
          <w:sz w:val="20"/>
          <w:szCs w:val="20"/>
        </w:rPr>
        <w:t xml:space="preserve">radial </w:t>
      </w:r>
      <w:r w:rsidR="005F295C" w:rsidRPr="00387A14">
        <w:rPr>
          <w:rFonts w:cstheme="minorHAnsi"/>
          <w:sz w:val="20"/>
          <w:szCs w:val="20"/>
        </w:rPr>
        <w:t>chromatography</w:t>
      </w:r>
      <w:r w:rsidR="004D13BC" w:rsidRPr="00387A14">
        <w:rPr>
          <w:rFonts w:cstheme="minorHAnsi"/>
          <w:sz w:val="20"/>
          <w:szCs w:val="20"/>
        </w:rPr>
        <w:t xml:space="preserve"> </w:t>
      </w:r>
      <w:r w:rsidR="005F295C" w:rsidRPr="00387A14">
        <w:rPr>
          <w:rFonts w:cstheme="minorHAnsi"/>
          <w:sz w:val="20"/>
          <w:szCs w:val="20"/>
        </w:rPr>
        <w:t>afforded</w:t>
      </w:r>
      <w:r w:rsidR="00353A2C" w:rsidRPr="00387A14">
        <w:rPr>
          <w:rFonts w:cstheme="minorHAnsi"/>
          <w:sz w:val="20"/>
          <w:szCs w:val="20"/>
        </w:rPr>
        <w:t xml:space="preserve"> </w:t>
      </w:r>
      <w:r w:rsidR="009C1DE1" w:rsidRPr="00387A14">
        <w:rPr>
          <w:rFonts w:cstheme="minorHAnsi"/>
          <w:sz w:val="20"/>
          <w:szCs w:val="20"/>
        </w:rPr>
        <w:t>compound 2</w:t>
      </w:r>
      <w:r w:rsidR="00861F79" w:rsidRPr="00387A14">
        <w:rPr>
          <w:rFonts w:cstheme="minorHAnsi"/>
          <w:sz w:val="20"/>
          <w:szCs w:val="20"/>
        </w:rPr>
        <w:t xml:space="preserve"> (</w:t>
      </w:r>
      <w:r w:rsidR="00982726" w:rsidRPr="00387A14">
        <w:rPr>
          <w:rFonts w:cstheme="minorHAnsi"/>
          <w:sz w:val="20"/>
          <w:szCs w:val="20"/>
        </w:rPr>
        <w:t>7.9</w:t>
      </w:r>
      <w:r w:rsidR="00C74679" w:rsidRPr="00387A14">
        <w:rPr>
          <w:rFonts w:cstheme="minorHAnsi"/>
          <w:sz w:val="20"/>
          <w:szCs w:val="20"/>
        </w:rPr>
        <w:t xml:space="preserve"> mg</w:t>
      </w:r>
      <w:r w:rsidR="00861F79" w:rsidRPr="00387A14">
        <w:rPr>
          <w:rFonts w:cstheme="minorHAnsi"/>
          <w:sz w:val="20"/>
          <w:szCs w:val="20"/>
        </w:rPr>
        <w:t>)</w:t>
      </w:r>
      <w:r w:rsidR="00934993" w:rsidRPr="00387A14">
        <w:rPr>
          <w:rFonts w:cstheme="minorHAnsi"/>
          <w:sz w:val="20"/>
          <w:szCs w:val="20"/>
        </w:rPr>
        <w:t>.</w:t>
      </w:r>
      <w:r w:rsidR="004B7885" w:rsidRPr="00387A14">
        <w:rPr>
          <w:rFonts w:cstheme="minorHAnsi"/>
          <w:sz w:val="20"/>
          <w:szCs w:val="20"/>
        </w:rPr>
        <w:t xml:space="preserve">  </w:t>
      </w:r>
      <w:r w:rsidR="003F43A5" w:rsidRPr="00387A14">
        <w:rPr>
          <w:rFonts w:cstheme="minorHAnsi"/>
          <w:sz w:val="20"/>
          <w:szCs w:val="20"/>
        </w:rPr>
        <w:t xml:space="preserve"> </w:t>
      </w:r>
      <w:r w:rsidR="000E080A" w:rsidRPr="00387A14">
        <w:rPr>
          <w:rFonts w:cstheme="minorHAnsi"/>
          <w:sz w:val="20"/>
          <w:szCs w:val="20"/>
        </w:rPr>
        <w:t xml:space="preserve"> </w:t>
      </w:r>
      <w:r w:rsidR="00D475BF" w:rsidRPr="00387A14">
        <w:rPr>
          <w:rFonts w:cstheme="minorHAnsi"/>
          <w:sz w:val="20"/>
          <w:szCs w:val="20"/>
        </w:rPr>
        <w:t xml:space="preserve"> </w:t>
      </w:r>
    </w:p>
    <w:p w:rsidR="00B47D23" w:rsidRPr="009D26A5" w:rsidRDefault="00B47D23" w:rsidP="00C93BFB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B47D23" w:rsidRDefault="00CA2B2E" w:rsidP="00982726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Result</w:t>
      </w:r>
      <w:r w:rsidR="00670432" w:rsidRPr="009D26A5">
        <w:rPr>
          <w:rFonts w:cstheme="minorHAnsi"/>
          <w:b/>
          <w:sz w:val="20"/>
          <w:szCs w:val="20"/>
        </w:rPr>
        <w:t>s</w:t>
      </w:r>
      <w:r w:rsidRPr="009D26A5">
        <w:rPr>
          <w:rFonts w:cstheme="minorHAnsi"/>
          <w:b/>
          <w:sz w:val="20"/>
          <w:szCs w:val="20"/>
        </w:rPr>
        <w:t xml:space="preserve"> and Discussion</w:t>
      </w:r>
    </w:p>
    <w:p w:rsidR="00982726" w:rsidRPr="00387A14" w:rsidRDefault="00836850" w:rsidP="00F24763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t xml:space="preserve">Two known phenolic compounds </w:t>
      </w:r>
      <w:r w:rsidR="000A26A2" w:rsidRPr="00387A14">
        <w:rPr>
          <w:rFonts w:cstheme="minorHAnsi"/>
          <w:sz w:val="20"/>
          <w:szCs w:val="20"/>
        </w:rPr>
        <w:t xml:space="preserve">were isolated where compound 1 </w:t>
      </w:r>
      <w:r w:rsidR="00F24763" w:rsidRPr="00387A14">
        <w:rPr>
          <w:rFonts w:cstheme="minorHAnsi"/>
          <w:sz w:val="20"/>
          <w:szCs w:val="20"/>
        </w:rPr>
        <w:t xml:space="preserve">was </w:t>
      </w:r>
      <w:r w:rsidR="000A26A2" w:rsidRPr="00387A14">
        <w:rPr>
          <w:rFonts w:cstheme="minorHAnsi"/>
          <w:sz w:val="20"/>
          <w:szCs w:val="20"/>
        </w:rPr>
        <w:t xml:space="preserve">from chloroform fraction while compound 2 </w:t>
      </w:r>
      <w:r w:rsidR="00F24763" w:rsidRPr="00387A14">
        <w:rPr>
          <w:rFonts w:cstheme="minorHAnsi"/>
          <w:sz w:val="20"/>
          <w:szCs w:val="20"/>
        </w:rPr>
        <w:t xml:space="preserve">was </w:t>
      </w:r>
      <w:r w:rsidR="000A26A2" w:rsidRPr="00387A14">
        <w:rPr>
          <w:rFonts w:cstheme="minorHAnsi"/>
          <w:sz w:val="20"/>
          <w:szCs w:val="20"/>
        </w:rPr>
        <w:t>from n-butanol</w:t>
      </w:r>
      <w:r w:rsidRPr="00387A14">
        <w:rPr>
          <w:rFonts w:cstheme="minorHAnsi"/>
          <w:sz w:val="20"/>
          <w:szCs w:val="20"/>
        </w:rPr>
        <w:t xml:space="preserve"> </w:t>
      </w:r>
      <w:r w:rsidR="000A26A2" w:rsidRPr="00387A14">
        <w:rPr>
          <w:rFonts w:cstheme="minorHAnsi"/>
          <w:sz w:val="20"/>
          <w:szCs w:val="20"/>
        </w:rPr>
        <w:t>fraction.</w:t>
      </w:r>
    </w:p>
    <w:p w:rsidR="00982726" w:rsidRPr="009D26A5" w:rsidRDefault="00982726" w:rsidP="00B30FAD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BA2188" w:rsidRDefault="00982726" w:rsidP="00982726">
      <w:pPr>
        <w:spacing w:after="0" w:line="240" w:lineRule="auto"/>
      </w:pPr>
      <w:r>
        <w:t xml:space="preserve">                </w:t>
      </w:r>
      <w:r w:rsidR="00C93BFB" w:rsidRPr="009D26A5">
        <w:object w:dxaOrig="3508" w:dyaOrig="1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5pt;height:90pt" o:ole="">
            <v:imagedata r:id="rId8" o:title=""/>
          </v:shape>
          <o:OLEObject Type="Embed" ProgID="ChemDraw.Document.6.0" ShapeID="_x0000_i1025" DrawAspect="Content" ObjectID="_1436780754" r:id="rId9"/>
        </w:object>
      </w:r>
      <w:r>
        <w:t xml:space="preserve">                                 </w:t>
      </w:r>
      <w:r w:rsidRPr="009D26A5">
        <w:object w:dxaOrig="1906" w:dyaOrig="1308">
          <v:shape id="_x0000_i1026" type="#_x0000_t75" style="width:94.5pt;height:65.25pt" o:ole="">
            <v:imagedata r:id="rId10" o:title=""/>
          </v:shape>
          <o:OLEObject Type="Embed" ProgID="ChemDraw.Document.6.0" ShapeID="_x0000_i1026" DrawAspect="Content" ObjectID="_1436780755" r:id="rId11"/>
        </w:object>
      </w:r>
    </w:p>
    <w:p w:rsidR="00982726" w:rsidRPr="009D26A5" w:rsidRDefault="00982726" w:rsidP="00982726">
      <w:pPr>
        <w:spacing w:after="0" w:line="240" w:lineRule="auto"/>
        <w:rPr>
          <w:rFonts w:cstheme="minorHAnsi"/>
          <w:sz w:val="20"/>
          <w:szCs w:val="20"/>
        </w:rPr>
      </w:pPr>
    </w:p>
    <w:p w:rsidR="00B47D23" w:rsidRPr="009D26A5" w:rsidRDefault="00B47D23" w:rsidP="00155F25">
      <w:pPr>
        <w:tabs>
          <w:tab w:val="left" w:pos="4111"/>
          <w:tab w:val="left" w:pos="4253"/>
          <w:tab w:val="left" w:pos="4395"/>
        </w:tabs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BA2188" w:rsidRPr="00982726" w:rsidRDefault="00982726" w:rsidP="00982726">
      <w:pPr>
        <w:tabs>
          <w:tab w:val="left" w:pos="4111"/>
          <w:tab w:val="left" w:pos="4253"/>
          <w:tab w:val="left" w:pos="4395"/>
        </w:tabs>
        <w:spacing w:after="0" w:line="240" w:lineRule="auto"/>
        <w:rPr>
          <w:rFonts w:cstheme="minorHAnsi"/>
          <w:sz w:val="18"/>
          <w:szCs w:val="18"/>
        </w:rPr>
      </w:pPr>
      <w:r>
        <w:rPr>
          <w:sz w:val="20"/>
          <w:szCs w:val="20"/>
        </w:rPr>
        <w:t xml:space="preserve">                     5-hydroxy-7,4’-dimet</w:t>
      </w:r>
      <w:r w:rsidR="00F24763">
        <w:rPr>
          <w:sz w:val="20"/>
          <w:szCs w:val="20"/>
        </w:rPr>
        <w:t>h</w:t>
      </w:r>
      <w:r>
        <w:rPr>
          <w:sz w:val="20"/>
          <w:szCs w:val="20"/>
        </w:rPr>
        <w:t>oxyflavone (</w:t>
      </w:r>
      <w:r>
        <w:rPr>
          <w:b/>
          <w:sz w:val="20"/>
          <w:szCs w:val="20"/>
        </w:rPr>
        <w:t>1</w:t>
      </w:r>
      <w:r>
        <w:rPr>
          <w:sz w:val="20"/>
          <w:szCs w:val="20"/>
        </w:rPr>
        <w:t>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4-hydroxybenzoic acid (</w:t>
      </w:r>
      <w:r>
        <w:rPr>
          <w:b/>
          <w:sz w:val="20"/>
          <w:szCs w:val="20"/>
        </w:rPr>
        <w:t>2</w:t>
      </w:r>
      <w:r>
        <w:rPr>
          <w:sz w:val="20"/>
          <w:szCs w:val="20"/>
        </w:rPr>
        <w:t>)</w:t>
      </w:r>
      <w:r w:rsidRPr="00982726">
        <w:rPr>
          <w:rFonts w:cstheme="minorHAnsi"/>
          <w:sz w:val="18"/>
          <w:szCs w:val="18"/>
        </w:rPr>
        <w:t xml:space="preserve">                                       </w:t>
      </w:r>
    </w:p>
    <w:p w:rsidR="00464677" w:rsidRDefault="00464677" w:rsidP="00464677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FA0ED9" w:rsidRPr="009D26A5" w:rsidRDefault="00FA0ED9" w:rsidP="00464677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464677" w:rsidRDefault="008E6E1B" w:rsidP="00464677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9D26A5">
        <w:rPr>
          <w:rFonts w:cstheme="minorHAnsi"/>
          <w:sz w:val="18"/>
          <w:szCs w:val="18"/>
        </w:rPr>
        <w:t>Fig. 1: Structures</w:t>
      </w:r>
      <w:r w:rsidR="00BA2188" w:rsidRPr="009D26A5">
        <w:rPr>
          <w:rFonts w:cstheme="minorHAnsi"/>
          <w:sz w:val="18"/>
          <w:szCs w:val="18"/>
        </w:rPr>
        <w:t xml:space="preserve"> of compound </w:t>
      </w:r>
      <w:r w:rsidR="00BA2188" w:rsidRPr="009D26A5">
        <w:rPr>
          <w:rFonts w:cstheme="minorHAnsi"/>
          <w:b/>
          <w:sz w:val="18"/>
          <w:szCs w:val="18"/>
        </w:rPr>
        <w:t>1</w:t>
      </w:r>
      <w:r w:rsidR="00BA2188" w:rsidRPr="009D26A5">
        <w:rPr>
          <w:rFonts w:cstheme="minorHAnsi"/>
          <w:sz w:val="18"/>
          <w:szCs w:val="18"/>
        </w:rPr>
        <w:t xml:space="preserve"> &amp; </w:t>
      </w:r>
      <w:r w:rsidR="00BA2188" w:rsidRPr="009D26A5">
        <w:rPr>
          <w:rFonts w:cstheme="minorHAnsi"/>
          <w:b/>
          <w:sz w:val="18"/>
          <w:szCs w:val="18"/>
        </w:rPr>
        <w:t>2</w:t>
      </w:r>
      <w:r w:rsidR="00AC71B6" w:rsidRPr="009D26A5">
        <w:rPr>
          <w:rFonts w:cstheme="minorHAnsi"/>
          <w:b/>
          <w:sz w:val="18"/>
          <w:szCs w:val="18"/>
        </w:rPr>
        <w:t xml:space="preserve"> </w:t>
      </w:r>
    </w:p>
    <w:p w:rsidR="00FA0ED9" w:rsidRDefault="00FA0ED9" w:rsidP="00464677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982726" w:rsidRPr="009D26A5" w:rsidRDefault="00982726" w:rsidP="00464677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:rsidR="00387A14" w:rsidRPr="00387A14" w:rsidRDefault="00982726" w:rsidP="00387A1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t>Compound 1</w:t>
      </w:r>
      <w:r w:rsidR="009047A2" w:rsidRPr="00387A14">
        <w:rPr>
          <w:rFonts w:cstheme="minorHAnsi"/>
          <w:sz w:val="20"/>
          <w:szCs w:val="20"/>
        </w:rPr>
        <w:t xml:space="preserve">, </w:t>
      </w:r>
      <w:r w:rsidRPr="00387A14">
        <w:rPr>
          <w:rFonts w:cstheme="minorHAnsi"/>
          <w:sz w:val="20"/>
          <w:szCs w:val="20"/>
        </w:rPr>
        <w:t>a white amorphous solid having molecular formula C</w:t>
      </w:r>
      <w:r w:rsidRPr="00387A14">
        <w:rPr>
          <w:rFonts w:cstheme="minorHAnsi"/>
          <w:sz w:val="20"/>
          <w:szCs w:val="20"/>
          <w:vertAlign w:val="subscript"/>
        </w:rPr>
        <w:t>17</w:t>
      </w:r>
      <w:r w:rsidRPr="00387A14">
        <w:rPr>
          <w:rFonts w:cstheme="minorHAnsi"/>
          <w:sz w:val="20"/>
          <w:szCs w:val="20"/>
        </w:rPr>
        <w:t>H</w:t>
      </w:r>
      <w:r w:rsidRPr="00387A14">
        <w:rPr>
          <w:rFonts w:cstheme="minorHAnsi"/>
          <w:sz w:val="20"/>
          <w:szCs w:val="20"/>
          <w:vertAlign w:val="subscript"/>
        </w:rPr>
        <w:t>14</w:t>
      </w:r>
      <w:r w:rsidRPr="00387A14">
        <w:rPr>
          <w:rFonts w:cstheme="minorHAnsi"/>
          <w:sz w:val="20"/>
          <w:szCs w:val="20"/>
        </w:rPr>
        <w:t>O</w:t>
      </w:r>
      <w:r w:rsidRPr="00387A14">
        <w:rPr>
          <w:rFonts w:cstheme="minorHAnsi"/>
          <w:sz w:val="20"/>
          <w:szCs w:val="20"/>
          <w:vertAlign w:val="subscript"/>
        </w:rPr>
        <w:t>5</w:t>
      </w:r>
      <w:r w:rsidRPr="00387A14">
        <w:rPr>
          <w:rFonts w:cstheme="minorHAnsi"/>
          <w:sz w:val="20"/>
          <w:szCs w:val="20"/>
        </w:rPr>
        <w:t>, deduced from positive ESIMS at m/z 321.0518 [M+Na]</w:t>
      </w:r>
      <w:r w:rsidRPr="00387A14">
        <w:rPr>
          <w:rFonts w:cstheme="minorHAnsi"/>
          <w:sz w:val="20"/>
          <w:szCs w:val="20"/>
          <w:vertAlign w:val="superscript"/>
        </w:rPr>
        <w:t>+</w:t>
      </w:r>
      <w:r w:rsidRPr="00387A14">
        <w:rPr>
          <w:rFonts w:cstheme="minorHAnsi"/>
          <w:sz w:val="20"/>
          <w:szCs w:val="20"/>
        </w:rPr>
        <w:t xml:space="preserve"> and m/z 299.0713 [M+H]</w:t>
      </w:r>
      <w:r w:rsidRPr="00387A14">
        <w:rPr>
          <w:rFonts w:cstheme="minorHAnsi"/>
          <w:sz w:val="20"/>
          <w:szCs w:val="20"/>
          <w:vertAlign w:val="superscript"/>
        </w:rPr>
        <w:t>+</w:t>
      </w:r>
      <w:r w:rsidRPr="00387A14">
        <w:rPr>
          <w:rFonts w:cstheme="minorHAnsi"/>
          <w:sz w:val="20"/>
          <w:szCs w:val="20"/>
        </w:rPr>
        <w:t xml:space="preserve">. The skeleton of 1 was further supported by the presence of 17 carbons in its </w:t>
      </w:r>
      <w:r w:rsidRPr="00387A14">
        <w:rPr>
          <w:rFonts w:cstheme="minorHAnsi"/>
          <w:sz w:val="20"/>
          <w:szCs w:val="20"/>
          <w:vertAlign w:val="superscript"/>
        </w:rPr>
        <w:t>13</w:t>
      </w:r>
      <w:r w:rsidRPr="00387A14">
        <w:rPr>
          <w:rFonts w:cstheme="minorHAnsi"/>
          <w:sz w:val="20"/>
          <w:szCs w:val="20"/>
        </w:rPr>
        <w:t xml:space="preserve">C NMR spectrum. UV absorption of 1 in MeOH at 269 nm and 326 nm is typical of a flavone structure </w:t>
      </w:r>
      <w:r w:rsidR="00387A14" w:rsidRPr="00387A14">
        <w:rPr>
          <w:rFonts w:eastAsia="AdvGulliv-R" w:cstheme="minorHAnsi"/>
          <w:sz w:val="20"/>
          <w:szCs w:val="20"/>
        </w:rPr>
        <w:t>[7</w:t>
      </w:r>
      <w:r w:rsidRPr="00387A14">
        <w:rPr>
          <w:rFonts w:eastAsia="AdvGulliv-R" w:cstheme="minorHAnsi"/>
          <w:sz w:val="20"/>
          <w:szCs w:val="20"/>
        </w:rPr>
        <w:t>]</w:t>
      </w:r>
      <w:r w:rsidRPr="00387A14">
        <w:rPr>
          <w:rFonts w:cstheme="minorHAnsi"/>
          <w:sz w:val="20"/>
          <w:szCs w:val="20"/>
        </w:rPr>
        <w:t xml:space="preserve">. The IR spectrum exhibited a broad vibrational band due to hydroxyl group at </w:t>
      </w:r>
      <w:r w:rsidR="000A26A2" w:rsidRPr="00387A14">
        <w:rPr>
          <w:rFonts w:cstheme="minorHAnsi"/>
          <w:sz w:val="20"/>
          <w:szCs w:val="20"/>
        </w:rPr>
        <w:t>3418</w:t>
      </w:r>
      <w:r w:rsidRPr="00387A14">
        <w:rPr>
          <w:rFonts w:cstheme="minorHAnsi"/>
          <w:sz w:val="20"/>
          <w:szCs w:val="20"/>
        </w:rPr>
        <w:t xml:space="preserve"> cm</w:t>
      </w:r>
      <w:r w:rsidRPr="00387A14">
        <w:rPr>
          <w:rFonts w:cstheme="minorHAnsi"/>
          <w:sz w:val="20"/>
          <w:szCs w:val="20"/>
          <w:vertAlign w:val="superscript"/>
        </w:rPr>
        <w:t>-1</w:t>
      </w:r>
      <w:r w:rsidRPr="00387A14">
        <w:rPr>
          <w:rFonts w:cstheme="minorHAnsi"/>
          <w:sz w:val="20"/>
          <w:szCs w:val="20"/>
        </w:rPr>
        <w:t xml:space="preserve"> and a carbonyl band at </w:t>
      </w:r>
      <w:r w:rsidR="000A26A2" w:rsidRPr="00387A14">
        <w:rPr>
          <w:rFonts w:cstheme="minorHAnsi"/>
          <w:sz w:val="20"/>
          <w:szCs w:val="20"/>
        </w:rPr>
        <w:t>1738</w:t>
      </w:r>
      <w:r w:rsidRPr="00387A14">
        <w:rPr>
          <w:rFonts w:cstheme="minorHAnsi"/>
          <w:sz w:val="20"/>
          <w:szCs w:val="20"/>
        </w:rPr>
        <w:t xml:space="preserve"> cm</w:t>
      </w:r>
      <w:r w:rsidRPr="00387A14">
        <w:rPr>
          <w:rFonts w:cstheme="minorHAnsi"/>
          <w:sz w:val="20"/>
          <w:szCs w:val="20"/>
          <w:vertAlign w:val="superscript"/>
        </w:rPr>
        <w:t>-1</w:t>
      </w:r>
      <w:r w:rsidRPr="00387A14">
        <w:rPr>
          <w:rFonts w:cstheme="minorHAnsi"/>
          <w:sz w:val="20"/>
          <w:szCs w:val="20"/>
        </w:rPr>
        <w:t xml:space="preserve">. From </w:t>
      </w:r>
      <w:r w:rsidRPr="00387A14">
        <w:rPr>
          <w:rFonts w:cstheme="minorHAnsi"/>
          <w:sz w:val="20"/>
          <w:szCs w:val="20"/>
          <w:vertAlign w:val="superscript"/>
        </w:rPr>
        <w:t>1</w:t>
      </w:r>
      <w:r w:rsidRPr="00387A14">
        <w:rPr>
          <w:rFonts w:cstheme="minorHAnsi"/>
          <w:sz w:val="20"/>
          <w:szCs w:val="20"/>
        </w:rPr>
        <w:t xml:space="preserve">H NMR, two signals for two aromatic methoxy groups appeared at δ3.90 and δ3.89 were placed at C-7 and C-4’, respectively as they showed </w:t>
      </w:r>
      <w:r w:rsidRPr="00387A14">
        <w:rPr>
          <w:rFonts w:cstheme="minorHAnsi"/>
          <w:sz w:val="20"/>
          <w:szCs w:val="20"/>
          <w:vertAlign w:val="superscript"/>
        </w:rPr>
        <w:t>3</w:t>
      </w:r>
      <w:r w:rsidRPr="00387A14">
        <w:rPr>
          <w:rFonts w:cstheme="minorHAnsi"/>
          <w:sz w:val="20"/>
          <w:szCs w:val="20"/>
        </w:rPr>
        <w:t>J correlati</w:t>
      </w:r>
      <w:r w:rsidR="00FA0ED9" w:rsidRPr="00387A14">
        <w:rPr>
          <w:rFonts w:cstheme="minorHAnsi"/>
          <w:sz w:val="20"/>
          <w:szCs w:val="20"/>
        </w:rPr>
        <w:t>on with these carbons at δ165.4 and δ162.6</w:t>
      </w:r>
      <w:r w:rsidRPr="00387A14">
        <w:rPr>
          <w:rFonts w:cstheme="minorHAnsi"/>
          <w:sz w:val="20"/>
          <w:szCs w:val="20"/>
        </w:rPr>
        <w:t xml:space="preserve"> ppm in its HMBC spectrum. Strong NOE correlations of the δ3.90 methoxy proton with H-6 and H-8, and correl</w:t>
      </w:r>
      <w:r w:rsidR="00FA0ED9" w:rsidRPr="00387A14">
        <w:rPr>
          <w:rFonts w:cstheme="minorHAnsi"/>
          <w:sz w:val="20"/>
          <w:szCs w:val="20"/>
        </w:rPr>
        <w:t>ation with H-</w:t>
      </w:r>
      <w:r w:rsidRPr="00387A14">
        <w:rPr>
          <w:rFonts w:cstheme="minorHAnsi"/>
          <w:sz w:val="20"/>
          <w:szCs w:val="20"/>
        </w:rPr>
        <w:t>3’ and H-5’ for δ3.89 methoxy proton</w:t>
      </w:r>
      <w:r w:rsidR="00F24763" w:rsidRPr="00387A14">
        <w:rPr>
          <w:rFonts w:cstheme="minorHAnsi"/>
          <w:sz w:val="20"/>
          <w:szCs w:val="20"/>
        </w:rPr>
        <w:t>s were observed</w:t>
      </w:r>
      <w:r w:rsidRPr="00387A14">
        <w:rPr>
          <w:rFonts w:cstheme="minorHAnsi"/>
          <w:sz w:val="20"/>
          <w:szCs w:val="20"/>
        </w:rPr>
        <w:t xml:space="preserve"> at ring-B in its NOESY spectrum. One proton singlet at δ6.59 </w:t>
      </w:r>
      <w:r w:rsidR="00F24763" w:rsidRPr="00387A14">
        <w:rPr>
          <w:rFonts w:cstheme="minorHAnsi"/>
          <w:sz w:val="20"/>
          <w:szCs w:val="20"/>
        </w:rPr>
        <w:t xml:space="preserve">was </w:t>
      </w:r>
      <w:r w:rsidRPr="00387A14">
        <w:rPr>
          <w:rFonts w:cstheme="minorHAnsi"/>
          <w:sz w:val="20"/>
          <w:szCs w:val="20"/>
        </w:rPr>
        <w:t xml:space="preserve">assigned to H-3 which showed correlation with H-6’ in the NOESY spectrum.  Two </w:t>
      </w:r>
      <w:r w:rsidRPr="00387A14">
        <w:rPr>
          <w:rFonts w:cstheme="minorHAnsi"/>
          <w:i/>
          <w:sz w:val="20"/>
          <w:szCs w:val="20"/>
        </w:rPr>
        <w:t>ortho</w:t>
      </w:r>
      <w:r w:rsidRPr="00387A14">
        <w:rPr>
          <w:rFonts w:cstheme="minorHAnsi"/>
          <w:sz w:val="20"/>
          <w:szCs w:val="20"/>
        </w:rPr>
        <w:t xml:space="preserve">-coupled doublets at δ7.85 and δ7.02 and two meta-coupled doublets at δ6.38 and δ6.49 were assigned to H-2’ and H-6’, and H-3’ and H-5’, and H-6 and H-8, respectively on the basis of HSQC and HMBC </w:t>
      </w:r>
      <w:r w:rsidR="00FA0ED9" w:rsidRPr="00387A14">
        <w:rPr>
          <w:rFonts w:cstheme="minorHAnsi"/>
          <w:sz w:val="20"/>
          <w:szCs w:val="20"/>
        </w:rPr>
        <w:t>studies</w:t>
      </w:r>
      <w:r w:rsidRPr="00387A14">
        <w:rPr>
          <w:rFonts w:cstheme="minorHAnsi"/>
          <w:sz w:val="20"/>
          <w:szCs w:val="20"/>
        </w:rPr>
        <w:t xml:space="preserve">. From the COSY spectrum, there </w:t>
      </w:r>
      <w:r w:rsidR="00F24763" w:rsidRPr="00387A14">
        <w:rPr>
          <w:rFonts w:cstheme="minorHAnsi"/>
          <w:sz w:val="20"/>
          <w:szCs w:val="20"/>
        </w:rPr>
        <w:t>were</w:t>
      </w:r>
      <w:r w:rsidRPr="00387A14">
        <w:rPr>
          <w:rFonts w:cstheme="minorHAnsi"/>
          <w:sz w:val="20"/>
          <w:szCs w:val="20"/>
        </w:rPr>
        <w:t xml:space="preserve"> correlations between protons at H-2’ and H-3’ or H-5’ and H-6’. T</w:t>
      </w:r>
      <w:r w:rsidR="00F24763" w:rsidRPr="00387A14">
        <w:rPr>
          <w:rFonts w:cstheme="minorHAnsi"/>
          <w:sz w:val="20"/>
          <w:szCs w:val="20"/>
        </w:rPr>
        <w:t>he singlet at δ12.82 corresponded</w:t>
      </w:r>
      <w:r w:rsidRPr="00387A14">
        <w:rPr>
          <w:rFonts w:cstheme="minorHAnsi"/>
          <w:sz w:val="20"/>
          <w:szCs w:val="20"/>
        </w:rPr>
        <w:t xml:space="preserve"> to a chelated hydroxy group at H-5. Thus from the foregoing spectral features, the structure of 1 was established as 5-hydroxy-7,4’-dimetoxyflavone (Table 1, Fig.</w:t>
      </w:r>
      <w:r w:rsidR="00F24763" w:rsidRPr="00387A14">
        <w:rPr>
          <w:rFonts w:cstheme="minorHAnsi"/>
          <w:sz w:val="20"/>
          <w:szCs w:val="20"/>
        </w:rPr>
        <w:t xml:space="preserve"> 1 and Fig.2). This analysis was</w:t>
      </w:r>
      <w:r w:rsidRPr="00387A14">
        <w:rPr>
          <w:rFonts w:cstheme="minorHAnsi"/>
          <w:sz w:val="20"/>
          <w:szCs w:val="20"/>
        </w:rPr>
        <w:t xml:space="preserve"> also consistent with other reports in the literature for 1 </w:t>
      </w:r>
      <w:r w:rsidR="00387A14" w:rsidRPr="00387A14">
        <w:rPr>
          <w:rFonts w:eastAsia="AdvGulliv-R" w:cstheme="minorHAnsi"/>
          <w:sz w:val="20"/>
          <w:szCs w:val="20"/>
        </w:rPr>
        <w:t>[8 - 10</w:t>
      </w:r>
      <w:r w:rsidRPr="00387A14">
        <w:rPr>
          <w:rFonts w:eastAsia="AdvGulliv-R" w:cstheme="minorHAnsi"/>
          <w:sz w:val="20"/>
          <w:szCs w:val="20"/>
        </w:rPr>
        <w:t>]</w:t>
      </w:r>
      <w:r w:rsidRPr="00387A14">
        <w:rPr>
          <w:rFonts w:cstheme="minorHAnsi"/>
          <w:sz w:val="20"/>
          <w:szCs w:val="20"/>
        </w:rPr>
        <w:t>.</w:t>
      </w:r>
    </w:p>
    <w:p w:rsidR="00BA2188" w:rsidRPr="00387A14" w:rsidRDefault="00936C77" w:rsidP="00387A1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lastRenderedPageBreak/>
        <w:t>Compound 2</w:t>
      </w:r>
      <w:r w:rsidR="00934993" w:rsidRPr="00387A14">
        <w:rPr>
          <w:rFonts w:cstheme="minorHAnsi"/>
          <w:sz w:val="20"/>
          <w:szCs w:val="20"/>
        </w:rPr>
        <w:t xml:space="preserve"> </w:t>
      </w:r>
      <w:r w:rsidRPr="00387A14">
        <w:rPr>
          <w:rFonts w:cstheme="minorHAnsi"/>
          <w:sz w:val="20"/>
          <w:szCs w:val="20"/>
        </w:rPr>
        <w:t>was obtained as a white amorphous solid and its molecular formula suggested as C</w:t>
      </w:r>
      <w:r w:rsidRPr="00387A14">
        <w:rPr>
          <w:rFonts w:cstheme="minorHAnsi"/>
          <w:sz w:val="20"/>
          <w:szCs w:val="20"/>
          <w:vertAlign w:val="subscript"/>
        </w:rPr>
        <w:t>7</w:t>
      </w:r>
      <w:r w:rsidRPr="00387A14">
        <w:rPr>
          <w:rFonts w:cstheme="minorHAnsi"/>
          <w:sz w:val="20"/>
          <w:szCs w:val="20"/>
        </w:rPr>
        <w:t>H</w:t>
      </w:r>
      <w:r w:rsidRPr="00387A14">
        <w:rPr>
          <w:rFonts w:cstheme="minorHAnsi"/>
          <w:sz w:val="20"/>
          <w:szCs w:val="20"/>
          <w:vertAlign w:val="subscript"/>
        </w:rPr>
        <w:t>6</w:t>
      </w:r>
      <w:r w:rsidRPr="00387A14">
        <w:rPr>
          <w:rFonts w:cstheme="minorHAnsi"/>
          <w:sz w:val="20"/>
          <w:szCs w:val="20"/>
        </w:rPr>
        <w:t>O</w:t>
      </w:r>
      <w:r w:rsidRPr="00387A14">
        <w:rPr>
          <w:rFonts w:cstheme="minorHAnsi"/>
          <w:sz w:val="20"/>
          <w:szCs w:val="20"/>
          <w:vertAlign w:val="subscript"/>
        </w:rPr>
        <w:t>3</w:t>
      </w:r>
      <w:r w:rsidRPr="00387A14">
        <w:rPr>
          <w:rFonts w:cstheme="minorHAnsi"/>
          <w:sz w:val="20"/>
          <w:szCs w:val="20"/>
        </w:rPr>
        <w:t>,</w:t>
      </w:r>
      <w:r w:rsidR="002C4AE1" w:rsidRPr="00387A14">
        <w:rPr>
          <w:rFonts w:cstheme="minorHAnsi"/>
          <w:sz w:val="20"/>
          <w:szCs w:val="20"/>
        </w:rPr>
        <w:t xml:space="preserve"> d</w:t>
      </w:r>
      <w:r w:rsidR="009A382A" w:rsidRPr="00387A14">
        <w:rPr>
          <w:rFonts w:cstheme="minorHAnsi"/>
          <w:sz w:val="20"/>
          <w:szCs w:val="20"/>
        </w:rPr>
        <w:t>educed from negative E</w:t>
      </w:r>
      <w:r w:rsidR="00A26168" w:rsidRPr="00387A14">
        <w:rPr>
          <w:rFonts w:cstheme="minorHAnsi"/>
          <w:sz w:val="20"/>
          <w:szCs w:val="20"/>
        </w:rPr>
        <w:t>S</w:t>
      </w:r>
      <w:r w:rsidR="009A382A" w:rsidRPr="00387A14">
        <w:rPr>
          <w:rFonts w:cstheme="minorHAnsi"/>
          <w:sz w:val="20"/>
          <w:szCs w:val="20"/>
        </w:rPr>
        <w:t>IMS at m/z 137.0235</w:t>
      </w:r>
      <w:r w:rsidR="00432D3C" w:rsidRPr="00387A14">
        <w:rPr>
          <w:rFonts w:cstheme="minorHAnsi"/>
          <w:sz w:val="20"/>
          <w:szCs w:val="20"/>
        </w:rPr>
        <w:t xml:space="preserve"> [M+H]</w:t>
      </w:r>
      <w:r w:rsidR="00432D3C" w:rsidRPr="00387A14">
        <w:rPr>
          <w:rFonts w:cstheme="minorHAnsi"/>
          <w:sz w:val="20"/>
          <w:szCs w:val="20"/>
          <w:vertAlign w:val="superscript"/>
        </w:rPr>
        <w:t>+</w:t>
      </w:r>
      <w:r w:rsidR="00432D3C" w:rsidRPr="00387A14">
        <w:rPr>
          <w:rFonts w:cstheme="minorHAnsi"/>
          <w:sz w:val="20"/>
          <w:szCs w:val="20"/>
        </w:rPr>
        <w:t xml:space="preserve">. </w:t>
      </w:r>
      <w:r w:rsidR="00B736F4" w:rsidRPr="00387A14">
        <w:rPr>
          <w:rFonts w:cstheme="minorHAnsi"/>
          <w:sz w:val="20"/>
          <w:szCs w:val="20"/>
        </w:rPr>
        <w:t xml:space="preserve">The </w:t>
      </w:r>
      <w:r w:rsidR="00080BA9" w:rsidRPr="00387A14">
        <w:rPr>
          <w:rFonts w:cstheme="minorHAnsi"/>
          <w:sz w:val="20"/>
          <w:szCs w:val="20"/>
        </w:rPr>
        <w:t xml:space="preserve">IR </w:t>
      </w:r>
      <w:r w:rsidR="00B736F4" w:rsidRPr="00387A14">
        <w:rPr>
          <w:rFonts w:cstheme="minorHAnsi"/>
          <w:sz w:val="20"/>
          <w:szCs w:val="20"/>
        </w:rPr>
        <w:t xml:space="preserve">absorption bands of 2 </w:t>
      </w:r>
      <w:r w:rsidR="00080BA9" w:rsidRPr="00387A14">
        <w:rPr>
          <w:rFonts w:cstheme="minorHAnsi"/>
          <w:sz w:val="20"/>
          <w:szCs w:val="20"/>
        </w:rPr>
        <w:t xml:space="preserve">showed </w:t>
      </w:r>
      <w:r w:rsidR="00432D3C" w:rsidRPr="00387A14">
        <w:rPr>
          <w:rFonts w:cstheme="minorHAnsi"/>
          <w:sz w:val="20"/>
          <w:szCs w:val="20"/>
        </w:rPr>
        <w:t>signals for hydroxyl group (3462</w:t>
      </w:r>
      <w:r w:rsidR="00B736F4" w:rsidRPr="00387A14">
        <w:rPr>
          <w:rFonts w:cstheme="minorHAnsi"/>
          <w:sz w:val="20"/>
          <w:szCs w:val="20"/>
        </w:rPr>
        <w:t xml:space="preserve"> cm</w:t>
      </w:r>
      <w:r w:rsidR="00B736F4" w:rsidRPr="00387A14">
        <w:rPr>
          <w:rFonts w:cstheme="minorHAnsi"/>
          <w:sz w:val="20"/>
          <w:szCs w:val="20"/>
          <w:vertAlign w:val="superscript"/>
        </w:rPr>
        <w:t>-1</w:t>
      </w:r>
      <w:r w:rsidR="00432D3C" w:rsidRPr="00387A14">
        <w:rPr>
          <w:rFonts w:cstheme="minorHAnsi"/>
          <w:sz w:val="20"/>
          <w:szCs w:val="20"/>
        </w:rPr>
        <w:t>) and carbonyl group (1654</w:t>
      </w:r>
      <w:r w:rsidR="00B736F4" w:rsidRPr="00387A14">
        <w:rPr>
          <w:rFonts w:cstheme="minorHAnsi"/>
          <w:sz w:val="20"/>
          <w:szCs w:val="20"/>
        </w:rPr>
        <w:t xml:space="preserve"> cm</w:t>
      </w:r>
      <w:r w:rsidR="00B736F4" w:rsidRPr="00387A14">
        <w:rPr>
          <w:rFonts w:cstheme="minorHAnsi"/>
          <w:sz w:val="20"/>
          <w:szCs w:val="20"/>
          <w:vertAlign w:val="superscript"/>
        </w:rPr>
        <w:t>-1</w:t>
      </w:r>
      <w:r w:rsidR="00B736F4" w:rsidRPr="00387A14">
        <w:rPr>
          <w:rFonts w:cstheme="minorHAnsi"/>
          <w:sz w:val="20"/>
          <w:szCs w:val="20"/>
        </w:rPr>
        <w:t>)</w:t>
      </w:r>
      <w:r w:rsidR="00EA59CA" w:rsidRPr="00387A14">
        <w:rPr>
          <w:rFonts w:cstheme="minorHAnsi"/>
          <w:sz w:val="20"/>
          <w:szCs w:val="20"/>
        </w:rPr>
        <w:t>.</w:t>
      </w:r>
      <w:r w:rsidR="00B736F4" w:rsidRPr="00387A14">
        <w:rPr>
          <w:rFonts w:cstheme="minorHAnsi"/>
          <w:sz w:val="20"/>
          <w:szCs w:val="20"/>
        </w:rPr>
        <w:t xml:space="preserve"> </w:t>
      </w:r>
      <w:r w:rsidR="00432D3C" w:rsidRPr="00387A14">
        <w:rPr>
          <w:rFonts w:cstheme="minorHAnsi"/>
          <w:sz w:val="20"/>
          <w:szCs w:val="20"/>
        </w:rPr>
        <w:t>Broad absorption band at frequency from 3400 cm</w:t>
      </w:r>
      <w:r w:rsidR="00432D3C" w:rsidRPr="00387A14">
        <w:rPr>
          <w:rFonts w:cstheme="minorHAnsi"/>
          <w:sz w:val="20"/>
          <w:szCs w:val="20"/>
          <w:vertAlign w:val="superscript"/>
        </w:rPr>
        <w:t>-1</w:t>
      </w:r>
      <w:r w:rsidR="00432D3C" w:rsidRPr="00387A14">
        <w:rPr>
          <w:rFonts w:cstheme="minorHAnsi"/>
          <w:sz w:val="20"/>
          <w:szCs w:val="20"/>
        </w:rPr>
        <w:t xml:space="preserve"> to 2400 cm</w:t>
      </w:r>
      <w:r w:rsidR="00432D3C" w:rsidRPr="00387A14">
        <w:rPr>
          <w:rFonts w:cstheme="minorHAnsi"/>
          <w:sz w:val="20"/>
          <w:szCs w:val="20"/>
          <w:vertAlign w:val="superscript"/>
        </w:rPr>
        <w:t>-1</w:t>
      </w:r>
      <w:r w:rsidR="00432D3C" w:rsidRPr="00387A14">
        <w:rPr>
          <w:rFonts w:cstheme="minorHAnsi"/>
          <w:sz w:val="20"/>
          <w:szCs w:val="20"/>
        </w:rPr>
        <w:t xml:space="preserve"> showed the presence of carboxylic acid. </w:t>
      </w:r>
      <w:r w:rsidR="002C4AE1" w:rsidRPr="00387A14">
        <w:rPr>
          <w:rFonts w:cstheme="minorHAnsi"/>
          <w:sz w:val="20"/>
          <w:szCs w:val="20"/>
          <w:vertAlign w:val="superscript"/>
        </w:rPr>
        <w:t>1</w:t>
      </w:r>
      <w:r w:rsidR="002C4AE1" w:rsidRPr="00387A14">
        <w:rPr>
          <w:rFonts w:cstheme="minorHAnsi"/>
          <w:sz w:val="20"/>
          <w:szCs w:val="20"/>
        </w:rPr>
        <w:t xml:space="preserve">H NMR spectrum for </w:t>
      </w:r>
      <w:r w:rsidR="00BB71D8" w:rsidRPr="00387A14">
        <w:rPr>
          <w:rFonts w:cstheme="minorHAnsi"/>
          <w:sz w:val="20"/>
          <w:szCs w:val="20"/>
        </w:rPr>
        <w:t>2</w:t>
      </w:r>
      <w:r w:rsidR="002C4AE1" w:rsidRPr="00387A14">
        <w:rPr>
          <w:rFonts w:cstheme="minorHAnsi"/>
          <w:sz w:val="20"/>
          <w:szCs w:val="20"/>
        </w:rPr>
        <w:t xml:space="preserve"> in CDCl</w:t>
      </w:r>
      <w:r w:rsidR="002C4AE1" w:rsidRPr="00387A14">
        <w:rPr>
          <w:rFonts w:cstheme="minorHAnsi"/>
          <w:sz w:val="20"/>
          <w:szCs w:val="20"/>
          <w:vertAlign w:val="subscript"/>
        </w:rPr>
        <w:t>3</w:t>
      </w:r>
      <w:r w:rsidR="002C4AE1" w:rsidRPr="00387A14">
        <w:rPr>
          <w:rFonts w:cstheme="minorHAnsi"/>
          <w:sz w:val="20"/>
          <w:szCs w:val="20"/>
        </w:rPr>
        <w:t xml:space="preserve"> showed two signal</w:t>
      </w:r>
      <w:r w:rsidR="000923D7" w:rsidRPr="00387A14">
        <w:rPr>
          <w:rFonts w:cstheme="minorHAnsi"/>
          <w:sz w:val="20"/>
          <w:szCs w:val="20"/>
        </w:rPr>
        <w:t>s</w:t>
      </w:r>
      <w:r w:rsidR="002C4AE1" w:rsidRPr="00387A14">
        <w:rPr>
          <w:rFonts w:cstheme="minorHAnsi"/>
          <w:sz w:val="20"/>
          <w:szCs w:val="20"/>
        </w:rPr>
        <w:t xml:space="preserve"> </w:t>
      </w:r>
      <w:r w:rsidR="000923D7" w:rsidRPr="00387A14">
        <w:rPr>
          <w:rFonts w:cstheme="minorHAnsi"/>
          <w:sz w:val="20"/>
          <w:szCs w:val="20"/>
        </w:rPr>
        <w:t>for</w:t>
      </w:r>
      <w:r w:rsidR="002C4AE1" w:rsidRPr="00387A14">
        <w:rPr>
          <w:rFonts w:cstheme="minorHAnsi"/>
          <w:sz w:val="20"/>
          <w:szCs w:val="20"/>
        </w:rPr>
        <w:t xml:space="preserve"> proton resonance at aromatic ring.  </w:t>
      </w:r>
      <w:r w:rsidR="004A3E16" w:rsidRPr="00387A14">
        <w:rPr>
          <w:rFonts w:cstheme="minorHAnsi"/>
          <w:sz w:val="20"/>
          <w:szCs w:val="20"/>
        </w:rPr>
        <w:t xml:space="preserve">Two </w:t>
      </w:r>
      <w:r w:rsidR="004A3E16" w:rsidRPr="00387A14">
        <w:rPr>
          <w:rFonts w:cstheme="minorHAnsi"/>
          <w:i/>
          <w:sz w:val="20"/>
          <w:szCs w:val="20"/>
        </w:rPr>
        <w:t>ortho</w:t>
      </w:r>
      <w:r w:rsidR="004A3E16" w:rsidRPr="00387A14">
        <w:rPr>
          <w:rFonts w:cstheme="minorHAnsi"/>
          <w:sz w:val="20"/>
          <w:szCs w:val="20"/>
        </w:rPr>
        <w:t>-coupled doublet</w:t>
      </w:r>
      <w:r w:rsidR="00B15742" w:rsidRPr="00387A14">
        <w:rPr>
          <w:rFonts w:cstheme="minorHAnsi"/>
          <w:sz w:val="20"/>
          <w:szCs w:val="20"/>
        </w:rPr>
        <w:t xml:space="preserve"> of triplet</w:t>
      </w:r>
      <w:r w:rsidR="004A3E16" w:rsidRPr="00387A14">
        <w:rPr>
          <w:rFonts w:cstheme="minorHAnsi"/>
          <w:sz w:val="20"/>
          <w:szCs w:val="20"/>
        </w:rPr>
        <w:t xml:space="preserve"> at </w:t>
      </w:r>
      <w:r w:rsidR="002C4AE1" w:rsidRPr="00387A14">
        <w:rPr>
          <w:rFonts w:cstheme="minorHAnsi"/>
          <w:sz w:val="20"/>
          <w:szCs w:val="20"/>
        </w:rPr>
        <w:t>δ</w:t>
      </w:r>
      <w:r w:rsidR="000273ED" w:rsidRPr="00387A14">
        <w:rPr>
          <w:rFonts w:cstheme="minorHAnsi"/>
          <w:sz w:val="20"/>
          <w:szCs w:val="20"/>
        </w:rPr>
        <w:t xml:space="preserve"> </w:t>
      </w:r>
      <w:r w:rsidR="002C4AE1" w:rsidRPr="00387A14">
        <w:rPr>
          <w:rFonts w:cstheme="minorHAnsi"/>
          <w:sz w:val="20"/>
          <w:szCs w:val="20"/>
        </w:rPr>
        <w:t xml:space="preserve">7.89 </w:t>
      </w:r>
      <w:r w:rsidR="004A3E16" w:rsidRPr="00387A14">
        <w:rPr>
          <w:rFonts w:cstheme="minorHAnsi"/>
          <w:sz w:val="20"/>
          <w:szCs w:val="20"/>
        </w:rPr>
        <w:t>and δ</w:t>
      </w:r>
      <w:r w:rsidR="000273ED" w:rsidRPr="00387A14">
        <w:rPr>
          <w:rFonts w:cstheme="minorHAnsi"/>
          <w:sz w:val="20"/>
          <w:szCs w:val="20"/>
        </w:rPr>
        <w:t xml:space="preserve"> </w:t>
      </w:r>
      <w:r w:rsidR="004A3E16" w:rsidRPr="00387A14">
        <w:rPr>
          <w:rFonts w:cstheme="minorHAnsi"/>
          <w:sz w:val="20"/>
          <w:szCs w:val="20"/>
        </w:rPr>
        <w:t>6.84</w:t>
      </w:r>
      <w:r w:rsidR="00220639" w:rsidRPr="00387A14">
        <w:rPr>
          <w:rFonts w:cstheme="minorHAnsi"/>
          <w:sz w:val="20"/>
          <w:szCs w:val="20"/>
        </w:rPr>
        <w:t>, each</w:t>
      </w:r>
      <w:r w:rsidR="004A3E16" w:rsidRPr="00387A14">
        <w:rPr>
          <w:rFonts w:cstheme="minorHAnsi"/>
          <w:sz w:val="20"/>
          <w:szCs w:val="20"/>
        </w:rPr>
        <w:t xml:space="preserve"> </w:t>
      </w:r>
      <w:r w:rsidR="002C4AE1" w:rsidRPr="00387A14">
        <w:rPr>
          <w:rFonts w:cstheme="minorHAnsi"/>
          <w:sz w:val="20"/>
          <w:szCs w:val="20"/>
        </w:rPr>
        <w:t>integrating</w:t>
      </w:r>
      <w:r w:rsidR="008A7B06" w:rsidRPr="00387A14">
        <w:rPr>
          <w:rFonts w:cstheme="minorHAnsi"/>
          <w:sz w:val="20"/>
          <w:szCs w:val="20"/>
        </w:rPr>
        <w:t xml:space="preserve"> </w:t>
      </w:r>
      <w:r w:rsidR="002C4AE1" w:rsidRPr="00387A14">
        <w:rPr>
          <w:rFonts w:cstheme="minorHAnsi"/>
          <w:sz w:val="20"/>
          <w:szCs w:val="20"/>
        </w:rPr>
        <w:t>for two proton</w:t>
      </w:r>
      <w:r w:rsidR="00F24763" w:rsidRPr="00387A14">
        <w:rPr>
          <w:rFonts w:cstheme="minorHAnsi"/>
          <w:sz w:val="20"/>
          <w:szCs w:val="20"/>
        </w:rPr>
        <w:t>s</w:t>
      </w:r>
      <w:r w:rsidR="002C4AE1" w:rsidRPr="00387A14">
        <w:rPr>
          <w:rFonts w:cstheme="minorHAnsi"/>
          <w:sz w:val="20"/>
          <w:szCs w:val="20"/>
        </w:rPr>
        <w:t>, H-2 and H-6</w:t>
      </w:r>
      <w:r w:rsidR="004A3E16" w:rsidRPr="00387A14">
        <w:rPr>
          <w:rFonts w:cstheme="minorHAnsi"/>
          <w:sz w:val="20"/>
          <w:szCs w:val="20"/>
        </w:rPr>
        <w:t>, and H-3 and H-5 respectively</w:t>
      </w:r>
      <w:r w:rsidR="002C4AE1" w:rsidRPr="00387A14">
        <w:rPr>
          <w:rFonts w:cstheme="minorHAnsi"/>
          <w:sz w:val="20"/>
          <w:szCs w:val="20"/>
        </w:rPr>
        <w:t>.</w:t>
      </w:r>
      <w:r w:rsidR="00EA59CA" w:rsidRPr="00387A14">
        <w:rPr>
          <w:rFonts w:cstheme="minorHAnsi"/>
          <w:sz w:val="20"/>
          <w:szCs w:val="20"/>
        </w:rPr>
        <w:t xml:space="preserve"> </w:t>
      </w:r>
      <w:r w:rsidR="003E630C" w:rsidRPr="00387A14">
        <w:rPr>
          <w:rFonts w:cstheme="minorHAnsi"/>
          <w:sz w:val="20"/>
          <w:szCs w:val="20"/>
        </w:rPr>
        <w:t xml:space="preserve">The proton NMR </w:t>
      </w:r>
      <w:r w:rsidR="003E4EB7" w:rsidRPr="00387A14">
        <w:rPr>
          <w:rFonts w:cstheme="minorHAnsi"/>
          <w:sz w:val="20"/>
          <w:szCs w:val="20"/>
        </w:rPr>
        <w:t xml:space="preserve">spectrum was in agreement with the </w:t>
      </w:r>
      <w:r w:rsidR="003E630C" w:rsidRPr="00387A14">
        <w:rPr>
          <w:rFonts w:cstheme="minorHAnsi"/>
          <w:sz w:val="20"/>
          <w:szCs w:val="20"/>
        </w:rPr>
        <w:t xml:space="preserve">literature </w:t>
      </w:r>
      <w:r w:rsidR="000057ED" w:rsidRPr="00387A14">
        <w:rPr>
          <w:rFonts w:eastAsia="AdvGulliv-R" w:cstheme="minorHAnsi"/>
          <w:sz w:val="20"/>
          <w:szCs w:val="20"/>
        </w:rPr>
        <w:t>[1</w:t>
      </w:r>
      <w:r w:rsidR="0065320C" w:rsidRPr="00387A14">
        <w:rPr>
          <w:rFonts w:eastAsia="AdvGulliv-R" w:cstheme="minorHAnsi"/>
          <w:sz w:val="20"/>
          <w:szCs w:val="20"/>
        </w:rPr>
        <w:t>3</w:t>
      </w:r>
      <w:r w:rsidR="000057ED" w:rsidRPr="00387A14">
        <w:rPr>
          <w:rFonts w:eastAsia="AdvGulliv-R" w:cstheme="minorHAnsi"/>
          <w:sz w:val="20"/>
          <w:szCs w:val="20"/>
        </w:rPr>
        <w:t>]</w:t>
      </w:r>
      <w:r w:rsidR="00E00D61" w:rsidRPr="00387A14">
        <w:rPr>
          <w:rFonts w:cstheme="minorHAnsi"/>
          <w:sz w:val="20"/>
          <w:szCs w:val="20"/>
        </w:rPr>
        <w:t xml:space="preserve"> w</w:t>
      </w:r>
      <w:r w:rsidR="00432D3C" w:rsidRPr="00387A14">
        <w:rPr>
          <w:rFonts w:cstheme="minorHAnsi"/>
          <w:sz w:val="20"/>
          <w:szCs w:val="20"/>
        </w:rPr>
        <w:t xml:space="preserve">hile </w:t>
      </w:r>
      <w:r w:rsidR="009F42BA" w:rsidRPr="00387A14">
        <w:rPr>
          <w:rFonts w:cstheme="minorHAnsi"/>
          <w:sz w:val="20"/>
          <w:szCs w:val="20"/>
          <w:vertAlign w:val="superscript"/>
        </w:rPr>
        <w:t>13</w:t>
      </w:r>
      <w:r w:rsidR="009F42BA" w:rsidRPr="00387A14">
        <w:rPr>
          <w:rFonts w:cstheme="minorHAnsi"/>
          <w:sz w:val="20"/>
          <w:szCs w:val="20"/>
        </w:rPr>
        <w:t>C NMR spectrum (Table 1)</w:t>
      </w:r>
      <w:r w:rsidR="00432D3C" w:rsidRPr="00387A14">
        <w:rPr>
          <w:rFonts w:cstheme="minorHAnsi"/>
          <w:sz w:val="20"/>
          <w:szCs w:val="20"/>
        </w:rPr>
        <w:t>,</w:t>
      </w:r>
      <w:r w:rsidR="009F42BA" w:rsidRPr="00387A14">
        <w:rPr>
          <w:rFonts w:cstheme="minorHAnsi"/>
          <w:sz w:val="20"/>
          <w:szCs w:val="20"/>
        </w:rPr>
        <w:t xml:space="preserve"> </w:t>
      </w:r>
      <w:r w:rsidR="00800C64" w:rsidRPr="00387A14">
        <w:rPr>
          <w:rFonts w:cstheme="minorHAnsi"/>
          <w:sz w:val="20"/>
          <w:szCs w:val="20"/>
        </w:rPr>
        <w:t>exhibited</w:t>
      </w:r>
      <w:r w:rsidR="009F42BA" w:rsidRPr="00387A14">
        <w:rPr>
          <w:rFonts w:cstheme="minorHAnsi"/>
          <w:sz w:val="20"/>
          <w:szCs w:val="20"/>
        </w:rPr>
        <w:t xml:space="preserve"> seven carbons resonance at five different signals. Signal</w:t>
      </w:r>
      <w:r w:rsidR="00C507DB" w:rsidRPr="00387A14">
        <w:rPr>
          <w:rFonts w:cstheme="minorHAnsi"/>
          <w:sz w:val="20"/>
          <w:szCs w:val="20"/>
        </w:rPr>
        <w:t>s</w:t>
      </w:r>
      <w:r w:rsidR="009F42BA" w:rsidRPr="00387A14">
        <w:rPr>
          <w:rFonts w:cstheme="minorHAnsi"/>
          <w:sz w:val="20"/>
          <w:szCs w:val="20"/>
        </w:rPr>
        <w:t xml:space="preserve"> </w:t>
      </w:r>
      <w:r w:rsidR="002C2C12" w:rsidRPr="00387A14">
        <w:rPr>
          <w:rFonts w:cstheme="minorHAnsi"/>
          <w:sz w:val="20"/>
          <w:szCs w:val="20"/>
        </w:rPr>
        <w:t>at δ</w:t>
      </w:r>
      <w:r w:rsidR="00432D3C" w:rsidRPr="00387A14">
        <w:rPr>
          <w:rFonts w:cstheme="minorHAnsi"/>
          <w:sz w:val="20"/>
          <w:szCs w:val="20"/>
        </w:rPr>
        <w:t>131.6</w:t>
      </w:r>
      <w:r w:rsidR="00C507DB" w:rsidRPr="00387A14">
        <w:rPr>
          <w:rFonts w:cstheme="minorHAnsi"/>
          <w:sz w:val="20"/>
          <w:szCs w:val="20"/>
        </w:rPr>
        <w:t xml:space="preserve"> and </w:t>
      </w:r>
      <w:r w:rsidR="002C2C12" w:rsidRPr="00387A14">
        <w:rPr>
          <w:rFonts w:cstheme="minorHAnsi"/>
          <w:sz w:val="20"/>
          <w:szCs w:val="20"/>
        </w:rPr>
        <w:t>δ</w:t>
      </w:r>
      <w:r w:rsidR="00C507DB" w:rsidRPr="00387A14">
        <w:rPr>
          <w:rFonts w:cstheme="minorHAnsi"/>
          <w:sz w:val="20"/>
          <w:szCs w:val="20"/>
        </w:rPr>
        <w:t>114.</w:t>
      </w:r>
      <w:r w:rsidR="00432D3C" w:rsidRPr="00387A14">
        <w:rPr>
          <w:rFonts w:cstheme="minorHAnsi"/>
          <w:sz w:val="20"/>
          <w:szCs w:val="20"/>
        </w:rPr>
        <w:t xml:space="preserve">7 </w:t>
      </w:r>
      <w:r w:rsidR="002C2C12" w:rsidRPr="00387A14">
        <w:rPr>
          <w:rFonts w:cstheme="minorHAnsi"/>
          <w:sz w:val="20"/>
          <w:szCs w:val="20"/>
        </w:rPr>
        <w:t>ppm, each corresponding to two carbon</w:t>
      </w:r>
      <w:r w:rsidR="00F24763" w:rsidRPr="00387A14">
        <w:rPr>
          <w:rFonts w:cstheme="minorHAnsi"/>
          <w:sz w:val="20"/>
          <w:szCs w:val="20"/>
        </w:rPr>
        <w:t>s</w:t>
      </w:r>
      <w:r w:rsidR="002C2C12" w:rsidRPr="00387A14">
        <w:rPr>
          <w:rFonts w:cstheme="minorHAnsi"/>
          <w:sz w:val="20"/>
          <w:szCs w:val="20"/>
        </w:rPr>
        <w:t>, C-3 and C-5, and</w:t>
      </w:r>
      <w:r w:rsidR="009F42BA" w:rsidRPr="00387A14">
        <w:rPr>
          <w:rFonts w:cstheme="minorHAnsi"/>
          <w:sz w:val="20"/>
          <w:szCs w:val="20"/>
        </w:rPr>
        <w:t xml:space="preserve"> </w:t>
      </w:r>
      <w:r w:rsidR="002C2C12" w:rsidRPr="00387A14">
        <w:rPr>
          <w:rFonts w:cstheme="minorHAnsi"/>
          <w:sz w:val="20"/>
          <w:szCs w:val="20"/>
        </w:rPr>
        <w:t xml:space="preserve">C-2 and C-6. </w:t>
      </w:r>
      <w:r w:rsidR="00F24763" w:rsidRPr="00387A14">
        <w:rPr>
          <w:rFonts w:cstheme="minorHAnsi"/>
          <w:sz w:val="20"/>
          <w:szCs w:val="20"/>
        </w:rPr>
        <w:t>The signal</w:t>
      </w:r>
      <w:r w:rsidR="003E4EB7" w:rsidRPr="00387A14">
        <w:rPr>
          <w:rFonts w:cstheme="minorHAnsi"/>
          <w:sz w:val="20"/>
          <w:szCs w:val="20"/>
        </w:rPr>
        <w:t xml:space="preserve"> at </w:t>
      </w:r>
      <w:r w:rsidR="00FA0ED9" w:rsidRPr="00387A14">
        <w:rPr>
          <w:rFonts w:cstheme="minorHAnsi"/>
          <w:sz w:val="20"/>
          <w:szCs w:val="20"/>
        </w:rPr>
        <w:t>δ 168.8</w:t>
      </w:r>
      <w:r w:rsidR="000273ED" w:rsidRPr="00387A14">
        <w:rPr>
          <w:rFonts w:cstheme="minorHAnsi"/>
          <w:sz w:val="20"/>
          <w:szCs w:val="20"/>
        </w:rPr>
        <w:t xml:space="preserve">, </w:t>
      </w:r>
      <w:r w:rsidR="002C2C12" w:rsidRPr="00387A14">
        <w:rPr>
          <w:rFonts w:cstheme="minorHAnsi"/>
          <w:sz w:val="20"/>
          <w:szCs w:val="20"/>
        </w:rPr>
        <w:t xml:space="preserve">is </w:t>
      </w:r>
      <w:r w:rsidR="00F417F1" w:rsidRPr="00387A14">
        <w:rPr>
          <w:rFonts w:cstheme="minorHAnsi"/>
          <w:sz w:val="20"/>
          <w:szCs w:val="20"/>
        </w:rPr>
        <w:t>correlated</w:t>
      </w:r>
      <w:r w:rsidR="00A82B26" w:rsidRPr="00387A14">
        <w:rPr>
          <w:rFonts w:cstheme="minorHAnsi"/>
          <w:sz w:val="20"/>
          <w:szCs w:val="20"/>
        </w:rPr>
        <w:t xml:space="preserve"> to carbon at C-7 or COOH. </w:t>
      </w:r>
      <w:r w:rsidR="004B6082" w:rsidRPr="00387A14">
        <w:rPr>
          <w:rFonts w:cstheme="minorHAnsi"/>
          <w:sz w:val="20"/>
          <w:szCs w:val="20"/>
        </w:rPr>
        <w:t xml:space="preserve">The above spectral analysis </w:t>
      </w:r>
      <w:r w:rsidR="00F66C29" w:rsidRPr="00387A14">
        <w:rPr>
          <w:rFonts w:cstheme="minorHAnsi"/>
          <w:sz w:val="20"/>
          <w:szCs w:val="20"/>
        </w:rPr>
        <w:t>strongly indicates</w:t>
      </w:r>
      <w:r w:rsidR="004B6082" w:rsidRPr="00387A14">
        <w:rPr>
          <w:rFonts w:cstheme="minorHAnsi"/>
          <w:sz w:val="20"/>
          <w:szCs w:val="20"/>
        </w:rPr>
        <w:t xml:space="preserve"> that the structure of compound 2 is 4-hydroxybenzoic acid or </w:t>
      </w:r>
      <w:r w:rsidR="004B6082" w:rsidRPr="00387A14">
        <w:rPr>
          <w:rFonts w:cstheme="minorHAnsi"/>
          <w:i/>
          <w:sz w:val="20"/>
          <w:szCs w:val="20"/>
        </w:rPr>
        <w:t>p</w:t>
      </w:r>
      <w:r w:rsidR="004B6082" w:rsidRPr="00387A14">
        <w:rPr>
          <w:rFonts w:cstheme="minorHAnsi"/>
          <w:sz w:val="20"/>
          <w:szCs w:val="20"/>
        </w:rPr>
        <w:t>- hydroxybenzoic</w:t>
      </w:r>
      <w:r w:rsidR="009A396E" w:rsidRPr="00387A14">
        <w:rPr>
          <w:rFonts w:cstheme="minorHAnsi"/>
          <w:sz w:val="20"/>
          <w:szCs w:val="20"/>
        </w:rPr>
        <w:t xml:space="preserve"> acid (Table 1 and Fig. 1)</w:t>
      </w:r>
      <w:r w:rsidR="004B6082" w:rsidRPr="00387A14">
        <w:rPr>
          <w:rFonts w:cstheme="minorHAnsi"/>
          <w:sz w:val="20"/>
          <w:szCs w:val="20"/>
        </w:rPr>
        <w:t>.</w:t>
      </w:r>
      <w:r w:rsidR="009A396E" w:rsidRPr="00387A14">
        <w:rPr>
          <w:rFonts w:cstheme="minorHAnsi"/>
          <w:sz w:val="20"/>
          <w:szCs w:val="20"/>
        </w:rPr>
        <w:t xml:space="preserve"> From the literature, compound </w:t>
      </w:r>
      <w:r w:rsidR="0030578B" w:rsidRPr="00387A14">
        <w:rPr>
          <w:rFonts w:cstheme="minorHAnsi"/>
          <w:sz w:val="20"/>
          <w:szCs w:val="20"/>
        </w:rPr>
        <w:t>2</w:t>
      </w:r>
      <w:r w:rsidR="004B6082" w:rsidRPr="00387A14">
        <w:rPr>
          <w:rFonts w:cstheme="minorHAnsi"/>
          <w:sz w:val="20"/>
          <w:szCs w:val="20"/>
        </w:rPr>
        <w:t xml:space="preserve"> </w:t>
      </w:r>
      <w:r w:rsidR="00F24763" w:rsidRPr="00387A14">
        <w:rPr>
          <w:rFonts w:cstheme="minorHAnsi"/>
          <w:sz w:val="20"/>
          <w:szCs w:val="20"/>
        </w:rPr>
        <w:t xml:space="preserve">was </w:t>
      </w:r>
      <w:r w:rsidR="0062785D" w:rsidRPr="00387A14">
        <w:rPr>
          <w:rFonts w:cstheme="minorHAnsi"/>
          <w:sz w:val="20"/>
          <w:szCs w:val="20"/>
        </w:rPr>
        <w:t xml:space="preserve">used as </w:t>
      </w:r>
      <w:r w:rsidR="00B25D03" w:rsidRPr="00387A14">
        <w:rPr>
          <w:rFonts w:cstheme="minorHAnsi"/>
          <w:sz w:val="20"/>
          <w:szCs w:val="20"/>
        </w:rPr>
        <w:t>a</w:t>
      </w:r>
      <w:r w:rsidR="009A396E" w:rsidRPr="00387A14">
        <w:rPr>
          <w:rFonts w:cstheme="minorHAnsi"/>
          <w:sz w:val="20"/>
          <w:szCs w:val="20"/>
        </w:rPr>
        <w:t xml:space="preserve"> chemotaxonomic marker for </w:t>
      </w:r>
      <w:r w:rsidR="00B25D03" w:rsidRPr="00387A14">
        <w:rPr>
          <w:rFonts w:cstheme="minorHAnsi"/>
          <w:sz w:val="20"/>
          <w:szCs w:val="20"/>
        </w:rPr>
        <w:t xml:space="preserve">the </w:t>
      </w:r>
      <w:r w:rsidR="009A396E" w:rsidRPr="00387A14">
        <w:rPr>
          <w:rFonts w:cstheme="minorHAnsi"/>
          <w:sz w:val="20"/>
          <w:szCs w:val="20"/>
        </w:rPr>
        <w:t xml:space="preserve">family Arecaceae </w:t>
      </w:r>
      <w:r w:rsidR="000057ED" w:rsidRPr="00387A14">
        <w:rPr>
          <w:rFonts w:eastAsia="AdvGulliv-R" w:cstheme="minorHAnsi"/>
          <w:sz w:val="20"/>
          <w:szCs w:val="20"/>
        </w:rPr>
        <w:t>[</w:t>
      </w:r>
      <w:r w:rsidR="00387A14" w:rsidRPr="00387A14">
        <w:rPr>
          <w:rFonts w:eastAsia="AdvGulliv-R" w:cstheme="minorHAnsi"/>
          <w:sz w:val="20"/>
          <w:szCs w:val="20"/>
        </w:rPr>
        <w:t>12</w:t>
      </w:r>
      <w:r w:rsidR="000057ED" w:rsidRPr="00387A14">
        <w:rPr>
          <w:rFonts w:eastAsia="AdvGulliv-R" w:cstheme="minorHAnsi"/>
          <w:sz w:val="20"/>
          <w:szCs w:val="20"/>
        </w:rPr>
        <w:t>]</w:t>
      </w:r>
      <w:r w:rsidR="009A396E" w:rsidRPr="00387A14">
        <w:rPr>
          <w:rFonts w:cstheme="minorHAnsi"/>
          <w:sz w:val="20"/>
          <w:szCs w:val="20"/>
        </w:rPr>
        <w:t>.</w:t>
      </w:r>
      <w:r w:rsidR="0062785D" w:rsidRPr="00387A14">
        <w:rPr>
          <w:rFonts w:cstheme="minorHAnsi"/>
          <w:sz w:val="20"/>
          <w:szCs w:val="20"/>
        </w:rPr>
        <w:t xml:space="preserve"> Besides, compound </w:t>
      </w:r>
      <w:r w:rsidR="0030578B" w:rsidRPr="00387A14">
        <w:rPr>
          <w:rFonts w:cstheme="minorHAnsi"/>
          <w:sz w:val="20"/>
          <w:szCs w:val="20"/>
        </w:rPr>
        <w:t>2</w:t>
      </w:r>
      <w:r w:rsidR="0062785D" w:rsidRPr="00387A14">
        <w:rPr>
          <w:rFonts w:cstheme="minorHAnsi"/>
          <w:sz w:val="20"/>
          <w:szCs w:val="20"/>
        </w:rPr>
        <w:t xml:space="preserve"> also has been reported in </w:t>
      </w:r>
      <w:r w:rsidR="00B25D03" w:rsidRPr="00387A14">
        <w:rPr>
          <w:rFonts w:cstheme="minorHAnsi"/>
          <w:i/>
          <w:sz w:val="20"/>
          <w:szCs w:val="20"/>
        </w:rPr>
        <w:t>Euterpe</w:t>
      </w:r>
      <w:r w:rsidR="00F66C29" w:rsidRPr="00387A14">
        <w:rPr>
          <w:rFonts w:cstheme="minorHAnsi"/>
          <w:i/>
          <w:sz w:val="20"/>
          <w:szCs w:val="20"/>
        </w:rPr>
        <w:t>oleracea m</w:t>
      </w:r>
      <w:r w:rsidR="0062785D" w:rsidRPr="00387A14">
        <w:rPr>
          <w:rFonts w:cstheme="minorHAnsi"/>
          <w:i/>
          <w:sz w:val="20"/>
          <w:szCs w:val="20"/>
        </w:rPr>
        <w:t>artius</w:t>
      </w:r>
      <w:r w:rsidR="0062785D" w:rsidRPr="00387A14">
        <w:rPr>
          <w:rFonts w:cstheme="minorHAnsi"/>
          <w:sz w:val="20"/>
          <w:szCs w:val="20"/>
        </w:rPr>
        <w:t xml:space="preserve"> (acai)</w:t>
      </w:r>
      <w:r w:rsidR="0030578B" w:rsidRPr="00387A14">
        <w:rPr>
          <w:rFonts w:cstheme="minorHAnsi"/>
          <w:sz w:val="20"/>
          <w:szCs w:val="20"/>
        </w:rPr>
        <w:t xml:space="preserve"> </w:t>
      </w:r>
      <w:r w:rsidR="003E630C" w:rsidRPr="00387A14">
        <w:rPr>
          <w:rFonts w:cstheme="minorHAnsi"/>
          <w:sz w:val="20"/>
          <w:szCs w:val="20"/>
        </w:rPr>
        <w:t xml:space="preserve">and </w:t>
      </w:r>
      <w:r w:rsidR="003E630C" w:rsidRPr="00387A14">
        <w:rPr>
          <w:rFonts w:cstheme="minorHAnsi"/>
          <w:i/>
          <w:sz w:val="20"/>
          <w:szCs w:val="20"/>
        </w:rPr>
        <w:t xml:space="preserve">Calamus quiquesetinervius </w:t>
      </w:r>
      <w:r w:rsidR="003E630C" w:rsidRPr="00387A14">
        <w:rPr>
          <w:rFonts w:eastAsia="AdvGulliv-R" w:cstheme="minorHAnsi"/>
          <w:sz w:val="20"/>
          <w:szCs w:val="20"/>
        </w:rPr>
        <w:t xml:space="preserve">Burret </w:t>
      </w:r>
      <w:r w:rsidR="000057ED" w:rsidRPr="00387A14">
        <w:rPr>
          <w:rFonts w:eastAsia="AdvGulliv-R" w:cstheme="minorHAnsi"/>
          <w:sz w:val="20"/>
          <w:szCs w:val="20"/>
        </w:rPr>
        <w:t>[</w:t>
      </w:r>
      <w:r w:rsidR="00387A14" w:rsidRPr="00387A14">
        <w:rPr>
          <w:rFonts w:eastAsia="AdvGulliv-R" w:cstheme="minorHAnsi"/>
          <w:sz w:val="20"/>
          <w:szCs w:val="20"/>
        </w:rPr>
        <w:t>13, 14</w:t>
      </w:r>
      <w:r w:rsidR="000057ED" w:rsidRPr="00387A14">
        <w:rPr>
          <w:rFonts w:eastAsia="AdvGulliv-R" w:cstheme="minorHAnsi"/>
          <w:sz w:val="20"/>
          <w:szCs w:val="20"/>
        </w:rPr>
        <w:t>]</w:t>
      </w:r>
      <w:r w:rsidR="000057ED" w:rsidRPr="00387A14">
        <w:rPr>
          <w:rFonts w:cstheme="minorHAnsi"/>
          <w:sz w:val="20"/>
          <w:szCs w:val="20"/>
        </w:rPr>
        <w:t>.</w:t>
      </w:r>
    </w:p>
    <w:p w:rsidR="00AC71B6" w:rsidRPr="009D26A5" w:rsidRDefault="00AC71B6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E91E06" w:rsidRPr="009D26A5" w:rsidRDefault="00E91E06" w:rsidP="00E91E06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9D26A5">
        <w:object w:dxaOrig="3509" w:dyaOrig="2242">
          <v:shape id="_x0000_i1027" type="#_x0000_t75" style="width:174.75pt;height:111pt" o:ole="">
            <v:imagedata r:id="rId12" o:title=""/>
          </v:shape>
          <o:OLEObject Type="Embed" ProgID="ChemDraw.Document.6.0" ShapeID="_x0000_i1027" DrawAspect="Content" ObjectID="_1436780756" r:id="rId13"/>
        </w:object>
      </w:r>
      <w:r w:rsidRPr="009D26A5">
        <w:object w:dxaOrig="1434" w:dyaOrig="698">
          <v:shape id="_x0000_i1028" type="#_x0000_t75" style="width:1in;height:34.5pt" o:ole="">
            <v:imagedata r:id="rId14" o:title=""/>
          </v:shape>
          <o:OLEObject Type="Embed" ProgID="ChemDraw.Document.6.0" ShapeID="_x0000_i1028" DrawAspect="Content" ObjectID="_1436780757" r:id="rId15"/>
        </w:object>
      </w:r>
    </w:p>
    <w:p w:rsidR="002D45A8" w:rsidRDefault="002D45A8" w:rsidP="002D45A8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E91E06" w:rsidRDefault="00E91E06" w:rsidP="00E91E06">
      <w:pPr>
        <w:spacing w:before="240" w:after="0" w:line="240" w:lineRule="auto"/>
        <w:jc w:val="center"/>
        <w:rPr>
          <w:rFonts w:cstheme="minorHAnsi"/>
          <w:b/>
          <w:sz w:val="18"/>
          <w:szCs w:val="18"/>
        </w:rPr>
      </w:pPr>
      <w:r w:rsidRPr="009D26A5">
        <w:rPr>
          <w:rFonts w:cstheme="minorHAnsi"/>
          <w:sz w:val="18"/>
          <w:szCs w:val="18"/>
        </w:rPr>
        <w:t xml:space="preserve">Fig. 2: 1H-1H COSY and NOESY correlation for </w:t>
      </w:r>
      <w:r w:rsidRPr="009D26A5">
        <w:rPr>
          <w:rFonts w:cstheme="minorHAnsi"/>
          <w:b/>
          <w:sz w:val="18"/>
          <w:szCs w:val="18"/>
        </w:rPr>
        <w:t>1.</w:t>
      </w:r>
    </w:p>
    <w:p w:rsidR="00E91E06" w:rsidRPr="009D26A5" w:rsidRDefault="00E91E06" w:rsidP="00E91E06">
      <w:pPr>
        <w:spacing w:after="0" w:line="240" w:lineRule="auto"/>
        <w:jc w:val="center"/>
        <w:rPr>
          <w:rFonts w:cstheme="minorHAnsi"/>
          <w:sz w:val="18"/>
          <w:szCs w:val="18"/>
        </w:rPr>
      </w:pPr>
    </w:p>
    <w:p w:rsidR="00F42DF4" w:rsidRPr="009D26A5" w:rsidRDefault="00F42DF4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B47D23" w:rsidRDefault="0086617B" w:rsidP="00AC71B6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9D26A5">
        <w:rPr>
          <w:rFonts w:cstheme="minorHAnsi"/>
          <w:sz w:val="18"/>
          <w:szCs w:val="18"/>
        </w:rPr>
        <w:t>Table 1</w:t>
      </w:r>
      <w:r w:rsidR="00AC71B6" w:rsidRPr="009D26A5">
        <w:rPr>
          <w:rFonts w:cstheme="minorHAnsi"/>
          <w:sz w:val="18"/>
          <w:szCs w:val="18"/>
        </w:rPr>
        <w:t xml:space="preserve">: </w:t>
      </w:r>
      <w:r w:rsidRPr="009D26A5">
        <w:rPr>
          <w:rFonts w:cstheme="minorHAnsi"/>
          <w:sz w:val="18"/>
          <w:szCs w:val="18"/>
        </w:rPr>
        <w:t xml:space="preserve">1H &amp; 13C (600 MHz) NMR data for compound </w:t>
      </w:r>
      <w:r w:rsidRPr="009D26A5">
        <w:rPr>
          <w:rFonts w:cstheme="minorHAnsi"/>
          <w:b/>
          <w:sz w:val="18"/>
          <w:szCs w:val="18"/>
        </w:rPr>
        <w:t>1</w:t>
      </w:r>
      <w:r w:rsidRPr="009D26A5">
        <w:rPr>
          <w:rFonts w:cstheme="minorHAnsi"/>
          <w:sz w:val="18"/>
          <w:szCs w:val="18"/>
        </w:rPr>
        <w:t xml:space="preserve"> (MeOD) and </w:t>
      </w:r>
      <w:r w:rsidRPr="009D26A5">
        <w:rPr>
          <w:rFonts w:cstheme="minorHAnsi"/>
          <w:b/>
          <w:sz w:val="18"/>
          <w:szCs w:val="18"/>
        </w:rPr>
        <w:t>2</w:t>
      </w:r>
      <w:r w:rsidRPr="009D26A5">
        <w:rPr>
          <w:rFonts w:cstheme="minorHAnsi"/>
          <w:sz w:val="18"/>
          <w:szCs w:val="18"/>
        </w:rPr>
        <w:t xml:space="preserve"> (CDCl</w:t>
      </w:r>
      <w:r w:rsidRPr="009D26A5">
        <w:rPr>
          <w:rFonts w:cstheme="minorHAnsi"/>
          <w:sz w:val="18"/>
          <w:szCs w:val="18"/>
          <w:vertAlign w:val="subscript"/>
        </w:rPr>
        <w:t>3</w:t>
      </w:r>
      <w:r w:rsidRPr="009D26A5">
        <w:rPr>
          <w:rFonts w:cstheme="minorHAnsi"/>
          <w:sz w:val="18"/>
          <w:szCs w:val="18"/>
        </w:rPr>
        <w:t>)</w:t>
      </w:r>
    </w:p>
    <w:tbl>
      <w:tblPr>
        <w:tblStyle w:val="TableGrid"/>
        <w:tblW w:w="9357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850"/>
        <w:gridCol w:w="2410"/>
        <w:gridCol w:w="284"/>
        <w:gridCol w:w="1984"/>
        <w:gridCol w:w="1169"/>
      </w:tblGrid>
      <w:tr w:rsidR="00161E61" w:rsidRPr="009D26A5" w:rsidTr="00C507DB">
        <w:trPr>
          <w:trHeight w:val="282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885ECA" w:rsidRPr="005A579C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A579C">
              <w:rPr>
                <w:rFonts w:cstheme="minorHAnsi"/>
                <w:b/>
                <w:sz w:val="18"/>
                <w:szCs w:val="18"/>
              </w:rPr>
              <w:t xml:space="preserve">Position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D26A5">
              <w:rPr>
                <w:rFonts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9D26A5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68"/>
        </w:trPr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885ECA" w:rsidRPr="005A579C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A579C">
              <w:rPr>
                <w:rFonts w:cstheme="minorHAnsi"/>
                <w:b/>
                <w:sz w:val="18"/>
                <w:szCs w:val="18"/>
              </w:rPr>
              <w:t>δ</w:t>
            </w:r>
            <w:r w:rsidRPr="005A579C">
              <w:rPr>
                <w:rFonts w:cstheme="minorHAnsi"/>
                <w:b/>
                <w:sz w:val="18"/>
                <w:szCs w:val="18"/>
                <w:vertAlign w:val="subscript"/>
              </w:rPr>
              <w:t>H</w:t>
            </w:r>
            <w:r w:rsidRPr="005A579C">
              <w:rPr>
                <w:rFonts w:cstheme="minorHAnsi"/>
                <w:b/>
                <w:sz w:val="18"/>
                <w:szCs w:val="18"/>
              </w:rPr>
              <w:t xml:space="preserve"> (</w:t>
            </w:r>
            <w:r w:rsidR="009F42BA" w:rsidRPr="005A579C">
              <w:rPr>
                <w:rFonts w:cstheme="minorHAnsi"/>
                <w:b/>
                <w:sz w:val="18"/>
                <w:szCs w:val="18"/>
              </w:rPr>
              <w:t xml:space="preserve">mult, </w:t>
            </w:r>
            <w:r w:rsidRPr="005A579C">
              <w:rPr>
                <w:rFonts w:cstheme="minorHAnsi"/>
                <w:b/>
                <w:i/>
                <w:sz w:val="18"/>
                <w:szCs w:val="18"/>
              </w:rPr>
              <w:t>J</w:t>
            </w:r>
            <w:r w:rsidRPr="005A579C">
              <w:rPr>
                <w:rFonts w:cstheme="minorHAnsi"/>
                <w:b/>
                <w:sz w:val="18"/>
                <w:szCs w:val="18"/>
              </w:rPr>
              <w:t xml:space="preserve"> in Hz)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</w:tcPr>
          <w:p w:rsidR="00885ECA" w:rsidRPr="005A579C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A579C">
              <w:rPr>
                <w:rFonts w:cstheme="minorHAnsi"/>
                <w:b/>
                <w:sz w:val="18"/>
                <w:szCs w:val="18"/>
              </w:rPr>
              <w:t>δ</w:t>
            </w:r>
            <w:r w:rsidRPr="005A579C">
              <w:rPr>
                <w:rFonts w:cstheme="minorHAnsi"/>
                <w:b/>
                <w:sz w:val="18"/>
                <w:szCs w:val="18"/>
                <w:vertAlign w:val="subscript"/>
              </w:rPr>
              <w:t>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ECA" w:rsidRPr="005A579C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A579C">
              <w:rPr>
                <w:rFonts w:cstheme="minorHAnsi"/>
                <w:b/>
                <w:sz w:val="18"/>
                <w:szCs w:val="18"/>
              </w:rPr>
              <w:t xml:space="preserve">HMBC (δ </w:t>
            </w:r>
            <w:r w:rsidRPr="005A579C">
              <w:rPr>
                <w:rFonts w:cstheme="minorHAnsi"/>
                <w:b/>
                <w:sz w:val="18"/>
                <w:szCs w:val="18"/>
                <w:vertAlign w:val="superscript"/>
              </w:rPr>
              <w:t>1</w:t>
            </w:r>
            <w:r w:rsidRPr="005A579C">
              <w:rPr>
                <w:rFonts w:cstheme="minorHAnsi"/>
                <w:b/>
                <w:sz w:val="18"/>
                <w:szCs w:val="18"/>
              </w:rPr>
              <w:t>H)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ECA" w:rsidRPr="005A579C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nil"/>
            </w:tcBorders>
          </w:tcPr>
          <w:p w:rsidR="00885ECA" w:rsidRPr="005A579C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A579C">
              <w:rPr>
                <w:rFonts w:cstheme="minorHAnsi"/>
                <w:b/>
                <w:sz w:val="18"/>
                <w:szCs w:val="18"/>
              </w:rPr>
              <w:t>δ</w:t>
            </w:r>
            <w:r w:rsidRPr="005A579C">
              <w:rPr>
                <w:rFonts w:cstheme="minorHAnsi"/>
                <w:b/>
                <w:sz w:val="18"/>
                <w:szCs w:val="18"/>
                <w:vertAlign w:val="subscript"/>
              </w:rPr>
              <w:t>H</w:t>
            </w:r>
            <w:r w:rsidRPr="005A579C">
              <w:rPr>
                <w:rFonts w:cstheme="minorHAnsi"/>
                <w:b/>
                <w:sz w:val="18"/>
                <w:szCs w:val="18"/>
              </w:rPr>
              <w:t xml:space="preserve"> (mult, </w:t>
            </w:r>
            <w:r w:rsidRPr="005A579C">
              <w:rPr>
                <w:rFonts w:cstheme="minorHAnsi"/>
                <w:b/>
                <w:i/>
                <w:sz w:val="18"/>
                <w:szCs w:val="18"/>
              </w:rPr>
              <w:t>J</w:t>
            </w:r>
            <w:r w:rsidRPr="005A579C">
              <w:rPr>
                <w:rFonts w:cstheme="minorHAnsi"/>
                <w:b/>
                <w:sz w:val="18"/>
                <w:szCs w:val="18"/>
              </w:rPr>
              <w:t xml:space="preserve"> in Hz)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nil"/>
            </w:tcBorders>
          </w:tcPr>
          <w:p w:rsidR="00885ECA" w:rsidRPr="005A579C" w:rsidRDefault="00885ECA" w:rsidP="003D0404">
            <w:pPr>
              <w:jc w:val="both"/>
              <w:rPr>
                <w:rFonts w:cstheme="minorHAnsi"/>
                <w:b/>
                <w:sz w:val="18"/>
                <w:szCs w:val="18"/>
              </w:rPr>
            </w:pPr>
            <w:r w:rsidRPr="005A579C">
              <w:rPr>
                <w:rFonts w:cstheme="minorHAnsi"/>
                <w:b/>
                <w:sz w:val="18"/>
                <w:szCs w:val="18"/>
              </w:rPr>
              <w:t>δ</w:t>
            </w:r>
            <w:r w:rsidRPr="005A579C">
              <w:rPr>
                <w:rFonts w:cstheme="minorHAnsi"/>
                <w:b/>
                <w:sz w:val="18"/>
                <w:szCs w:val="18"/>
                <w:vertAlign w:val="subscript"/>
              </w:rPr>
              <w:t>C</w:t>
            </w: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nil"/>
              <w:bottom w:val="nil"/>
              <w:right w:val="nil"/>
            </w:tcBorders>
          </w:tcPr>
          <w:p w:rsidR="00885ECA" w:rsidRPr="009D26A5" w:rsidRDefault="00361DD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121.3</w:t>
            </w:r>
            <w:r w:rsidR="00885ECA" w:rsidRPr="009D26A5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164.1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H-3; H-2’</w:t>
            </w:r>
            <w:r w:rsidR="00C51A14">
              <w:rPr>
                <w:rFonts w:cstheme="minorHAnsi"/>
                <w:sz w:val="18"/>
                <w:szCs w:val="18"/>
              </w:rPr>
              <w:t>, H-6’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 xml:space="preserve">7.89 (dt, </w:t>
            </w:r>
            <w:r w:rsidR="00807F39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807F39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807F39">
              <w:rPr>
                <w:rFonts w:cstheme="minorHAnsi"/>
                <w:sz w:val="18"/>
                <w:szCs w:val="18"/>
              </w:rPr>
              <w:t>=</w:t>
            </w:r>
            <w:r w:rsidR="00361DD5">
              <w:rPr>
                <w:rFonts w:cstheme="minorHAnsi"/>
                <w:sz w:val="18"/>
                <w:szCs w:val="18"/>
              </w:rPr>
              <w:t>2.4,</w:t>
            </w:r>
            <w:r w:rsidRPr="009D26A5">
              <w:rPr>
                <w:rFonts w:cstheme="minorHAnsi"/>
                <w:sz w:val="18"/>
                <w:szCs w:val="18"/>
              </w:rPr>
              <w:t xml:space="preserve"> 9)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361DD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131.6</w:t>
            </w:r>
          </w:p>
        </w:tc>
      </w:tr>
      <w:tr w:rsidR="00161E61" w:rsidRPr="009D26A5" w:rsidTr="00C507DB">
        <w:trPr>
          <w:trHeight w:val="26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 xml:space="preserve">6.59 </w:t>
            </w:r>
            <w:r w:rsidR="00C507DB" w:rsidRPr="009D26A5">
              <w:rPr>
                <w:rFonts w:cstheme="minorHAnsi"/>
                <w:sz w:val="18"/>
                <w:szCs w:val="18"/>
              </w:rPr>
              <w:t>(s)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104.4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 xml:space="preserve">6.84 (dt, </w:t>
            </w:r>
            <w:r w:rsidR="00807F39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807F39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807F39">
              <w:rPr>
                <w:rFonts w:cstheme="minorHAnsi"/>
                <w:sz w:val="18"/>
                <w:szCs w:val="18"/>
              </w:rPr>
              <w:t>=</w:t>
            </w:r>
            <w:r w:rsidR="00361DD5">
              <w:rPr>
                <w:rFonts w:cstheme="minorHAnsi"/>
                <w:sz w:val="18"/>
                <w:szCs w:val="18"/>
              </w:rPr>
              <w:t>2.4,</w:t>
            </w:r>
            <w:r w:rsidRPr="009D26A5">
              <w:rPr>
                <w:rFonts w:cstheme="minorHAnsi"/>
                <w:sz w:val="18"/>
                <w:szCs w:val="18"/>
              </w:rPr>
              <w:t xml:space="preserve"> 9)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361DD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114.7</w:t>
            </w: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182.5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032061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H-3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361DD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161.9</w:t>
            </w: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 xml:space="preserve">6.84 (dt, </w:t>
            </w:r>
            <w:r w:rsidR="00807F39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807F39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807F39">
              <w:rPr>
                <w:rFonts w:cstheme="minorHAnsi"/>
                <w:sz w:val="18"/>
                <w:szCs w:val="18"/>
              </w:rPr>
              <w:t>=</w:t>
            </w:r>
            <w:r w:rsidR="00361DD5">
              <w:rPr>
                <w:rFonts w:cstheme="minorHAnsi"/>
                <w:sz w:val="18"/>
                <w:szCs w:val="18"/>
              </w:rPr>
              <w:t>2.4,</w:t>
            </w:r>
            <w:r w:rsidRPr="009D26A5">
              <w:rPr>
                <w:rFonts w:cstheme="minorHAnsi"/>
                <w:sz w:val="18"/>
                <w:szCs w:val="18"/>
              </w:rPr>
              <w:t xml:space="preserve"> 9)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361DD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114.7</w:t>
            </w:r>
          </w:p>
        </w:tc>
      </w:tr>
      <w:tr w:rsidR="00161E61" w:rsidRPr="009D26A5" w:rsidTr="00C507DB">
        <w:trPr>
          <w:trHeight w:val="26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6.38 (</w:t>
            </w:r>
            <w:r w:rsidR="00C507DB" w:rsidRPr="009D26A5">
              <w:rPr>
                <w:rFonts w:cstheme="minorHAnsi"/>
                <w:sz w:val="18"/>
                <w:szCs w:val="18"/>
              </w:rPr>
              <w:t xml:space="preserve">d, </w:t>
            </w:r>
            <w:r w:rsidR="00C51A14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C51A14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C51A14">
              <w:rPr>
                <w:rFonts w:cstheme="minorHAnsi"/>
                <w:sz w:val="18"/>
                <w:szCs w:val="18"/>
              </w:rPr>
              <w:t>=</w:t>
            </w:r>
            <w:r w:rsidRPr="009D26A5">
              <w:rPr>
                <w:rFonts w:cstheme="minorHAnsi"/>
                <w:sz w:val="18"/>
                <w:szCs w:val="18"/>
              </w:rPr>
              <w:t>2.4)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98.1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 xml:space="preserve">7.89 (dt, </w:t>
            </w:r>
            <w:r w:rsidR="00807F39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807F39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807F39">
              <w:rPr>
                <w:rFonts w:cstheme="minorHAnsi"/>
                <w:sz w:val="18"/>
                <w:szCs w:val="18"/>
              </w:rPr>
              <w:t>=</w:t>
            </w:r>
            <w:r w:rsidR="00361DD5">
              <w:rPr>
                <w:rFonts w:cstheme="minorHAnsi"/>
                <w:sz w:val="18"/>
                <w:szCs w:val="18"/>
              </w:rPr>
              <w:t>2.4,</w:t>
            </w:r>
            <w:r w:rsidRPr="009D26A5">
              <w:rPr>
                <w:rFonts w:cstheme="minorHAnsi"/>
                <w:sz w:val="18"/>
                <w:szCs w:val="18"/>
              </w:rPr>
              <w:t xml:space="preserve"> 9)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361DD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131.6</w:t>
            </w:r>
          </w:p>
        </w:tc>
      </w:tr>
      <w:tr w:rsidR="00161E61" w:rsidRPr="009D26A5" w:rsidTr="00C507DB">
        <w:trPr>
          <w:trHeight w:val="483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165.4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OCH</w:t>
            </w:r>
            <w:r w:rsidRPr="009D26A5">
              <w:rPr>
                <w:rFonts w:cstheme="minorHAnsi"/>
                <w:sz w:val="18"/>
                <w:szCs w:val="18"/>
                <w:vertAlign w:val="subscript"/>
              </w:rPr>
              <w:t>3</w:t>
            </w:r>
            <w:r w:rsidRPr="009D26A5">
              <w:rPr>
                <w:rFonts w:cstheme="minorHAnsi"/>
                <w:sz w:val="18"/>
                <w:szCs w:val="18"/>
              </w:rPr>
              <w:t>-7; H-6; H-8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361DD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168.8</w:t>
            </w: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6.49 (</w:t>
            </w:r>
            <w:r w:rsidR="00C507DB" w:rsidRPr="009D26A5">
              <w:rPr>
                <w:rFonts w:cstheme="minorHAnsi"/>
                <w:sz w:val="18"/>
                <w:szCs w:val="18"/>
              </w:rPr>
              <w:t xml:space="preserve">d, </w:t>
            </w:r>
            <w:r w:rsidR="00C51A14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C51A14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C51A14">
              <w:rPr>
                <w:rFonts w:cstheme="minorHAnsi"/>
                <w:sz w:val="18"/>
                <w:szCs w:val="18"/>
              </w:rPr>
              <w:t>=</w:t>
            </w:r>
            <w:r w:rsidRPr="009D26A5">
              <w:rPr>
                <w:rFonts w:cstheme="minorHAnsi"/>
                <w:sz w:val="18"/>
                <w:szCs w:val="18"/>
              </w:rPr>
              <w:t>2.4)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92.7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157.7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F85AF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H-8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6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105.6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127C9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H-3; H-6; H-8; 5-OH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1’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123.6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H-3’</w:t>
            </w:r>
            <w:r w:rsidR="00FC008D">
              <w:rPr>
                <w:rFonts w:cstheme="minorHAnsi"/>
                <w:sz w:val="18"/>
                <w:szCs w:val="18"/>
              </w:rPr>
              <w:t>; H-5’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2’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7.85 (</w:t>
            </w:r>
            <w:r w:rsidR="00C507DB" w:rsidRPr="009D26A5">
              <w:rPr>
                <w:rFonts w:cstheme="minorHAnsi"/>
                <w:sz w:val="18"/>
                <w:szCs w:val="18"/>
              </w:rPr>
              <w:t xml:space="preserve">d, </w:t>
            </w:r>
            <w:r w:rsidR="00C51A14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C51A14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C51A14">
              <w:rPr>
                <w:rFonts w:cstheme="minorHAnsi"/>
                <w:sz w:val="18"/>
                <w:szCs w:val="18"/>
              </w:rPr>
              <w:t>=</w:t>
            </w:r>
            <w:r w:rsidRPr="009D26A5">
              <w:rPr>
                <w:rFonts w:cstheme="minorHAnsi"/>
                <w:sz w:val="18"/>
                <w:szCs w:val="18"/>
              </w:rPr>
              <w:t>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128.1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6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3’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7.02 (</w:t>
            </w:r>
            <w:r w:rsidR="00C507DB" w:rsidRPr="009D26A5">
              <w:rPr>
                <w:rFonts w:cstheme="minorHAnsi"/>
                <w:sz w:val="18"/>
                <w:szCs w:val="18"/>
              </w:rPr>
              <w:t xml:space="preserve">d, </w:t>
            </w:r>
            <w:r w:rsidR="00C51A14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C51A14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C51A14">
              <w:rPr>
                <w:rFonts w:cstheme="minorHAnsi"/>
                <w:sz w:val="18"/>
                <w:szCs w:val="18"/>
              </w:rPr>
              <w:t>=</w:t>
            </w:r>
            <w:r w:rsidRPr="009D26A5">
              <w:rPr>
                <w:rFonts w:cstheme="minorHAnsi"/>
                <w:sz w:val="18"/>
                <w:szCs w:val="18"/>
              </w:rPr>
              <w:t>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114.5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C51A1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4’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162.6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127C95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OCH</w:t>
            </w:r>
            <w:r w:rsidRPr="009D26A5">
              <w:rPr>
                <w:rFonts w:cstheme="minorHAnsi"/>
                <w:sz w:val="18"/>
                <w:szCs w:val="18"/>
                <w:vertAlign w:val="subscript"/>
              </w:rPr>
              <w:t>3</w:t>
            </w:r>
            <w:r w:rsidRPr="009D26A5">
              <w:rPr>
                <w:rFonts w:cstheme="minorHAnsi"/>
                <w:sz w:val="18"/>
                <w:szCs w:val="18"/>
              </w:rPr>
              <w:t>-4’; H-2’; H-3’; H-5’</w:t>
            </w:r>
            <w:r>
              <w:rPr>
                <w:rFonts w:cstheme="minorHAnsi"/>
                <w:sz w:val="18"/>
                <w:szCs w:val="18"/>
              </w:rPr>
              <w:t>; H-6’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5’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7.02 (</w:t>
            </w:r>
            <w:r w:rsidR="00C507DB" w:rsidRPr="009D26A5">
              <w:rPr>
                <w:rFonts w:cstheme="minorHAnsi"/>
                <w:sz w:val="18"/>
                <w:szCs w:val="18"/>
              </w:rPr>
              <w:t xml:space="preserve">d, </w:t>
            </w:r>
            <w:r w:rsidR="00C51A14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C51A14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C51A14">
              <w:rPr>
                <w:rFonts w:cstheme="minorHAnsi"/>
                <w:sz w:val="18"/>
                <w:szCs w:val="18"/>
              </w:rPr>
              <w:t>=</w:t>
            </w:r>
            <w:r w:rsidRPr="009D26A5">
              <w:rPr>
                <w:rFonts w:cstheme="minorHAnsi"/>
                <w:sz w:val="18"/>
                <w:szCs w:val="18"/>
              </w:rPr>
              <w:t>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114.5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6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6’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7.85 (</w:t>
            </w:r>
            <w:r w:rsidR="00C507DB" w:rsidRPr="009D26A5">
              <w:rPr>
                <w:rFonts w:cstheme="minorHAnsi"/>
                <w:sz w:val="18"/>
                <w:szCs w:val="18"/>
              </w:rPr>
              <w:t xml:space="preserve">d, </w:t>
            </w:r>
            <w:r w:rsidR="00C51A14" w:rsidRPr="009D26A5">
              <w:rPr>
                <w:rFonts w:cstheme="minorHAnsi"/>
                <w:i/>
                <w:sz w:val="18"/>
                <w:szCs w:val="18"/>
              </w:rPr>
              <w:t>J</w:t>
            </w:r>
            <w:r w:rsidR="00C51A14" w:rsidRPr="009D26A5">
              <w:rPr>
                <w:rFonts w:cstheme="minorHAnsi"/>
                <w:sz w:val="18"/>
                <w:szCs w:val="18"/>
              </w:rPr>
              <w:t xml:space="preserve"> </w:t>
            </w:r>
            <w:r w:rsidR="00C51A14">
              <w:rPr>
                <w:rFonts w:cstheme="minorHAnsi"/>
                <w:sz w:val="18"/>
                <w:szCs w:val="18"/>
              </w:rPr>
              <w:t>=</w:t>
            </w:r>
            <w:r w:rsidRPr="009D26A5">
              <w:rPr>
                <w:rFonts w:cstheme="minorHAnsi"/>
                <w:sz w:val="18"/>
                <w:szCs w:val="18"/>
              </w:rPr>
              <w:t>9)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128.1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68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F70C2D" w:rsidRPr="009D26A5" w:rsidRDefault="00F70C2D" w:rsidP="00C2609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5-OH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0C2D" w:rsidRPr="009D26A5" w:rsidRDefault="00F70C2D" w:rsidP="00C2609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 xml:space="preserve">12.82 </w:t>
            </w:r>
            <w:r w:rsidR="00C507DB" w:rsidRPr="009D26A5">
              <w:rPr>
                <w:rFonts w:cstheme="minorHAnsi"/>
                <w:sz w:val="18"/>
                <w:szCs w:val="18"/>
              </w:rPr>
              <w:t>(s)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70C2D" w:rsidRPr="009D26A5" w:rsidRDefault="00C51A14" w:rsidP="00C2609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162.2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F70C2D" w:rsidRPr="009D26A5" w:rsidRDefault="00127C95" w:rsidP="00C2609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H-6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70C2D" w:rsidRPr="009D26A5" w:rsidRDefault="00F70C2D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70C2D" w:rsidRPr="009D26A5" w:rsidRDefault="00F70C2D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F70C2D" w:rsidRPr="009D26A5" w:rsidRDefault="00F70C2D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61E61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F70C2D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7-OMe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F70C2D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 xml:space="preserve">3.90 </w:t>
            </w:r>
            <w:r w:rsidR="00C507DB" w:rsidRPr="009D26A5">
              <w:rPr>
                <w:rFonts w:cstheme="minorHAnsi"/>
                <w:sz w:val="18"/>
                <w:szCs w:val="18"/>
              </w:rPr>
              <w:t>(s)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C51A14" w:rsidP="00F70C2D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55.8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F70C2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F70C2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F70C2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</w:tcPr>
          <w:p w:rsidR="00885ECA" w:rsidRPr="009D26A5" w:rsidRDefault="00885ECA" w:rsidP="00F70C2D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F42BA" w:rsidRPr="009D26A5" w:rsidTr="00C507DB">
        <w:trPr>
          <w:trHeight w:val="282"/>
        </w:trPr>
        <w:tc>
          <w:tcPr>
            <w:tcW w:w="959" w:type="dxa"/>
            <w:tcBorders>
              <w:top w:val="nil"/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4’-OMe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 w:rsidRPr="009D26A5">
              <w:rPr>
                <w:rFonts w:cstheme="minorHAnsi"/>
                <w:sz w:val="18"/>
                <w:szCs w:val="18"/>
              </w:rPr>
              <w:t>3.89</w:t>
            </w:r>
            <w:r w:rsidR="00C507DB" w:rsidRPr="009D26A5">
              <w:rPr>
                <w:rFonts w:cstheme="minorHAnsi"/>
                <w:sz w:val="18"/>
                <w:szCs w:val="18"/>
              </w:rPr>
              <w:t xml:space="preserve"> (s)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885ECA" w:rsidRPr="009D26A5" w:rsidRDefault="00C51A14" w:rsidP="003D0404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55.6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right w:val="nil"/>
            </w:tcBorders>
          </w:tcPr>
          <w:p w:rsidR="00885ECA" w:rsidRPr="009D26A5" w:rsidRDefault="00885ECA" w:rsidP="003D0404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:rsidR="002D45A8" w:rsidRDefault="002D45A8" w:rsidP="008A75B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F51BC8" w:rsidRPr="009D26A5" w:rsidRDefault="00FF0435" w:rsidP="008A75B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lastRenderedPageBreak/>
        <w:t>Conclusion</w:t>
      </w:r>
    </w:p>
    <w:p w:rsidR="006F35E2" w:rsidRPr="00387A14" w:rsidRDefault="00700D99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87A14">
        <w:rPr>
          <w:rFonts w:cstheme="minorHAnsi"/>
          <w:sz w:val="20"/>
          <w:szCs w:val="20"/>
        </w:rPr>
        <w:t xml:space="preserve">In the studies of chemical components from </w:t>
      </w:r>
      <w:r w:rsidRPr="00387A14">
        <w:rPr>
          <w:rFonts w:cstheme="minorHAnsi"/>
          <w:i/>
          <w:sz w:val="20"/>
          <w:szCs w:val="20"/>
        </w:rPr>
        <w:t>Orania sylvicola</w:t>
      </w:r>
      <w:r w:rsidRPr="00387A14">
        <w:rPr>
          <w:rFonts w:cstheme="minorHAnsi"/>
          <w:sz w:val="20"/>
          <w:szCs w:val="20"/>
        </w:rPr>
        <w:t xml:space="preserve"> fruits, two known phenolic compounds, 5-hydroxy-7,4’dimetoxyflavone (1) and 4-hydroxybenzoic acid (2)</w:t>
      </w:r>
      <w:r w:rsidR="003E17BF" w:rsidRPr="00387A14">
        <w:rPr>
          <w:rFonts w:cstheme="minorHAnsi"/>
          <w:sz w:val="20"/>
          <w:szCs w:val="20"/>
        </w:rPr>
        <w:t xml:space="preserve"> were isolated and successfully identified. </w:t>
      </w:r>
      <w:r w:rsidRPr="00387A14">
        <w:rPr>
          <w:rFonts w:cstheme="minorHAnsi"/>
          <w:sz w:val="20"/>
          <w:szCs w:val="20"/>
        </w:rPr>
        <w:t xml:space="preserve">4-hydroxybenzoic acid  </w:t>
      </w:r>
      <w:r w:rsidRPr="00387A14">
        <w:rPr>
          <w:rFonts w:asciiTheme="majorHAnsi" w:hAnsiTheme="majorHAnsi" w:cstheme="majorHAnsi"/>
          <w:sz w:val="20"/>
          <w:szCs w:val="20"/>
        </w:rPr>
        <w:t xml:space="preserve">has been used as a chemotaxonomic marker of </w:t>
      </w:r>
      <w:r w:rsidRPr="00387A14">
        <w:rPr>
          <w:rFonts w:cstheme="minorHAnsi"/>
          <w:sz w:val="20"/>
          <w:szCs w:val="20"/>
        </w:rPr>
        <w:t>Arecaceae family</w:t>
      </w:r>
      <w:r w:rsidRPr="00387A14">
        <w:rPr>
          <w:rFonts w:asciiTheme="majorHAnsi" w:hAnsiTheme="majorHAnsi" w:cstheme="majorHAnsi"/>
          <w:sz w:val="20"/>
          <w:szCs w:val="20"/>
        </w:rPr>
        <w:t>.</w:t>
      </w:r>
      <w:r w:rsidRPr="00387A14">
        <w:rPr>
          <w:rFonts w:cstheme="minorHAnsi"/>
          <w:sz w:val="20"/>
          <w:szCs w:val="20"/>
        </w:rPr>
        <w:t xml:space="preserve"> While, </w:t>
      </w:r>
      <w:r w:rsidR="00361DD5" w:rsidRPr="00387A14">
        <w:rPr>
          <w:rFonts w:cstheme="minorHAnsi"/>
          <w:sz w:val="20"/>
          <w:szCs w:val="20"/>
        </w:rPr>
        <w:t>5-hydroxy-7,4’dimetoxyflavone</w:t>
      </w:r>
      <w:r w:rsidR="0012798A" w:rsidRPr="00387A14">
        <w:rPr>
          <w:rFonts w:cstheme="minorHAnsi"/>
          <w:sz w:val="20"/>
          <w:szCs w:val="20"/>
        </w:rPr>
        <w:t xml:space="preserve"> has not been reported yet </w:t>
      </w:r>
      <w:r w:rsidR="004A5616" w:rsidRPr="00387A14">
        <w:rPr>
          <w:rFonts w:cstheme="minorHAnsi"/>
          <w:sz w:val="20"/>
          <w:szCs w:val="20"/>
        </w:rPr>
        <w:t xml:space="preserve">from </w:t>
      </w:r>
      <w:r w:rsidRPr="00387A14">
        <w:rPr>
          <w:rFonts w:cstheme="minorHAnsi"/>
          <w:sz w:val="20"/>
          <w:szCs w:val="20"/>
        </w:rPr>
        <w:t xml:space="preserve">this </w:t>
      </w:r>
      <w:r w:rsidR="00116B1D" w:rsidRPr="00387A14">
        <w:rPr>
          <w:rFonts w:cstheme="minorHAnsi"/>
          <w:sz w:val="20"/>
          <w:szCs w:val="20"/>
        </w:rPr>
        <w:t>family</w:t>
      </w:r>
      <w:r w:rsidR="0012798A" w:rsidRPr="00387A14">
        <w:rPr>
          <w:rFonts w:cstheme="minorHAnsi"/>
          <w:sz w:val="20"/>
          <w:szCs w:val="20"/>
        </w:rPr>
        <w:t xml:space="preserve">. </w:t>
      </w:r>
      <w:r w:rsidR="00787695" w:rsidRPr="00387A14">
        <w:rPr>
          <w:rFonts w:cstheme="minorHAnsi"/>
          <w:sz w:val="20"/>
          <w:szCs w:val="20"/>
        </w:rPr>
        <w:t xml:space="preserve">Particularly, </w:t>
      </w:r>
      <w:r w:rsidR="006F35E2" w:rsidRPr="00387A14">
        <w:rPr>
          <w:rFonts w:cstheme="minorHAnsi"/>
          <w:sz w:val="20"/>
          <w:szCs w:val="20"/>
        </w:rPr>
        <w:t xml:space="preserve">both compounds </w:t>
      </w:r>
      <w:r w:rsidR="003E17BF" w:rsidRPr="00387A14">
        <w:rPr>
          <w:rFonts w:cstheme="minorHAnsi"/>
          <w:sz w:val="20"/>
          <w:szCs w:val="20"/>
        </w:rPr>
        <w:t>is</w:t>
      </w:r>
      <w:r w:rsidR="006F35E2" w:rsidRPr="00387A14">
        <w:rPr>
          <w:rFonts w:cstheme="minorHAnsi"/>
          <w:sz w:val="20"/>
          <w:szCs w:val="20"/>
        </w:rPr>
        <w:t xml:space="preserve"> </w:t>
      </w:r>
      <w:r w:rsidR="00787695" w:rsidRPr="00387A14">
        <w:rPr>
          <w:rFonts w:cstheme="minorHAnsi"/>
          <w:sz w:val="20"/>
          <w:szCs w:val="20"/>
        </w:rPr>
        <w:t xml:space="preserve">now </w:t>
      </w:r>
      <w:r w:rsidR="006F35E2" w:rsidRPr="00387A14">
        <w:rPr>
          <w:rFonts w:cstheme="minorHAnsi"/>
          <w:sz w:val="20"/>
          <w:szCs w:val="20"/>
        </w:rPr>
        <w:t xml:space="preserve">reported for the first time from </w:t>
      </w:r>
      <w:r w:rsidR="00F24763" w:rsidRPr="00387A14">
        <w:rPr>
          <w:rFonts w:cstheme="minorHAnsi"/>
          <w:sz w:val="20"/>
          <w:szCs w:val="20"/>
        </w:rPr>
        <w:t>the fruits of the spec</w:t>
      </w:r>
      <w:r w:rsidR="0012798A" w:rsidRPr="00387A14">
        <w:rPr>
          <w:rFonts w:cstheme="minorHAnsi"/>
          <w:sz w:val="20"/>
          <w:szCs w:val="20"/>
        </w:rPr>
        <w:t xml:space="preserve">ies </w:t>
      </w:r>
      <w:r w:rsidR="006F35E2" w:rsidRPr="00387A14">
        <w:rPr>
          <w:rFonts w:cstheme="minorHAnsi"/>
          <w:i/>
          <w:sz w:val="20"/>
          <w:szCs w:val="20"/>
        </w:rPr>
        <w:t>O. sylvicola</w:t>
      </w:r>
      <w:r w:rsidR="006F35E2" w:rsidRPr="00387A14">
        <w:rPr>
          <w:rFonts w:cstheme="minorHAnsi"/>
          <w:sz w:val="20"/>
          <w:szCs w:val="20"/>
        </w:rPr>
        <w:t>.</w:t>
      </w:r>
      <w:r w:rsidR="00F51BC8" w:rsidRPr="00387A14">
        <w:rPr>
          <w:rFonts w:cstheme="minorHAnsi"/>
          <w:sz w:val="20"/>
          <w:szCs w:val="20"/>
        </w:rPr>
        <w:t xml:space="preserve"> </w:t>
      </w:r>
    </w:p>
    <w:p w:rsidR="00140862" w:rsidRPr="009D26A5" w:rsidRDefault="00140862" w:rsidP="003D040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F35E2" w:rsidRPr="009D26A5" w:rsidRDefault="00FF0435" w:rsidP="008A75B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Acknowledgment</w:t>
      </w:r>
    </w:p>
    <w:p w:rsidR="006F35E2" w:rsidRPr="009D26A5" w:rsidRDefault="000923D7" w:rsidP="00140862">
      <w:pPr>
        <w:spacing w:after="0"/>
        <w:jc w:val="both"/>
        <w:rPr>
          <w:sz w:val="20"/>
          <w:szCs w:val="20"/>
        </w:rPr>
      </w:pPr>
      <w:r w:rsidRPr="009D26A5">
        <w:rPr>
          <w:rFonts w:cstheme="minorHAnsi"/>
          <w:sz w:val="20"/>
          <w:szCs w:val="20"/>
        </w:rPr>
        <w:t xml:space="preserve">The research was </w:t>
      </w:r>
      <w:r w:rsidR="006F35E2" w:rsidRPr="009D26A5">
        <w:rPr>
          <w:rFonts w:cstheme="minorHAnsi"/>
          <w:sz w:val="20"/>
          <w:szCs w:val="20"/>
        </w:rPr>
        <w:t xml:space="preserve"> </w:t>
      </w:r>
      <w:r w:rsidRPr="009D26A5">
        <w:rPr>
          <w:rFonts w:cstheme="minorHAnsi"/>
          <w:sz w:val="20"/>
          <w:szCs w:val="20"/>
        </w:rPr>
        <w:t xml:space="preserve">partially supported by the grant </w:t>
      </w:r>
      <w:r w:rsidR="00F87A7E" w:rsidRPr="009D26A5">
        <w:rPr>
          <w:rFonts w:cstheme="minorHAnsi"/>
          <w:sz w:val="20"/>
          <w:szCs w:val="20"/>
        </w:rPr>
        <w:t>UKM</w:t>
      </w:r>
      <w:r w:rsidR="00F915AB" w:rsidRPr="009D26A5">
        <w:rPr>
          <w:rFonts w:cstheme="minorHAnsi"/>
          <w:sz w:val="20"/>
          <w:szCs w:val="20"/>
        </w:rPr>
        <w:t>-</w:t>
      </w:r>
      <w:r w:rsidR="00F87A7E" w:rsidRPr="009D26A5">
        <w:rPr>
          <w:rFonts w:cstheme="minorHAnsi"/>
          <w:sz w:val="20"/>
          <w:szCs w:val="20"/>
        </w:rPr>
        <w:t>PN</w:t>
      </w:r>
      <w:r w:rsidR="00F915AB" w:rsidRPr="009D26A5">
        <w:rPr>
          <w:rFonts w:cstheme="minorHAnsi"/>
          <w:sz w:val="20"/>
          <w:szCs w:val="20"/>
        </w:rPr>
        <w:t>I-NB</w:t>
      </w:r>
      <w:r w:rsidR="00F87A7E" w:rsidRPr="009D26A5">
        <w:rPr>
          <w:rFonts w:cstheme="minorHAnsi"/>
          <w:sz w:val="20"/>
          <w:szCs w:val="20"/>
        </w:rPr>
        <w:t>D0</w:t>
      </w:r>
      <w:r w:rsidR="00F915AB" w:rsidRPr="009D26A5">
        <w:rPr>
          <w:rFonts w:cstheme="minorHAnsi"/>
          <w:sz w:val="20"/>
          <w:szCs w:val="20"/>
        </w:rPr>
        <w:t>009-2007</w:t>
      </w:r>
      <w:r w:rsidR="00814EB9">
        <w:rPr>
          <w:rFonts w:cstheme="minorHAnsi"/>
          <w:sz w:val="20"/>
          <w:szCs w:val="20"/>
        </w:rPr>
        <w:t xml:space="preserve"> </w:t>
      </w:r>
      <w:r w:rsidRPr="009D26A5">
        <w:rPr>
          <w:rFonts w:cstheme="minorHAnsi"/>
          <w:sz w:val="20"/>
          <w:szCs w:val="20"/>
        </w:rPr>
        <w:t>and gratefully acknowledged</w:t>
      </w:r>
      <w:r w:rsidR="00F87A7E" w:rsidRPr="009D26A5">
        <w:rPr>
          <w:sz w:val="20"/>
          <w:szCs w:val="20"/>
        </w:rPr>
        <w:t>.</w:t>
      </w:r>
    </w:p>
    <w:p w:rsidR="00140862" w:rsidRPr="009D26A5" w:rsidRDefault="00140862" w:rsidP="00986193">
      <w:pPr>
        <w:spacing w:after="0" w:line="240" w:lineRule="auto"/>
        <w:jc w:val="both"/>
        <w:rPr>
          <w:sz w:val="20"/>
          <w:szCs w:val="20"/>
        </w:rPr>
      </w:pPr>
    </w:p>
    <w:p w:rsidR="004107AA" w:rsidRPr="009D26A5" w:rsidRDefault="006C42A2" w:rsidP="008A75BD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D26A5">
        <w:rPr>
          <w:rFonts w:cstheme="minorHAnsi"/>
          <w:b/>
          <w:sz w:val="20"/>
          <w:szCs w:val="20"/>
        </w:rPr>
        <w:t>References</w:t>
      </w:r>
    </w:p>
    <w:p w:rsidR="00387A14" w:rsidRPr="009D26A5" w:rsidRDefault="00387A14" w:rsidP="00387A14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1.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eastAsia="AdvGulliv-R" w:cstheme="minorHAnsi"/>
          <w:sz w:val="18"/>
          <w:szCs w:val="18"/>
        </w:rPr>
        <w:t xml:space="preserve">Keim, A. P &amp; Dransfield, J. (2012). </w:t>
      </w:r>
      <w:r w:rsidRPr="009D26A5">
        <w:rPr>
          <w:rFonts w:cstheme="minorHAnsi"/>
          <w:color w:val="131413"/>
          <w:sz w:val="18"/>
          <w:szCs w:val="18"/>
        </w:rPr>
        <w:t>A monograph of the genus Orania (Arecaceae: Oranieae).</w:t>
      </w:r>
      <w:r w:rsidRPr="009D26A5">
        <w:rPr>
          <w:rFonts w:eastAsia="AdvGulliv-R" w:cstheme="minorHAnsi"/>
          <w:sz w:val="18"/>
          <w:szCs w:val="18"/>
        </w:rPr>
        <w:t xml:space="preserve"> </w:t>
      </w:r>
      <w:r w:rsidRPr="009D26A5">
        <w:rPr>
          <w:rFonts w:cstheme="minorHAnsi"/>
          <w:i/>
          <w:sz w:val="18"/>
          <w:szCs w:val="18"/>
        </w:rPr>
        <w:t>The Board of Trustees of the Royal Botanic Gardens, Kew Bulettin</w:t>
      </w:r>
      <w:r>
        <w:rPr>
          <w:rFonts w:cstheme="minorHAnsi"/>
          <w:sz w:val="18"/>
          <w:szCs w:val="18"/>
        </w:rPr>
        <w:t>,</w:t>
      </w:r>
      <w:r w:rsidRPr="009D26A5">
        <w:rPr>
          <w:rFonts w:cstheme="minorHAnsi"/>
          <w:sz w:val="18"/>
          <w:szCs w:val="18"/>
        </w:rPr>
        <w:t xml:space="preserve"> 67: 127-190.</w:t>
      </w:r>
    </w:p>
    <w:p w:rsidR="00387A14" w:rsidRPr="00387A14" w:rsidRDefault="00387A14" w:rsidP="00387A14">
      <w:pPr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2.</w:t>
      </w:r>
      <w:r>
        <w:rPr>
          <w:rFonts w:cstheme="minorHAnsi"/>
          <w:sz w:val="18"/>
          <w:szCs w:val="18"/>
        </w:rPr>
        <w:tab/>
      </w:r>
      <w:r w:rsidRPr="009D26A5">
        <w:rPr>
          <w:rFonts w:eastAsia="AdvGulliv-R" w:cstheme="minorHAnsi"/>
          <w:sz w:val="18"/>
          <w:szCs w:val="18"/>
        </w:rPr>
        <w:t xml:space="preserve">Essig, F. B. (1980). The genus </w:t>
      </w:r>
      <w:r w:rsidRPr="00F24763">
        <w:rPr>
          <w:rFonts w:eastAsia="AdvGulliv-R" w:cstheme="minorHAnsi"/>
          <w:i/>
          <w:sz w:val="18"/>
          <w:szCs w:val="18"/>
        </w:rPr>
        <w:t>Orania Zipp</w:t>
      </w:r>
      <w:r w:rsidRPr="009D26A5">
        <w:rPr>
          <w:rFonts w:eastAsia="AdvGulliv-R" w:cstheme="minorHAnsi"/>
          <w:sz w:val="18"/>
          <w:szCs w:val="18"/>
        </w:rPr>
        <w:t xml:space="preserve"> (Arecaceae) in New Guinea. </w:t>
      </w:r>
      <w:r w:rsidRPr="009D26A5">
        <w:rPr>
          <w:rFonts w:eastAsia="AdvGulliv-R" w:cstheme="minorHAnsi"/>
          <w:i/>
          <w:sz w:val="18"/>
          <w:szCs w:val="18"/>
        </w:rPr>
        <w:t>Lyonia</w:t>
      </w:r>
      <w:r>
        <w:rPr>
          <w:rFonts w:eastAsia="AdvGulliv-R" w:cstheme="minorHAnsi"/>
          <w:sz w:val="18"/>
          <w:szCs w:val="18"/>
        </w:rPr>
        <w:t xml:space="preserve">, </w:t>
      </w:r>
      <w:r w:rsidRPr="009D26A5">
        <w:rPr>
          <w:rFonts w:eastAsia="AdvGulliv-R" w:cstheme="minorHAnsi"/>
          <w:sz w:val="18"/>
          <w:szCs w:val="18"/>
        </w:rPr>
        <w:t>1</w:t>
      </w:r>
      <w:r>
        <w:rPr>
          <w:rFonts w:eastAsia="AdvGulliv-R" w:cstheme="minorHAnsi"/>
          <w:sz w:val="18"/>
          <w:szCs w:val="18"/>
        </w:rPr>
        <w:t xml:space="preserve"> </w:t>
      </w:r>
      <w:r w:rsidRPr="009D26A5">
        <w:rPr>
          <w:rFonts w:eastAsia="AdvGulliv-R" w:cstheme="minorHAnsi"/>
          <w:sz w:val="18"/>
          <w:szCs w:val="18"/>
        </w:rPr>
        <w:t xml:space="preserve">(5): 211-233. </w:t>
      </w:r>
    </w:p>
    <w:p w:rsidR="00387A14" w:rsidRPr="009D26A5" w:rsidRDefault="00387A14" w:rsidP="00F54D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3.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cstheme="minorHAnsi"/>
          <w:sz w:val="18"/>
          <w:szCs w:val="18"/>
        </w:rPr>
        <w:t xml:space="preserve">McCurrach, J. C. (1960). </w:t>
      </w:r>
      <w:r w:rsidRPr="009D26A5">
        <w:rPr>
          <w:rFonts w:cstheme="minorHAnsi"/>
          <w:i/>
          <w:sz w:val="18"/>
          <w:szCs w:val="18"/>
        </w:rPr>
        <w:t>Palms of the World</w:t>
      </w:r>
      <w:r w:rsidRPr="009D26A5">
        <w:rPr>
          <w:rFonts w:cstheme="minorHAnsi"/>
          <w:sz w:val="18"/>
          <w:szCs w:val="18"/>
        </w:rPr>
        <w:t xml:space="preserve">. Harper and Brothers, New York. </w:t>
      </w:r>
    </w:p>
    <w:p w:rsidR="00387A14" w:rsidRPr="009D26A5" w:rsidRDefault="00387A14" w:rsidP="00F54D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4.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cstheme="minorHAnsi"/>
          <w:sz w:val="18"/>
          <w:szCs w:val="18"/>
        </w:rPr>
        <w:t xml:space="preserve">Ridley, H. N. (1925). </w:t>
      </w:r>
      <w:r w:rsidRPr="009D26A5">
        <w:rPr>
          <w:rFonts w:cstheme="minorHAnsi"/>
          <w:i/>
          <w:sz w:val="18"/>
          <w:szCs w:val="18"/>
        </w:rPr>
        <w:t>Flora of the Malay Peninsula</w:t>
      </w:r>
      <w:r w:rsidRPr="009D26A5">
        <w:rPr>
          <w:rFonts w:cstheme="minorHAnsi"/>
          <w:sz w:val="18"/>
          <w:szCs w:val="18"/>
        </w:rPr>
        <w:t xml:space="preserve">. V. L. Reeve &amp; Co., Ltd., London. </w:t>
      </w:r>
    </w:p>
    <w:p w:rsidR="00387A14" w:rsidRPr="000F67F6" w:rsidRDefault="00387A14" w:rsidP="00F54D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5.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cstheme="minorHAnsi"/>
          <w:sz w:val="18"/>
          <w:szCs w:val="18"/>
        </w:rPr>
        <w:t xml:space="preserve">Whitmore, T. C. (1973). </w:t>
      </w:r>
      <w:r w:rsidRPr="009D26A5">
        <w:rPr>
          <w:rFonts w:cstheme="minorHAnsi"/>
          <w:i/>
          <w:sz w:val="18"/>
          <w:szCs w:val="18"/>
        </w:rPr>
        <w:t>Palms of Malaya</w:t>
      </w:r>
      <w:r w:rsidRPr="009D26A5">
        <w:rPr>
          <w:rFonts w:cstheme="minorHAnsi"/>
          <w:sz w:val="18"/>
          <w:szCs w:val="18"/>
        </w:rPr>
        <w:t xml:space="preserve">. Oxford Univ. Press, London. </w:t>
      </w:r>
    </w:p>
    <w:p w:rsidR="00387A14" w:rsidRPr="009D26A5" w:rsidRDefault="00387A14" w:rsidP="00F54D20">
      <w:pPr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6.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cstheme="minorHAnsi"/>
          <w:sz w:val="18"/>
          <w:szCs w:val="18"/>
        </w:rPr>
        <w:t xml:space="preserve">Gimlette, J. D. (1915). </w:t>
      </w:r>
      <w:r w:rsidRPr="009D26A5">
        <w:rPr>
          <w:rFonts w:cstheme="minorHAnsi"/>
          <w:i/>
          <w:sz w:val="18"/>
          <w:szCs w:val="18"/>
        </w:rPr>
        <w:t>Malay Poison and Charm Cures</w:t>
      </w:r>
      <w:r w:rsidRPr="009D26A5">
        <w:rPr>
          <w:rFonts w:cstheme="minorHAnsi"/>
          <w:sz w:val="18"/>
          <w:szCs w:val="18"/>
        </w:rPr>
        <w:t xml:space="preserve">. Oxford University Press. Kuala Lumpur. </w:t>
      </w:r>
    </w:p>
    <w:p w:rsidR="00387A14" w:rsidRPr="009D26A5" w:rsidRDefault="00387A14" w:rsidP="00281AA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7.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cstheme="minorHAnsi"/>
          <w:sz w:val="18"/>
          <w:szCs w:val="18"/>
        </w:rPr>
        <w:t xml:space="preserve">Mabry, T.J., Markham, K.R., Thomas, M.B. (1970). </w:t>
      </w:r>
      <w:r w:rsidRPr="009D26A5">
        <w:rPr>
          <w:rFonts w:cstheme="minorHAnsi"/>
          <w:i/>
          <w:sz w:val="18"/>
          <w:szCs w:val="18"/>
        </w:rPr>
        <w:t>The Systematic Identification of Flavonoids</w:t>
      </w:r>
      <w:r w:rsidRPr="009D26A5">
        <w:rPr>
          <w:rFonts w:cstheme="minorHAnsi"/>
          <w:sz w:val="18"/>
          <w:szCs w:val="18"/>
        </w:rPr>
        <w:t>. Springer Verlag, New York.</w:t>
      </w:r>
    </w:p>
    <w:p w:rsidR="00387A14" w:rsidRPr="009D26A5" w:rsidRDefault="00387A14" w:rsidP="006F35E2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8.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cstheme="minorHAnsi"/>
          <w:sz w:val="18"/>
          <w:szCs w:val="18"/>
        </w:rPr>
        <w:t xml:space="preserve">Herrera, J. C., Romero, A. J. R., Crescente, O. E., Acosta, M. &amp; Pekerar, S. (1996). </w:t>
      </w:r>
      <w:r w:rsidRPr="009D26A5">
        <w:rPr>
          <w:rFonts w:cstheme="minorHAnsi"/>
          <w:bCs/>
          <w:sz w:val="18"/>
          <w:szCs w:val="18"/>
        </w:rPr>
        <w:t xml:space="preserve">Analysis of 5-hydroxy-7-methoxyflavones by normal-phase high performance liquid chromatography. </w:t>
      </w:r>
      <w:r w:rsidRPr="009D26A5">
        <w:rPr>
          <w:rFonts w:cstheme="minorHAnsi"/>
          <w:i/>
          <w:sz w:val="18"/>
          <w:szCs w:val="18"/>
        </w:rPr>
        <w:t>Journal of Chromatography A</w:t>
      </w:r>
      <w:r>
        <w:rPr>
          <w:rFonts w:cstheme="minorHAnsi"/>
          <w:sz w:val="18"/>
          <w:szCs w:val="18"/>
        </w:rPr>
        <w:t>,</w:t>
      </w:r>
      <w:r w:rsidRPr="009D26A5">
        <w:rPr>
          <w:rFonts w:cstheme="minorHAnsi"/>
          <w:sz w:val="18"/>
          <w:szCs w:val="18"/>
        </w:rPr>
        <w:t xml:space="preserve"> 740: 201-206.</w:t>
      </w:r>
    </w:p>
    <w:p w:rsidR="00387A14" w:rsidRPr="009D26A5" w:rsidRDefault="00387A14" w:rsidP="00281AA9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eastAsia="CMR9" w:cstheme="minorHAnsi"/>
          <w:bCs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9.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eastAsia="CMBX10" w:cstheme="minorHAnsi"/>
          <w:bCs/>
          <w:sz w:val="18"/>
          <w:szCs w:val="18"/>
        </w:rPr>
        <w:t>Kolak, U., Hacibekiroglu, I., Ozturk, M., Ozgokce, F., Topcu, G. &amp; Ulubelen, A</w:t>
      </w:r>
      <w:r w:rsidRPr="009D26A5">
        <w:rPr>
          <w:rFonts w:eastAsia="CMR9" w:cstheme="minorHAnsi"/>
          <w:sz w:val="18"/>
          <w:szCs w:val="18"/>
        </w:rPr>
        <w:t xml:space="preserve">. (2009). </w:t>
      </w:r>
      <w:r w:rsidRPr="009D26A5">
        <w:rPr>
          <w:rFonts w:eastAsia="CMR9" w:cstheme="minorHAnsi"/>
          <w:bCs/>
          <w:sz w:val="18"/>
          <w:szCs w:val="18"/>
        </w:rPr>
        <w:t xml:space="preserve">Antioxidant and anticholinesterase constituents of </w:t>
      </w:r>
      <w:r w:rsidRPr="009D26A5">
        <w:rPr>
          <w:rFonts w:eastAsia="CMR9" w:cstheme="minorHAnsi"/>
          <w:bCs/>
          <w:i/>
          <w:iCs/>
          <w:sz w:val="18"/>
          <w:szCs w:val="18"/>
        </w:rPr>
        <w:t>Salvia poculata</w:t>
      </w:r>
      <w:r w:rsidRPr="009D26A5">
        <w:rPr>
          <w:rFonts w:cstheme="minorHAnsi"/>
          <w:sz w:val="18"/>
          <w:szCs w:val="18"/>
        </w:rPr>
        <w:t xml:space="preserve">. </w:t>
      </w:r>
      <w:r w:rsidRPr="009D26A5">
        <w:rPr>
          <w:rFonts w:eastAsia="CMR9" w:cstheme="minorHAnsi"/>
          <w:i/>
          <w:sz w:val="18"/>
          <w:szCs w:val="18"/>
        </w:rPr>
        <w:t>Turk J Chem</w:t>
      </w:r>
      <w:r>
        <w:rPr>
          <w:rFonts w:eastAsia="CMR9" w:cstheme="minorHAnsi"/>
          <w:sz w:val="18"/>
          <w:szCs w:val="18"/>
        </w:rPr>
        <w:t>,</w:t>
      </w:r>
      <w:r w:rsidRPr="009D26A5">
        <w:rPr>
          <w:rFonts w:eastAsia="CMR9" w:cstheme="minorHAnsi"/>
          <w:sz w:val="18"/>
          <w:szCs w:val="18"/>
        </w:rPr>
        <w:t xml:space="preserve"> 33: 813-823.</w:t>
      </w:r>
    </w:p>
    <w:p w:rsidR="00387A14" w:rsidRPr="009D26A5" w:rsidRDefault="00387A14" w:rsidP="00372C54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eastAsia="CMR9"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10.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eastAsia="CMR9" w:cstheme="minorHAnsi"/>
          <w:sz w:val="18"/>
          <w:szCs w:val="18"/>
        </w:rPr>
        <w:t xml:space="preserve">Rossi, M. H., Yossida, M. &amp; Maia, J. G. S. (1997). Neolignans, Strylpyrones and Flavonoids from an Aniba Species. </w:t>
      </w:r>
      <w:r w:rsidRPr="009D26A5">
        <w:rPr>
          <w:rFonts w:eastAsia="CMR9" w:cstheme="minorHAnsi"/>
          <w:i/>
          <w:sz w:val="18"/>
          <w:szCs w:val="18"/>
        </w:rPr>
        <w:t>Phytochemistry</w:t>
      </w:r>
      <w:r>
        <w:rPr>
          <w:rFonts w:eastAsia="CMR9" w:cstheme="minorHAnsi"/>
          <w:sz w:val="18"/>
          <w:szCs w:val="18"/>
        </w:rPr>
        <w:t>,</w:t>
      </w:r>
      <w:r w:rsidRPr="009D26A5">
        <w:rPr>
          <w:rFonts w:eastAsia="CMR9" w:cstheme="minorHAnsi"/>
          <w:sz w:val="18"/>
          <w:szCs w:val="18"/>
        </w:rPr>
        <w:t xml:space="preserve">  45(6): 1263-1269.</w:t>
      </w:r>
    </w:p>
    <w:p w:rsidR="00387A14" w:rsidRPr="009D26A5" w:rsidRDefault="00387A14" w:rsidP="00FA2FE2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dvGulliv-R" w:eastAsia="AdvGulliv-R" w:cs="AdvGulliv-R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11.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eastAsia="AdvGulliv-R" w:cstheme="minorHAnsi"/>
          <w:sz w:val="18"/>
          <w:szCs w:val="18"/>
        </w:rPr>
        <w:t xml:space="preserve">Tan, J., Bednarek, P., Liu, J., Schneider, B., Svatos, A. &amp; Hahlbrock, K. (2004). </w:t>
      </w:r>
      <w:r w:rsidRPr="009D26A5">
        <w:rPr>
          <w:rFonts w:eastAsia="AdvTimes" w:cstheme="minorHAnsi"/>
          <w:sz w:val="18"/>
          <w:szCs w:val="18"/>
        </w:rPr>
        <w:t>Universally occurring phenylpropanoid and species-specific indolic</w:t>
      </w:r>
      <w:r w:rsidRPr="009D26A5">
        <w:rPr>
          <w:rFonts w:ascii="AdvGulliv-R" w:eastAsia="AdvGulliv-R" w:cs="AdvGulliv-R"/>
          <w:sz w:val="18"/>
          <w:szCs w:val="18"/>
        </w:rPr>
        <w:t xml:space="preserve"> </w:t>
      </w:r>
      <w:r w:rsidRPr="009D26A5">
        <w:rPr>
          <w:rFonts w:eastAsia="AdvTimes" w:cstheme="minorHAnsi"/>
          <w:sz w:val="18"/>
          <w:szCs w:val="18"/>
        </w:rPr>
        <w:t xml:space="preserve">metabolites in infected and uninfected </w:t>
      </w:r>
      <w:r w:rsidRPr="009D26A5">
        <w:rPr>
          <w:rFonts w:eastAsia="AdvTimes" w:cstheme="minorHAnsi"/>
          <w:i/>
          <w:sz w:val="18"/>
          <w:szCs w:val="18"/>
        </w:rPr>
        <w:t>Arabidopsis thaliana</w:t>
      </w:r>
      <w:r w:rsidRPr="009D26A5">
        <w:rPr>
          <w:rFonts w:eastAsia="AdvTimes" w:cstheme="minorHAnsi"/>
          <w:sz w:val="18"/>
          <w:szCs w:val="18"/>
        </w:rPr>
        <w:t xml:space="preserve"> roots and leaves.  </w:t>
      </w:r>
      <w:r w:rsidRPr="009D26A5">
        <w:rPr>
          <w:rFonts w:cstheme="minorHAnsi"/>
          <w:i/>
          <w:sz w:val="18"/>
          <w:szCs w:val="18"/>
        </w:rPr>
        <w:t>Phytochemistry</w:t>
      </w:r>
      <w:r>
        <w:rPr>
          <w:rFonts w:cstheme="minorHAnsi"/>
          <w:sz w:val="18"/>
          <w:szCs w:val="18"/>
        </w:rPr>
        <w:t>,</w:t>
      </w:r>
      <w:r w:rsidRPr="009D26A5">
        <w:rPr>
          <w:rFonts w:cstheme="minorHAnsi"/>
          <w:sz w:val="18"/>
          <w:szCs w:val="18"/>
        </w:rPr>
        <w:t xml:space="preserve"> 65: 691–699.</w:t>
      </w:r>
    </w:p>
    <w:p w:rsidR="00387A14" w:rsidRDefault="00387A14" w:rsidP="00387A14">
      <w:pPr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12.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cstheme="minorHAnsi"/>
          <w:sz w:val="18"/>
          <w:szCs w:val="18"/>
        </w:rPr>
        <w:t xml:space="preserve">Chakraborty, M., Das, K., Dey, G. &amp; Mitra, A. (2006). Unusually high quantity of 4-hydroxybenzoic acid accumulation in cell wall of palm mesocarps. </w:t>
      </w:r>
      <w:r w:rsidRPr="009D26A5">
        <w:rPr>
          <w:rFonts w:cstheme="minorHAnsi"/>
          <w:i/>
          <w:sz w:val="18"/>
          <w:szCs w:val="18"/>
        </w:rPr>
        <w:t>Biochemical Systematics and Ecology</w:t>
      </w:r>
      <w:r>
        <w:rPr>
          <w:rFonts w:cstheme="minorHAnsi"/>
          <w:sz w:val="18"/>
          <w:szCs w:val="18"/>
        </w:rPr>
        <w:t xml:space="preserve">, 34: 509 - </w:t>
      </w:r>
      <w:r w:rsidRPr="009D26A5">
        <w:rPr>
          <w:rFonts w:cstheme="minorHAnsi"/>
          <w:sz w:val="18"/>
          <w:szCs w:val="18"/>
        </w:rPr>
        <w:t>513.</w:t>
      </w:r>
    </w:p>
    <w:p w:rsidR="00387A14" w:rsidRDefault="00387A14" w:rsidP="00387A14">
      <w:pPr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13.</w:t>
      </w:r>
      <w:r>
        <w:rPr>
          <w:rFonts w:cstheme="minorHAnsi"/>
          <w:sz w:val="18"/>
          <w:szCs w:val="18"/>
        </w:rPr>
        <w:tab/>
      </w:r>
      <w:r>
        <w:rPr>
          <w:rFonts w:eastAsia="AdvGulliv-R" w:cstheme="minorHAnsi"/>
          <w:sz w:val="18"/>
          <w:szCs w:val="18"/>
        </w:rPr>
        <w:t xml:space="preserve">Chang, C. L., </w:t>
      </w:r>
      <w:r w:rsidRPr="009D26A5">
        <w:rPr>
          <w:rFonts w:eastAsia="AdvGulliv-R" w:cstheme="minorHAnsi"/>
          <w:sz w:val="18"/>
          <w:szCs w:val="18"/>
        </w:rPr>
        <w:t xml:space="preserve">Wang, G. J., Zhang L. J., Tsai, W. J., Chen, R. Y., Wua, Y.C. &amp; Kuo, Y. H. (2010). Cardiovascular protective flavonolignans and flavonoids from </w:t>
      </w:r>
      <w:r w:rsidRPr="00F24763">
        <w:rPr>
          <w:rFonts w:eastAsia="AdvGulliv-R" w:cstheme="minorHAnsi"/>
          <w:i/>
          <w:sz w:val="18"/>
          <w:szCs w:val="18"/>
        </w:rPr>
        <w:t>Calamus quiquesetinervius</w:t>
      </w:r>
      <w:r w:rsidRPr="009D26A5">
        <w:rPr>
          <w:rFonts w:eastAsia="AdvGulliv-R" w:cstheme="minorHAnsi"/>
          <w:sz w:val="18"/>
          <w:szCs w:val="18"/>
        </w:rPr>
        <w:t xml:space="preserve">. </w:t>
      </w:r>
      <w:r w:rsidRPr="009D26A5">
        <w:rPr>
          <w:rFonts w:eastAsia="AdvGulliv-R" w:cstheme="minorHAnsi"/>
          <w:i/>
          <w:sz w:val="18"/>
          <w:szCs w:val="18"/>
        </w:rPr>
        <w:t>Phytochemistry</w:t>
      </w:r>
      <w:r>
        <w:rPr>
          <w:rFonts w:eastAsia="AdvGulliv-R" w:cstheme="minorHAnsi"/>
          <w:sz w:val="18"/>
          <w:szCs w:val="18"/>
        </w:rPr>
        <w:t xml:space="preserve">, </w:t>
      </w:r>
      <w:r w:rsidRPr="009D26A5">
        <w:rPr>
          <w:rFonts w:eastAsia="AdvGulliv-R" w:cstheme="minorHAnsi"/>
          <w:sz w:val="18"/>
          <w:szCs w:val="18"/>
        </w:rPr>
        <w:t>71:</w:t>
      </w:r>
      <w:r>
        <w:rPr>
          <w:rFonts w:eastAsia="AdvGulliv-R" w:cstheme="minorHAnsi"/>
          <w:sz w:val="18"/>
          <w:szCs w:val="18"/>
        </w:rPr>
        <w:t xml:space="preserve"> 271 - </w:t>
      </w:r>
      <w:r w:rsidRPr="009D26A5">
        <w:rPr>
          <w:rFonts w:eastAsia="AdvGulliv-R" w:cstheme="minorHAnsi"/>
          <w:sz w:val="18"/>
          <w:szCs w:val="18"/>
        </w:rPr>
        <w:t xml:space="preserve">279. </w:t>
      </w:r>
    </w:p>
    <w:p w:rsidR="00387A14" w:rsidRPr="009D26A5" w:rsidRDefault="00387A14" w:rsidP="00B966E4">
      <w:pPr>
        <w:spacing w:after="0" w:line="240" w:lineRule="auto"/>
        <w:ind w:left="720" w:hanging="720"/>
        <w:jc w:val="both"/>
        <w:rPr>
          <w:rFonts w:cstheme="minorHAnsi"/>
          <w:sz w:val="18"/>
          <w:szCs w:val="18"/>
        </w:rPr>
      </w:pPr>
      <w:r>
        <w:rPr>
          <w:rFonts w:eastAsia="AdvGulliv-R" w:cstheme="minorHAnsi"/>
          <w:sz w:val="18"/>
          <w:szCs w:val="18"/>
        </w:rPr>
        <w:t>14.</w:t>
      </w:r>
      <w:r>
        <w:rPr>
          <w:rFonts w:eastAsia="AdvGulliv-R" w:cstheme="minorHAnsi"/>
          <w:sz w:val="18"/>
          <w:szCs w:val="18"/>
        </w:rPr>
        <w:tab/>
      </w:r>
      <w:r w:rsidRPr="009D26A5">
        <w:rPr>
          <w:rFonts w:cstheme="minorHAnsi"/>
          <w:sz w:val="18"/>
          <w:szCs w:val="18"/>
        </w:rPr>
        <w:t xml:space="preserve">Pacheco-Palencia, L. A., Duncan, Ch. E. &amp; Talcot, St. T. (2009). Phytochemical composition and thermal stability of two commercial acai species, </w:t>
      </w:r>
      <w:r w:rsidRPr="00F24763">
        <w:rPr>
          <w:rFonts w:cstheme="minorHAnsi"/>
          <w:i/>
          <w:sz w:val="18"/>
          <w:szCs w:val="18"/>
        </w:rPr>
        <w:t>Euterpe oleracea</w:t>
      </w:r>
      <w:r w:rsidRPr="009D26A5">
        <w:rPr>
          <w:rFonts w:cstheme="minorHAnsi"/>
          <w:sz w:val="18"/>
          <w:szCs w:val="18"/>
        </w:rPr>
        <w:t xml:space="preserve"> and </w:t>
      </w:r>
      <w:r w:rsidRPr="00F24763">
        <w:rPr>
          <w:rFonts w:cstheme="minorHAnsi"/>
          <w:i/>
          <w:sz w:val="18"/>
          <w:szCs w:val="18"/>
        </w:rPr>
        <w:t>Euterpe precatoria</w:t>
      </w:r>
      <w:r w:rsidRPr="009D26A5">
        <w:rPr>
          <w:rFonts w:cstheme="minorHAnsi"/>
          <w:sz w:val="18"/>
          <w:szCs w:val="18"/>
        </w:rPr>
        <w:t xml:space="preserve">. </w:t>
      </w:r>
      <w:r w:rsidRPr="009D26A5">
        <w:rPr>
          <w:rFonts w:cstheme="minorHAnsi"/>
          <w:i/>
          <w:sz w:val="18"/>
          <w:szCs w:val="18"/>
        </w:rPr>
        <w:t>Food</w:t>
      </w:r>
      <w:r>
        <w:rPr>
          <w:rFonts w:cstheme="minorHAnsi"/>
          <w:i/>
          <w:sz w:val="18"/>
          <w:szCs w:val="18"/>
        </w:rPr>
        <w:t xml:space="preserve"> </w:t>
      </w:r>
      <w:r w:rsidRPr="009D26A5">
        <w:rPr>
          <w:rFonts w:cstheme="minorHAnsi"/>
          <w:i/>
          <w:sz w:val="18"/>
          <w:szCs w:val="18"/>
        </w:rPr>
        <w:t>Chem</w:t>
      </w:r>
      <w:r>
        <w:rPr>
          <w:rFonts w:cstheme="minorHAnsi"/>
          <w:sz w:val="18"/>
          <w:szCs w:val="18"/>
        </w:rPr>
        <w:t>,</w:t>
      </w:r>
      <w:r w:rsidRPr="009D26A5">
        <w:rPr>
          <w:rFonts w:cstheme="minorHAnsi"/>
          <w:sz w:val="18"/>
          <w:szCs w:val="18"/>
        </w:rPr>
        <w:t xml:space="preserve"> 115: 1199–1205.</w:t>
      </w:r>
    </w:p>
    <w:p w:rsidR="00F54D20" w:rsidRPr="00161E61" w:rsidRDefault="00F54D20" w:rsidP="00F54D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F54D20" w:rsidRPr="00161E61" w:rsidRDefault="00F54D20" w:rsidP="00F54D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D581A" w:rsidRPr="00161E61" w:rsidRDefault="003D581A" w:rsidP="00061D7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D581A" w:rsidRPr="00161E61" w:rsidSect="00CD4482">
      <w:type w:val="continuous"/>
      <w:pgSz w:w="11907" w:h="16839" w:code="9"/>
      <w:pgMar w:top="1134" w:right="1418" w:bottom="238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4BF" w:rsidRDefault="007314BF" w:rsidP="00153618">
      <w:pPr>
        <w:spacing w:after="0" w:line="240" w:lineRule="auto"/>
      </w:pPr>
      <w:r>
        <w:separator/>
      </w:r>
    </w:p>
  </w:endnote>
  <w:endnote w:type="continuationSeparator" w:id="0">
    <w:p w:rsidR="007314BF" w:rsidRDefault="007314BF" w:rsidP="00153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Gulliv-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ulliverRM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MR9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MBX1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Time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4BF" w:rsidRDefault="007314BF" w:rsidP="00153618">
      <w:pPr>
        <w:spacing w:after="0" w:line="240" w:lineRule="auto"/>
      </w:pPr>
      <w:r>
        <w:separator/>
      </w:r>
    </w:p>
  </w:footnote>
  <w:footnote w:type="continuationSeparator" w:id="0">
    <w:p w:rsidR="007314BF" w:rsidRDefault="007314BF" w:rsidP="00153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61C26"/>
    <w:multiLevelType w:val="hybridMultilevel"/>
    <w:tmpl w:val="E63E806E"/>
    <w:lvl w:ilvl="0" w:tplc="FFEA5986">
      <w:start w:val="1"/>
      <w:numFmt w:val="decimal"/>
      <w:lvlText w:val="(%1)"/>
      <w:lvlJc w:val="left"/>
      <w:pPr>
        <w:ind w:left="189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2610" w:hanging="360"/>
      </w:pPr>
    </w:lvl>
    <w:lvl w:ilvl="2" w:tplc="4409001B" w:tentative="1">
      <w:start w:val="1"/>
      <w:numFmt w:val="lowerRoman"/>
      <w:lvlText w:val="%3."/>
      <w:lvlJc w:val="right"/>
      <w:pPr>
        <w:ind w:left="3330" w:hanging="180"/>
      </w:pPr>
    </w:lvl>
    <w:lvl w:ilvl="3" w:tplc="4409000F" w:tentative="1">
      <w:start w:val="1"/>
      <w:numFmt w:val="decimal"/>
      <w:lvlText w:val="%4."/>
      <w:lvlJc w:val="left"/>
      <w:pPr>
        <w:ind w:left="4050" w:hanging="360"/>
      </w:pPr>
    </w:lvl>
    <w:lvl w:ilvl="4" w:tplc="44090019" w:tentative="1">
      <w:start w:val="1"/>
      <w:numFmt w:val="lowerLetter"/>
      <w:lvlText w:val="%5."/>
      <w:lvlJc w:val="left"/>
      <w:pPr>
        <w:ind w:left="4770" w:hanging="360"/>
      </w:pPr>
    </w:lvl>
    <w:lvl w:ilvl="5" w:tplc="4409001B" w:tentative="1">
      <w:start w:val="1"/>
      <w:numFmt w:val="lowerRoman"/>
      <w:lvlText w:val="%6."/>
      <w:lvlJc w:val="right"/>
      <w:pPr>
        <w:ind w:left="5490" w:hanging="180"/>
      </w:pPr>
    </w:lvl>
    <w:lvl w:ilvl="6" w:tplc="4409000F" w:tentative="1">
      <w:start w:val="1"/>
      <w:numFmt w:val="decimal"/>
      <w:lvlText w:val="%7."/>
      <w:lvlJc w:val="left"/>
      <w:pPr>
        <w:ind w:left="6210" w:hanging="360"/>
      </w:pPr>
    </w:lvl>
    <w:lvl w:ilvl="7" w:tplc="44090019" w:tentative="1">
      <w:start w:val="1"/>
      <w:numFmt w:val="lowerLetter"/>
      <w:lvlText w:val="%8."/>
      <w:lvlJc w:val="left"/>
      <w:pPr>
        <w:ind w:left="6930" w:hanging="360"/>
      </w:pPr>
    </w:lvl>
    <w:lvl w:ilvl="8" w:tplc="4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C5"/>
    <w:rsid w:val="000057ED"/>
    <w:rsid w:val="000133F1"/>
    <w:rsid w:val="0002489A"/>
    <w:rsid w:val="000273ED"/>
    <w:rsid w:val="000314F9"/>
    <w:rsid w:val="00032061"/>
    <w:rsid w:val="000323F9"/>
    <w:rsid w:val="00034AE1"/>
    <w:rsid w:val="00057580"/>
    <w:rsid w:val="00061D7E"/>
    <w:rsid w:val="00080BA9"/>
    <w:rsid w:val="000923D7"/>
    <w:rsid w:val="000934A8"/>
    <w:rsid w:val="000A054D"/>
    <w:rsid w:val="000A26A2"/>
    <w:rsid w:val="000A2BB8"/>
    <w:rsid w:val="000B622A"/>
    <w:rsid w:val="000B6503"/>
    <w:rsid w:val="000B6D2E"/>
    <w:rsid w:val="000C176A"/>
    <w:rsid w:val="000D44EB"/>
    <w:rsid w:val="000E080A"/>
    <w:rsid w:val="000F67F6"/>
    <w:rsid w:val="00100844"/>
    <w:rsid w:val="00114C77"/>
    <w:rsid w:val="001154C5"/>
    <w:rsid w:val="00115C0F"/>
    <w:rsid w:val="00116AD1"/>
    <w:rsid w:val="00116B1D"/>
    <w:rsid w:val="0012798A"/>
    <w:rsid w:val="00127C95"/>
    <w:rsid w:val="001305BF"/>
    <w:rsid w:val="00140862"/>
    <w:rsid w:val="00145F02"/>
    <w:rsid w:val="00153618"/>
    <w:rsid w:val="00155F25"/>
    <w:rsid w:val="00161E61"/>
    <w:rsid w:val="001731ED"/>
    <w:rsid w:val="001772C1"/>
    <w:rsid w:val="00190542"/>
    <w:rsid w:val="00195A85"/>
    <w:rsid w:val="00196E58"/>
    <w:rsid w:val="001A5F7F"/>
    <w:rsid w:val="001C6327"/>
    <w:rsid w:val="001C6FC7"/>
    <w:rsid w:val="001D45E8"/>
    <w:rsid w:val="001E620E"/>
    <w:rsid w:val="00220639"/>
    <w:rsid w:val="00221696"/>
    <w:rsid w:val="00222D5D"/>
    <w:rsid w:val="0023387A"/>
    <w:rsid w:val="00233A69"/>
    <w:rsid w:val="00241738"/>
    <w:rsid w:val="0025559E"/>
    <w:rsid w:val="002622AD"/>
    <w:rsid w:val="00271D16"/>
    <w:rsid w:val="00281AA9"/>
    <w:rsid w:val="00283E84"/>
    <w:rsid w:val="00296754"/>
    <w:rsid w:val="002977CA"/>
    <w:rsid w:val="002A5D60"/>
    <w:rsid w:val="002B1924"/>
    <w:rsid w:val="002B3F00"/>
    <w:rsid w:val="002B5078"/>
    <w:rsid w:val="002C2438"/>
    <w:rsid w:val="002C2C12"/>
    <w:rsid w:val="002C4AE1"/>
    <w:rsid w:val="002D45A8"/>
    <w:rsid w:val="002D7F54"/>
    <w:rsid w:val="002E1E89"/>
    <w:rsid w:val="002E21A9"/>
    <w:rsid w:val="002E47F9"/>
    <w:rsid w:val="002E5311"/>
    <w:rsid w:val="003003BE"/>
    <w:rsid w:val="0030578B"/>
    <w:rsid w:val="00307DA7"/>
    <w:rsid w:val="00311851"/>
    <w:rsid w:val="0032692B"/>
    <w:rsid w:val="0033191C"/>
    <w:rsid w:val="003322BA"/>
    <w:rsid w:val="003405B5"/>
    <w:rsid w:val="00340F60"/>
    <w:rsid w:val="00345E50"/>
    <w:rsid w:val="00353A2C"/>
    <w:rsid w:val="00355907"/>
    <w:rsid w:val="00356EA3"/>
    <w:rsid w:val="00361DD5"/>
    <w:rsid w:val="00372C54"/>
    <w:rsid w:val="00380629"/>
    <w:rsid w:val="003836E4"/>
    <w:rsid w:val="00387A14"/>
    <w:rsid w:val="00390DD6"/>
    <w:rsid w:val="003A009D"/>
    <w:rsid w:val="003A7081"/>
    <w:rsid w:val="003C7BEB"/>
    <w:rsid w:val="003D0404"/>
    <w:rsid w:val="003D0CAE"/>
    <w:rsid w:val="003D581A"/>
    <w:rsid w:val="003E17BF"/>
    <w:rsid w:val="003E1F81"/>
    <w:rsid w:val="003E4EB7"/>
    <w:rsid w:val="003E61A2"/>
    <w:rsid w:val="003E630C"/>
    <w:rsid w:val="003F43A5"/>
    <w:rsid w:val="004107AA"/>
    <w:rsid w:val="00414823"/>
    <w:rsid w:val="00432D3C"/>
    <w:rsid w:val="00437B7C"/>
    <w:rsid w:val="00454EB4"/>
    <w:rsid w:val="00464677"/>
    <w:rsid w:val="00471F10"/>
    <w:rsid w:val="0048767A"/>
    <w:rsid w:val="004A3E16"/>
    <w:rsid w:val="004A5616"/>
    <w:rsid w:val="004A59B1"/>
    <w:rsid w:val="004A7B4D"/>
    <w:rsid w:val="004B5CF0"/>
    <w:rsid w:val="004B6082"/>
    <w:rsid w:val="004B6BF8"/>
    <w:rsid w:val="004B7885"/>
    <w:rsid w:val="004C42FD"/>
    <w:rsid w:val="004C6118"/>
    <w:rsid w:val="004D13BC"/>
    <w:rsid w:val="004E1BDA"/>
    <w:rsid w:val="004E707F"/>
    <w:rsid w:val="00501158"/>
    <w:rsid w:val="00503AA1"/>
    <w:rsid w:val="00507753"/>
    <w:rsid w:val="00511542"/>
    <w:rsid w:val="00511CCD"/>
    <w:rsid w:val="00516590"/>
    <w:rsid w:val="00542194"/>
    <w:rsid w:val="00544E09"/>
    <w:rsid w:val="005465D3"/>
    <w:rsid w:val="00565B67"/>
    <w:rsid w:val="005A07B8"/>
    <w:rsid w:val="005A162F"/>
    <w:rsid w:val="005A579C"/>
    <w:rsid w:val="005B3E26"/>
    <w:rsid w:val="005C174F"/>
    <w:rsid w:val="005C4124"/>
    <w:rsid w:val="005D461B"/>
    <w:rsid w:val="005D5E70"/>
    <w:rsid w:val="005E3CC9"/>
    <w:rsid w:val="005F295C"/>
    <w:rsid w:val="005F62C4"/>
    <w:rsid w:val="00605864"/>
    <w:rsid w:val="0062785D"/>
    <w:rsid w:val="00647EE6"/>
    <w:rsid w:val="006509A5"/>
    <w:rsid w:val="0065320C"/>
    <w:rsid w:val="00654619"/>
    <w:rsid w:val="00665362"/>
    <w:rsid w:val="00670432"/>
    <w:rsid w:val="00671E18"/>
    <w:rsid w:val="00683C48"/>
    <w:rsid w:val="00691A91"/>
    <w:rsid w:val="00693ABD"/>
    <w:rsid w:val="006A01CC"/>
    <w:rsid w:val="006A4FCE"/>
    <w:rsid w:val="006A5D91"/>
    <w:rsid w:val="006B3C9A"/>
    <w:rsid w:val="006C3698"/>
    <w:rsid w:val="006C42A2"/>
    <w:rsid w:val="006F35E2"/>
    <w:rsid w:val="006F4ABC"/>
    <w:rsid w:val="006F6E12"/>
    <w:rsid w:val="00700D99"/>
    <w:rsid w:val="00703914"/>
    <w:rsid w:val="00705A08"/>
    <w:rsid w:val="0071041C"/>
    <w:rsid w:val="007149BE"/>
    <w:rsid w:val="007314BF"/>
    <w:rsid w:val="00734CA2"/>
    <w:rsid w:val="00736274"/>
    <w:rsid w:val="00740030"/>
    <w:rsid w:val="007402A9"/>
    <w:rsid w:val="00743121"/>
    <w:rsid w:val="00751405"/>
    <w:rsid w:val="00757FB0"/>
    <w:rsid w:val="00785F80"/>
    <w:rsid w:val="00787695"/>
    <w:rsid w:val="00797963"/>
    <w:rsid w:val="007A116C"/>
    <w:rsid w:val="007B67CF"/>
    <w:rsid w:val="007C7D46"/>
    <w:rsid w:val="007D21C9"/>
    <w:rsid w:val="007D272E"/>
    <w:rsid w:val="007D461E"/>
    <w:rsid w:val="007D6478"/>
    <w:rsid w:val="007E2A40"/>
    <w:rsid w:val="007E4419"/>
    <w:rsid w:val="007F39BD"/>
    <w:rsid w:val="007F480A"/>
    <w:rsid w:val="007F6530"/>
    <w:rsid w:val="00800C64"/>
    <w:rsid w:val="00803330"/>
    <w:rsid w:val="00807F39"/>
    <w:rsid w:val="0081269C"/>
    <w:rsid w:val="008129D3"/>
    <w:rsid w:val="00814EB9"/>
    <w:rsid w:val="00822EB7"/>
    <w:rsid w:val="008354C0"/>
    <w:rsid w:val="00836850"/>
    <w:rsid w:val="00861F79"/>
    <w:rsid w:val="00862193"/>
    <w:rsid w:val="00863929"/>
    <w:rsid w:val="0086617B"/>
    <w:rsid w:val="008671FE"/>
    <w:rsid w:val="00885ECA"/>
    <w:rsid w:val="008A75BD"/>
    <w:rsid w:val="008A7B06"/>
    <w:rsid w:val="008B383C"/>
    <w:rsid w:val="008B60D8"/>
    <w:rsid w:val="008B639A"/>
    <w:rsid w:val="008D431D"/>
    <w:rsid w:val="008D5889"/>
    <w:rsid w:val="008E37BA"/>
    <w:rsid w:val="008E5180"/>
    <w:rsid w:val="008E6E1B"/>
    <w:rsid w:val="008E7D37"/>
    <w:rsid w:val="008F28A0"/>
    <w:rsid w:val="008F3C66"/>
    <w:rsid w:val="009047A2"/>
    <w:rsid w:val="00907CB6"/>
    <w:rsid w:val="00912300"/>
    <w:rsid w:val="0091278A"/>
    <w:rsid w:val="00917DAC"/>
    <w:rsid w:val="00931DF0"/>
    <w:rsid w:val="0093440B"/>
    <w:rsid w:val="00934993"/>
    <w:rsid w:val="00936C77"/>
    <w:rsid w:val="009418A2"/>
    <w:rsid w:val="00950601"/>
    <w:rsid w:val="009776CE"/>
    <w:rsid w:val="009822A4"/>
    <w:rsid w:val="00982726"/>
    <w:rsid w:val="00983593"/>
    <w:rsid w:val="00984996"/>
    <w:rsid w:val="00985A6B"/>
    <w:rsid w:val="00986193"/>
    <w:rsid w:val="00997537"/>
    <w:rsid w:val="009A382A"/>
    <w:rsid w:val="009A396E"/>
    <w:rsid w:val="009B4E06"/>
    <w:rsid w:val="009C1DE1"/>
    <w:rsid w:val="009C4F92"/>
    <w:rsid w:val="009D053C"/>
    <w:rsid w:val="009D23B4"/>
    <w:rsid w:val="009D26A5"/>
    <w:rsid w:val="009E7120"/>
    <w:rsid w:val="009F42BA"/>
    <w:rsid w:val="009F69C8"/>
    <w:rsid w:val="00A02312"/>
    <w:rsid w:val="00A057AE"/>
    <w:rsid w:val="00A059D6"/>
    <w:rsid w:val="00A10C74"/>
    <w:rsid w:val="00A1497E"/>
    <w:rsid w:val="00A2479D"/>
    <w:rsid w:val="00A26168"/>
    <w:rsid w:val="00A304C5"/>
    <w:rsid w:val="00A363FC"/>
    <w:rsid w:val="00A37F11"/>
    <w:rsid w:val="00A52AE8"/>
    <w:rsid w:val="00A65962"/>
    <w:rsid w:val="00A82B26"/>
    <w:rsid w:val="00A8728A"/>
    <w:rsid w:val="00A94579"/>
    <w:rsid w:val="00AA3892"/>
    <w:rsid w:val="00AA6D53"/>
    <w:rsid w:val="00AB0471"/>
    <w:rsid w:val="00AB56DC"/>
    <w:rsid w:val="00AC71B6"/>
    <w:rsid w:val="00AD1BF3"/>
    <w:rsid w:val="00AD5BCF"/>
    <w:rsid w:val="00AE0CB7"/>
    <w:rsid w:val="00AF5401"/>
    <w:rsid w:val="00B00E30"/>
    <w:rsid w:val="00B0329F"/>
    <w:rsid w:val="00B15742"/>
    <w:rsid w:val="00B173AD"/>
    <w:rsid w:val="00B243F8"/>
    <w:rsid w:val="00B25D03"/>
    <w:rsid w:val="00B30FAD"/>
    <w:rsid w:val="00B41B8C"/>
    <w:rsid w:val="00B4443B"/>
    <w:rsid w:val="00B47D23"/>
    <w:rsid w:val="00B62E50"/>
    <w:rsid w:val="00B663BE"/>
    <w:rsid w:val="00B674C0"/>
    <w:rsid w:val="00B71495"/>
    <w:rsid w:val="00B7342F"/>
    <w:rsid w:val="00B736F4"/>
    <w:rsid w:val="00B77BA8"/>
    <w:rsid w:val="00B966E4"/>
    <w:rsid w:val="00BA2188"/>
    <w:rsid w:val="00BA5862"/>
    <w:rsid w:val="00BB71D8"/>
    <w:rsid w:val="00BB7724"/>
    <w:rsid w:val="00BC4DD6"/>
    <w:rsid w:val="00BD68A9"/>
    <w:rsid w:val="00BF6F2E"/>
    <w:rsid w:val="00C02959"/>
    <w:rsid w:val="00C10124"/>
    <w:rsid w:val="00C26D4D"/>
    <w:rsid w:val="00C372DD"/>
    <w:rsid w:val="00C42BEE"/>
    <w:rsid w:val="00C451F8"/>
    <w:rsid w:val="00C507DB"/>
    <w:rsid w:val="00C51A14"/>
    <w:rsid w:val="00C51AFB"/>
    <w:rsid w:val="00C51D1A"/>
    <w:rsid w:val="00C74679"/>
    <w:rsid w:val="00C773C3"/>
    <w:rsid w:val="00C93BFB"/>
    <w:rsid w:val="00CA2B2E"/>
    <w:rsid w:val="00CC0903"/>
    <w:rsid w:val="00CC3E99"/>
    <w:rsid w:val="00CC4DDC"/>
    <w:rsid w:val="00CD4482"/>
    <w:rsid w:val="00CE69EE"/>
    <w:rsid w:val="00CF58AC"/>
    <w:rsid w:val="00D0621F"/>
    <w:rsid w:val="00D20EA0"/>
    <w:rsid w:val="00D22EC1"/>
    <w:rsid w:val="00D32692"/>
    <w:rsid w:val="00D428B1"/>
    <w:rsid w:val="00D43161"/>
    <w:rsid w:val="00D460A2"/>
    <w:rsid w:val="00D475BF"/>
    <w:rsid w:val="00D51EA8"/>
    <w:rsid w:val="00D60778"/>
    <w:rsid w:val="00D64287"/>
    <w:rsid w:val="00D81185"/>
    <w:rsid w:val="00D86423"/>
    <w:rsid w:val="00DA1909"/>
    <w:rsid w:val="00DA1B86"/>
    <w:rsid w:val="00DB7487"/>
    <w:rsid w:val="00DB7E10"/>
    <w:rsid w:val="00DE395B"/>
    <w:rsid w:val="00DF005B"/>
    <w:rsid w:val="00DF5588"/>
    <w:rsid w:val="00E00D61"/>
    <w:rsid w:val="00E12BB0"/>
    <w:rsid w:val="00E13E50"/>
    <w:rsid w:val="00E16D59"/>
    <w:rsid w:val="00E320F2"/>
    <w:rsid w:val="00E501EC"/>
    <w:rsid w:val="00E51B77"/>
    <w:rsid w:val="00E5231E"/>
    <w:rsid w:val="00E55835"/>
    <w:rsid w:val="00E61FB3"/>
    <w:rsid w:val="00E65854"/>
    <w:rsid w:val="00E908B6"/>
    <w:rsid w:val="00E91E06"/>
    <w:rsid w:val="00E94301"/>
    <w:rsid w:val="00EA59CA"/>
    <w:rsid w:val="00EA6B6B"/>
    <w:rsid w:val="00EB1E3C"/>
    <w:rsid w:val="00EB2B6C"/>
    <w:rsid w:val="00EB469A"/>
    <w:rsid w:val="00EC55FB"/>
    <w:rsid w:val="00ED3056"/>
    <w:rsid w:val="00ED5C62"/>
    <w:rsid w:val="00EF14C4"/>
    <w:rsid w:val="00EF3EB6"/>
    <w:rsid w:val="00F023D9"/>
    <w:rsid w:val="00F0483F"/>
    <w:rsid w:val="00F07EB9"/>
    <w:rsid w:val="00F13328"/>
    <w:rsid w:val="00F165C2"/>
    <w:rsid w:val="00F222EF"/>
    <w:rsid w:val="00F224BB"/>
    <w:rsid w:val="00F22DF2"/>
    <w:rsid w:val="00F242C8"/>
    <w:rsid w:val="00F24763"/>
    <w:rsid w:val="00F36ADE"/>
    <w:rsid w:val="00F417F1"/>
    <w:rsid w:val="00F42DF4"/>
    <w:rsid w:val="00F433A3"/>
    <w:rsid w:val="00F51BC8"/>
    <w:rsid w:val="00F54D20"/>
    <w:rsid w:val="00F66C29"/>
    <w:rsid w:val="00F70C2D"/>
    <w:rsid w:val="00F85645"/>
    <w:rsid w:val="00F85AF5"/>
    <w:rsid w:val="00F87A7E"/>
    <w:rsid w:val="00F90E8D"/>
    <w:rsid w:val="00F915AB"/>
    <w:rsid w:val="00FA0ED9"/>
    <w:rsid w:val="00FA2FE2"/>
    <w:rsid w:val="00FA4DE9"/>
    <w:rsid w:val="00FA76FA"/>
    <w:rsid w:val="00FB4B42"/>
    <w:rsid w:val="00FC008D"/>
    <w:rsid w:val="00FD4B93"/>
    <w:rsid w:val="00FD5B03"/>
    <w:rsid w:val="00FE3161"/>
    <w:rsid w:val="00FE3625"/>
    <w:rsid w:val="00FF0435"/>
    <w:rsid w:val="00FF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18"/>
  </w:style>
  <w:style w:type="paragraph" w:styleId="Footer">
    <w:name w:val="footer"/>
    <w:basedOn w:val="Normal"/>
    <w:link w:val="FooterChar"/>
    <w:uiPriority w:val="99"/>
    <w:unhideWhenUsed/>
    <w:rsid w:val="00153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18"/>
  </w:style>
  <w:style w:type="table" w:styleId="TableGrid">
    <w:name w:val="Table Grid"/>
    <w:basedOn w:val="TableNormal"/>
    <w:uiPriority w:val="59"/>
    <w:rsid w:val="00A05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7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618"/>
  </w:style>
  <w:style w:type="paragraph" w:styleId="Footer">
    <w:name w:val="footer"/>
    <w:basedOn w:val="Normal"/>
    <w:link w:val="FooterChar"/>
    <w:uiPriority w:val="99"/>
    <w:unhideWhenUsed/>
    <w:rsid w:val="001536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618"/>
  </w:style>
  <w:style w:type="table" w:styleId="TableGrid">
    <w:name w:val="Table Grid"/>
    <w:basedOn w:val="TableNormal"/>
    <w:uiPriority w:val="59"/>
    <w:rsid w:val="00A05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82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1909</Words>
  <Characters>10885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ummu solihah</dc:creator>
  <cp:lastModifiedBy>User</cp:lastModifiedBy>
  <cp:revision>2</cp:revision>
  <dcterms:created xsi:type="dcterms:W3CDTF">2013-07-31T04:59:00Z</dcterms:created>
  <dcterms:modified xsi:type="dcterms:W3CDTF">2013-07-31T04:59:00Z</dcterms:modified>
</cp:coreProperties>
</file>