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451" w:rsidRDefault="00095E64" w:rsidP="00637BB1">
      <w:pPr>
        <w:jc w:val="center"/>
        <w:rPr>
          <w:b/>
          <w:sz w:val="28"/>
          <w:szCs w:val="28"/>
        </w:rPr>
      </w:pPr>
      <w:r>
        <w:rPr>
          <w:b/>
          <w:sz w:val="28"/>
          <w:szCs w:val="28"/>
        </w:rPr>
        <w:t>ANALYSIS</w:t>
      </w:r>
      <w:r w:rsidR="002278BF" w:rsidRPr="007B22C9">
        <w:rPr>
          <w:b/>
          <w:sz w:val="28"/>
          <w:szCs w:val="28"/>
        </w:rPr>
        <w:t xml:space="preserve"> OF HEAVY METALS IN </w:t>
      </w:r>
      <w:r>
        <w:rPr>
          <w:b/>
          <w:sz w:val="28"/>
          <w:szCs w:val="28"/>
        </w:rPr>
        <w:t>WATER AND FISH (</w:t>
      </w:r>
      <w:r w:rsidR="000A3197" w:rsidRPr="006B0273">
        <w:rPr>
          <w:b/>
          <w:i/>
          <w:sz w:val="28"/>
          <w:szCs w:val="28"/>
        </w:rPr>
        <w:t>Tilapia s</w:t>
      </w:r>
      <w:r w:rsidRPr="006B0273">
        <w:rPr>
          <w:b/>
          <w:i/>
          <w:sz w:val="28"/>
          <w:szCs w:val="28"/>
        </w:rPr>
        <w:t>p.)</w:t>
      </w:r>
      <w:r>
        <w:rPr>
          <w:b/>
          <w:sz w:val="28"/>
          <w:szCs w:val="28"/>
        </w:rPr>
        <w:t xml:space="preserve"> SAMPLES FROM</w:t>
      </w:r>
      <w:r w:rsidR="002278BF" w:rsidRPr="007B22C9">
        <w:rPr>
          <w:b/>
          <w:sz w:val="28"/>
          <w:szCs w:val="28"/>
        </w:rPr>
        <w:t xml:space="preserve"> TASIK MUTIARA, PUCHONG</w:t>
      </w:r>
    </w:p>
    <w:p w:rsidR="00363360" w:rsidRPr="00363360" w:rsidRDefault="00363360" w:rsidP="00637BB1">
      <w:pPr>
        <w:jc w:val="center"/>
        <w:rPr>
          <w:b/>
          <w:sz w:val="24"/>
          <w:szCs w:val="28"/>
        </w:rPr>
      </w:pPr>
    </w:p>
    <w:p w:rsidR="00363360" w:rsidRDefault="00363360" w:rsidP="00637BB1">
      <w:pPr>
        <w:jc w:val="center"/>
        <w:rPr>
          <w:b/>
          <w:sz w:val="28"/>
          <w:szCs w:val="28"/>
        </w:rPr>
      </w:pPr>
      <w:r w:rsidRPr="00363360">
        <w:rPr>
          <w:b/>
          <w:sz w:val="28"/>
          <w:szCs w:val="28"/>
        </w:rPr>
        <w:t xml:space="preserve">(Analisis Logam Berat Dalam </w:t>
      </w:r>
      <w:r w:rsidR="00E96F92">
        <w:rPr>
          <w:b/>
          <w:sz w:val="28"/>
          <w:szCs w:val="28"/>
        </w:rPr>
        <w:t>Sampel</w:t>
      </w:r>
      <w:r>
        <w:rPr>
          <w:b/>
          <w:sz w:val="28"/>
          <w:szCs w:val="28"/>
        </w:rPr>
        <w:t xml:space="preserve"> </w:t>
      </w:r>
      <w:r w:rsidRPr="00363360">
        <w:rPr>
          <w:b/>
          <w:sz w:val="28"/>
          <w:szCs w:val="28"/>
        </w:rPr>
        <w:t>Air Dan</w:t>
      </w:r>
      <w:r>
        <w:rPr>
          <w:b/>
          <w:sz w:val="28"/>
          <w:szCs w:val="28"/>
        </w:rPr>
        <w:t xml:space="preserve"> Ikan (</w:t>
      </w:r>
      <w:r w:rsidRPr="00363360">
        <w:rPr>
          <w:b/>
          <w:i/>
          <w:sz w:val="28"/>
          <w:szCs w:val="28"/>
        </w:rPr>
        <w:t>Tilapia Sp.</w:t>
      </w:r>
      <w:r>
        <w:rPr>
          <w:b/>
          <w:sz w:val="28"/>
          <w:szCs w:val="28"/>
        </w:rPr>
        <w:t xml:space="preserve">) </w:t>
      </w:r>
    </w:p>
    <w:p w:rsidR="00363360" w:rsidRPr="00363360" w:rsidRDefault="00363360" w:rsidP="00637BB1">
      <w:pPr>
        <w:jc w:val="center"/>
        <w:rPr>
          <w:b/>
          <w:sz w:val="28"/>
          <w:szCs w:val="28"/>
        </w:rPr>
      </w:pPr>
      <w:r>
        <w:rPr>
          <w:b/>
          <w:sz w:val="28"/>
          <w:szCs w:val="28"/>
        </w:rPr>
        <w:t>Tasi</w:t>
      </w:r>
      <w:r w:rsidRPr="00363360">
        <w:rPr>
          <w:b/>
          <w:sz w:val="28"/>
          <w:szCs w:val="28"/>
        </w:rPr>
        <w:t>k Mutiara, Puchong</w:t>
      </w:r>
      <w:r>
        <w:rPr>
          <w:b/>
          <w:sz w:val="28"/>
          <w:szCs w:val="28"/>
        </w:rPr>
        <w:t>)</w:t>
      </w:r>
    </w:p>
    <w:p w:rsidR="007B22C9" w:rsidRPr="00E96F92" w:rsidRDefault="007B22C9" w:rsidP="00637BB1">
      <w:pPr>
        <w:jc w:val="center"/>
        <w:rPr>
          <w:b/>
          <w:sz w:val="28"/>
          <w:szCs w:val="28"/>
        </w:rPr>
      </w:pPr>
    </w:p>
    <w:p w:rsidR="00FF7451" w:rsidRDefault="00FF7451" w:rsidP="00637BB1">
      <w:pPr>
        <w:pStyle w:val="Author"/>
        <w:spacing w:line="240" w:lineRule="auto"/>
        <w:rPr>
          <w:sz w:val="20"/>
          <w:szCs w:val="20"/>
        </w:rPr>
      </w:pPr>
      <w:r w:rsidRPr="003A1B14">
        <w:rPr>
          <w:sz w:val="20"/>
          <w:szCs w:val="20"/>
        </w:rPr>
        <w:t>Ismaniza Ismail</w:t>
      </w:r>
      <w:r w:rsidR="003A1B14">
        <w:rPr>
          <w:sz w:val="20"/>
          <w:szCs w:val="20"/>
        </w:rPr>
        <w:t>*</w:t>
      </w:r>
      <w:r w:rsidRPr="007B22C9">
        <w:rPr>
          <w:sz w:val="20"/>
          <w:szCs w:val="20"/>
        </w:rPr>
        <w:t xml:space="preserve">, Idaliza Mat Saleh </w:t>
      </w:r>
    </w:p>
    <w:p w:rsidR="003A1B14" w:rsidRPr="007B22C9" w:rsidRDefault="003A1B14" w:rsidP="00637BB1">
      <w:pPr>
        <w:pStyle w:val="Author"/>
        <w:spacing w:line="240" w:lineRule="auto"/>
        <w:rPr>
          <w:sz w:val="20"/>
          <w:szCs w:val="20"/>
        </w:rPr>
      </w:pPr>
    </w:p>
    <w:p w:rsidR="00FF7451" w:rsidRDefault="00FF7451" w:rsidP="00637BB1">
      <w:pPr>
        <w:pStyle w:val="Affiliation"/>
        <w:spacing w:afterLines="0"/>
        <w:rPr>
          <w:sz w:val="18"/>
          <w:szCs w:val="18"/>
        </w:rPr>
      </w:pPr>
      <w:r w:rsidRPr="004D2229">
        <w:rPr>
          <w:sz w:val="18"/>
          <w:szCs w:val="18"/>
        </w:rPr>
        <w:t>Faculty of Applied Sciences, Universiti Teknologi MARA, 40450 Shah Alam, Selangor, Malaysia</w:t>
      </w:r>
    </w:p>
    <w:p w:rsidR="003A1B14" w:rsidRPr="004D2229" w:rsidRDefault="003A1B14" w:rsidP="00637BB1">
      <w:pPr>
        <w:pStyle w:val="Affiliation"/>
        <w:spacing w:afterLines="0"/>
        <w:rPr>
          <w:sz w:val="18"/>
          <w:szCs w:val="18"/>
        </w:rPr>
      </w:pPr>
    </w:p>
    <w:p w:rsidR="00FF7451" w:rsidRDefault="0041218D" w:rsidP="0041218D">
      <w:pPr>
        <w:pStyle w:val="Affiliation2"/>
        <w:spacing w:after="0"/>
        <w:rPr>
          <w:i/>
          <w:color w:val="333333"/>
          <w:sz w:val="18"/>
          <w:szCs w:val="18"/>
        </w:rPr>
      </w:pPr>
      <w:r>
        <w:rPr>
          <w:i/>
          <w:color w:val="333333"/>
          <w:sz w:val="18"/>
          <w:szCs w:val="18"/>
        </w:rPr>
        <w:t>*</w:t>
      </w:r>
      <w:r w:rsidR="003A1B14">
        <w:rPr>
          <w:i/>
          <w:color w:val="333333"/>
          <w:sz w:val="18"/>
          <w:szCs w:val="18"/>
        </w:rPr>
        <w:t xml:space="preserve">Corresponding author: </w:t>
      </w:r>
      <w:hyperlink r:id="rId8" w:history="1">
        <w:r w:rsidR="004D2229" w:rsidRPr="00363360">
          <w:rPr>
            <w:rStyle w:val="Hyperlink"/>
            <w:i/>
            <w:color w:val="auto"/>
            <w:sz w:val="18"/>
            <w:szCs w:val="18"/>
            <w:u w:val="none"/>
          </w:rPr>
          <w:t>ismaniza@salam.uitm.edu.my</w:t>
        </w:r>
      </w:hyperlink>
    </w:p>
    <w:p w:rsidR="004D2229" w:rsidRPr="004D2229" w:rsidRDefault="004D2229" w:rsidP="00637BB1">
      <w:pPr>
        <w:pStyle w:val="Affiliation2"/>
        <w:spacing w:after="0"/>
        <w:rPr>
          <w:i/>
          <w:sz w:val="18"/>
          <w:szCs w:val="18"/>
        </w:rPr>
      </w:pPr>
    </w:p>
    <w:p w:rsidR="003A1B14" w:rsidRPr="007B22C9" w:rsidRDefault="003A1B14" w:rsidP="003A1B14">
      <w:pPr>
        <w:pStyle w:val="keywords"/>
        <w:spacing w:before="0" w:afterLines="0" w:line="240" w:lineRule="auto"/>
        <w:jc w:val="center"/>
        <w:rPr>
          <w:sz w:val="18"/>
          <w:szCs w:val="18"/>
        </w:rPr>
      </w:pPr>
    </w:p>
    <w:p w:rsidR="003A1B14" w:rsidRDefault="00FF7451" w:rsidP="003A1B14">
      <w:pPr>
        <w:ind w:left="576" w:right="576"/>
        <w:jc w:val="center"/>
        <w:rPr>
          <w:rStyle w:val="abstractheadChar"/>
          <w:sz w:val="18"/>
          <w:szCs w:val="18"/>
        </w:rPr>
      </w:pPr>
      <w:r w:rsidRPr="00637BB1">
        <w:rPr>
          <w:rStyle w:val="abstractheadChar"/>
          <w:sz w:val="18"/>
          <w:szCs w:val="18"/>
        </w:rPr>
        <w:t>Abstract</w:t>
      </w:r>
    </w:p>
    <w:p w:rsidR="003A1B14" w:rsidRDefault="00FF7451" w:rsidP="000A3197">
      <w:pPr>
        <w:autoSpaceDE w:val="0"/>
        <w:autoSpaceDN w:val="0"/>
        <w:adjustRightInd w:val="0"/>
        <w:ind w:right="141"/>
        <w:jc w:val="both"/>
        <w:rPr>
          <w:sz w:val="18"/>
          <w:szCs w:val="18"/>
        </w:rPr>
      </w:pPr>
      <w:r w:rsidRPr="00637BB1">
        <w:rPr>
          <w:sz w:val="18"/>
          <w:szCs w:val="18"/>
        </w:rPr>
        <w:t xml:space="preserve">The </w:t>
      </w:r>
      <w:r w:rsidR="00456330" w:rsidRPr="00637BB1">
        <w:rPr>
          <w:sz w:val="18"/>
          <w:szCs w:val="18"/>
        </w:rPr>
        <w:t xml:space="preserve">concentrations of seven heavy metals (Al, As, Cd, Cu, Fe, Pb and Zn) were detected in muscle tissues of </w:t>
      </w:r>
      <w:r w:rsidR="00456330" w:rsidRPr="00637BB1">
        <w:rPr>
          <w:i/>
          <w:sz w:val="18"/>
          <w:szCs w:val="18"/>
        </w:rPr>
        <w:t>Tilapia sp</w:t>
      </w:r>
      <w:r w:rsidR="00456330" w:rsidRPr="00637BB1">
        <w:rPr>
          <w:sz w:val="18"/>
          <w:szCs w:val="18"/>
        </w:rPr>
        <w:t xml:space="preserve"> (black tilapia) collected from the lake of Taman Mutiara, Puchong. Samples were collected for several months in the end of 2009 at three sampling points.  Heavy metals in fish and water samples were analyzed by Inductively Coupled Plasma – Optical Emission Spectroscopy (ICP-OES). Only Al, Cu, Fe and Zn were detected in the order Fe &gt; Zn &gt; Al &gt; Cu, whereas concentrations of As, Cd and Pb were below the detection limit. The concentrations of heavy metals in water samples were low and below the detection limit. </w:t>
      </w:r>
      <w:r w:rsidR="00095E64">
        <w:rPr>
          <w:sz w:val="18"/>
          <w:szCs w:val="18"/>
        </w:rPr>
        <w:t xml:space="preserve">The levels of heavy metals </w:t>
      </w:r>
      <w:r w:rsidR="000A3197">
        <w:rPr>
          <w:sz w:val="18"/>
          <w:szCs w:val="18"/>
        </w:rPr>
        <w:t xml:space="preserve">in the fish samples can be considered as a serious matter of concern as it may be consumed and it signifies the degradation of lake quality. </w:t>
      </w:r>
      <w:r w:rsidR="00456330" w:rsidRPr="00637BB1">
        <w:rPr>
          <w:sz w:val="18"/>
          <w:szCs w:val="18"/>
        </w:rPr>
        <w:t>Generally, the sources of heavy metals in the Tasik Mutiara, Puchong could be attributed to the illegal waste dumping activity and discharge from the nearby sewage treatment plant into the lake which promote eutrophication in the lake</w:t>
      </w:r>
      <w:r w:rsidR="000A3197">
        <w:rPr>
          <w:sz w:val="18"/>
          <w:szCs w:val="18"/>
        </w:rPr>
        <w:t>. It could also be attributed to the Low Dissolved Oxygen (DO) levels in the lake.</w:t>
      </w:r>
    </w:p>
    <w:p w:rsidR="003A1B14" w:rsidRDefault="003A1B14" w:rsidP="003A1B14">
      <w:pPr>
        <w:ind w:left="576" w:right="576"/>
        <w:jc w:val="both"/>
        <w:rPr>
          <w:sz w:val="18"/>
          <w:szCs w:val="18"/>
        </w:rPr>
      </w:pPr>
    </w:p>
    <w:p w:rsidR="003A1B14" w:rsidRPr="003A1B14" w:rsidRDefault="003A1B14" w:rsidP="00015193">
      <w:pPr>
        <w:ind w:right="576"/>
        <w:jc w:val="both"/>
        <w:rPr>
          <w:sz w:val="18"/>
          <w:szCs w:val="18"/>
        </w:rPr>
      </w:pPr>
      <w:r w:rsidRPr="007B22C9">
        <w:rPr>
          <w:rStyle w:val="keywordheadChar"/>
          <w:sz w:val="18"/>
          <w:szCs w:val="18"/>
        </w:rPr>
        <w:t>Keywords</w:t>
      </w:r>
      <w:r>
        <w:rPr>
          <w:rStyle w:val="keywordheadChar"/>
          <w:sz w:val="18"/>
          <w:szCs w:val="18"/>
        </w:rPr>
        <w:t xml:space="preserve">: </w:t>
      </w:r>
      <w:r w:rsidRPr="007B22C9">
        <w:rPr>
          <w:sz w:val="18"/>
          <w:szCs w:val="18"/>
        </w:rPr>
        <w:t>biomagnification, fish, heavy metals, lake</w:t>
      </w:r>
    </w:p>
    <w:p w:rsidR="003A1B14" w:rsidRDefault="003A1B14" w:rsidP="004F3B18">
      <w:pPr>
        <w:ind w:left="576" w:right="576"/>
        <w:jc w:val="center"/>
        <w:rPr>
          <w:sz w:val="18"/>
          <w:szCs w:val="18"/>
        </w:rPr>
      </w:pPr>
    </w:p>
    <w:p w:rsidR="003A1B14" w:rsidRDefault="003A1B14" w:rsidP="004F3B18">
      <w:pPr>
        <w:ind w:leftChars="288" w:left="576" w:firstLineChars="2138" w:firstLine="3863"/>
        <w:rPr>
          <w:rStyle w:val="abstractheadChar"/>
          <w:sz w:val="18"/>
          <w:szCs w:val="18"/>
        </w:rPr>
      </w:pPr>
      <w:r>
        <w:rPr>
          <w:rStyle w:val="abstractheadChar"/>
          <w:sz w:val="18"/>
          <w:szCs w:val="18"/>
        </w:rPr>
        <w:t>Abstrak</w:t>
      </w:r>
    </w:p>
    <w:p w:rsidR="003A1B14" w:rsidRDefault="003A1B14" w:rsidP="006B0273">
      <w:pPr>
        <w:jc w:val="both"/>
        <w:rPr>
          <w:sz w:val="18"/>
          <w:szCs w:val="18"/>
        </w:rPr>
      </w:pPr>
      <w:r>
        <w:rPr>
          <w:sz w:val="18"/>
          <w:szCs w:val="18"/>
        </w:rPr>
        <w:t>Kepekatan tujuh jenis logam berat</w:t>
      </w:r>
      <w:r w:rsidRPr="00637BB1">
        <w:rPr>
          <w:sz w:val="18"/>
          <w:szCs w:val="18"/>
        </w:rPr>
        <w:t xml:space="preserve"> (Al, As, Cd, Cu, Fe, Pb and Zn) </w:t>
      </w:r>
      <w:r>
        <w:rPr>
          <w:sz w:val="18"/>
          <w:szCs w:val="18"/>
        </w:rPr>
        <w:t>telah dikesan di dalam tisu otot ikan</w:t>
      </w:r>
      <w:r w:rsidRPr="00637BB1">
        <w:rPr>
          <w:sz w:val="18"/>
          <w:szCs w:val="18"/>
        </w:rPr>
        <w:t xml:space="preserve"> </w:t>
      </w:r>
      <w:r>
        <w:rPr>
          <w:i/>
          <w:sz w:val="18"/>
          <w:szCs w:val="18"/>
        </w:rPr>
        <w:t>Tilap</w:t>
      </w:r>
      <w:r w:rsidRPr="00637BB1">
        <w:rPr>
          <w:i/>
          <w:sz w:val="18"/>
          <w:szCs w:val="18"/>
        </w:rPr>
        <w:t>ia sp</w:t>
      </w:r>
      <w:r w:rsidRPr="00637BB1">
        <w:rPr>
          <w:sz w:val="18"/>
          <w:szCs w:val="18"/>
        </w:rPr>
        <w:t xml:space="preserve"> (</w:t>
      </w:r>
      <w:r>
        <w:rPr>
          <w:sz w:val="18"/>
          <w:szCs w:val="18"/>
        </w:rPr>
        <w:t>tilapia hitam</w:t>
      </w:r>
      <w:r w:rsidRPr="00637BB1">
        <w:rPr>
          <w:sz w:val="18"/>
          <w:szCs w:val="18"/>
        </w:rPr>
        <w:t xml:space="preserve">) </w:t>
      </w:r>
      <w:r>
        <w:rPr>
          <w:sz w:val="18"/>
          <w:szCs w:val="18"/>
        </w:rPr>
        <w:t xml:space="preserve">yang disampel dari Tasik </w:t>
      </w:r>
      <w:r w:rsidRPr="00637BB1">
        <w:rPr>
          <w:sz w:val="18"/>
          <w:szCs w:val="18"/>
        </w:rPr>
        <w:t xml:space="preserve">Taman Mutiara, Puchong. </w:t>
      </w:r>
      <w:r w:rsidR="00834EC4">
        <w:rPr>
          <w:sz w:val="18"/>
          <w:szCs w:val="18"/>
        </w:rPr>
        <w:t xml:space="preserve">Pensampelan telah dibuat selama beberapa bulan pada penghujung tahun 2009 di tiga ‘spot’ lokasi tersebut. </w:t>
      </w:r>
      <w:r>
        <w:rPr>
          <w:sz w:val="18"/>
          <w:szCs w:val="18"/>
        </w:rPr>
        <w:t xml:space="preserve">Kepekatan logam berat </w:t>
      </w:r>
      <w:r w:rsidR="00834EC4">
        <w:rPr>
          <w:sz w:val="18"/>
          <w:szCs w:val="18"/>
        </w:rPr>
        <w:t>di dalam ikan dan air tasik telah dianalisa  dengan menggunakan</w:t>
      </w:r>
      <w:r w:rsidRPr="00637BB1">
        <w:rPr>
          <w:sz w:val="18"/>
          <w:szCs w:val="18"/>
        </w:rPr>
        <w:t xml:space="preserve"> Inductively Coupled Plasma – Optical Emission Spectroscopy (ICP-OES). </w:t>
      </w:r>
      <w:r w:rsidR="00834EC4">
        <w:rPr>
          <w:sz w:val="18"/>
          <w:szCs w:val="18"/>
        </w:rPr>
        <w:t>Didapati kepekatan Al, Cu, Fe dan</w:t>
      </w:r>
      <w:r w:rsidRPr="00637BB1">
        <w:rPr>
          <w:sz w:val="18"/>
          <w:szCs w:val="18"/>
        </w:rPr>
        <w:t xml:space="preserve"> Zn </w:t>
      </w:r>
      <w:r w:rsidR="00834EC4">
        <w:rPr>
          <w:sz w:val="18"/>
          <w:szCs w:val="18"/>
        </w:rPr>
        <w:t>yang dikesan adalah dalam susunan</w:t>
      </w:r>
      <w:r w:rsidRPr="00637BB1">
        <w:rPr>
          <w:sz w:val="18"/>
          <w:szCs w:val="18"/>
        </w:rPr>
        <w:t xml:space="preserve"> Fe &gt; Zn &gt; Al</w:t>
      </w:r>
      <w:r w:rsidR="00834EC4">
        <w:rPr>
          <w:sz w:val="18"/>
          <w:szCs w:val="18"/>
        </w:rPr>
        <w:t xml:space="preserve"> &gt; Cu, manakala logam</w:t>
      </w:r>
      <w:r w:rsidRPr="00637BB1">
        <w:rPr>
          <w:sz w:val="18"/>
          <w:szCs w:val="18"/>
        </w:rPr>
        <w:t xml:space="preserve"> As, Cd </w:t>
      </w:r>
      <w:r w:rsidR="00834EC4">
        <w:rPr>
          <w:sz w:val="18"/>
          <w:szCs w:val="18"/>
        </w:rPr>
        <w:t>dan</w:t>
      </w:r>
      <w:r w:rsidRPr="00637BB1">
        <w:rPr>
          <w:sz w:val="18"/>
          <w:szCs w:val="18"/>
        </w:rPr>
        <w:t xml:space="preserve"> Pb </w:t>
      </w:r>
      <w:r w:rsidR="00834EC4">
        <w:rPr>
          <w:sz w:val="18"/>
          <w:szCs w:val="18"/>
        </w:rPr>
        <w:t>adalah terlalu sedikit dan tidak dapat dikesan.</w:t>
      </w:r>
      <w:r w:rsidRPr="00637BB1">
        <w:rPr>
          <w:sz w:val="18"/>
          <w:szCs w:val="18"/>
        </w:rPr>
        <w:t xml:space="preserve"> </w:t>
      </w:r>
      <w:r w:rsidR="000A3197">
        <w:rPr>
          <w:sz w:val="18"/>
          <w:szCs w:val="18"/>
        </w:rPr>
        <w:t xml:space="preserve">Jumlah logam berat di dalam sampel ikan boleh dianggap sesuatu yang serius kerana ia mungkin dimakan oleh pemancing-pemancing dan ia menunjukkan kemerosotan kualiti tasik. </w:t>
      </w:r>
      <w:r w:rsidR="00834EC4">
        <w:rPr>
          <w:sz w:val="18"/>
          <w:szCs w:val="18"/>
        </w:rPr>
        <w:t>Kepekatan logam berat di dalam sampel air tasik juga tidak dapat dikesan kerana terlalu sedikit. Secara umumnya, sumber logam berat di Tasik Mutiara, Puchong mungkin berpunca daripada aktiviti pelupusan sisa secara haram dan effluen daripada sistem pengolahan air kumbahan yang berhampiran yang menggalakkan proses eutrof</w:t>
      </w:r>
      <w:r w:rsidR="000A3197">
        <w:rPr>
          <w:sz w:val="18"/>
          <w:szCs w:val="18"/>
        </w:rPr>
        <w:t>ikasi di dalam tasik tersebut. Ia juga boleh dikaitkan dengan nilai Oksigen Terlarut yang rendah di dalam tasik tersebut.</w:t>
      </w:r>
    </w:p>
    <w:p w:rsidR="003A1B14" w:rsidRDefault="003A1B14" w:rsidP="00637BB1">
      <w:pPr>
        <w:ind w:left="576" w:right="576"/>
        <w:jc w:val="both"/>
        <w:rPr>
          <w:sz w:val="18"/>
          <w:szCs w:val="18"/>
        </w:rPr>
      </w:pPr>
    </w:p>
    <w:p w:rsidR="003A1B14" w:rsidRPr="003A1B14" w:rsidRDefault="003A1B14" w:rsidP="00015193">
      <w:pPr>
        <w:ind w:right="576"/>
        <w:jc w:val="both"/>
        <w:rPr>
          <w:sz w:val="18"/>
          <w:szCs w:val="18"/>
        </w:rPr>
      </w:pPr>
      <w:r w:rsidRPr="007B22C9">
        <w:rPr>
          <w:rStyle w:val="keywordheadChar"/>
          <w:sz w:val="18"/>
          <w:szCs w:val="18"/>
        </w:rPr>
        <w:t>K</w:t>
      </w:r>
      <w:r>
        <w:rPr>
          <w:rStyle w:val="keywordheadChar"/>
          <w:sz w:val="18"/>
          <w:szCs w:val="18"/>
        </w:rPr>
        <w:t xml:space="preserve">ata kunci: </w:t>
      </w:r>
      <w:r w:rsidRPr="007B22C9">
        <w:rPr>
          <w:sz w:val="18"/>
          <w:szCs w:val="18"/>
        </w:rPr>
        <w:t>biomagnifi</w:t>
      </w:r>
      <w:r>
        <w:rPr>
          <w:sz w:val="18"/>
          <w:szCs w:val="18"/>
        </w:rPr>
        <w:t>kasi, ikan, logam berat, tasik</w:t>
      </w:r>
    </w:p>
    <w:p w:rsidR="003A1B14" w:rsidRDefault="003A1B14" w:rsidP="00637BB1">
      <w:pPr>
        <w:ind w:left="576" w:right="576"/>
        <w:jc w:val="both"/>
        <w:rPr>
          <w:sz w:val="18"/>
          <w:szCs w:val="18"/>
        </w:rPr>
      </w:pPr>
    </w:p>
    <w:p w:rsidR="00A57D9C" w:rsidRDefault="00A57D9C" w:rsidP="00637BB1">
      <w:pPr>
        <w:ind w:left="576" w:right="576"/>
        <w:jc w:val="both"/>
        <w:rPr>
          <w:sz w:val="18"/>
          <w:szCs w:val="18"/>
        </w:rPr>
      </w:pPr>
    </w:p>
    <w:p w:rsidR="00A57D9C" w:rsidRPr="00A57D9C" w:rsidRDefault="00A57D9C" w:rsidP="00A57D9C">
      <w:pPr>
        <w:ind w:left="576" w:right="576"/>
        <w:jc w:val="center"/>
        <w:rPr>
          <w:b/>
        </w:rPr>
      </w:pPr>
      <w:r w:rsidRPr="00A57D9C">
        <w:rPr>
          <w:b/>
        </w:rPr>
        <w:t>Introduction</w:t>
      </w:r>
    </w:p>
    <w:p w:rsidR="005E4BA0" w:rsidRPr="00A57D9C" w:rsidRDefault="005E4BA0" w:rsidP="00A57D9C">
      <w:pPr>
        <w:ind w:right="252"/>
        <w:jc w:val="both"/>
      </w:pPr>
      <w:r w:rsidRPr="00A57D9C">
        <w:t xml:space="preserve">Fish are often at the top of the aquatic food chain and many concentrate large amount of heavy metals from polluted water that build up by ingestion, ion-exchange of dissolved metals across lipophilic membranes and absorption on tissue and membrane surface </w:t>
      </w:r>
      <w:r w:rsidR="00A57D9C">
        <w:t>[1,2]</w:t>
      </w:r>
      <w:r w:rsidR="008C6400">
        <w:t>.</w:t>
      </w:r>
      <w:r w:rsidRPr="00A57D9C">
        <w:t xml:space="preserve">For four consecutive years since 2006, six cases of enormous floating dead fish at Tasik Mutiara Puchong have been reported to the Department of Environment (DOE) and Subang Jaya Municipal Council (MPSJ). Besides the concern on biodiversity depletion, the cases also resulted in many complaints from the nearby residents regarding the unsightly phenomenon and unbearable smell. </w:t>
      </w:r>
    </w:p>
    <w:p w:rsidR="00363360" w:rsidRDefault="00363360" w:rsidP="00A57D9C">
      <w:pPr>
        <w:ind w:right="252"/>
        <w:jc w:val="both"/>
      </w:pPr>
    </w:p>
    <w:p w:rsidR="005E4BA0" w:rsidRPr="00A57D9C" w:rsidRDefault="005E4BA0" w:rsidP="00A57D9C">
      <w:pPr>
        <w:ind w:right="252"/>
        <w:jc w:val="both"/>
      </w:pPr>
      <w:r w:rsidRPr="00A57D9C">
        <w:t>Despite the fact that metal biomagnification is influenced by metal assimilation</w:t>
      </w:r>
      <w:r w:rsidR="000D1510" w:rsidRPr="00A57D9C">
        <w:t>,</w:t>
      </w:r>
      <w:r w:rsidRPr="00A57D9C">
        <w:t xml:space="preserve"> pollutants can still move through the various trophic levels in an ecosystem </w:t>
      </w:r>
      <w:r w:rsidR="008C6400">
        <w:t>[3]</w:t>
      </w:r>
      <w:r w:rsidRPr="00A57D9C">
        <w:t xml:space="preserve"> and results in higher concentrations of the substance than would be expected if water were the only exposure mechanism. At</w:t>
      </w:r>
      <w:r w:rsidRPr="00A57D9C">
        <w:rPr>
          <w:rStyle w:val="para"/>
          <w:rFonts w:ascii="Times New Roman" w:hAnsi="Times New Roman" w:cs="Times New Roman"/>
          <w:sz w:val="20"/>
          <w:szCs w:val="20"/>
        </w:rPr>
        <w:t xml:space="preserve"> the highest trophic levels, the increased concentrations in tissues may become toxic. </w:t>
      </w:r>
      <w:r w:rsidRPr="00A57D9C">
        <w:t xml:space="preserve">This research aims to provide a baseline study to the local authority and the enforcement body on the source of pollution in the lake, hence assisting in the enforcement process. </w:t>
      </w:r>
      <w:r w:rsidR="000D1510" w:rsidRPr="00A57D9C">
        <w:t xml:space="preserve">The specific objectives of the project are </w:t>
      </w:r>
      <w:r w:rsidRPr="00A57D9C">
        <w:t xml:space="preserve">to identify and quantify the presence of heavy metals in water and fish in the lake. As water is the habitat of fish, there is a significance to measure its quality to assess the possible source of contamination contributing to this problem. </w:t>
      </w:r>
    </w:p>
    <w:p w:rsidR="00A57D9C" w:rsidRPr="00A57D9C" w:rsidRDefault="00A57D9C" w:rsidP="00A57D9C">
      <w:pPr>
        <w:ind w:right="252"/>
        <w:jc w:val="both"/>
      </w:pPr>
    </w:p>
    <w:p w:rsidR="00A57D9C" w:rsidRPr="00A57D9C" w:rsidRDefault="00363360" w:rsidP="00A57D9C">
      <w:pPr>
        <w:ind w:right="252"/>
        <w:jc w:val="center"/>
        <w:rPr>
          <w:b/>
        </w:rPr>
      </w:pPr>
      <w:r>
        <w:rPr>
          <w:b/>
        </w:rPr>
        <w:t>Experimental</w:t>
      </w:r>
    </w:p>
    <w:p w:rsidR="007651C5" w:rsidRPr="00A57D9C" w:rsidRDefault="007651C5" w:rsidP="00A57D9C">
      <w:pPr>
        <w:pStyle w:val="Header2"/>
        <w:numPr>
          <w:ilvl w:val="0"/>
          <w:numId w:val="0"/>
        </w:numPr>
        <w:spacing w:before="0" w:line="240" w:lineRule="auto"/>
        <w:ind w:left="607" w:hanging="607"/>
        <w:rPr>
          <w:sz w:val="20"/>
          <w:szCs w:val="20"/>
        </w:rPr>
      </w:pPr>
    </w:p>
    <w:p w:rsidR="00A57D9C" w:rsidRPr="00A57D9C" w:rsidRDefault="00A57D9C" w:rsidP="00A57D9C">
      <w:pPr>
        <w:pStyle w:val="Header2"/>
        <w:numPr>
          <w:ilvl w:val="0"/>
          <w:numId w:val="0"/>
        </w:numPr>
        <w:spacing w:before="0" w:line="240" w:lineRule="auto"/>
        <w:ind w:left="607" w:hanging="607"/>
        <w:rPr>
          <w:sz w:val="20"/>
          <w:szCs w:val="20"/>
        </w:rPr>
      </w:pPr>
      <w:r w:rsidRPr="00A57D9C">
        <w:rPr>
          <w:sz w:val="20"/>
          <w:szCs w:val="20"/>
        </w:rPr>
        <w:t>Study area</w:t>
      </w:r>
    </w:p>
    <w:p w:rsidR="00AF7FAB" w:rsidRPr="00A57D9C" w:rsidRDefault="00AF7FAB" w:rsidP="00A57D9C">
      <w:pPr>
        <w:autoSpaceDE w:val="0"/>
        <w:autoSpaceDN w:val="0"/>
        <w:adjustRightInd w:val="0"/>
        <w:jc w:val="both"/>
      </w:pPr>
      <w:r w:rsidRPr="00A57D9C">
        <w:t xml:space="preserve">Fish samples </w:t>
      </w:r>
      <w:r w:rsidR="00742AD4" w:rsidRPr="00A57D9C">
        <w:t>(</w:t>
      </w:r>
      <w:r w:rsidR="00742AD4" w:rsidRPr="00A57D9C">
        <w:rPr>
          <w:i/>
        </w:rPr>
        <w:t>Tilapia sp.)</w:t>
      </w:r>
      <w:r w:rsidR="00742AD4" w:rsidRPr="00A57D9C">
        <w:t xml:space="preserve"> of about the same size </w:t>
      </w:r>
      <w:r w:rsidR="00873566">
        <w:t xml:space="preserve">(length ±5”) </w:t>
      </w:r>
      <w:r w:rsidRPr="00A57D9C">
        <w:t xml:space="preserve">were </w:t>
      </w:r>
      <w:r w:rsidR="00742AD4" w:rsidRPr="00A57D9C">
        <w:t xml:space="preserve">collected at three points; </w:t>
      </w:r>
      <w:r w:rsidRPr="00A57D9C">
        <w:t>near the effluent discharge from the sewage trea</w:t>
      </w:r>
      <w:r w:rsidR="000D1510" w:rsidRPr="00A57D9C">
        <w:t xml:space="preserve">tment plant (S1), </w:t>
      </w:r>
      <w:r w:rsidRPr="00A57D9C">
        <w:t>near the wastes dumping area (S2) and far from the sewage treatment plant with little wastes dumping activities (S3) as show</w:t>
      </w:r>
      <w:r w:rsidR="000D1510" w:rsidRPr="00A57D9C">
        <w:t>n</w:t>
      </w:r>
      <w:r w:rsidRPr="00A57D9C">
        <w:t xml:space="preserve"> in Figure 2.1. </w:t>
      </w:r>
      <w:r w:rsidR="00742AD4" w:rsidRPr="00A57D9C">
        <w:t xml:space="preserve">Sampling was conducted </w:t>
      </w:r>
      <w:r w:rsidRPr="00A57D9C">
        <w:t>at the frequency of twice a mont</w:t>
      </w:r>
      <w:r w:rsidR="00742AD4" w:rsidRPr="00A57D9C">
        <w:t xml:space="preserve">h </w:t>
      </w:r>
      <w:r w:rsidR="00742AD4" w:rsidRPr="00A57D9C">
        <w:lastRenderedPageBreak/>
        <w:t xml:space="preserve">for three consecutive months, </w:t>
      </w:r>
      <w:r w:rsidR="000D1510" w:rsidRPr="00A57D9C">
        <w:t xml:space="preserve">in the morning and in the afternoon, as these were the common time of </w:t>
      </w:r>
      <w:r w:rsidRPr="00A57D9C">
        <w:t xml:space="preserve">effluent </w:t>
      </w:r>
      <w:r w:rsidR="000D1510" w:rsidRPr="00A57D9C">
        <w:t xml:space="preserve">discharge </w:t>
      </w:r>
      <w:r w:rsidR="00107D01" w:rsidRPr="00A57D9C">
        <w:t>from the sewage treatment</w:t>
      </w:r>
      <w:r w:rsidRPr="00A57D9C">
        <w:t xml:space="preserve"> </w:t>
      </w:r>
      <w:r w:rsidR="000D1510" w:rsidRPr="00A57D9C">
        <w:t>plant</w:t>
      </w:r>
      <w:r w:rsidRPr="00A57D9C">
        <w:t xml:space="preserve">. </w:t>
      </w:r>
    </w:p>
    <w:p w:rsidR="00AA1D1C" w:rsidRPr="007B22C9" w:rsidRDefault="00AA1D1C" w:rsidP="00637BB1">
      <w:pPr>
        <w:tabs>
          <w:tab w:val="left" w:pos="3600"/>
        </w:tabs>
        <w:jc w:val="both"/>
      </w:pPr>
      <w:r w:rsidRPr="007B22C9">
        <w:rPr>
          <w:b/>
        </w:rPr>
        <w:t xml:space="preserve">        </w:t>
      </w:r>
    </w:p>
    <w:p w:rsidR="00AA1D1C" w:rsidRDefault="00AA1D1C" w:rsidP="00637BB1">
      <w:pPr>
        <w:tabs>
          <w:tab w:val="left" w:pos="3600"/>
        </w:tabs>
        <w:jc w:val="both"/>
      </w:pPr>
    </w:p>
    <w:tbl>
      <w:tblPr>
        <w:tblW w:w="0" w:type="auto"/>
        <w:tblLook w:val="04A0"/>
      </w:tblPr>
      <w:tblGrid>
        <w:gridCol w:w="4746"/>
        <w:gridCol w:w="2826"/>
        <w:gridCol w:w="2283"/>
      </w:tblGrid>
      <w:tr w:rsidR="005E4BA0" w:rsidTr="00801B0E">
        <w:trPr>
          <w:trHeight w:val="5166"/>
        </w:trPr>
        <w:tc>
          <w:tcPr>
            <w:tcW w:w="4518" w:type="dxa"/>
          </w:tcPr>
          <w:p w:rsidR="00AA1D1C" w:rsidRDefault="00E96F92" w:rsidP="00637BB1">
            <w:pPr>
              <w:tabs>
                <w:tab w:val="left" w:pos="3600"/>
              </w:tabs>
              <w:jc w:val="both"/>
            </w:pPr>
            <w:r>
              <w:rPr>
                <w:noProof/>
                <w:sz w:val="24"/>
                <w:szCs w:val="24"/>
                <w:lang w:eastAsia="ko-KR"/>
              </w:rPr>
              <w:drawing>
                <wp:inline distT="0" distB="0" distL="0" distR="0">
                  <wp:extent cx="2809875" cy="3105150"/>
                  <wp:effectExtent l="3810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09875" cy="3105150"/>
                          </a:xfrm>
                          <a:prstGeom prst="rect">
                            <a:avLst/>
                          </a:prstGeom>
                          <a:noFill/>
                          <a:ln w="6350" cmpd="sng">
                            <a:solidFill>
                              <a:srgbClr val="1E1E1E"/>
                            </a:solidFill>
                            <a:miter lim="800000"/>
                            <a:headEnd/>
                            <a:tailEnd/>
                          </a:ln>
                          <a:effectLst/>
                        </pic:spPr>
                      </pic:pic>
                    </a:graphicData>
                  </a:graphic>
                </wp:inline>
              </w:drawing>
            </w:r>
          </w:p>
        </w:tc>
        <w:tc>
          <w:tcPr>
            <w:tcW w:w="2880" w:type="dxa"/>
          </w:tcPr>
          <w:p w:rsidR="00AA1D1C" w:rsidRDefault="00E96F92" w:rsidP="00637BB1">
            <w:pPr>
              <w:tabs>
                <w:tab w:val="left" w:pos="3600"/>
              </w:tabs>
              <w:jc w:val="both"/>
              <w:rPr>
                <w:b/>
                <w:noProof/>
                <w:lang w:eastAsia="en-US"/>
              </w:rPr>
            </w:pPr>
            <w:r>
              <w:rPr>
                <w:b/>
                <w:noProof/>
                <w:lang w:eastAsia="ko-KR"/>
              </w:rPr>
              <w:drawing>
                <wp:inline distT="0" distB="0" distL="0" distR="0">
                  <wp:extent cx="1514475" cy="914400"/>
                  <wp:effectExtent l="19050" t="19050" r="28575" b="19050"/>
                  <wp:docPr id="2" name="Picture 1" descr="G:\gmbr\DSC00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mbr\DSC00806.JPG"/>
                          <pic:cNvPicPr>
                            <a:picLocks noChangeAspect="1" noChangeArrowheads="1"/>
                          </pic:cNvPicPr>
                        </pic:nvPicPr>
                        <pic:blipFill>
                          <a:blip r:embed="rId10" cstate="print"/>
                          <a:srcRect/>
                          <a:stretch>
                            <a:fillRect/>
                          </a:stretch>
                        </pic:blipFill>
                        <pic:spPr bwMode="auto">
                          <a:xfrm>
                            <a:off x="0" y="0"/>
                            <a:ext cx="1514475" cy="914400"/>
                          </a:xfrm>
                          <a:prstGeom prst="rect">
                            <a:avLst/>
                          </a:prstGeom>
                          <a:solidFill>
                            <a:srgbClr val="1E1E1E"/>
                          </a:solidFill>
                          <a:ln w="6350" cmpd="sng">
                            <a:solidFill>
                              <a:srgbClr val="1E1E1E"/>
                            </a:solidFill>
                            <a:miter lim="800000"/>
                            <a:headEnd/>
                            <a:tailEnd/>
                          </a:ln>
                          <a:effectLst/>
                        </pic:spPr>
                      </pic:pic>
                    </a:graphicData>
                  </a:graphic>
                </wp:inline>
              </w:drawing>
            </w:r>
          </w:p>
          <w:p w:rsidR="00D443C6" w:rsidRPr="00AA1D1C" w:rsidRDefault="00D443C6" w:rsidP="00637BB1">
            <w:pPr>
              <w:tabs>
                <w:tab w:val="left" w:pos="3600"/>
              </w:tabs>
              <w:jc w:val="both"/>
              <w:rPr>
                <w:b/>
                <w:noProof/>
                <w:lang w:eastAsia="en-US"/>
              </w:rPr>
            </w:pPr>
          </w:p>
          <w:p w:rsidR="00AA1D1C" w:rsidRDefault="00E96F92" w:rsidP="00637BB1">
            <w:pPr>
              <w:tabs>
                <w:tab w:val="left" w:pos="3600"/>
              </w:tabs>
              <w:jc w:val="both"/>
              <w:rPr>
                <w:noProof/>
                <w:lang w:eastAsia="en-US"/>
              </w:rPr>
            </w:pPr>
            <w:r>
              <w:rPr>
                <w:noProof/>
                <w:lang w:eastAsia="ko-KR"/>
              </w:rPr>
              <w:drawing>
                <wp:inline distT="0" distB="0" distL="0" distR="0">
                  <wp:extent cx="1514475" cy="885825"/>
                  <wp:effectExtent l="19050" t="19050" r="28575" b="2857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1514475" cy="885825"/>
                          </a:xfrm>
                          <a:prstGeom prst="rect">
                            <a:avLst/>
                          </a:prstGeom>
                          <a:noFill/>
                          <a:ln w="6350" cmpd="sng">
                            <a:solidFill>
                              <a:srgbClr val="1E1E1E"/>
                            </a:solidFill>
                            <a:miter lim="800000"/>
                            <a:headEnd/>
                            <a:tailEnd/>
                          </a:ln>
                          <a:effectLst/>
                        </pic:spPr>
                      </pic:pic>
                    </a:graphicData>
                  </a:graphic>
                </wp:inline>
              </w:drawing>
            </w:r>
          </w:p>
          <w:p w:rsidR="00D443C6" w:rsidRDefault="00D443C6" w:rsidP="00637BB1">
            <w:pPr>
              <w:tabs>
                <w:tab w:val="left" w:pos="3600"/>
              </w:tabs>
              <w:jc w:val="both"/>
              <w:rPr>
                <w:noProof/>
                <w:lang w:eastAsia="en-US"/>
              </w:rPr>
            </w:pPr>
          </w:p>
          <w:p w:rsidR="00AA1D1C" w:rsidRDefault="00E96F92" w:rsidP="00637BB1">
            <w:pPr>
              <w:tabs>
                <w:tab w:val="left" w:pos="3600"/>
              </w:tabs>
              <w:jc w:val="both"/>
              <w:rPr>
                <w:noProof/>
                <w:lang w:eastAsia="en-US"/>
              </w:rPr>
            </w:pPr>
            <w:r>
              <w:rPr>
                <w:noProof/>
                <w:lang w:eastAsia="ko-KR"/>
              </w:rPr>
              <w:drawing>
                <wp:inline distT="0" distB="0" distL="0" distR="0">
                  <wp:extent cx="1514475" cy="981075"/>
                  <wp:effectExtent l="19050" t="19050" r="28575" b="28575"/>
                  <wp:docPr id="4" name="Picture 7" descr="DSC00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00802"/>
                          <pic:cNvPicPr>
                            <a:picLocks noChangeAspect="1" noChangeArrowheads="1"/>
                          </pic:cNvPicPr>
                        </pic:nvPicPr>
                        <pic:blipFill>
                          <a:blip r:embed="rId12" cstate="print"/>
                          <a:srcRect/>
                          <a:stretch>
                            <a:fillRect/>
                          </a:stretch>
                        </pic:blipFill>
                        <pic:spPr bwMode="auto">
                          <a:xfrm>
                            <a:off x="0" y="0"/>
                            <a:ext cx="1514475" cy="981075"/>
                          </a:xfrm>
                          <a:prstGeom prst="rect">
                            <a:avLst/>
                          </a:prstGeom>
                          <a:noFill/>
                          <a:ln w="6350" cmpd="sng">
                            <a:solidFill>
                              <a:srgbClr val="1E1E1E"/>
                            </a:solidFill>
                            <a:miter lim="800000"/>
                            <a:headEnd/>
                            <a:tailEnd/>
                          </a:ln>
                          <a:effectLst/>
                        </pic:spPr>
                      </pic:pic>
                    </a:graphicData>
                  </a:graphic>
                </wp:inline>
              </w:drawing>
            </w:r>
          </w:p>
          <w:p w:rsidR="00AA1D1C" w:rsidRDefault="00AA1D1C" w:rsidP="00637BB1">
            <w:pPr>
              <w:tabs>
                <w:tab w:val="left" w:pos="3600"/>
              </w:tabs>
              <w:jc w:val="both"/>
            </w:pPr>
          </w:p>
        </w:tc>
        <w:tc>
          <w:tcPr>
            <w:tcW w:w="2457" w:type="dxa"/>
          </w:tcPr>
          <w:tbl>
            <w:tblPr>
              <w:tblpPr w:leftFromText="180" w:rightFromText="180" w:vertAnchor="text" w:horzAnchor="margin" w:tblpXSpec="center" w:tblpY="-302"/>
              <w:tblOverlap w:val="never"/>
              <w:tblW w:w="0" w:type="auto"/>
              <w:tblLook w:val="04A0"/>
            </w:tblPr>
            <w:tblGrid>
              <w:gridCol w:w="563"/>
              <w:gridCol w:w="1504"/>
            </w:tblGrid>
            <w:tr w:rsidR="00AA1D1C" w:rsidRPr="00AA1D1C" w:rsidTr="00D443C6">
              <w:trPr>
                <w:trHeight w:val="360"/>
              </w:trPr>
              <w:tc>
                <w:tcPr>
                  <w:tcW w:w="2070" w:type="dxa"/>
                  <w:gridSpan w:val="2"/>
                  <w:vAlign w:val="center"/>
                </w:tcPr>
                <w:p w:rsidR="00AA1D1C" w:rsidRPr="00AA1D1C" w:rsidRDefault="00D443C6" w:rsidP="00637BB1">
                  <w:pPr>
                    <w:tabs>
                      <w:tab w:val="left" w:pos="3600"/>
                    </w:tabs>
                    <w:jc w:val="both"/>
                    <w:rPr>
                      <w:b/>
                      <w:sz w:val="22"/>
                      <w:szCs w:val="22"/>
                    </w:rPr>
                  </w:pPr>
                  <w:r>
                    <w:rPr>
                      <w:b/>
                      <w:sz w:val="22"/>
                      <w:szCs w:val="22"/>
                    </w:rPr>
                    <w:t>Legends</w:t>
                  </w:r>
                </w:p>
              </w:tc>
            </w:tr>
            <w:tr w:rsidR="00D443C6" w:rsidRPr="00AA1D1C" w:rsidTr="007B22C9">
              <w:trPr>
                <w:trHeight w:val="1353"/>
              </w:trPr>
              <w:tc>
                <w:tcPr>
                  <w:tcW w:w="563" w:type="dxa"/>
                  <w:vAlign w:val="center"/>
                </w:tcPr>
                <w:p w:rsidR="00AA1D1C" w:rsidRPr="00AA1D1C" w:rsidRDefault="00E96F92" w:rsidP="00637BB1">
                  <w:pPr>
                    <w:tabs>
                      <w:tab w:val="left" w:pos="3600"/>
                    </w:tabs>
                    <w:rPr>
                      <w:sz w:val="22"/>
                      <w:szCs w:val="22"/>
                    </w:rPr>
                  </w:pPr>
                  <w:r>
                    <w:rPr>
                      <w:noProof/>
                      <w:sz w:val="22"/>
                      <w:szCs w:val="22"/>
                      <w:lang w:eastAsia="ko-KR"/>
                    </w:rPr>
                    <w:drawing>
                      <wp:inline distT="0" distB="0" distL="0" distR="0">
                        <wp:extent cx="161925" cy="161925"/>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1507" w:type="dxa"/>
                  <w:vAlign w:val="center"/>
                </w:tcPr>
                <w:p w:rsidR="00AA1D1C" w:rsidRDefault="00AA1D1C" w:rsidP="00637BB1">
                  <w:pPr>
                    <w:tabs>
                      <w:tab w:val="left" w:pos="3600"/>
                    </w:tabs>
                  </w:pPr>
                  <w:r>
                    <w:rPr>
                      <w:sz w:val="22"/>
                      <w:szCs w:val="22"/>
                    </w:rPr>
                    <w:t>S1:</w:t>
                  </w:r>
                  <w:r>
                    <w:t xml:space="preserve"> near the </w:t>
                  </w:r>
                  <w:r w:rsidR="00107D01">
                    <w:t>sewage</w:t>
                  </w:r>
                  <w:r>
                    <w:t xml:space="preserve"> treatment plant</w:t>
                  </w:r>
                  <w:r w:rsidR="00107D01">
                    <w:t>, paint factory</w:t>
                  </w:r>
                </w:p>
                <w:p w:rsidR="00D443C6" w:rsidRPr="00AA1D1C" w:rsidRDefault="00D443C6" w:rsidP="00637BB1">
                  <w:pPr>
                    <w:tabs>
                      <w:tab w:val="left" w:pos="3600"/>
                    </w:tabs>
                    <w:rPr>
                      <w:sz w:val="22"/>
                      <w:szCs w:val="22"/>
                    </w:rPr>
                  </w:pPr>
                </w:p>
              </w:tc>
            </w:tr>
            <w:tr w:rsidR="00D443C6" w:rsidRPr="00AA1D1C" w:rsidTr="007B22C9">
              <w:trPr>
                <w:trHeight w:val="1443"/>
              </w:trPr>
              <w:tc>
                <w:tcPr>
                  <w:tcW w:w="563" w:type="dxa"/>
                  <w:vAlign w:val="center"/>
                </w:tcPr>
                <w:p w:rsidR="00AA1D1C" w:rsidRPr="00AA1D1C" w:rsidRDefault="00E96F92" w:rsidP="00637BB1">
                  <w:pPr>
                    <w:tabs>
                      <w:tab w:val="left" w:pos="3600"/>
                    </w:tabs>
                    <w:rPr>
                      <w:sz w:val="22"/>
                      <w:szCs w:val="22"/>
                    </w:rPr>
                  </w:pPr>
                  <w:r>
                    <w:rPr>
                      <w:noProof/>
                      <w:sz w:val="22"/>
                      <w:szCs w:val="22"/>
                      <w:lang w:eastAsia="ko-KR"/>
                    </w:rPr>
                    <w:drawing>
                      <wp:inline distT="0" distB="0" distL="0" distR="0">
                        <wp:extent cx="161925" cy="161925"/>
                        <wp:effectExtent l="1905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1507" w:type="dxa"/>
                  <w:vAlign w:val="center"/>
                </w:tcPr>
                <w:p w:rsidR="00AA1D1C" w:rsidRDefault="00AA1D1C" w:rsidP="00637BB1">
                  <w:pPr>
                    <w:tabs>
                      <w:tab w:val="left" w:pos="3600"/>
                    </w:tabs>
                  </w:pPr>
                  <w:r>
                    <w:t xml:space="preserve">S2: </w:t>
                  </w:r>
                  <w:r w:rsidRPr="000D1BDF">
                    <w:t>near the wastes dumping area</w:t>
                  </w:r>
                </w:p>
                <w:p w:rsidR="00D443C6" w:rsidRPr="00AA1D1C" w:rsidRDefault="00D443C6" w:rsidP="00637BB1">
                  <w:pPr>
                    <w:tabs>
                      <w:tab w:val="left" w:pos="3600"/>
                    </w:tabs>
                    <w:rPr>
                      <w:sz w:val="22"/>
                      <w:szCs w:val="22"/>
                    </w:rPr>
                  </w:pPr>
                </w:p>
              </w:tc>
            </w:tr>
            <w:tr w:rsidR="00D443C6" w:rsidRPr="00AA1D1C" w:rsidTr="00D443C6">
              <w:trPr>
                <w:trHeight w:val="352"/>
              </w:trPr>
              <w:tc>
                <w:tcPr>
                  <w:tcW w:w="563" w:type="dxa"/>
                  <w:vAlign w:val="center"/>
                </w:tcPr>
                <w:p w:rsidR="00AA1D1C" w:rsidRPr="00AA1D1C" w:rsidRDefault="00E96F92" w:rsidP="00637BB1">
                  <w:pPr>
                    <w:tabs>
                      <w:tab w:val="left" w:pos="3600"/>
                    </w:tabs>
                    <w:rPr>
                      <w:sz w:val="22"/>
                      <w:szCs w:val="22"/>
                    </w:rPr>
                  </w:pPr>
                  <w:r>
                    <w:rPr>
                      <w:noProof/>
                      <w:sz w:val="22"/>
                      <w:szCs w:val="22"/>
                      <w:lang w:eastAsia="ko-KR"/>
                    </w:rPr>
                    <w:drawing>
                      <wp:inline distT="0" distB="0" distL="0" distR="0">
                        <wp:extent cx="161925" cy="180975"/>
                        <wp:effectExtent l="19050" t="0" r="9525"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161925" cy="180975"/>
                                </a:xfrm>
                                <a:prstGeom prst="rect">
                                  <a:avLst/>
                                </a:prstGeom>
                                <a:noFill/>
                                <a:ln w="9525">
                                  <a:noFill/>
                                  <a:miter lim="800000"/>
                                  <a:headEnd/>
                                  <a:tailEnd/>
                                </a:ln>
                              </pic:spPr>
                            </pic:pic>
                          </a:graphicData>
                        </a:graphic>
                      </wp:inline>
                    </w:drawing>
                  </w:r>
                </w:p>
              </w:tc>
              <w:tc>
                <w:tcPr>
                  <w:tcW w:w="1507" w:type="dxa"/>
                  <w:vAlign w:val="center"/>
                </w:tcPr>
                <w:p w:rsidR="00AA1D1C" w:rsidRPr="00AA1D1C" w:rsidRDefault="00AA1D1C" w:rsidP="00E71DCC">
                  <w:pPr>
                    <w:tabs>
                      <w:tab w:val="left" w:pos="3600"/>
                    </w:tabs>
                    <w:rPr>
                      <w:sz w:val="22"/>
                      <w:szCs w:val="22"/>
                    </w:rPr>
                  </w:pPr>
                  <w:r>
                    <w:rPr>
                      <w:sz w:val="22"/>
                      <w:szCs w:val="22"/>
                    </w:rPr>
                    <w:t xml:space="preserve">S3: </w:t>
                  </w:r>
                  <w:r w:rsidRPr="000D1BDF">
                    <w:t xml:space="preserve">area far from </w:t>
                  </w:r>
                  <w:r w:rsidR="00E71DCC">
                    <w:t>any significant sources</w:t>
                  </w:r>
                </w:p>
              </w:tc>
            </w:tr>
          </w:tbl>
          <w:p w:rsidR="00AA1D1C" w:rsidRDefault="00AA1D1C" w:rsidP="00637BB1">
            <w:pPr>
              <w:tabs>
                <w:tab w:val="left" w:pos="3600"/>
              </w:tabs>
              <w:jc w:val="both"/>
            </w:pPr>
          </w:p>
        </w:tc>
      </w:tr>
      <w:tr w:rsidR="00AA1D1C" w:rsidTr="00AA1D1C">
        <w:tc>
          <w:tcPr>
            <w:tcW w:w="9855" w:type="dxa"/>
            <w:gridSpan w:val="3"/>
          </w:tcPr>
          <w:p w:rsidR="00AA1D1C" w:rsidRPr="007B22C9" w:rsidRDefault="00AA1D1C" w:rsidP="00637BB1">
            <w:pPr>
              <w:tabs>
                <w:tab w:val="left" w:pos="3600"/>
              </w:tabs>
              <w:jc w:val="center"/>
              <w:rPr>
                <w:sz w:val="18"/>
                <w:szCs w:val="18"/>
              </w:rPr>
            </w:pPr>
            <w:r w:rsidRPr="007B22C9">
              <w:rPr>
                <w:b/>
                <w:sz w:val="18"/>
                <w:szCs w:val="18"/>
              </w:rPr>
              <w:t xml:space="preserve">Figure 1 </w:t>
            </w:r>
            <w:r w:rsidRPr="007B22C9">
              <w:rPr>
                <w:sz w:val="18"/>
                <w:szCs w:val="18"/>
              </w:rPr>
              <w:t>Sampling location at Tasik Mutiara, Puchong.</w:t>
            </w:r>
          </w:p>
        </w:tc>
      </w:tr>
    </w:tbl>
    <w:p w:rsidR="00AA1D1C" w:rsidRDefault="00AA1D1C" w:rsidP="00637BB1">
      <w:pPr>
        <w:tabs>
          <w:tab w:val="left" w:pos="3600"/>
        </w:tabs>
        <w:jc w:val="both"/>
      </w:pPr>
    </w:p>
    <w:p w:rsidR="007651C5" w:rsidRPr="007B22C9" w:rsidRDefault="009F56DB" w:rsidP="00A57D9C">
      <w:pPr>
        <w:pStyle w:val="Header2"/>
        <w:numPr>
          <w:ilvl w:val="0"/>
          <w:numId w:val="0"/>
        </w:numPr>
        <w:spacing w:before="0" w:line="240" w:lineRule="auto"/>
        <w:ind w:left="607" w:hanging="607"/>
        <w:rPr>
          <w:sz w:val="20"/>
          <w:szCs w:val="20"/>
          <w:lang w:val="en-GB"/>
        </w:rPr>
      </w:pPr>
      <w:r w:rsidRPr="007B22C9">
        <w:rPr>
          <w:sz w:val="20"/>
          <w:szCs w:val="20"/>
        </w:rPr>
        <w:t>Sample collection</w:t>
      </w:r>
      <w:r w:rsidR="00A57D9C">
        <w:rPr>
          <w:sz w:val="20"/>
          <w:szCs w:val="20"/>
        </w:rPr>
        <w:t xml:space="preserve"> and preparation</w:t>
      </w:r>
    </w:p>
    <w:p w:rsidR="009F56DB" w:rsidRPr="007B22C9" w:rsidRDefault="009F56DB" w:rsidP="006A5AB7">
      <w:pPr>
        <w:autoSpaceDE w:val="0"/>
        <w:autoSpaceDN w:val="0"/>
        <w:adjustRightInd w:val="0"/>
        <w:jc w:val="both"/>
      </w:pPr>
      <w:r w:rsidRPr="007B22C9">
        <w:t>Fish</w:t>
      </w:r>
      <w:r w:rsidRPr="007B22C9">
        <w:rPr>
          <w:color w:val="FF0000"/>
        </w:rPr>
        <w:t xml:space="preserve"> </w:t>
      </w:r>
      <w:r w:rsidR="00AF7FAB" w:rsidRPr="007B22C9">
        <w:t>samples w</w:t>
      </w:r>
      <w:r w:rsidRPr="007B22C9">
        <w:t>ere</w:t>
      </w:r>
      <w:r w:rsidR="00AF7FAB" w:rsidRPr="007B22C9">
        <w:t xml:space="preserve"> caught</w:t>
      </w:r>
      <w:r w:rsidR="000D1510" w:rsidRPr="007B22C9">
        <w:t>, placed in</w:t>
      </w:r>
      <w:r w:rsidR="00AF7FAB" w:rsidRPr="007B22C9">
        <w:t xml:space="preserve"> plastic b</w:t>
      </w:r>
      <w:r w:rsidR="00B81009" w:rsidRPr="007B22C9">
        <w:t>ags</w:t>
      </w:r>
      <w:r w:rsidR="000D1510" w:rsidRPr="007B22C9">
        <w:t xml:space="preserve"> and i</w:t>
      </w:r>
      <w:r w:rsidR="00B81009" w:rsidRPr="007B22C9">
        <w:t xml:space="preserve">mmediately </w:t>
      </w:r>
      <w:r w:rsidR="000D1510" w:rsidRPr="007B22C9">
        <w:t>preserved</w:t>
      </w:r>
      <w:r w:rsidR="00AF7FAB" w:rsidRPr="007B22C9">
        <w:t xml:space="preserve"> on ice </w:t>
      </w:r>
      <w:r w:rsidR="000D1510" w:rsidRPr="007B22C9">
        <w:t xml:space="preserve">prior to heavy metal analysis </w:t>
      </w:r>
      <w:r w:rsidR="00AF7FAB" w:rsidRPr="007B22C9">
        <w:t xml:space="preserve">to meet </w:t>
      </w:r>
      <w:r w:rsidR="000D1510" w:rsidRPr="007B22C9">
        <w:t xml:space="preserve">the </w:t>
      </w:r>
      <w:r w:rsidR="00AF7FAB" w:rsidRPr="007B22C9">
        <w:t xml:space="preserve">analytical holding times. </w:t>
      </w:r>
      <w:r w:rsidR="000A3197">
        <w:t xml:space="preserve">Fish were weighed </w:t>
      </w:r>
      <w:r w:rsidR="006A5AB7">
        <w:t xml:space="preserve">before and after being </w:t>
      </w:r>
      <w:r w:rsidRPr="007B22C9">
        <w:t xml:space="preserve">cut into small pieces and ground well thoroughly to achieve homogeneity. 5 gram of the sample </w:t>
      </w:r>
      <w:r w:rsidR="00B81009" w:rsidRPr="007B22C9">
        <w:t>were</w:t>
      </w:r>
      <w:r w:rsidRPr="007B22C9">
        <w:t xml:space="preserve"> p</w:t>
      </w:r>
      <w:r w:rsidR="00B81009" w:rsidRPr="007B22C9">
        <w:t>ut in</w:t>
      </w:r>
      <w:r w:rsidRPr="007B22C9">
        <w:t xml:space="preserve"> a 125-mL Erlenmeyer flask</w:t>
      </w:r>
      <w:r w:rsidR="00B81009" w:rsidRPr="007B22C9">
        <w:t>, added with</w:t>
      </w:r>
      <w:r w:rsidRPr="007B22C9">
        <w:t xml:space="preserve"> 10 mL of concentrated nitric acid and warmed on </w:t>
      </w:r>
      <w:r w:rsidR="00B81009" w:rsidRPr="007B22C9">
        <w:t xml:space="preserve">a hot plate until the tissue </w:t>
      </w:r>
      <w:r w:rsidRPr="007B22C9">
        <w:t xml:space="preserve">solubilized. The temperature of the hot plate </w:t>
      </w:r>
      <w:r w:rsidR="00B81009" w:rsidRPr="007B22C9">
        <w:t>was</w:t>
      </w:r>
      <w:r w:rsidRPr="007B22C9">
        <w:t xml:space="preserve"> increased to near boiling until the solution turn</w:t>
      </w:r>
      <w:r w:rsidR="00B81009" w:rsidRPr="007B22C9">
        <w:t>ed</w:t>
      </w:r>
      <w:r w:rsidRPr="007B22C9">
        <w:t xml:space="preserve"> brown. The</w:t>
      </w:r>
      <w:r w:rsidR="00B81009" w:rsidRPr="007B22C9">
        <w:t>n, it was allowed to cool</w:t>
      </w:r>
      <w:r w:rsidRPr="007B22C9">
        <w:t xml:space="preserve"> and an additional 5 mL of concentrated nitric aci</w:t>
      </w:r>
      <w:r w:rsidR="00B81009" w:rsidRPr="007B22C9">
        <w:t>d was</w:t>
      </w:r>
      <w:r w:rsidRPr="007B22C9">
        <w:t xml:space="preserve"> added</w:t>
      </w:r>
      <w:r w:rsidR="00B81009" w:rsidRPr="007B22C9">
        <w:t xml:space="preserve"> for repeated heating and cooling</w:t>
      </w:r>
      <w:r w:rsidRPr="007B22C9">
        <w:t>.</w:t>
      </w:r>
      <w:r w:rsidR="00B81009" w:rsidRPr="007B22C9">
        <w:t xml:space="preserve"> Another</w:t>
      </w:r>
      <w:r w:rsidRPr="007B22C9">
        <w:t xml:space="preserve"> 2mL of nitric acid w</w:t>
      </w:r>
      <w:r w:rsidR="00B81009" w:rsidRPr="007B22C9">
        <w:t>as added</w:t>
      </w:r>
      <w:r w:rsidR="00801B0E" w:rsidRPr="007B22C9">
        <w:t xml:space="preserve"> before being heat</w:t>
      </w:r>
      <w:r w:rsidRPr="007B22C9">
        <w:t>ed again on the hot plate until the volum</w:t>
      </w:r>
      <w:r w:rsidR="00B81009" w:rsidRPr="007B22C9">
        <w:t>e of the sample reduced to</w:t>
      </w:r>
      <w:r w:rsidRPr="007B22C9">
        <w:t xml:space="preserve"> 10 mL. </w:t>
      </w:r>
      <w:r w:rsidR="00B81009" w:rsidRPr="007B22C9">
        <w:t xml:space="preserve">Once cooled, </w:t>
      </w:r>
      <w:r w:rsidRPr="007B22C9">
        <w:t xml:space="preserve">2 mL of 30% hydrogen peroxide </w:t>
      </w:r>
      <w:r w:rsidR="00B81009" w:rsidRPr="007B22C9">
        <w:t>wa</w:t>
      </w:r>
      <w:r w:rsidRPr="007B22C9">
        <w:t>s added</w:t>
      </w:r>
      <w:r w:rsidR="00801B0E" w:rsidRPr="007B22C9">
        <w:t>. Once again the sample was heated</w:t>
      </w:r>
      <w:r w:rsidRPr="007B22C9">
        <w:t xml:space="preserve"> un</w:t>
      </w:r>
      <w:r w:rsidR="00801B0E" w:rsidRPr="007B22C9">
        <w:t xml:space="preserve">til the volume of the sample </w:t>
      </w:r>
      <w:r w:rsidRPr="007B22C9">
        <w:t xml:space="preserve">reduced to 5 to 10 mL. </w:t>
      </w:r>
      <w:r w:rsidR="00801B0E" w:rsidRPr="007B22C9">
        <w:t xml:space="preserve">After allowed to cool, </w:t>
      </w:r>
      <w:r w:rsidRPr="007B22C9">
        <w:t>ano</w:t>
      </w:r>
      <w:r w:rsidR="00801B0E" w:rsidRPr="007B22C9">
        <w:t>ther 2 mL of hydrogen peroxide was added. This step was</w:t>
      </w:r>
      <w:r w:rsidRPr="007B22C9">
        <w:t xml:space="preserve"> repeated until a total</w:t>
      </w:r>
      <w:r w:rsidR="00801B0E" w:rsidRPr="007B22C9">
        <w:t xml:space="preserve"> of 10 mL of hydrogen peroxide wa</w:t>
      </w:r>
      <w:r w:rsidRPr="007B22C9">
        <w:t>s added. After that the sample w</w:t>
      </w:r>
      <w:r w:rsidR="000D1510" w:rsidRPr="007B22C9">
        <w:t>as</w:t>
      </w:r>
      <w:r w:rsidRPr="007B22C9">
        <w:t xml:space="preserve"> allowed to cool before 2 mL of </w:t>
      </w:r>
      <w:r w:rsidR="000D1510" w:rsidRPr="007B22C9">
        <w:t>concentrated hydrochloric acid wa</w:t>
      </w:r>
      <w:r w:rsidRPr="007B22C9">
        <w:t xml:space="preserve">s added. Then the sample </w:t>
      </w:r>
      <w:r w:rsidR="00801B0E" w:rsidRPr="007B22C9">
        <w:t>was</w:t>
      </w:r>
      <w:r w:rsidRPr="007B22C9">
        <w:t xml:space="preserve"> returned to the hot plate until the volume of the sample is reduced to 5 to 10 mL. The sample </w:t>
      </w:r>
      <w:r w:rsidR="00801B0E" w:rsidRPr="007B22C9">
        <w:t>was</w:t>
      </w:r>
      <w:r w:rsidRPr="007B22C9">
        <w:t xml:space="preserve"> allowed to cool and transferred into a 100-mL volumetric flask. The</w:t>
      </w:r>
      <w:r w:rsidR="00801B0E" w:rsidRPr="007B22C9">
        <w:t xml:space="preserve"> sample was then topped-up with de</w:t>
      </w:r>
      <w:r w:rsidRPr="007B22C9">
        <w:t xml:space="preserve">ionized </w:t>
      </w:r>
      <w:r w:rsidR="000D1510" w:rsidRPr="007B22C9">
        <w:t xml:space="preserve">water </w:t>
      </w:r>
      <w:r w:rsidR="00801B0E" w:rsidRPr="007B22C9">
        <w:t>to the mark for</w:t>
      </w:r>
      <w:r w:rsidRPr="007B22C9">
        <w:t xml:space="preserve"> ICP-OES analysis.</w:t>
      </w:r>
    </w:p>
    <w:p w:rsidR="00F66603" w:rsidRPr="007B22C9" w:rsidRDefault="00F66603" w:rsidP="00637BB1">
      <w:pPr>
        <w:pStyle w:val="Header1"/>
        <w:numPr>
          <w:ilvl w:val="0"/>
          <w:numId w:val="0"/>
        </w:numPr>
        <w:spacing w:before="0" w:after="0" w:line="240" w:lineRule="auto"/>
        <w:rPr>
          <w:sz w:val="20"/>
          <w:szCs w:val="20"/>
        </w:rPr>
      </w:pPr>
    </w:p>
    <w:p w:rsidR="00F66603" w:rsidRPr="007B22C9" w:rsidRDefault="00F66603" w:rsidP="00A57D9C">
      <w:pPr>
        <w:pStyle w:val="Header1"/>
        <w:numPr>
          <w:ilvl w:val="0"/>
          <w:numId w:val="0"/>
        </w:numPr>
        <w:spacing w:before="0" w:after="0" w:line="240" w:lineRule="auto"/>
        <w:ind w:left="360"/>
        <w:jc w:val="center"/>
        <w:rPr>
          <w:sz w:val="20"/>
          <w:szCs w:val="20"/>
        </w:rPr>
      </w:pPr>
      <w:r w:rsidRPr="007B22C9">
        <w:rPr>
          <w:sz w:val="20"/>
          <w:szCs w:val="20"/>
          <w:lang w:val="en-GB"/>
        </w:rPr>
        <w:t>Results</w:t>
      </w:r>
      <w:r w:rsidR="003D7BC1" w:rsidRPr="007B22C9">
        <w:rPr>
          <w:sz w:val="20"/>
          <w:szCs w:val="20"/>
          <w:lang w:val="en-GB"/>
        </w:rPr>
        <w:t xml:space="preserve"> and Discussion</w:t>
      </w:r>
    </w:p>
    <w:p w:rsidR="00A57D9C" w:rsidRDefault="00A57D9C" w:rsidP="00637BB1">
      <w:pPr>
        <w:tabs>
          <w:tab w:val="left" w:pos="567"/>
        </w:tabs>
        <w:ind w:left="709" w:hanging="709"/>
        <w:jc w:val="both"/>
        <w:rPr>
          <w:b/>
        </w:rPr>
      </w:pPr>
    </w:p>
    <w:p w:rsidR="00535D44" w:rsidRPr="007B22C9" w:rsidRDefault="00535D44" w:rsidP="00637BB1">
      <w:pPr>
        <w:tabs>
          <w:tab w:val="left" w:pos="567"/>
        </w:tabs>
        <w:ind w:left="709" w:hanging="709"/>
        <w:jc w:val="both"/>
        <w:rPr>
          <w:b/>
        </w:rPr>
      </w:pPr>
      <w:r w:rsidRPr="007B22C9">
        <w:rPr>
          <w:b/>
        </w:rPr>
        <w:t xml:space="preserve">Concentrations of heavy metals in fish </w:t>
      </w:r>
    </w:p>
    <w:p w:rsidR="00535D44" w:rsidRPr="007B22C9" w:rsidRDefault="00535D44" w:rsidP="00A57D9C">
      <w:pPr>
        <w:jc w:val="both"/>
      </w:pPr>
      <w:r w:rsidRPr="007B22C9">
        <w:t xml:space="preserve">All </w:t>
      </w:r>
      <w:r w:rsidR="00801B0E" w:rsidRPr="007B22C9">
        <w:t xml:space="preserve">heavy </w:t>
      </w:r>
      <w:r w:rsidRPr="007B22C9">
        <w:t>metals bioccumulated at varying levels</w:t>
      </w:r>
      <w:r w:rsidR="00801B0E" w:rsidRPr="007B22C9">
        <w:t xml:space="preserve"> on a dry weight basis</w:t>
      </w:r>
      <w:r w:rsidRPr="007B22C9">
        <w:t xml:space="preserve">. Al, Cu, Fe and Zn were detected by the ICP-OES although concentration of As, Cd and Pb were </w:t>
      </w:r>
      <w:r w:rsidR="008C6998" w:rsidRPr="007B22C9">
        <w:t>consistently</w:t>
      </w:r>
      <w:r w:rsidRPr="007B22C9">
        <w:t xml:space="preserve"> below the detection limit. The concentrations of heavy metals (Al, As, Cd, Cu, Fe, Pb and Zn) in</w:t>
      </w:r>
      <w:r w:rsidR="008C6998" w:rsidRPr="007B22C9">
        <w:t xml:space="preserve"> </w:t>
      </w:r>
      <w:r w:rsidRPr="007B22C9">
        <w:t>fish at</w:t>
      </w:r>
      <w:r w:rsidR="00355A7D" w:rsidRPr="007B22C9">
        <w:t xml:space="preserve"> the</w:t>
      </w:r>
      <w:r w:rsidRPr="007B22C9">
        <w:t xml:space="preserve"> three different sampling points </w:t>
      </w:r>
      <w:r w:rsidR="003E0F8F" w:rsidRPr="007B22C9">
        <w:t xml:space="preserve">are given in Table </w:t>
      </w:r>
      <w:r w:rsidRPr="007B22C9">
        <w:t xml:space="preserve">1.  </w:t>
      </w:r>
    </w:p>
    <w:p w:rsidR="0041218D" w:rsidRDefault="0041218D" w:rsidP="0041218D">
      <w:pPr>
        <w:jc w:val="both"/>
        <w:rPr>
          <w:sz w:val="22"/>
          <w:szCs w:val="22"/>
        </w:rPr>
      </w:pPr>
    </w:p>
    <w:p w:rsidR="0041218D" w:rsidRPr="007B22C9" w:rsidRDefault="0041218D" w:rsidP="0041218D">
      <w:pPr>
        <w:jc w:val="both"/>
      </w:pPr>
      <w:r w:rsidRPr="007B22C9">
        <w:t xml:space="preserve">Apparently, the concentration ranges of the metals detected were: Al: 15.4 to 320.6 mg/kg; Cu: 0.17 to 20.8 mg/kg; Fe: 31.9 to 743 mg/kg; and Zn: 45.5 to 86.1 mg/kg. The highest mean concentration of the heavy metal at all sampling points was Fe, followed by Zn, Al and Cu, as shown in Figure 2. </w:t>
      </w:r>
    </w:p>
    <w:p w:rsidR="00535D44" w:rsidRPr="00CA61B6" w:rsidRDefault="00BB46C0" w:rsidP="0041218D">
      <w:pPr>
        <w:jc w:val="both"/>
        <w:rPr>
          <w:sz w:val="22"/>
          <w:szCs w:val="22"/>
        </w:rPr>
      </w:pPr>
      <w:r w:rsidRPr="00CA61B6">
        <w:rPr>
          <w:sz w:val="22"/>
          <w:szCs w:val="22"/>
        </w:rPr>
        <w:br w:type="page"/>
      </w:r>
    </w:p>
    <w:p w:rsidR="00E827D7" w:rsidRDefault="003E0F8F" w:rsidP="00637BB1">
      <w:pPr>
        <w:jc w:val="center"/>
        <w:rPr>
          <w:sz w:val="18"/>
          <w:szCs w:val="18"/>
        </w:rPr>
      </w:pPr>
      <w:r w:rsidRPr="007B22C9">
        <w:rPr>
          <w:b/>
          <w:sz w:val="18"/>
          <w:szCs w:val="18"/>
        </w:rPr>
        <w:lastRenderedPageBreak/>
        <w:t xml:space="preserve">Table </w:t>
      </w:r>
      <w:r w:rsidR="00E827D7" w:rsidRPr="007B22C9">
        <w:rPr>
          <w:b/>
          <w:sz w:val="18"/>
          <w:szCs w:val="18"/>
        </w:rPr>
        <w:t>1</w:t>
      </w:r>
      <w:r w:rsidR="00F6133D" w:rsidRPr="007B22C9">
        <w:rPr>
          <w:b/>
          <w:sz w:val="18"/>
          <w:szCs w:val="18"/>
        </w:rPr>
        <w:t xml:space="preserve"> </w:t>
      </w:r>
      <w:r w:rsidR="00E827D7" w:rsidRPr="007B22C9">
        <w:rPr>
          <w:sz w:val="18"/>
          <w:szCs w:val="18"/>
        </w:rPr>
        <w:t xml:space="preserve">Heavy metals concentration (mg/kg) in fish samples at the three sampling points in </w:t>
      </w:r>
      <w:r w:rsidR="003F7F46" w:rsidRPr="007B22C9">
        <w:rPr>
          <w:sz w:val="18"/>
          <w:szCs w:val="18"/>
        </w:rPr>
        <w:t>throughout the study period</w:t>
      </w:r>
    </w:p>
    <w:p w:rsidR="00363360" w:rsidRPr="007B22C9" w:rsidRDefault="00363360" w:rsidP="00637BB1">
      <w:pPr>
        <w:jc w:val="center"/>
        <w:rPr>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1126"/>
        <w:gridCol w:w="1122"/>
        <w:gridCol w:w="1280"/>
        <w:gridCol w:w="1261"/>
        <w:gridCol w:w="1350"/>
        <w:gridCol w:w="1259"/>
        <w:gridCol w:w="1261"/>
        <w:gridCol w:w="1196"/>
      </w:tblGrid>
      <w:tr w:rsidR="008C6998" w:rsidRPr="007B22C9" w:rsidTr="00363360">
        <w:trPr>
          <w:trHeight w:val="512"/>
        </w:trPr>
        <w:tc>
          <w:tcPr>
            <w:tcW w:w="571" w:type="pct"/>
            <w:tcBorders>
              <w:top w:val="single" w:sz="4" w:space="0" w:color="auto"/>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b/>
              </w:rPr>
            </w:pPr>
            <w:r w:rsidRPr="007B22C9">
              <w:rPr>
                <w:rFonts w:eastAsia="Times New Roman"/>
                <w:b/>
              </w:rPr>
              <w:t>Point</w:t>
            </w:r>
          </w:p>
        </w:tc>
        <w:tc>
          <w:tcPr>
            <w:tcW w:w="569" w:type="pct"/>
            <w:tcBorders>
              <w:top w:val="single" w:sz="4" w:space="0" w:color="auto"/>
              <w:left w:val="nil"/>
              <w:bottom w:val="single" w:sz="4" w:space="0" w:color="auto"/>
              <w:right w:val="nil"/>
            </w:tcBorders>
            <w:shd w:val="clear" w:color="auto" w:fill="auto"/>
            <w:vAlign w:val="center"/>
          </w:tcPr>
          <w:p w:rsidR="003F7F46" w:rsidRPr="007B22C9" w:rsidRDefault="003F7F46" w:rsidP="00637BB1">
            <w:pPr>
              <w:jc w:val="center"/>
              <w:rPr>
                <w:rFonts w:eastAsia="Times New Roman"/>
                <w:b/>
                <w:bCs/>
              </w:rPr>
            </w:pPr>
            <w:r w:rsidRPr="007B22C9">
              <w:rPr>
                <w:rFonts w:eastAsia="Times New Roman"/>
                <w:b/>
                <w:bCs/>
              </w:rPr>
              <w:t xml:space="preserve">Al </w:t>
            </w:r>
          </w:p>
        </w:tc>
        <w:tc>
          <w:tcPr>
            <w:tcW w:w="649" w:type="pct"/>
            <w:tcBorders>
              <w:top w:val="single" w:sz="4" w:space="0" w:color="auto"/>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b/>
                <w:bCs/>
              </w:rPr>
            </w:pPr>
            <w:r w:rsidRPr="007B22C9">
              <w:rPr>
                <w:rFonts w:eastAsia="Times New Roman"/>
                <w:b/>
                <w:bCs/>
              </w:rPr>
              <w:t>As</w:t>
            </w:r>
          </w:p>
        </w:tc>
        <w:tc>
          <w:tcPr>
            <w:tcW w:w="640" w:type="pct"/>
            <w:tcBorders>
              <w:top w:val="single" w:sz="4" w:space="0" w:color="auto"/>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b/>
                <w:bCs/>
              </w:rPr>
            </w:pPr>
            <w:r w:rsidRPr="007B22C9">
              <w:rPr>
                <w:rFonts w:eastAsia="Times New Roman"/>
                <w:b/>
                <w:bCs/>
              </w:rPr>
              <w:t xml:space="preserve">Cd </w:t>
            </w:r>
          </w:p>
        </w:tc>
        <w:tc>
          <w:tcPr>
            <w:tcW w:w="685" w:type="pct"/>
            <w:tcBorders>
              <w:top w:val="single" w:sz="4" w:space="0" w:color="auto"/>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b/>
                <w:bCs/>
              </w:rPr>
            </w:pPr>
            <w:r w:rsidRPr="007B22C9">
              <w:rPr>
                <w:rFonts w:eastAsia="Times New Roman"/>
                <w:b/>
                <w:bCs/>
              </w:rPr>
              <w:t xml:space="preserve">Cu </w:t>
            </w:r>
          </w:p>
        </w:tc>
        <w:tc>
          <w:tcPr>
            <w:tcW w:w="639" w:type="pct"/>
            <w:tcBorders>
              <w:top w:val="single" w:sz="4" w:space="0" w:color="auto"/>
              <w:left w:val="nil"/>
              <w:bottom w:val="single" w:sz="4" w:space="0" w:color="auto"/>
              <w:right w:val="nil"/>
            </w:tcBorders>
            <w:shd w:val="clear" w:color="auto" w:fill="auto"/>
            <w:vAlign w:val="center"/>
          </w:tcPr>
          <w:p w:rsidR="003F7F46" w:rsidRPr="007B22C9" w:rsidRDefault="003F7F46" w:rsidP="00637BB1">
            <w:pPr>
              <w:jc w:val="center"/>
              <w:rPr>
                <w:rFonts w:eastAsia="Times New Roman"/>
                <w:b/>
                <w:bCs/>
              </w:rPr>
            </w:pPr>
            <w:r w:rsidRPr="007B22C9">
              <w:rPr>
                <w:rFonts w:eastAsia="Times New Roman"/>
                <w:b/>
                <w:bCs/>
              </w:rPr>
              <w:t xml:space="preserve">Fe </w:t>
            </w:r>
          </w:p>
        </w:tc>
        <w:tc>
          <w:tcPr>
            <w:tcW w:w="640" w:type="pct"/>
            <w:tcBorders>
              <w:top w:val="single" w:sz="4" w:space="0" w:color="auto"/>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b/>
                <w:bCs/>
              </w:rPr>
            </w:pPr>
            <w:r w:rsidRPr="007B22C9">
              <w:rPr>
                <w:rFonts w:eastAsia="Times New Roman"/>
                <w:b/>
                <w:bCs/>
              </w:rPr>
              <w:t xml:space="preserve">Pb </w:t>
            </w:r>
          </w:p>
        </w:tc>
        <w:tc>
          <w:tcPr>
            <w:tcW w:w="607" w:type="pct"/>
            <w:tcBorders>
              <w:top w:val="single" w:sz="4" w:space="0" w:color="auto"/>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b/>
                <w:bCs/>
              </w:rPr>
            </w:pPr>
            <w:r w:rsidRPr="007B22C9">
              <w:rPr>
                <w:rFonts w:eastAsia="Times New Roman"/>
                <w:b/>
                <w:bCs/>
              </w:rPr>
              <w:t xml:space="preserve">Zn </w:t>
            </w:r>
          </w:p>
        </w:tc>
      </w:tr>
      <w:tr w:rsidR="008C6998" w:rsidRPr="007B22C9" w:rsidTr="00363360">
        <w:trPr>
          <w:trHeight w:val="306"/>
        </w:trPr>
        <w:tc>
          <w:tcPr>
            <w:tcW w:w="571" w:type="pct"/>
            <w:tcBorders>
              <w:top w:val="single" w:sz="4" w:space="0" w:color="auto"/>
              <w:left w:val="nil"/>
              <w:bottom w:val="nil"/>
              <w:right w:val="nil"/>
            </w:tcBorders>
            <w:shd w:val="clear" w:color="auto" w:fill="auto"/>
            <w:noWrap/>
            <w:vAlign w:val="center"/>
            <w:hideMark/>
          </w:tcPr>
          <w:p w:rsidR="003F7F46" w:rsidRPr="007B22C9" w:rsidRDefault="003F7F46" w:rsidP="00637BB1">
            <w:pPr>
              <w:jc w:val="center"/>
              <w:rPr>
                <w:rFonts w:eastAsia="Times New Roman"/>
                <w:bCs/>
              </w:rPr>
            </w:pPr>
          </w:p>
        </w:tc>
        <w:tc>
          <w:tcPr>
            <w:tcW w:w="569" w:type="pct"/>
            <w:tcBorders>
              <w:top w:val="single" w:sz="4" w:space="0" w:color="auto"/>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41.5-89.7</w:t>
            </w:r>
          </w:p>
        </w:tc>
        <w:tc>
          <w:tcPr>
            <w:tcW w:w="649" w:type="pct"/>
            <w:tcBorders>
              <w:top w:val="single" w:sz="4" w:space="0" w:color="auto"/>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40" w:type="pct"/>
            <w:tcBorders>
              <w:top w:val="single" w:sz="4" w:space="0" w:color="auto"/>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85" w:type="pct"/>
            <w:tcBorders>
              <w:top w:val="single" w:sz="4" w:space="0" w:color="auto"/>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BDL-0.85</w:t>
            </w:r>
          </w:p>
        </w:tc>
        <w:tc>
          <w:tcPr>
            <w:tcW w:w="639" w:type="pct"/>
            <w:tcBorders>
              <w:top w:val="single" w:sz="4" w:space="0" w:color="auto"/>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66.3-211.1</w:t>
            </w:r>
          </w:p>
        </w:tc>
        <w:tc>
          <w:tcPr>
            <w:tcW w:w="640" w:type="pct"/>
            <w:tcBorders>
              <w:top w:val="single" w:sz="4" w:space="0" w:color="auto"/>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07" w:type="pct"/>
            <w:tcBorders>
              <w:top w:val="single" w:sz="4" w:space="0" w:color="auto"/>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56.4-70.7</w:t>
            </w:r>
          </w:p>
        </w:tc>
      </w:tr>
      <w:tr w:rsidR="008C6998" w:rsidRPr="007B22C9" w:rsidTr="00363360">
        <w:trPr>
          <w:trHeight w:val="306"/>
        </w:trPr>
        <w:tc>
          <w:tcPr>
            <w:tcW w:w="571"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bCs/>
              </w:rPr>
            </w:pPr>
          </w:p>
        </w:tc>
        <w:tc>
          <w:tcPr>
            <w:tcW w:w="56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57.0-100.3</w:t>
            </w:r>
          </w:p>
        </w:tc>
        <w:tc>
          <w:tcPr>
            <w:tcW w:w="649"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85"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1.19-2.03</w:t>
            </w:r>
          </w:p>
        </w:tc>
        <w:tc>
          <w:tcPr>
            <w:tcW w:w="63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74.1-221.3</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07"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52.4-82.9</w:t>
            </w:r>
          </w:p>
        </w:tc>
      </w:tr>
      <w:tr w:rsidR="008C6998" w:rsidRPr="007B22C9" w:rsidTr="00363360">
        <w:trPr>
          <w:trHeight w:val="306"/>
        </w:trPr>
        <w:tc>
          <w:tcPr>
            <w:tcW w:w="571"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bCs/>
              </w:rPr>
            </w:pPr>
            <w:r w:rsidRPr="007B22C9">
              <w:rPr>
                <w:rFonts w:eastAsia="Times New Roman"/>
                <w:bCs/>
              </w:rPr>
              <w:t xml:space="preserve">S 1 </w:t>
            </w:r>
          </w:p>
        </w:tc>
        <w:tc>
          <w:tcPr>
            <w:tcW w:w="56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32.0-149</w:t>
            </w:r>
          </w:p>
        </w:tc>
        <w:tc>
          <w:tcPr>
            <w:tcW w:w="649"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85"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0.54-1.07</w:t>
            </w:r>
          </w:p>
        </w:tc>
        <w:tc>
          <w:tcPr>
            <w:tcW w:w="63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51.3-338.6</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07"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61.1-63.3</w:t>
            </w:r>
          </w:p>
        </w:tc>
      </w:tr>
      <w:tr w:rsidR="008C6998" w:rsidRPr="007B22C9" w:rsidTr="00363360">
        <w:trPr>
          <w:trHeight w:val="306"/>
        </w:trPr>
        <w:tc>
          <w:tcPr>
            <w:tcW w:w="571"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bCs/>
              </w:rPr>
            </w:pPr>
          </w:p>
        </w:tc>
        <w:tc>
          <w:tcPr>
            <w:tcW w:w="56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27.7-59.4</w:t>
            </w:r>
          </w:p>
        </w:tc>
        <w:tc>
          <w:tcPr>
            <w:tcW w:w="649"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85"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0.43-20.8</w:t>
            </w:r>
          </w:p>
        </w:tc>
        <w:tc>
          <w:tcPr>
            <w:tcW w:w="63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69.2-142.4</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07"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63.3-72.9</w:t>
            </w:r>
          </w:p>
        </w:tc>
      </w:tr>
      <w:tr w:rsidR="008C6998" w:rsidRPr="007B22C9" w:rsidTr="00363360">
        <w:trPr>
          <w:trHeight w:val="306"/>
        </w:trPr>
        <w:tc>
          <w:tcPr>
            <w:tcW w:w="571"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bCs/>
              </w:rPr>
            </w:pPr>
          </w:p>
        </w:tc>
        <w:tc>
          <w:tcPr>
            <w:tcW w:w="56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32.6-162.2</w:t>
            </w:r>
          </w:p>
        </w:tc>
        <w:tc>
          <w:tcPr>
            <w:tcW w:w="649"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85"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0.35-2.06</w:t>
            </w:r>
          </w:p>
        </w:tc>
        <w:tc>
          <w:tcPr>
            <w:tcW w:w="63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69.4-424.9</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07"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59.1-63.0</w:t>
            </w:r>
          </w:p>
        </w:tc>
      </w:tr>
      <w:tr w:rsidR="008C6998" w:rsidRPr="007B22C9" w:rsidTr="00363360">
        <w:trPr>
          <w:trHeight w:val="322"/>
        </w:trPr>
        <w:tc>
          <w:tcPr>
            <w:tcW w:w="571" w:type="pct"/>
            <w:tcBorders>
              <w:top w:val="nil"/>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bCs/>
              </w:rPr>
            </w:pPr>
          </w:p>
        </w:tc>
        <w:tc>
          <w:tcPr>
            <w:tcW w:w="569" w:type="pct"/>
            <w:tcBorders>
              <w:top w:val="nil"/>
              <w:left w:val="nil"/>
              <w:bottom w:val="single" w:sz="4" w:space="0" w:color="auto"/>
              <w:right w:val="nil"/>
            </w:tcBorders>
            <w:vAlign w:val="center"/>
          </w:tcPr>
          <w:p w:rsidR="003F7F46" w:rsidRPr="007B22C9" w:rsidRDefault="003F7F46" w:rsidP="00637BB1">
            <w:pPr>
              <w:jc w:val="center"/>
              <w:rPr>
                <w:rFonts w:eastAsia="Times New Roman"/>
              </w:rPr>
            </w:pPr>
            <w:r w:rsidRPr="007B22C9">
              <w:rPr>
                <w:rFonts w:eastAsia="Times New Roman"/>
              </w:rPr>
              <w:t>30.4-320.6</w:t>
            </w:r>
          </w:p>
        </w:tc>
        <w:tc>
          <w:tcPr>
            <w:tcW w:w="649" w:type="pct"/>
            <w:tcBorders>
              <w:top w:val="nil"/>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40" w:type="pct"/>
            <w:tcBorders>
              <w:top w:val="nil"/>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85" w:type="pct"/>
            <w:tcBorders>
              <w:top w:val="nil"/>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BDL-5.61</w:t>
            </w:r>
          </w:p>
        </w:tc>
        <w:tc>
          <w:tcPr>
            <w:tcW w:w="639" w:type="pct"/>
            <w:tcBorders>
              <w:top w:val="nil"/>
              <w:left w:val="nil"/>
              <w:bottom w:val="single" w:sz="4" w:space="0" w:color="auto"/>
              <w:right w:val="nil"/>
            </w:tcBorders>
            <w:vAlign w:val="center"/>
          </w:tcPr>
          <w:p w:rsidR="003F7F46" w:rsidRPr="007B22C9" w:rsidRDefault="003F7F46" w:rsidP="00637BB1">
            <w:pPr>
              <w:jc w:val="center"/>
              <w:rPr>
                <w:rFonts w:eastAsia="Times New Roman"/>
              </w:rPr>
            </w:pPr>
            <w:r w:rsidRPr="007B22C9">
              <w:rPr>
                <w:rFonts w:eastAsia="Times New Roman"/>
              </w:rPr>
              <w:t>79.7-743.0</w:t>
            </w:r>
          </w:p>
        </w:tc>
        <w:tc>
          <w:tcPr>
            <w:tcW w:w="640" w:type="pct"/>
            <w:tcBorders>
              <w:top w:val="nil"/>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07" w:type="pct"/>
            <w:tcBorders>
              <w:top w:val="nil"/>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61.1-71.1</w:t>
            </w:r>
          </w:p>
        </w:tc>
      </w:tr>
      <w:tr w:rsidR="008C6998" w:rsidRPr="007B22C9" w:rsidTr="00363360">
        <w:trPr>
          <w:trHeight w:val="306"/>
        </w:trPr>
        <w:tc>
          <w:tcPr>
            <w:tcW w:w="571" w:type="pct"/>
            <w:tcBorders>
              <w:top w:val="single" w:sz="4" w:space="0" w:color="auto"/>
              <w:left w:val="nil"/>
              <w:bottom w:val="nil"/>
              <w:right w:val="nil"/>
            </w:tcBorders>
            <w:shd w:val="clear" w:color="auto" w:fill="auto"/>
            <w:noWrap/>
            <w:vAlign w:val="center"/>
            <w:hideMark/>
          </w:tcPr>
          <w:p w:rsidR="003F7F46" w:rsidRPr="007B22C9" w:rsidRDefault="003F7F46" w:rsidP="00637BB1">
            <w:pPr>
              <w:jc w:val="center"/>
              <w:rPr>
                <w:rFonts w:eastAsia="Times New Roman"/>
                <w:bCs/>
              </w:rPr>
            </w:pPr>
          </w:p>
        </w:tc>
        <w:tc>
          <w:tcPr>
            <w:tcW w:w="569" w:type="pct"/>
            <w:tcBorders>
              <w:top w:val="single" w:sz="4" w:space="0" w:color="auto"/>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23.1-60.9</w:t>
            </w:r>
          </w:p>
        </w:tc>
        <w:tc>
          <w:tcPr>
            <w:tcW w:w="649" w:type="pct"/>
            <w:tcBorders>
              <w:top w:val="single" w:sz="4" w:space="0" w:color="auto"/>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40" w:type="pct"/>
            <w:tcBorders>
              <w:top w:val="single" w:sz="4" w:space="0" w:color="auto"/>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85" w:type="pct"/>
            <w:tcBorders>
              <w:top w:val="single" w:sz="4" w:space="0" w:color="auto"/>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0.18-1.46</w:t>
            </w:r>
          </w:p>
        </w:tc>
        <w:tc>
          <w:tcPr>
            <w:tcW w:w="639" w:type="pct"/>
            <w:tcBorders>
              <w:top w:val="single" w:sz="4" w:space="0" w:color="auto"/>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51.6-141.7</w:t>
            </w:r>
          </w:p>
        </w:tc>
        <w:tc>
          <w:tcPr>
            <w:tcW w:w="640" w:type="pct"/>
            <w:tcBorders>
              <w:top w:val="single" w:sz="4" w:space="0" w:color="auto"/>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07" w:type="pct"/>
            <w:tcBorders>
              <w:top w:val="single" w:sz="4" w:space="0" w:color="auto"/>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66.2-86.1</w:t>
            </w:r>
          </w:p>
        </w:tc>
      </w:tr>
      <w:tr w:rsidR="008C6998" w:rsidRPr="007B22C9" w:rsidTr="00363360">
        <w:trPr>
          <w:trHeight w:val="306"/>
        </w:trPr>
        <w:tc>
          <w:tcPr>
            <w:tcW w:w="571"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bCs/>
              </w:rPr>
            </w:pPr>
          </w:p>
        </w:tc>
        <w:tc>
          <w:tcPr>
            <w:tcW w:w="56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22.8-62.1</w:t>
            </w:r>
          </w:p>
        </w:tc>
        <w:tc>
          <w:tcPr>
            <w:tcW w:w="649"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85"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1.54-0.69</w:t>
            </w:r>
          </w:p>
        </w:tc>
        <w:tc>
          <w:tcPr>
            <w:tcW w:w="63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69.5-139.3</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07"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55.6-62.5</w:t>
            </w:r>
          </w:p>
        </w:tc>
      </w:tr>
      <w:tr w:rsidR="008C6998" w:rsidRPr="007B22C9" w:rsidTr="00363360">
        <w:trPr>
          <w:trHeight w:val="306"/>
        </w:trPr>
        <w:tc>
          <w:tcPr>
            <w:tcW w:w="571"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bCs/>
              </w:rPr>
            </w:pPr>
            <w:r w:rsidRPr="007B22C9">
              <w:rPr>
                <w:rFonts w:eastAsia="Times New Roman"/>
                <w:bCs/>
              </w:rPr>
              <w:t xml:space="preserve">S 2 </w:t>
            </w:r>
          </w:p>
        </w:tc>
        <w:tc>
          <w:tcPr>
            <w:tcW w:w="56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29.1-59.5</w:t>
            </w:r>
          </w:p>
        </w:tc>
        <w:tc>
          <w:tcPr>
            <w:tcW w:w="649"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85"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1.46-0.62</w:t>
            </w:r>
          </w:p>
        </w:tc>
        <w:tc>
          <w:tcPr>
            <w:tcW w:w="63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79.6-120.2</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07"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60.5-71.6</w:t>
            </w:r>
          </w:p>
        </w:tc>
      </w:tr>
      <w:tr w:rsidR="008C6998" w:rsidRPr="007B22C9" w:rsidTr="00363360">
        <w:trPr>
          <w:trHeight w:val="306"/>
        </w:trPr>
        <w:tc>
          <w:tcPr>
            <w:tcW w:w="571"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bCs/>
              </w:rPr>
            </w:pPr>
          </w:p>
        </w:tc>
        <w:tc>
          <w:tcPr>
            <w:tcW w:w="56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25.1-52.4</w:t>
            </w:r>
          </w:p>
        </w:tc>
        <w:tc>
          <w:tcPr>
            <w:tcW w:w="649"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85"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0.18-0.89</w:t>
            </w:r>
          </w:p>
        </w:tc>
        <w:tc>
          <w:tcPr>
            <w:tcW w:w="63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49.7-131.9</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07"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50.3-67.5</w:t>
            </w:r>
          </w:p>
        </w:tc>
      </w:tr>
      <w:tr w:rsidR="008C6998" w:rsidRPr="007B22C9" w:rsidTr="00363360">
        <w:trPr>
          <w:trHeight w:val="306"/>
        </w:trPr>
        <w:tc>
          <w:tcPr>
            <w:tcW w:w="571"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bCs/>
              </w:rPr>
            </w:pPr>
          </w:p>
        </w:tc>
        <w:tc>
          <w:tcPr>
            <w:tcW w:w="56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26.2-136.8</w:t>
            </w:r>
          </w:p>
        </w:tc>
        <w:tc>
          <w:tcPr>
            <w:tcW w:w="649"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85"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b/>
              </w:rPr>
            </w:pPr>
            <w:r w:rsidRPr="007B22C9">
              <w:rPr>
                <w:rFonts w:eastAsia="Times New Roman"/>
              </w:rPr>
              <w:t>BDL-0.63</w:t>
            </w:r>
          </w:p>
        </w:tc>
        <w:tc>
          <w:tcPr>
            <w:tcW w:w="63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66.7-173</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07"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53.8-65.5</w:t>
            </w:r>
          </w:p>
        </w:tc>
      </w:tr>
      <w:tr w:rsidR="008C6998" w:rsidRPr="007B22C9" w:rsidTr="00363360">
        <w:trPr>
          <w:trHeight w:val="322"/>
        </w:trPr>
        <w:tc>
          <w:tcPr>
            <w:tcW w:w="571" w:type="pct"/>
            <w:tcBorders>
              <w:top w:val="nil"/>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bCs/>
              </w:rPr>
            </w:pPr>
          </w:p>
        </w:tc>
        <w:tc>
          <w:tcPr>
            <w:tcW w:w="569" w:type="pct"/>
            <w:tcBorders>
              <w:top w:val="nil"/>
              <w:left w:val="nil"/>
              <w:bottom w:val="single" w:sz="4" w:space="0" w:color="auto"/>
              <w:right w:val="nil"/>
            </w:tcBorders>
            <w:vAlign w:val="center"/>
          </w:tcPr>
          <w:p w:rsidR="003F7F46" w:rsidRPr="007B22C9" w:rsidRDefault="003F7F46" w:rsidP="00637BB1">
            <w:pPr>
              <w:jc w:val="center"/>
              <w:rPr>
                <w:rFonts w:eastAsia="Times New Roman"/>
              </w:rPr>
            </w:pPr>
            <w:r w:rsidRPr="007B22C9">
              <w:rPr>
                <w:rFonts w:eastAsia="Times New Roman"/>
              </w:rPr>
              <w:t>28.4-69.6</w:t>
            </w:r>
          </w:p>
        </w:tc>
        <w:tc>
          <w:tcPr>
            <w:tcW w:w="649" w:type="pct"/>
            <w:tcBorders>
              <w:top w:val="nil"/>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40" w:type="pct"/>
            <w:tcBorders>
              <w:top w:val="nil"/>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85" w:type="pct"/>
            <w:tcBorders>
              <w:top w:val="nil"/>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BDL-1.34</w:t>
            </w:r>
          </w:p>
        </w:tc>
        <w:tc>
          <w:tcPr>
            <w:tcW w:w="639" w:type="pct"/>
            <w:tcBorders>
              <w:top w:val="nil"/>
              <w:left w:val="nil"/>
              <w:bottom w:val="single" w:sz="4" w:space="0" w:color="auto"/>
              <w:right w:val="nil"/>
            </w:tcBorders>
            <w:vAlign w:val="center"/>
          </w:tcPr>
          <w:p w:rsidR="003F7F46" w:rsidRPr="007B22C9" w:rsidRDefault="003F7F46" w:rsidP="00637BB1">
            <w:pPr>
              <w:jc w:val="center"/>
              <w:rPr>
                <w:rFonts w:eastAsia="Times New Roman"/>
              </w:rPr>
            </w:pPr>
            <w:r w:rsidRPr="007B22C9">
              <w:rPr>
                <w:rFonts w:eastAsia="Times New Roman"/>
              </w:rPr>
              <w:t>72.0-148.9</w:t>
            </w:r>
          </w:p>
        </w:tc>
        <w:tc>
          <w:tcPr>
            <w:tcW w:w="640" w:type="pct"/>
            <w:tcBorders>
              <w:top w:val="nil"/>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07" w:type="pct"/>
            <w:tcBorders>
              <w:top w:val="nil"/>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59.1-63.4</w:t>
            </w:r>
          </w:p>
        </w:tc>
      </w:tr>
      <w:tr w:rsidR="008C6998" w:rsidRPr="007B22C9" w:rsidTr="00363360">
        <w:trPr>
          <w:trHeight w:val="306"/>
        </w:trPr>
        <w:tc>
          <w:tcPr>
            <w:tcW w:w="571" w:type="pct"/>
            <w:tcBorders>
              <w:top w:val="single" w:sz="4" w:space="0" w:color="auto"/>
              <w:left w:val="nil"/>
              <w:bottom w:val="nil"/>
              <w:right w:val="nil"/>
            </w:tcBorders>
            <w:shd w:val="clear" w:color="auto" w:fill="auto"/>
            <w:noWrap/>
            <w:vAlign w:val="center"/>
            <w:hideMark/>
          </w:tcPr>
          <w:p w:rsidR="003F7F46" w:rsidRPr="007B22C9" w:rsidRDefault="003F7F46" w:rsidP="00637BB1">
            <w:pPr>
              <w:jc w:val="center"/>
              <w:rPr>
                <w:rFonts w:eastAsia="Times New Roman"/>
                <w:bCs/>
              </w:rPr>
            </w:pPr>
          </w:p>
        </w:tc>
        <w:tc>
          <w:tcPr>
            <w:tcW w:w="569" w:type="pct"/>
            <w:tcBorders>
              <w:top w:val="single" w:sz="4" w:space="0" w:color="auto"/>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20.4-48.4</w:t>
            </w:r>
          </w:p>
        </w:tc>
        <w:tc>
          <w:tcPr>
            <w:tcW w:w="649" w:type="pct"/>
            <w:tcBorders>
              <w:top w:val="single" w:sz="4" w:space="0" w:color="auto"/>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40" w:type="pct"/>
            <w:tcBorders>
              <w:top w:val="single" w:sz="4" w:space="0" w:color="auto"/>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85" w:type="pct"/>
            <w:tcBorders>
              <w:top w:val="single" w:sz="4" w:space="0" w:color="auto"/>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BDL-0.17</w:t>
            </w:r>
          </w:p>
        </w:tc>
        <w:tc>
          <w:tcPr>
            <w:tcW w:w="639" w:type="pct"/>
            <w:tcBorders>
              <w:top w:val="single" w:sz="4" w:space="0" w:color="auto"/>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40.3-108.6</w:t>
            </w:r>
          </w:p>
        </w:tc>
        <w:tc>
          <w:tcPr>
            <w:tcW w:w="640" w:type="pct"/>
            <w:tcBorders>
              <w:top w:val="single" w:sz="4" w:space="0" w:color="auto"/>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07" w:type="pct"/>
            <w:tcBorders>
              <w:top w:val="single" w:sz="4" w:space="0" w:color="auto"/>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53.7-64.9</w:t>
            </w:r>
          </w:p>
        </w:tc>
      </w:tr>
      <w:tr w:rsidR="008C6998" w:rsidRPr="007B22C9" w:rsidTr="00363360">
        <w:trPr>
          <w:trHeight w:val="306"/>
        </w:trPr>
        <w:tc>
          <w:tcPr>
            <w:tcW w:w="571"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bCs/>
              </w:rPr>
            </w:pPr>
          </w:p>
        </w:tc>
        <w:tc>
          <w:tcPr>
            <w:tcW w:w="56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15.4-51.9</w:t>
            </w:r>
          </w:p>
        </w:tc>
        <w:tc>
          <w:tcPr>
            <w:tcW w:w="649"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85"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BDL-0.29</w:t>
            </w:r>
          </w:p>
        </w:tc>
        <w:tc>
          <w:tcPr>
            <w:tcW w:w="63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31.9-139.7</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07"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45.5-59.1</w:t>
            </w:r>
          </w:p>
        </w:tc>
      </w:tr>
      <w:tr w:rsidR="008C6998" w:rsidRPr="007B22C9" w:rsidTr="00363360">
        <w:trPr>
          <w:trHeight w:val="306"/>
        </w:trPr>
        <w:tc>
          <w:tcPr>
            <w:tcW w:w="571"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bCs/>
              </w:rPr>
            </w:pPr>
            <w:r w:rsidRPr="007B22C9">
              <w:rPr>
                <w:rFonts w:eastAsia="Times New Roman"/>
                <w:bCs/>
              </w:rPr>
              <w:t xml:space="preserve">S 3 </w:t>
            </w:r>
          </w:p>
        </w:tc>
        <w:tc>
          <w:tcPr>
            <w:tcW w:w="56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16.2-35.2</w:t>
            </w:r>
          </w:p>
        </w:tc>
        <w:tc>
          <w:tcPr>
            <w:tcW w:w="649"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85"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BDL-1.31</w:t>
            </w:r>
          </w:p>
        </w:tc>
        <w:tc>
          <w:tcPr>
            <w:tcW w:w="63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46.3-96.45</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07"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55.2-54.2</w:t>
            </w:r>
          </w:p>
        </w:tc>
      </w:tr>
      <w:tr w:rsidR="008C6998" w:rsidRPr="007B22C9" w:rsidTr="00363360">
        <w:trPr>
          <w:trHeight w:val="306"/>
        </w:trPr>
        <w:tc>
          <w:tcPr>
            <w:tcW w:w="571"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bCs/>
              </w:rPr>
            </w:pPr>
          </w:p>
        </w:tc>
        <w:tc>
          <w:tcPr>
            <w:tcW w:w="56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16.6-43.9</w:t>
            </w:r>
          </w:p>
        </w:tc>
        <w:tc>
          <w:tcPr>
            <w:tcW w:w="649"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85"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BDL-0.01</w:t>
            </w:r>
          </w:p>
        </w:tc>
        <w:tc>
          <w:tcPr>
            <w:tcW w:w="63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34.9-141.2</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07"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48.3-47.4</w:t>
            </w:r>
          </w:p>
        </w:tc>
      </w:tr>
      <w:tr w:rsidR="008C6998" w:rsidRPr="007B22C9" w:rsidTr="00363360">
        <w:trPr>
          <w:trHeight w:val="306"/>
        </w:trPr>
        <w:tc>
          <w:tcPr>
            <w:tcW w:w="571"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bCs/>
              </w:rPr>
            </w:pPr>
          </w:p>
        </w:tc>
        <w:tc>
          <w:tcPr>
            <w:tcW w:w="56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16.5-69.2</w:t>
            </w:r>
          </w:p>
        </w:tc>
        <w:tc>
          <w:tcPr>
            <w:tcW w:w="649"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85"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BDL-0.31</w:t>
            </w:r>
          </w:p>
        </w:tc>
        <w:tc>
          <w:tcPr>
            <w:tcW w:w="639" w:type="pct"/>
            <w:tcBorders>
              <w:top w:val="nil"/>
              <w:left w:val="nil"/>
              <w:bottom w:val="nil"/>
              <w:right w:val="nil"/>
            </w:tcBorders>
            <w:vAlign w:val="center"/>
          </w:tcPr>
          <w:p w:rsidR="003F7F46" w:rsidRPr="007B22C9" w:rsidRDefault="003F7F46" w:rsidP="00637BB1">
            <w:pPr>
              <w:jc w:val="center"/>
              <w:rPr>
                <w:rFonts w:eastAsia="Times New Roman"/>
              </w:rPr>
            </w:pPr>
            <w:r w:rsidRPr="007B22C9">
              <w:rPr>
                <w:rFonts w:eastAsia="Times New Roman"/>
              </w:rPr>
              <w:t>36.7-302.7</w:t>
            </w:r>
          </w:p>
        </w:tc>
        <w:tc>
          <w:tcPr>
            <w:tcW w:w="640"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07" w:type="pct"/>
            <w:tcBorders>
              <w:top w:val="nil"/>
              <w:left w:val="nil"/>
              <w:bottom w:val="nil"/>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50.6-45.7</w:t>
            </w:r>
          </w:p>
        </w:tc>
      </w:tr>
      <w:tr w:rsidR="008C6998" w:rsidRPr="007B22C9" w:rsidTr="00363360">
        <w:trPr>
          <w:trHeight w:val="322"/>
        </w:trPr>
        <w:tc>
          <w:tcPr>
            <w:tcW w:w="571" w:type="pct"/>
            <w:tcBorders>
              <w:top w:val="nil"/>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bCs/>
              </w:rPr>
            </w:pPr>
          </w:p>
        </w:tc>
        <w:tc>
          <w:tcPr>
            <w:tcW w:w="569" w:type="pct"/>
            <w:tcBorders>
              <w:top w:val="nil"/>
              <w:left w:val="nil"/>
              <w:bottom w:val="single" w:sz="4" w:space="0" w:color="auto"/>
              <w:right w:val="nil"/>
            </w:tcBorders>
            <w:vAlign w:val="center"/>
          </w:tcPr>
          <w:p w:rsidR="003F7F46" w:rsidRPr="007B22C9" w:rsidRDefault="003F7F46" w:rsidP="00637BB1">
            <w:pPr>
              <w:jc w:val="center"/>
              <w:rPr>
                <w:rFonts w:eastAsia="Times New Roman"/>
              </w:rPr>
            </w:pPr>
            <w:r w:rsidRPr="007B22C9">
              <w:rPr>
                <w:rFonts w:eastAsia="Times New Roman"/>
              </w:rPr>
              <w:t>19.8-47.4</w:t>
            </w:r>
          </w:p>
        </w:tc>
        <w:tc>
          <w:tcPr>
            <w:tcW w:w="649" w:type="pct"/>
            <w:tcBorders>
              <w:top w:val="nil"/>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40" w:type="pct"/>
            <w:tcBorders>
              <w:top w:val="nil"/>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85" w:type="pct"/>
            <w:tcBorders>
              <w:top w:val="nil"/>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0.41-1.18</w:t>
            </w:r>
          </w:p>
        </w:tc>
        <w:tc>
          <w:tcPr>
            <w:tcW w:w="639" w:type="pct"/>
            <w:tcBorders>
              <w:top w:val="nil"/>
              <w:left w:val="nil"/>
              <w:bottom w:val="single" w:sz="4" w:space="0" w:color="auto"/>
              <w:right w:val="nil"/>
            </w:tcBorders>
            <w:vAlign w:val="center"/>
          </w:tcPr>
          <w:p w:rsidR="003F7F46" w:rsidRPr="007B22C9" w:rsidRDefault="003F7F46" w:rsidP="00637BB1">
            <w:pPr>
              <w:jc w:val="center"/>
              <w:rPr>
                <w:rFonts w:eastAsia="Times New Roman"/>
              </w:rPr>
            </w:pPr>
            <w:r w:rsidRPr="007B22C9">
              <w:rPr>
                <w:rFonts w:eastAsia="Times New Roman"/>
              </w:rPr>
              <w:t>47.8-126.7</w:t>
            </w:r>
          </w:p>
        </w:tc>
        <w:tc>
          <w:tcPr>
            <w:tcW w:w="640" w:type="pct"/>
            <w:tcBorders>
              <w:top w:val="nil"/>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BDL</w:t>
            </w:r>
          </w:p>
        </w:tc>
        <w:tc>
          <w:tcPr>
            <w:tcW w:w="607" w:type="pct"/>
            <w:tcBorders>
              <w:top w:val="nil"/>
              <w:left w:val="nil"/>
              <w:bottom w:val="single" w:sz="4" w:space="0" w:color="auto"/>
              <w:right w:val="nil"/>
            </w:tcBorders>
            <w:shd w:val="clear" w:color="auto" w:fill="auto"/>
            <w:noWrap/>
            <w:vAlign w:val="center"/>
            <w:hideMark/>
          </w:tcPr>
          <w:p w:rsidR="003F7F46" w:rsidRPr="007B22C9" w:rsidRDefault="003F7F46" w:rsidP="00637BB1">
            <w:pPr>
              <w:jc w:val="center"/>
              <w:rPr>
                <w:rFonts w:eastAsia="Times New Roman"/>
              </w:rPr>
            </w:pPr>
            <w:r w:rsidRPr="007B22C9">
              <w:rPr>
                <w:rFonts w:eastAsia="Times New Roman"/>
              </w:rPr>
              <w:t>69.8-46.9</w:t>
            </w:r>
          </w:p>
        </w:tc>
      </w:tr>
    </w:tbl>
    <w:p w:rsidR="00E827D7" w:rsidRPr="007B22C9" w:rsidRDefault="00E827D7" w:rsidP="00637BB1">
      <w:pPr>
        <w:jc w:val="both"/>
        <w:rPr>
          <w:sz w:val="18"/>
          <w:szCs w:val="18"/>
        </w:rPr>
      </w:pPr>
      <w:r w:rsidRPr="007B22C9">
        <w:rPr>
          <w:rFonts w:eastAsia="Times New Roman"/>
          <w:color w:val="000000"/>
          <w:sz w:val="18"/>
          <w:szCs w:val="18"/>
          <w:vertAlign w:val="superscript"/>
        </w:rPr>
        <w:t>*</w:t>
      </w:r>
      <w:r w:rsidRPr="007B22C9">
        <w:rPr>
          <w:rFonts w:eastAsia="Times New Roman"/>
          <w:color w:val="000000"/>
          <w:sz w:val="18"/>
          <w:szCs w:val="18"/>
        </w:rPr>
        <w:t>Below detection limit</w:t>
      </w:r>
    </w:p>
    <w:p w:rsidR="00535D44" w:rsidRPr="007B22C9" w:rsidRDefault="00535D44" w:rsidP="00637BB1">
      <w:pPr>
        <w:jc w:val="both"/>
      </w:pPr>
    </w:p>
    <w:p w:rsidR="00375D3E" w:rsidRPr="005D2C2E" w:rsidRDefault="00375D3E" w:rsidP="00637BB1">
      <w:pPr>
        <w:jc w:val="both"/>
        <w:rPr>
          <w:sz w:val="24"/>
          <w:szCs w:val="24"/>
        </w:rPr>
      </w:pPr>
    </w:p>
    <w:p w:rsidR="00BB7D30" w:rsidRPr="003B44E0" w:rsidRDefault="00E96F92" w:rsidP="00637BB1">
      <w:pPr>
        <w:ind w:left="720"/>
        <w:jc w:val="center"/>
        <w:rPr>
          <w:sz w:val="24"/>
          <w:szCs w:val="24"/>
        </w:rPr>
      </w:pPr>
      <w:r>
        <w:rPr>
          <w:noProof/>
          <w:sz w:val="24"/>
          <w:szCs w:val="24"/>
          <w:lang w:eastAsia="ko-KR"/>
        </w:rPr>
        <w:drawing>
          <wp:inline distT="0" distB="0" distL="0" distR="0">
            <wp:extent cx="3616532" cy="1863355"/>
            <wp:effectExtent l="9519" t="3545" r="2974" b="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6133D" w:rsidRDefault="00F6133D" w:rsidP="00637BB1">
      <w:pPr>
        <w:ind w:left="720"/>
        <w:jc w:val="both"/>
      </w:pPr>
    </w:p>
    <w:p w:rsidR="00F6133D" w:rsidRPr="007B22C9" w:rsidRDefault="003E0F8F" w:rsidP="00637BB1">
      <w:pPr>
        <w:ind w:left="720"/>
        <w:jc w:val="center"/>
        <w:rPr>
          <w:sz w:val="18"/>
          <w:szCs w:val="18"/>
        </w:rPr>
      </w:pPr>
      <w:r w:rsidRPr="007B22C9">
        <w:rPr>
          <w:b/>
          <w:sz w:val="18"/>
          <w:szCs w:val="18"/>
        </w:rPr>
        <w:t>Figure 2</w:t>
      </w:r>
      <w:r w:rsidR="00BB7D30" w:rsidRPr="007B22C9">
        <w:rPr>
          <w:sz w:val="18"/>
          <w:szCs w:val="18"/>
        </w:rPr>
        <w:t xml:space="preserve"> Mean c</w:t>
      </w:r>
      <w:r w:rsidR="00F6133D" w:rsidRPr="007B22C9">
        <w:rPr>
          <w:sz w:val="18"/>
          <w:szCs w:val="18"/>
        </w:rPr>
        <w:t xml:space="preserve">oncentrations of Al, Cu, Fe and Zn at </w:t>
      </w:r>
      <w:r w:rsidR="00B90D84" w:rsidRPr="007B22C9">
        <w:rPr>
          <w:sz w:val="18"/>
          <w:szCs w:val="18"/>
        </w:rPr>
        <w:t>the sampling location</w:t>
      </w:r>
      <w:r w:rsidR="00F6133D" w:rsidRPr="007B22C9">
        <w:rPr>
          <w:sz w:val="18"/>
          <w:szCs w:val="18"/>
        </w:rPr>
        <w:t>.</w:t>
      </w:r>
    </w:p>
    <w:p w:rsidR="00535D44" w:rsidRDefault="00535D44" w:rsidP="00637BB1">
      <w:pPr>
        <w:jc w:val="both"/>
      </w:pPr>
    </w:p>
    <w:p w:rsidR="00897C9A" w:rsidRDefault="00315F1D" w:rsidP="00637BB1">
      <w:pPr>
        <w:jc w:val="both"/>
      </w:pPr>
      <w:r w:rsidRPr="007B22C9">
        <w:t>Fe recorded the highest concentration among the other heavy metals, with 207.61 mg/kg at S1</w:t>
      </w:r>
      <w:r w:rsidR="00897C9A" w:rsidRPr="007B22C9">
        <w:t xml:space="preserve"> which was near the sewage treatment plant</w:t>
      </w:r>
      <w:r w:rsidR="00107D01" w:rsidRPr="007B22C9">
        <w:t xml:space="preserve"> and paint factory,</w:t>
      </w:r>
      <w:r w:rsidR="00897C9A" w:rsidRPr="007B22C9">
        <w:t xml:space="preserve"> followed by 103.67 mg/kg at S2 (near the waste dumping area) and 96.10 mg/kg at S3. All the readings </w:t>
      </w:r>
      <w:r w:rsidRPr="007B22C9">
        <w:t xml:space="preserve">were very high compared to a similar study in Egypt </w:t>
      </w:r>
      <w:r w:rsidR="008C6400">
        <w:t xml:space="preserve">[4] </w:t>
      </w:r>
      <w:r w:rsidRPr="007B22C9">
        <w:t>of 42.81 mg/kg.</w:t>
      </w:r>
      <w:r w:rsidR="00897C9A" w:rsidRPr="007B22C9">
        <w:t xml:space="preserve"> </w:t>
      </w:r>
      <w:r w:rsidR="008C6400">
        <w:t>D</w:t>
      </w:r>
      <w:r w:rsidRPr="007B22C9">
        <w:t>ependent on species, individuals, habitats and sampling period</w:t>
      </w:r>
      <w:r w:rsidR="008C6400">
        <w:t>,</w:t>
      </w:r>
      <w:r w:rsidRPr="007B22C9">
        <w:t xml:space="preserve"> Fe concentrations were measured in species with more affinity for rocky bottoms and species with more affinity to sandy or muddy bottom.  This situation explains why the Fe concentrations were high at S1. The water condition was very muddy caused by the effluent discharge into the lake.</w:t>
      </w:r>
    </w:p>
    <w:p w:rsidR="00363360" w:rsidRPr="007B22C9" w:rsidRDefault="00363360" w:rsidP="00637BB1">
      <w:pPr>
        <w:jc w:val="both"/>
      </w:pPr>
    </w:p>
    <w:p w:rsidR="00315F1D" w:rsidRDefault="00315F1D" w:rsidP="00637BB1">
      <w:pPr>
        <w:jc w:val="both"/>
      </w:pPr>
      <w:r w:rsidRPr="007B22C9">
        <w:t xml:space="preserve">The Zn concentrations in </w:t>
      </w:r>
      <w:r w:rsidRPr="007B22C9">
        <w:rPr>
          <w:i/>
        </w:rPr>
        <w:t>Tilapia sp.</w:t>
      </w:r>
      <w:r w:rsidRPr="007B22C9">
        <w:t xml:space="preserve"> sampled did not differ much, with 64.78 mg/kg, 63.51 mg/kg and 53.42 mg/kg. </w:t>
      </w:r>
      <w:r w:rsidR="00897C9A" w:rsidRPr="007B22C9">
        <w:t xml:space="preserve">Similar to the amount of Zn in </w:t>
      </w:r>
      <w:r w:rsidR="00897C9A" w:rsidRPr="007B22C9">
        <w:rPr>
          <w:i/>
        </w:rPr>
        <w:t>Tilapia zill</w:t>
      </w:r>
      <w:r w:rsidRPr="007B22C9">
        <w:rPr>
          <w:i/>
        </w:rPr>
        <w:t>i</w:t>
      </w:r>
      <w:r w:rsidRPr="007B22C9">
        <w:t xml:space="preserve"> </w:t>
      </w:r>
      <w:r w:rsidR="008C6400">
        <w:t>[4]</w:t>
      </w:r>
      <w:r w:rsidRPr="007B22C9">
        <w:t xml:space="preserve"> that was 55.88 mg/kg</w:t>
      </w:r>
      <w:r w:rsidR="00897C9A" w:rsidRPr="007B22C9">
        <w:t xml:space="preserve">, they </w:t>
      </w:r>
      <w:r w:rsidRPr="007B22C9">
        <w:t>were</w:t>
      </w:r>
      <w:r w:rsidR="00897C9A" w:rsidRPr="007B22C9">
        <w:t xml:space="preserve"> all found</w:t>
      </w:r>
      <w:r w:rsidRPr="007B22C9">
        <w:t xml:space="preserve"> higher than the permissible level (40 mg/kg) recommended by Western Australian Food and Drink Regulations. However,</w:t>
      </w:r>
      <w:r w:rsidR="00897C9A" w:rsidRPr="007B22C9">
        <w:t xml:space="preserve"> they were still below the maximum allowable concentration (100 mg/kg) specified by the</w:t>
      </w:r>
      <w:r w:rsidRPr="007B22C9">
        <w:t xml:space="preserve"> Malaysian Food Act, 1983 (Malaysian Food and Drug Regulation)</w:t>
      </w:r>
      <w:r w:rsidR="00897C9A" w:rsidRPr="007B22C9">
        <w:t>. Zn</w:t>
      </w:r>
      <w:r w:rsidRPr="007B22C9">
        <w:t xml:space="preserve"> appears to have a proactive effect against</w:t>
      </w:r>
      <w:r w:rsidR="00897C9A" w:rsidRPr="007B22C9">
        <w:t xml:space="preserve"> toxicity of both Cd and Pb</w:t>
      </w:r>
      <w:r w:rsidR="008C6400">
        <w:t xml:space="preserve"> [5]</w:t>
      </w:r>
      <w:r w:rsidRPr="007B22C9">
        <w:t>.</w:t>
      </w:r>
    </w:p>
    <w:p w:rsidR="00363360" w:rsidRPr="007B22C9" w:rsidRDefault="00363360" w:rsidP="00637BB1">
      <w:pPr>
        <w:jc w:val="both"/>
      </w:pPr>
    </w:p>
    <w:p w:rsidR="00535D44" w:rsidRPr="007B22C9" w:rsidRDefault="00C374A9" w:rsidP="00637BB1">
      <w:pPr>
        <w:jc w:val="both"/>
      </w:pPr>
      <w:r w:rsidRPr="007B22C9">
        <w:t>T</w:t>
      </w:r>
      <w:r w:rsidR="00535D44" w:rsidRPr="007B22C9">
        <w:t>he highest concentration of Al was indicated at S1</w:t>
      </w:r>
      <w:r w:rsidRPr="007B22C9">
        <w:t xml:space="preserve">, </w:t>
      </w:r>
      <w:r w:rsidR="00535D44" w:rsidRPr="007B22C9">
        <w:t>followed by S2 and S3 with the concentration 91.87, 49.66 and 33.42 mg/kg</w:t>
      </w:r>
      <w:r w:rsidR="00897C9A" w:rsidRPr="007B22C9">
        <w:t xml:space="preserve"> respectively</w:t>
      </w:r>
      <w:r w:rsidR="00535D44" w:rsidRPr="007B22C9">
        <w:t>. Industrial waste, erosion, dissolution of minerals and salts, atmosph</w:t>
      </w:r>
      <w:r w:rsidRPr="007B22C9">
        <w:t xml:space="preserve">eric dust pollution and </w:t>
      </w:r>
      <w:r w:rsidRPr="007B22C9">
        <w:lastRenderedPageBreak/>
        <w:t>rain ar</w:t>
      </w:r>
      <w:r w:rsidR="00535D44" w:rsidRPr="007B22C9">
        <w:t>e the major activities th</w:t>
      </w:r>
      <w:r w:rsidR="00006200">
        <w:t>at promote the presence of Al. A previous stu</w:t>
      </w:r>
      <w:r w:rsidR="00535D44" w:rsidRPr="007B22C9">
        <w:t xml:space="preserve">dy </w:t>
      </w:r>
      <w:r w:rsidRPr="007B22C9">
        <w:t xml:space="preserve">observed </w:t>
      </w:r>
      <w:r w:rsidR="00535D44" w:rsidRPr="007B22C9">
        <w:t xml:space="preserve">the fish </w:t>
      </w:r>
      <w:r w:rsidR="00B4122A">
        <w:t>mortality</w:t>
      </w:r>
      <w:r w:rsidR="00535D44" w:rsidRPr="007B22C9">
        <w:t xml:space="preserve"> in mixing zones of rivers with difference acidizes and elevated levels of Al</w:t>
      </w:r>
      <w:r w:rsidR="00006200">
        <w:t xml:space="preserve"> [6]</w:t>
      </w:r>
      <w:r w:rsidR="00535D44" w:rsidRPr="007B22C9">
        <w:t>.</w:t>
      </w:r>
    </w:p>
    <w:p w:rsidR="00363360" w:rsidRDefault="00363360" w:rsidP="00637BB1">
      <w:pPr>
        <w:jc w:val="both"/>
      </w:pPr>
    </w:p>
    <w:p w:rsidR="00535D44" w:rsidRPr="007B22C9" w:rsidRDefault="00B90D84" w:rsidP="00637BB1">
      <w:pPr>
        <w:jc w:val="both"/>
      </w:pPr>
      <w:r w:rsidRPr="007B22C9">
        <w:t>Cu was found highest</w:t>
      </w:r>
      <w:r w:rsidR="00535D44" w:rsidRPr="007B22C9">
        <w:t xml:space="preserve"> S1 followed by S2 and S3 with the concentration 3.49, 0.89 and 0.53 mg/kg</w:t>
      </w:r>
      <w:r w:rsidRPr="007B22C9">
        <w:t xml:space="preserve"> respectively</w:t>
      </w:r>
      <w:r w:rsidR="00535D44" w:rsidRPr="007B22C9">
        <w:t xml:space="preserve">. </w:t>
      </w:r>
      <w:r w:rsidRPr="007B22C9">
        <w:t xml:space="preserve">Although it was still below the permissible level (30 mg/kg) of the Malaysian Food Act, 1983 (Malaysian Food and Drug Regulation 1985), they were </w:t>
      </w:r>
      <w:r w:rsidR="00535D44" w:rsidRPr="007B22C9">
        <w:t>high</w:t>
      </w:r>
      <w:r w:rsidRPr="007B22C9">
        <w:t>er than of those</w:t>
      </w:r>
      <w:r w:rsidR="00535D44" w:rsidRPr="007B22C9">
        <w:t xml:space="preserve"> in </w:t>
      </w:r>
      <w:r w:rsidR="00315F1D" w:rsidRPr="007B22C9">
        <w:rPr>
          <w:i/>
        </w:rPr>
        <w:t>Tilapia zill</w:t>
      </w:r>
      <w:r w:rsidR="00535D44" w:rsidRPr="007B22C9">
        <w:rPr>
          <w:i/>
        </w:rPr>
        <w:t>i</w:t>
      </w:r>
      <w:r w:rsidR="00535D44" w:rsidRPr="007B22C9">
        <w:t xml:space="preserve"> </w:t>
      </w:r>
      <w:r w:rsidR="00006200">
        <w:t>[4,7]</w:t>
      </w:r>
      <w:r w:rsidR="00535D44" w:rsidRPr="007B22C9">
        <w:t xml:space="preserve">. The toxicity of </w:t>
      </w:r>
      <w:r w:rsidRPr="007B22C9">
        <w:t>Cu however</w:t>
      </w:r>
      <w:r w:rsidR="00535D44" w:rsidRPr="007B22C9">
        <w:t xml:space="preserve"> depends upon the hardness and pH of water, and therefore, it is more toxic in soft water and in water with low alkalinity.</w:t>
      </w:r>
      <w:r w:rsidR="00363360">
        <w:t xml:space="preserve"> </w:t>
      </w:r>
      <w:r w:rsidR="00535D44" w:rsidRPr="007B22C9">
        <w:t>In this</w:t>
      </w:r>
      <w:r w:rsidR="00897C9A" w:rsidRPr="007B22C9">
        <w:t xml:space="preserve"> study, As, Cd and Pb concentrations were</w:t>
      </w:r>
      <w:r w:rsidR="00535D44" w:rsidRPr="007B22C9">
        <w:t xml:space="preserve"> below the detection limit where the concentrations were very low.</w:t>
      </w:r>
      <w:r w:rsidR="00535D44" w:rsidRPr="007B22C9">
        <w:rPr>
          <w:b/>
        </w:rPr>
        <w:t xml:space="preserve"> </w:t>
      </w:r>
      <w:r w:rsidR="00535D44" w:rsidRPr="007B22C9">
        <w:t xml:space="preserve">All these three heavy metal are toxic elements which have no known biological function and show their carcinogenic effect on aquatic biota and humans </w:t>
      </w:r>
      <w:r w:rsidR="00C53D08">
        <w:t>[8]</w:t>
      </w:r>
      <w:r w:rsidR="00535D44" w:rsidRPr="007B22C9">
        <w:t>. Although Cd detected in low concentration, it normally contained in the most mobile fraction in sediment and therefore can easily enter or transp</w:t>
      </w:r>
      <w:r w:rsidR="00C53D08">
        <w:t>orted to the food chains [9]</w:t>
      </w:r>
      <w:r w:rsidR="00535D44" w:rsidRPr="007B22C9">
        <w:t xml:space="preserve">. </w:t>
      </w:r>
    </w:p>
    <w:p w:rsidR="00363360" w:rsidRDefault="00363360" w:rsidP="00637BB1">
      <w:pPr>
        <w:tabs>
          <w:tab w:val="left" w:pos="9920"/>
        </w:tabs>
        <w:autoSpaceDE w:val="0"/>
        <w:autoSpaceDN w:val="0"/>
        <w:adjustRightInd w:val="0"/>
        <w:ind w:right="9"/>
        <w:jc w:val="both"/>
      </w:pPr>
    </w:p>
    <w:p w:rsidR="00D11C88" w:rsidRPr="007B22C9" w:rsidRDefault="00C53D08" w:rsidP="00637BB1">
      <w:pPr>
        <w:tabs>
          <w:tab w:val="left" w:pos="9920"/>
        </w:tabs>
        <w:autoSpaceDE w:val="0"/>
        <w:autoSpaceDN w:val="0"/>
        <w:adjustRightInd w:val="0"/>
        <w:ind w:right="9"/>
        <w:jc w:val="both"/>
      </w:pPr>
      <w:r>
        <w:t>W</w:t>
      </w:r>
      <w:r w:rsidR="00D11C88" w:rsidRPr="007B22C9">
        <w:t>hen fish are exposed to elevated metal levels in an aquatic environment, they can absorb the bioavailable metals directly from the environment via the gills and skin or through the ingestion of contaminated water and food, thus accumulates them in their tissues and enter the food chains and extent to many other problems to humans</w:t>
      </w:r>
      <w:r>
        <w:t xml:space="preserve"> [10]</w:t>
      </w:r>
      <w:r w:rsidR="00D11C88" w:rsidRPr="007B22C9">
        <w:t xml:space="preserve">. </w:t>
      </w:r>
      <w:r>
        <w:t xml:space="preserve"> O</w:t>
      </w:r>
      <w:r>
        <w:rPr>
          <w:bCs/>
          <w:iCs/>
        </w:rPr>
        <w:t>n the other hand, a study</w:t>
      </w:r>
      <w:r w:rsidR="00D11C88" w:rsidRPr="007B22C9">
        <w:rPr>
          <w:bCs/>
          <w:iCs/>
        </w:rPr>
        <w:t xml:space="preserve"> on</w:t>
      </w:r>
      <w:r w:rsidR="00D11C88" w:rsidRPr="007B22C9">
        <w:t xml:space="preserve"> S</w:t>
      </w:r>
      <w:r w:rsidR="00D11C88" w:rsidRPr="007B22C9">
        <w:rPr>
          <w:i/>
          <w:iCs/>
        </w:rPr>
        <w:t>ynodontis clarias</w:t>
      </w:r>
      <w:r w:rsidR="00D11C88" w:rsidRPr="007B22C9">
        <w:t xml:space="preserve"> concluded that the highest heavy metal concentration was at Station 1 (rural and agricultural runoff, continuous discharge of oily wastewaters from the flow station)</w:t>
      </w:r>
      <w:r>
        <w:t xml:space="preserve"> [2]</w:t>
      </w:r>
      <w:r w:rsidR="00D11C88" w:rsidRPr="007B22C9">
        <w:t xml:space="preserve">. In conclusion, the levels of Zn, Cd, Ni, Pb and Mn observed would have harmful effect on the health of the rural community in the study area. </w:t>
      </w:r>
    </w:p>
    <w:p w:rsidR="00363360" w:rsidRDefault="00363360" w:rsidP="00637BB1">
      <w:pPr>
        <w:tabs>
          <w:tab w:val="left" w:pos="9920"/>
        </w:tabs>
        <w:autoSpaceDE w:val="0"/>
        <w:autoSpaceDN w:val="0"/>
        <w:adjustRightInd w:val="0"/>
        <w:ind w:right="9"/>
        <w:jc w:val="both"/>
      </w:pPr>
    </w:p>
    <w:p w:rsidR="00D11C88" w:rsidRPr="007B22C9" w:rsidRDefault="00C53D08" w:rsidP="00637BB1">
      <w:pPr>
        <w:tabs>
          <w:tab w:val="left" w:pos="9920"/>
        </w:tabs>
        <w:autoSpaceDE w:val="0"/>
        <w:autoSpaceDN w:val="0"/>
        <w:adjustRightInd w:val="0"/>
        <w:ind w:right="9"/>
        <w:jc w:val="both"/>
      </w:pPr>
      <w:r>
        <w:t>S</w:t>
      </w:r>
      <w:r w:rsidR="00D11C88" w:rsidRPr="007B22C9">
        <w:t>ampling sites near large cities usually have significant amount of metal levels, unlike fish tissues from bog lakes that have very low metal levels, possibly because of the high concentrations of natural organic matter in these waters</w:t>
      </w:r>
      <w:r>
        <w:t xml:space="preserve"> [11]</w:t>
      </w:r>
      <w:r w:rsidR="00D11C88" w:rsidRPr="007B22C9">
        <w:t xml:space="preserve">. This fact is somehow consistent with </w:t>
      </w:r>
      <w:r>
        <w:t>other studies</w:t>
      </w:r>
      <w:r w:rsidR="00D11C88" w:rsidRPr="007B22C9">
        <w:t xml:space="preserve"> in which the varied presence of heavy metals throughout the lake sites was due to variations in the quantity, sources and mobility of the sediments</w:t>
      </w:r>
      <w:r>
        <w:t xml:space="preserve"> [12]</w:t>
      </w:r>
      <w:r w:rsidR="00D11C88" w:rsidRPr="007B22C9">
        <w:t xml:space="preserve">. </w:t>
      </w:r>
    </w:p>
    <w:p w:rsidR="00363360" w:rsidRDefault="00363360" w:rsidP="00637BB1">
      <w:pPr>
        <w:jc w:val="both"/>
      </w:pPr>
    </w:p>
    <w:p w:rsidR="00EC0A62" w:rsidRPr="007B22C9" w:rsidRDefault="00C53D08" w:rsidP="00637BB1">
      <w:pPr>
        <w:jc w:val="both"/>
      </w:pPr>
      <w:r>
        <w:t>I</w:t>
      </w:r>
      <w:r w:rsidR="00EC0A62" w:rsidRPr="007B22C9">
        <w:t>n Malaysia, the consumption of fish is estimated to be 21 kg/person/year or 0.06 kg/day</w:t>
      </w:r>
      <w:r>
        <w:t xml:space="preserve"> [13]</w:t>
      </w:r>
      <w:r w:rsidR="00EC0A62" w:rsidRPr="007B22C9">
        <w:t>. Many countries monitor the levels of toxic element in food due to heavy metal toxicity and other serious contamination of foods. However, the potential hazards of metals transferred to humans are probably dependent on amount of muscle consumed by an individual.</w:t>
      </w:r>
    </w:p>
    <w:p w:rsidR="003D7BC1" w:rsidRPr="007B22C9" w:rsidRDefault="003D7BC1" w:rsidP="00637BB1">
      <w:pPr>
        <w:pStyle w:val="Header1"/>
        <w:numPr>
          <w:ilvl w:val="0"/>
          <w:numId w:val="0"/>
        </w:numPr>
        <w:spacing w:before="0" w:after="0" w:line="240" w:lineRule="auto"/>
        <w:ind w:left="3"/>
        <w:jc w:val="both"/>
        <w:rPr>
          <w:b w:val="0"/>
          <w:sz w:val="20"/>
          <w:szCs w:val="20"/>
          <w:lang w:eastAsia="en-US"/>
        </w:rPr>
      </w:pPr>
    </w:p>
    <w:p w:rsidR="00535D44" w:rsidRPr="007B22C9" w:rsidRDefault="00535D44" w:rsidP="00637BB1">
      <w:pPr>
        <w:jc w:val="both"/>
        <w:rPr>
          <w:b/>
        </w:rPr>
      </w:pPr>
      <w:r w:rsidRPr="007B22C9">
        <w:rPr>
          <w:b/>
        </w:rPr>
        <w:t>Concentration of heavy metals in water sample</w:t>
      </w:r>
    </w:p>
    <w:p w:rsidR="00535D44" w:rsidRPr="007B22C9" w:rsidRDefault="00535D44" w:rsidP="00637BB1">
      <w:pPr>
        <w:jc w:val="both"/>
      </w:pPr>
      <w:r w:rsidRPr="007B22C9">
        <w:t xml:space="preserve">The water samples at each sampling </w:t>
      </w:r>
      <w:r w:rsidR="00D11574" w:rsidRPr="007B22C9">
        <w:t>point</w:t>
      </w:r>
      <w:r w:rsidRPr="007B22C9">
        <w:t xml:space="preserve"> </w:t>
      </w:r>
      <w:r w:rsidR="00D11574" w:rsidRPr="007B22C9">
        <w:t>were</w:t>
      </w:r>
      <w:r w:rsidR="00C5098C" w:rsidRPr="007B22C9">
        <w:t xml:space="preserve"> </w:t>
      </w:r>
      <w:r w:rsidRPr="007B22C9">
        <w:t xml:space="preserve">also was taken and analyzed by using ICP-OES.  The physio-chemical properties of the water samples were recorded in the Table </w:t>
      </w:r>
      <w:r w:rsidR="003E0F8F" w:rsidRPr="007B22C9">
        <w:t>2</w:t>
      </w:r>
      <w:r w:rsidRPr="007B22C9">
        <w:t xml:space="preserve">. </w:t>
      </w:r>
    </w:p>
    <w:p w:rsidR="00535D44" w:rsidRDefault="00535D44" w:rsidP="00637BB1">
      <w:pPr>
        <w:ind w:left="567"/>
        <w:jc w:val="both"/>
        <w:rPr>
          <w:sz w:val="24"/>
          <w:szCs w:val="24"/>
        </w:rPr>
      </w:pPr>
    </w:p>
    <w:p w:rsidR="00535D44" w:rsidRDefault="00535D44" w:rsidP="00637BB1">
      <w:pPr>
        <w:ind w:left="567"/>
        <w:jc w:val="center"/>
        <w:rPr>
          <w:sz w:val="18"/>
          <w:szCs w:val="18"/>
        </w:rPr>
      </w:pPr>
      <w:r w:rsidRPr="00E96F92">
        <w:rPr>
          <w:sz w:val="18"/>
          <w:szCs w:val="18"/>
        </w:rPr>
        <w:t xml:space="preserve">Table </w:t>
      </w:r>
      <w:r w:rsidR="003E0F8F" w:rsidRPr="00E96F92">
        <w:rPr>
          <w:sz w:val="18"/>
          <w:szCs w:val="18"/>
        </w:rPr>
        <w:t>2</w:t>
      </w:r>
      <w:r w:rsidRPr="007B22C9">
        <w:rPr>
          <w:sz w:val="18"/>
          <w:szCs w:val="18"/>
        </w:rPr>
        <w:t xml:space="preserve"> The physio-chemical properties of water of lake of Taman Mutiara, Puchong.</w:t>
      </w:r>
    </w:p>
    <w:p w:rsidR="00E96F92" w:rsidRPr="007B22C9" w:rsidRDefault="00E96F92" w:rsidP="00637BB1">
      <w:pPr>
        <w:ind w:left="567"/>
        <w:jc w:val="center"/>
        <w:rPr>
          <w:sz w:val="18"/>
          <w:szCs w:val="18"/>
        </w:rPr>
      </w:pPr>
    </w:p>
    <w:tbl>
      <w:tblPr>
        <w:tblW w:w="7585" w:type="dxa"/>
        <w:jc w:val="center"/>
        <w:tblInd w:w="675" w:type="dxa"/>
        <w:tblLook w:val="04A0"/>
      </w:tblPr>
      <w:tblGrid>
        <w:gridCol w:w="1442"/>
        <w:gridCol w:w="1608"/>
        <w:gridCol w:w="1999"/>
        <w:gridCol w:w="2536"/>
      </w:tblGrid>
      <w:tr w:rsidR="00375D3E" w:rsidRPr="007B22C9" w:rsidTr="00D11574">
        <w:trPr>
          <w:trHeight w:val="507"/>
          <w:jc w:val="center"/>
        </w:trPr>
        <w:tc>
          <w:tcPr>
            <w:tcW w:w="1442" w:type="dxa"/>
            <w:tcBorders>
              <w:top w:val="single" w:sz="4" w:space="0" w:color="auto"/>
              <w:bottom w:val="single" w:sz="4" w:space="0" w:color="auto"/>
            </w:tcBorders>
            <w:vAlign w:val="center"/>
          </w:tcPr>
          <w:p w:rsidR="00375D3E" w:rsidRPr="007B22C9" w:rsidRDefault="003E0F8F" w:rsidP="00637BB1">
            <w:pPr>
              <w:jc w:val="center"/>
            </w:pPr>
            <w:r w:rsidRPr="007B22C9">
              <w:t>Sampling point</w:t>
            </w:r>
          </w:p>
        </w:tc>
        <w:tc>
          <w:tcPr>
            <w:tcW w:w="1608" w:type="dxa"/>
            <w:tcBorders>
              <w:top w:val="single" w:sz="4" w:space="0" w:color="auto"/>
              <w:bottom w:val="single" w:sz="4" w:space="0" w:color="auto"/>
            </w:tcBorders>
            <w:vAlign w:val="center"/>
          </w:tcPr>
          <w:p w:rsidR="00375D3E" w:rsidRPr="007B22C9" w:rsidRDefault="00375D3E" w:rsidP="00637BB1">
            <w:pPr>
              <w:jc w:val="center"/>
            </w:pPr>
            <w:r w:rsidRPr="007B22C9">
              <w:t>pH</w:t>
            </w:r>
          </w:p>
        </w:tc>
        <w:tc>
          <w:tcPr>
            <w:tcW w:w="1999" w:type="dxa"/>
            <w:tcBorders>
              <w:top w:val="single" w:sz="4" w:space="0" w:color="auto"/>
              <w:bottom w:val="single" w:sz="4" w:space="0" w:color="auto"/>
            </w:tcBorders>
            <w:vAlign w:val="center"/>
          </w:tcPr>
          <w:p w:rsidR="00375D3E" w:rsidRPr="007B22C9" w:rsidRDefault="00375D3E" w:rsidP="00637BB1">
            <w:pPr>
              <w:jc w:val="center"/>
            </w:pPr>
            <w:r w:rsidRPr="007B22C9">
              <w:t>Temperature (</w:t>
            </w:r>
            <w:r w:rsidRPr="007B22C9">
              <w:rPr>
                <w:vertAlign w:val="superscript"/>
              </w:rPr>
              <w:t>o</w:t>
            </w:r>
            <w:r w:rsidRPr="007B22C9">
              <w:t>C)</w:t>
            </w:r>
          </w:p>
        </w:tc>
        <w:tc>
          <w:tcPr>
            <w:tcW w:w="2536" w:type="dxa"/>
            <w:tcBorders>
              <w:top w:val="single" w:sz="4" w:space="0" w:color="auto"/>
              <w:bottom w:val="single" w:sz="4" w:space="0" w:color="auto"/>
            </w:tcBorders>
            <w:vAlign w:val="center"/>
          </w:tcPr>
          <w:p w:rsidR="00375D3E" w:rsidRPr="007B22C9" w:rsidRDefault="00375D3E" w:rsidP="00637BB1">
            <w:pPr>
              <w:jc w:val="center"/>
            </w:pPr>
            <w:r w:rsidRPr="007B22C9">
              <w:t>Dissolve</w:t>
            </w:r>
            <w:r w:rsidR="003E0F8F" w:rsidRPr="007B22C9">
              <w:t>d</w:t>
            </w:r>
            <w:r w:rsidRPr="007B22C9">
              <w:t xml:space="preserve"> Oxygen</w:t>
            </w:r>
            <w:r w:rsidR="00D11574" w:rsidRPr="007B22C9">
              <w:t xml:space="preserve"> </w:t>
            </w:r>
            <w:r w:rsidRPr="007B22C9">
              <w:t>(%)</w:t>
            </w:r>
          </w:p>
        </w:tc>
      </w:tr>
      <w:tr w:rsidR="00375D3E" w:rsidRPr="007B22C9" w:rsidTr="00D11574">
        <w:trPr>
          <w:trHeight w:val="258"/>
          <w:jc w:val="center"/>
        </w:trPr>
        <w:tc>
          <w:tcPr>
            <w:tcW w:w="1442" w:type="dxa"/>
            <w:tcBorders>
              <w:top w:val="single" w:sz="4" w:space="0" w:color="auto"/>
            </w:tcBorders>
            <w:vAlign w:val="center"/>
          </w:tcPr>
          <w:p w:rsidR="00375D3E" w:rsidRPr="007B22C9" w:rsidRDefault="00897C9A" w:rsidP="00637BB1">
            <w:pPr>
              <w:jc w:val="center"/>
            </w:pPr>
            <w:r w:rsidRPr="007B22C9">
              <w:t>S1</w:t>
            </w:r>
          </w:p>
        </w:tc>
        <w:tc>
          <w:tcPr>
            <w:tcW w:w="1608" w:type="dxa"/>
            <w:tcBorders>
              <w:top w:val="single" w:sz="4" w:space="0" w:color="auto"/>
            </w:tcBorders>
            <w:vAlign w:val="center"/>
          </w:tcPr>
          <w:p w:rsidR="00375D3E" w:rsidRPr="007B22C9" w:rsidRDefault="00375D3E" w:rsidP="00637BB1">
            <w:pPr>
              <w:jc w:val="center"/>
            </w:pPr>
            <w:r w:rsidRPr="007B22C9">
              <w:t>7.44</w:t>
            </w:r>
            <w:r w:rsidR="00D11574" w:rsidRPr="007B22C9">
              <w:t xml:space="preserve"> -</w:t>
            </w:r>
            <w:r w:rsidR="00897C9A" w:rsidRPr="007B22C9">
              <w:t xml:space="preserve"> 8.01</w:t>
            </w:r>
          </w:p>
        </w:tc>
        <w:tc>
          <w:tcPr>
            <w:tcW w:w="1999" w:type="dxa"/>
            <w:tcBorders>
              <w:top w:val="single" w:sz="4" w:space="0" w:color="auto"/>
            </w:tcBorders>
            <w:vAlign w:val="center"/>
          </w:tcPr>
          <w:p w:rsidR="00375D3E" w:rsidRPr="007B22C9" w:rsidRDefault="00897C9A" w:rsidP="00637BB1">
            <w:pPr>
              <w:jc w:val="center"/>
            </w:pPr>
            <w:r w:rsidRPr="007B22C9">
              <w:t>31.51-32.17</w:t>
            </w:r>
          </w:p>
        </w:tc>
        <w:tc>
          <w:tcPr>
            <w:tcW w:w="2536" w:type="dxa"/>
            <w:tcBorders>
              <w:top w:val="single" w:sz="4" w:space="0" w:color="auto"/>
            </w:tcBorders>
          </w:tcPr>
          <w:p w:rsidR="00375D3E" w:rsidRPr="007B22C9" w:rsidRDefault="00897C9A" w:rsidP="00637BB1">
            <w:pPr>
              <w:jc w:val="center"/>
            </w:pPr>
            <w:r w:rsidRPr="007B22C9">
              <w:t>0.37-0.43</w:t>
            </w:r>
          </w:p>
        </w:tc>
      </w:tr>
      <w:tr w:rsidR="00375D3E" w:rsidRPr="007B22C9" w:rsidTr="00D11574">
        <w:trPr>
          <w:trHeight w:val="250"/>
          <w:jc w:val="center"/>
        </w:trPr>
        <w:tc>
          <w:tcPr>
            <w:tcW w:w="1442" w:type="dxa"/>
            <w:vAlign w:val="center"/>
          </w:tcPr>
          <w:p w:rsidR="00375D3E" w:rsidRPr="007B22C9" w:rsidRDefault="00897C9A" w:rsidP="00637BB1">
            <w:pPr>
              <w:jc w:val="center"/>
            </w:pPr>
            <w:r w:rsidRPr="007B22C9">
              <w:t>S2</w:t>
            </w:r>
          </w:p>
        </w:tc>
        <w:tc>
          <w:tcPr>
            <w:tcW w:w="1608" w:type="dxa"/>
            <w:vAlign w:val="center"/>
          </w:tcPr>
          <w:p w:rsidR="00375D3E" w:rsidRPr="007B22C9" w:rsidRDefault="003E0F8F" w:rsidP="00637BB1">
            <w:pPr>
              <w:jc w:val="center"/>
            </w:pPr>
            <w:r w:rsidRPr="007B22C9">
              <w:t>7.38</w:t>
            </w:r>
            <w:r w:rsidR="00D11574" w:rsidRPr="007B22C9">
              <w:t xml:space="preserve"> </w:t>
            </w:r>
            <w:r w:rsidRPr="007B22C9">
              <w:t>-</w:t>
            </w:r>
            <w:r w:rsidR="00D11574" w:rsidRPr="007B22C9">
              <w:t xml:space="preserve"> </w:t>
            </w:r>
            <w:r w:rsidRPr="007B22C9">
              <w:t>7.85</w:t>
            </w:r>
          </w:p>
        </w:tc>
        <w:tc>
          <w:tcPr>
            <w:tcW w:w="1999" w:type="dxa"/>
            <w:vAlign w:val="center"/>
          </w:tcPr>
          <w:p w:rsidR="00375D3E" w:rsidRPr="007B22C9" w:rsidRDefault="003E0F8F" w:rsidP="00637BB1">
            <w:pPr>
              <w:jc w:val="center"/>
            </w:pPr>
            <w:r w:rsidRPr="007B22C9">
              <w:t>30.35-31.28</w:t>
            </w:r>
          </w:p>
        </w:tc>
        <w:tc>
          <w:tcPr>
            <w:tcW w:w="2536" w:type="dxa"/>
          </w:tcPr>
          <w:p w:rsidR="00375D3E" w:rsidRPr="007B22C9" w:rsidRDefault="00375D3E" w:rsidP="00637BB1">
            <w:pPr>
              <w:jc w:val="center"/>
            </w:pPr>
            <w:r w:rsidRPr="007B22C9">
              <w:t>0.75</w:t>
            </w:r>
            <w:r w:rsidR="003E0F8F" w:rsidRPr="007B22C9">
              <w:t>-0.83</w:t>
            </w:r>
          </w:p>
        </w:tc>
      </w:tr>
      <w:tr w:rsidR="00375D3E" w:rsidRPr="007B22C9" w:rsidTr="00D11574">
        <w:trPr>
          <w:trHeight w:val="258"/>
          <w:jc w:val="center"/>
        </w:trPr>
        <w:tc>
          <w:tcPr>
            <w:tcW w:w="1442" w:type="dxa"/>
            <w:tcBorders>
              <w:bottom w:val="single" w:sz="4" w:space="0" w:color="auto"/>
            </w:tcBorders>
            <w:vAlign w:val="center"/>
          </w:tcPr>
          <w:p w:rsidR="00375D3E" w:rsidRPr="007B22C9" w:rsidRDefault="00897C9A" w:rsidP="00637BB1">
            <w:pPr>
              <w:jc w:val="center"/>
            </w:pPr>
            <w:r w:rsidRPr="007B22C9">
              <w:t>S3</w:t>
            </w:r>
          </w:p>
        </w:tc>
        <w:tc>
          <w:tcPr>
            <w:tcW w:w="1608" w:type="dxa"/>
            <w:tcBorders>
              <w:bottom w:val="single" w:sz="4" w:space="0" w:color="auto"/>
            </w:tcBorders>
            <w:vAlign w:val="center"/>
          </w:tcPr>
          <w:p w:rsidR="00375D3E" w:rsidRPr="007B22C9" w:rsidRDefault="00375D3E" w:rsidP="00637BB1">
            <w:pPr>
              <w:jc w:val="center"/>
            </w:pPr>
            <w:r w:rsidRPr="007B22C9">
              <w:t>7.28</w:t>
            </w:r>
            <w:r w:rsidR="00D11574" w:rsidRPr="007B22C9">
              <w:t xml:space="preserve"> </w:t>
            </w:r>
            <w:r w:rsidR="003E0F8F" w:rsidRPr="007B22C9">
              <w:t>-</w:t>
            </w:r>
            <w:r w:rsidR="00D11574" w:rsidRPr="007B22C9">
              <w:t xml:space="preserve"> </w:t>
            </w:r>
            <w:r w:rsidR="003E0F8F" w:rsidRPr="007B22C9">
              <w:t>8.47</w:t>
            </w:r>
          </w:p>
        </w:tc>
        <w:tc>
          <w:tcPr>
            <w:tcW w:w="1999" w:type="dxa"/>
            <w:tcBorders>
              <w:bottom w:val="single" w:sz="4" w:space="0" w:color="auto"/>
            </w:tcBorders>
            <w:vAlign w:val="center"/>
          </w:tcPr>
          <w:p w:rsidR="00375D3E" w:rsidRPr="007B22C9" w:rsidRDefault="00375D3E" w:rsidP="00637BB1">
            <w:pPr>
              <w:jc w:val="center"/>
            </w:pPr>
            <w:r w:rsidRPr="007B22C9">
              <w:t>31.55</w:t>
            </w:r>
            <w:r w:rsidR="003E0F8F" w:rsidRPr="007B22C9">
              <w:t>-31.88</w:t>
            </w:r>
          </w:p>
        </w:tc>
        <w:tc>
          <w:tcPr>
            <w:tcW w:w="2536" w:type="dxa"/>
            <w:tcBorders>
              <w:bottom w:val="single" w:sz="4" w:space="0" w:color="auto"/>
            </w:tcBorders>
          </w:tcPr>
          <w:p w:rsidR="00375D3E" w:rsidRPr="007B22C9" w:rsidRDefault="003E0F8F" w:rsidP="00637BB1">
            <w:pPr>
              <w:jc w:val="center"/>
            </w:pPr>
            <w:r w:rsidRPr="007B22C9">
              <w:t>1.08-</w:t>
            </w:r>
            <w:r w:rsidR="00375D3E" w:rsidRPr="007B22C9">
              <w:t>1.27</w:t>
            </w:r>
          </w:p>
        </w:tc>
      </w:tr>
    </w:tbl>
    <w:p w:rsidR="00535D44" w:rsidRPr="007B22C9" w:rsidRDefault="00535D44" w:rsidP="00637BB1">
      <w:pPr>
        <w:ind w:left="567"/>
        <w:jc w:val="both"/>
      </w:pPr>
    </w:p>
    <w:p w:rsidR="00535D44" w:rsidRPr="007B22C9" w:rsidRDefault="00535D44" w:rsidP="00637BB1">
      <w:pPr>
        <w:autoSpaceDE w:val="0"/>
        <w:autoSpaceDN w:val="0"/>
        <w:adjustRightInd w:val="0"/>
        <w:jc w:val="both"/>
      </w:pPr>
      <w:r w:rsidRPr="007B22C9">
        <w:t xml:space="preserve">The pH values </w:t>
      </w:r>
      <w:r w:rsidR="001938FD" w:rsidRPr="007B22C9">
        <w:t xml:space="preserve">of </w:t>
      </w:r>
      <w:r w:rsidRPr="007B22C9">
        <w:t xml:space="preserve">this study </w:t>
      </w:r>
      <w:r w:rsidR="001938FD" w:rsidRPr="007B22C9">
        <w:t>(</w:t>
      </w:r>
      <w:r w:rsidRPr="007B22C9">
        <w:t>7.28 to 8.01</w:t>
      </w:r>
      <w:r w:rsidR="001938FD" w:rsidRPr="007B22C9">
        <w:t xml:space="preserve">) </w:t>
      </w:r>
      <w:r w:rsidRPr="007B22C9">
        <w:t xml:space="preserve">were in the range of </w:t>
      </w:r>
      <w:r w:rsidR="00C53D08">
        <w:t>a previous study in Bhopal</w:t>
      </w:r>
      <w:r w:rsidRPr="007B22C9">
        <w:t xml:space="preserve"> </w:t>
      </w:r>
      <w:r w:rsidR="00C53D08">
        <w:t xml:space="preserve">[8] </w:t>
      </w:r>
      <w:r w:rsidRPr="007B22C9">
        <w:t>where the pH values of water were alkaline (7.2 - 9.8). According to the report, these pH values might be attributed to sewage water discharge into the lake</w:t>
      </w:r>
      <w:r w:rsidR="00826F21" w:rsidRPr="007B22C9">
        <w:t>, which was similar to this study (discharge from</w:t>
      </w:r>
      <w:r w:rsidRPr="007B22C9">
        <w:t xml:space="preserve"> the sewage treatment plant</w:t>
      </w:r>
      <w:r w:rsidR="00826F21" w:rsidRPr="007B22C9">
        <w:t>)</w:t>
      </w:r>
      <w:r w:rsidR="00A36628" w:rsidRPr="007B22C9">
        <w:t>.</w:t>
      </w:r>
      <w:r w:rsidR="00E96F92">
        <w:t xml:space="preserve"> The </w:t>
      </w:r>
      <w:r w:rsidRPr="007B22C9">
        <w:t>temperatures were in the range of 30.42</w:t>
      </w:r>
      <w:r w:rsidR="00826F21" w:rsidRPr="007B22C9">
        <w:rPr>
          <w:vertAlign w:val="superscript"/>
        </w:rPr>
        <w:t xml:space="preserve"> o</w:t>
      </w:r>
      <w:r w:rsidR="00826F21" w:rsidRPr="007B22C9">
        <w:t>C</w:t>
      </w:r>
      <w:r w:rsidRPr="007B22C9">
        <w:t xml:space="preserve"> to 32.17</w:t>
      </w:r>
      <w:r w:rsidRPr="007B22C9">
        <w:rPr>
          <w:vertAlign w:val="superscript"/>
        </w:rPr>
        <w:t>o</w:t>
      </w:r>
      <w:r w:rsidRPr="007B22C9">
        <w:t>C</w:t>
      </w:r>
      <w:r w:rsidR="00826F21" w:rsidRPr="007B22C9">
        <w:t xml:space="preserve"> and varied at the three point</w:t>
      </w:r>
      <w:r w:rsidR="00742AD4" w:rsidRPr="007B22C9">
        <w:t>s</w:t>
      </w:r>
      <w:r w:rsidR="00826F21" w:rsidRPr="007B22C9">
        <w:t xml:space="preserve"> depending</w:t>
      </w:r>
      <w:r w:rsidRPr="007B22C9">
        <w:t xml:space="preserve"> on the surrounding factors such as </w:t>
      </w:r>
      <w:r w:rsidR="00826F21" w:rsidRPr="007B22C9">
        <w:t xml:space="preserve">vegetation. </w:t>
      </w:r>
      <w:r w:rsidRPr="007B22C9">
        <w:t>The dissolve</w:t>
      </w:r>
      <w:r w:rsidR="00D11574" w:rsidRPr="007B22C9">
        <w:t>d</w:t>
      </w:r>
      <w:r w:rsidRPr="007B22C9">
        <w:t xml:space="preserve"> oxygen concentrations of the water were very </w:t>
      </w:r>
      <w:r w:rsidR="00D11574" w:rsidRPr="007B22C9">
        <w:t xml:space="preserve">low where the value ranges from </w:t>
      </w:r>
      <w:r w:rsidRPr="007B22C9">
        <w:t>0.37 to 1.27 mg/L</w:t>
      </w:r>
      <w:r w:rsidR="00742AD4" w:rsidRPr="007B22C9">
        <w:t>, which were lower than of those</w:t>
      </w:r>
      <w:r w:rsidRPr="007B22C9">
        <w:t xml:space="preserve"> </w:t>
      </w:r>
      <w:r w:rsidR="00C53D08">
        <w:t xml:space="preserve">in the previous studies </w:t>
      </w:r>
      <w:r w:rsidR="00742AD4" w:rsidRPr="007B22C9">
        <w:t>at</w:t>
      </w:r>
      <w:r w:rsidRPr="007B22C9">
        <w:t xml:space="preserve"> </w:t>
      </w:r>
      <w:r w:rsidR="00C53D08" w:rsidRPr="007B22C9">
        <w:t xml:space="preserve">2.2 to 13.6 mg/L </w:t>
      </w:r>
      <w:r w:rsidR="00C53D08">
        <w:t xml:space="preserve">and </w:t>
      </w:r>
      <w:r w:rsidRPr="007B22C9">
        <w:t xml:space="preserve">7.11 to 8.33 mg/L </w:t>
      </w:r>
      <w:r w:rsidR="00742AD4" w:rsidRPr="007B22C9">
        <w:t>respectively</w:t>
      </w:r>
      <w:r w:rsidR="00C53D08">
        <w:t xml:space="preserve"> [8, 14]</w:t>
      </w:r>
      <w:r w:rsidRPr="007B22C9">
        <w:t xml:space="preserve">. </w:t>
      </w:r>
      <w:r w:rsidR="001D2345" w:rsidRPr="007B22C9">
        <w:t>O</w:t>
      </w:r>
      <w:r w:rsidRPr="007B22C9">
        <w:t xml:space="preserve">xygen depletion </w:t>
      </w:r>
      <w:r w:rsidR="001D2345" w:rsidRPr="007B22C9">
        <w:t>might suffocate the fish and other oxygen-consuming organisms, hence resulting in d</w:t>
      </w:r>
      <w:r w:rsidR="001D2345" w:rsidRPr="007B22C9">
        <w:rPr>
          <w:color w:val="000000"/>
        </w:rPr>
        <w:t>evastating effects on fish populations.</w:t>
      </w:r>
    </w:p>
    <w:p w:rsidR="00E96F92" w:rsidRDefault="00E96F92" w:rsidP="00637BB1">
      <w:pPr>
        <w:jc w:val="both"/>
      </w:pPr>
    </w:p>
    <w:p w:rsidR="00535D44" w:rsidRPr="007B22C9" w:rsidRDefault="00742AD4" w:rsidP="00637BB1">
      <w:pPr>
        <w:jc w:val="both"/>
      </w:pPr>
      <w:r w:rsidRPr="007B22C9">
        <w:t>Equivocally, the concentration</w:t>
      </w:r>
      <w:r w:rsidR="00535D44" w:rsidRPr="007B22C9">
        <w:t xml:space="preserve"> of Al</w:t>
      </w:r>
      <w:r w:rsidRPr="007B22C9">
        <w:t>, As, Cd, Cu, Fe, Pb and Zn was</w:t>
      </w:r>
      <w:r w:rsidR="00535D44" w:rsidRPr="007B22C9">
        <w:t xml:space="preserve"> </w:t>
      </w:r>
      <w:r w:rsidRPr="007B22C9">
        <w:t>ver</w:t>
      </w:r>
      <w:r w:rsidR="00535D44" w:rsidRPr="007B22C9">
        <w:t xml:space="preserve">y low and below the detection limit. This </w:t>
      </w:r>
      <w:r w:rsidRPr="007B22C9">
        <w:t xml:space="preserve">however is in agreement with a </w:t>
      </w:r>
      <w:r w:rsidR="00535D44" w:rsidRPr="007B22C9">
        <w:t>study</w:t>
      </w:r>
      <w:r w:rsidR="00C53D08">
        <w:t xml:space="preserve"> in Turkey</w:t>
      </w:r>
      <w:r w:rsidR="00535D44" w:rsidRPr="007B22C9">
        <w:t xml:space="preserve">, </w:t>
      </w:r>
      <w:r w:rsidRPr="007B22C9">
        <w:t>where the concentration</w:t>
      </w:r>
      <w:r w:rsidR="00535D44" w:rsidRPr="007B22C9">
        <w:t xml:space="preserve"> of heavy metal</w:t>
      </w:r>
      <w:r w:rsidRPr="007B22C9">
        <w:t xml:space="preserve">s in fish was </w:t>
      </w:r>
      <w:r w:rsidR="00535D44" w:rsidRPr="007B22C9">
        <w:t>high even the concentration o</w:t>
      </w:r>
      <w:r w:rsidRPr="007B22C9">
        <w:t>f heavy metals in the water was</w:t>
      </w:r>
      <w:r w:rsidR="00535D44" w:rsidRPr="007B22C9">
        <w:t xml:space="preserve"> low</w:t>
      </w:r>
      <w:r w:rsidR="00C53D08">
        <w:t xml:space="preserve"> [15]</w:t>
      </w:r>
      <w:r w:rsidR="00535D44" w:rsidRPr="007B22C9">
        <w:t xml:space="preserve">. </w:t>
      </w:r>
      <w:r w:rsidR="00FD6D3C" w:rsidRPr="007B22C9">
        <w:t>In</w:t>
      </w:r>
      <w:r w:rsidR="00535D44" w:rsidRPr="007B22C9">
        <w:t xml:space="preserve"> normal metabolism, fish </w:t>
      </w:r>
      <w:r w:rsidR="00FD6D3C" w:rsidRPr="007B22C9">
        <w:t>may up</w:t>
      </w:r>
      <w:r w:rsidR="00535D44" w:rsidRPr="007B22C9">
        <w:t xml:space="preserve">take </w:t>
      </w:r>
      <w:r w:rsidR="00FD6D3C" w:rsidRPr="007B22C9">
        <w:t>heavy</w:t>
      </w:r>
      <w:r w:rsidR="00535D44" w:rsidRPr="007B22C9">
        <w:t xml:space="preserve"> metals from water, food or sediment. However, the efficiency of metal uptake from contaminated water may differ in relation to ecological needs, metabolisms, and the contamination gradient of water, food and sediment as well as other environmental factors such as salinity, temperature and interacting agent.</w:t>
      </w:r>
      <w:r w:rsidR="00EC0A62" w:rsidRPr="007B22C9">
        <w:t xml:space="preserve"> </w:t>
      </w:r>
      <w:r w:rsidR="00C53D08">
        <w:t>E</w:t>
      </w:r>
      <w:r w:rsidR="00535D44" w:rsidRPr="007B22C9">
        <w:t>cological factors such as season, place of development, nutrient availability and temperature of water may cause inconsistency of</w:t>
      </w:r>
      <w:r w:rsidR="00CA61B6" w:rsidRPr="007B22C9">
        <w:t xml:space="preserve"> metals concentration in the flesh of the fish</w:t>
      </w:r>
      <w:r w:rsidR="00C53D08">
        <w:t xml:space="preserve"> [13]</w:t>
      </w:r>
      <w:r w:rsidR="00CA61B6" w:rsidRPr="007B22C9">
        <w:t>.</w:t>
      </w:r>
    </w:p>
    <w:p w:rsidR="00535D44" w:rsidRPr="007B22C9" w:rsidRDefault="00535D44" w:rsidP="00637BB1">
      <w:pPr>
        <w:ind w:left="720"/>
        <w:jc w:val="both"/>
      </w:pPr>
    </w:p>
    <w:p w:rsidR="00535D44" w:rsidRDefault="00535D44" w:rsidP="00637BB1">
      <w:pPr>
        <w:ind w:left="720"/>
        <w:jc w:val="both"/>
      </w:pPr>
    </w:p>
    <w:p w:rsidR="00E96F92" w:rsidRDefault="00E96F92" w:rsidP="00637BB1">
      <w:pPr>
        <w:ind w:left="720"/>
        <w:jc w:val="both"/>
      </w:pPr>
    </w:p>
    <w:p w:rsidR="00E96F92" w:rsidRPr="007B22C9" w:rsidRDefault="00E96F92" w:rsidP="00637BB1">
      <w:pPr>
        <w:ind w:left="720"/>
        <w:jc w:val="both"/>
      </w:pPr>
    </w:p>
    <w:p w:rsidR="00535D44" w:rsidRPr="007B22C9" w:rsidRDefault="00EC0A62" w:rsidP="00637BB1">
      <w:pPr>
        <w:jc w:val="both"/>
        <w:rPr>
          <w:b/>
        </w:rPr>
      </w:pPr>
      <w:r w:rsidRPr="007B22C9">
        <w:rPr>
          <w:b/>
        </w:rPr>
        <w:lastRenderedPageBreak/>
        <w:t xml:space="preserve"> </w:t>
      </w:r>
      <w:r w:rsidR="00535D44" w:rsidRPr="007B22C9">
        <w:rPr>
          <w:b/>
        </w:rPr>
        <w:t>Other fa</w:t>
      </w:r>
      <w:r w:rsidR="00B4122A">
        <w:rPr>
          <w:b/>
        </w:rPr>
        <w:t>ctor</w:t>
      </w:r>
      <w:r w:rsidR="004B5B72">
        <w:rPr>
          <w:b/>
        </w:rPr>
        <w:t>s that affect</w:t>
      </w:r>
      <w:r w:rsidR="00B4122A">
        <w:rPr>
          <w:b/>
        </w:rPr>
        <w:t xml:space="preserve"> the fish mortality</w:t>
      </w:r>
      <w:r w:rsidR="00535D44" w:rsidRPr="007B22C9">
        <w:rPr>
          <w:b/>
        </w:rPr>
        <w:t xml:space="preserve"> </w:t>
      </w:r>
    </w:p>
    <w:p w:rsidR="00EC0A62" w:rsidRPr="007B22C9" w:rsidRDefault="00EC0A62" w:rsidP="00637BB1">
      <w:pPr>
        <w:tabs>
          <w:tab w:val="left" w:pos="9920"/>
        </w:tabs>
        <w:ind w:right="9"/>
        <w:jc w:val="both"/>
      </w:pPr>
      <w:r w:rsidRPr="007B22C9">
        <w:t>Besides heavy metals from the previous mining operation, the nearby sewage treatment plant and the illegal waste dumping near the lake were the plausible</w:t>
      </w:r>
      <w:r w:rsidR="00C53D08">
        <w:t xml:space="preserve"> causes of the dead fish cases. I</w:t>
      </w:r>
      <w:r w:rsidRPr="007B22C9">
        <w:t>norganic tin compounds may be bioconcentrated by organisms, but data are limited</w:t>
      </w:r>
      <w:r w:rsidR="00C53D08">
        <w:t xml:space="preserve"> [16]</w:t>
      </w:r>
      <w:r w:rsidRPr="007B22C9">
        <w:t xml:space="preserve">. Toxic compound from the treatment plant could also be the culprit, that originates from industrial and commercial sources, stormwater, and inflow and infiltration from cracked pipes and leaky manhole covers. </w:t>
      </w:r>
    </w:p>
    <w:p w:rsidR="00E96F92" w:rsidRDefault="00E96F92" w:rsidP="00637BB1">
      <w:pPr>
        <w:tabs>
          <w:tab w:val="left" w:pos="9920"/>
        </w:tabs>
        <w:ind w:right="9"/>
        <w:jc w:val="both"/>
      </w:pPr>
    </w:p>
    <w:p w:rsidR="00535D44" w:rsidRPr="007B22C9" w:rsidRDefault="00535D44" w:rsidP="00637BB1">
      <w:pPr>
        <w:tabs>
          <w:tab w:val="left" w:pos="9920"/>
        </w:tabs>
        <w:ind w:right="9"/>
        <w:jc w:val="both"/>
      </w:pPr>
      <w:r w:rsidRPr="007B22C9">
        <w:t>The</w:t>
      </w:r>
      <w:r w:rsidR="00CF666D" w:rsidRPr="007B22C9">
        <w:t xml:space="preserve"> sampling location also showed signs of eutrophication during the study, in which it was </w:t>
      </w:r>
      <w:r w:rsidRPr="007B22C9">
        <w:t xml:space="preserve">covered by dead </w:t>
      </w:r>
      <w:r w:rsidR="00D11C88" w:rsidRPr="007B22C9">
        <w:t>aquatic vegetations</w:t>
      </w:r>
      <w:r w:rsidR="00CF666D" w:rsidRPr="007B22C9">
        <w:t>. Nutrients and organic matter could be from the treated sewage flowing into</w:t>
      </w:r>
      <w:r w:rsidRPr="007B22C9">
        <w:t xml:space="preserve"> </w:t>
      </w:r>
      <w:r w:rsidR="00CF666D" w:rsidRPr="007B22C9">
        <w:t xml:space="preserve">the lake. </w:t>
      </w:r>
      <w:r w:rsidRPr="007B22C9">
        <w:t>T</w:t>
      </w:r>
      <w:r w:rsidR="00CF666D" w:rsidRPr="007B22C9">
        <w:t>his somehow</w:t>
      </w:r>
      <w:r w:rsidR="002B11E8" w:rsidRPr="007B22C9">
        <w:t xml:space="preserve"> </w:t>
      </w:r>
      <w:r w:rsidR="00CF666D" w:rsidRPr="007B22C9">
        <w:t>affected</w:t>
      </w:r>
      <w:r w:rsidRPr="007B22C9">
        <w:t xml:space="preserve"> the </w:t>
      </w:r>
      <w:r w:rsidRPr="007B22C9">
        <w:rPr>
          <w:bCs/>
        </w:rPr>
        <w:t xml:space="preserve">availability of </w:t>
      </w:r>
      <w:r w:rsidR="002B11E8" w:rsidRPr="007B22C9">
        <w:rPr>
          <w:bCs/>
        </w:rPr>
        <w:t xml:space="preserve">dissolved </w:t>
      </w:r>
      <w:r w:rsidRPr="007B22C9">
        <w:rPr>
          <w:bCs/>
        </w:rPr>
        <w:t>oxygen</w:t>
      </w:r>
      <w:r w:rsidR="002B11E8" w:rsidRPr="007B22C9">
        <w:rPr>
          <w:bCs/>
        </w:rPr>
        <w:t xml:space="preserve"> and</w:t>
      </w:r>
      <w:r w:rsidRPr="007B22C9">
        <w:t xml:space="preserve"> pH</w:t>
      </w:r>
      <w:r w:rsidR="002B11E8" w:rsidRPr="007B22C9">
        <w:t>.</w:t>
      </w:r>
      <w:r w:rsidRPr="007B22C9">
        <w:t xml:space="preserve"> </w:t>
      </w:r>
    </w:p>
    <w:p w:rsidR="00BD7398" w:rsidRPr="007B22C9" w:rsidRDefault="00BD7398" w:rsidP="00637BB1">
      <w:pPr>
        <w:autoSpaceDE w:val="0"/>
        <w:autoSpaceDN w:val="0"/>
        <w:adjustRightInd w:val="0"/>
        <w:jc w:val="both"/>
      </w:pPr>
    </w:p>
    <w:p w:rsidR="00F66603" w:rsidRDefault="00D11C88" w:rsidP="00A57D9C">
      <w:pPr>
        <w:pStyle w:val="Header1"/>
        <w:numPr>
          <w:ilvl w:val="0"/>
          <w:numId w:val="0"/>
        </w:numPr>
        <w:spacing w:before="0" w:after="0" w:line="240" w:lineRule="auto"/>
        <w:ind w:left="357" w:hanging="357"/>
        <w:jc w:val="center"/>
        <w:rPr>
          <w:sz w:val="20"/>
          <w:szCs w:val="20"/>
          <w:lang w:val="en-GB"/>
        </w:rPr>
      </w:pPr>
      <w:r w:rsidRPr="007B22C9">
        <w:rPr>
          <w:sz w:val="20"/>
          <w:szCs w:val="20"/>
          <w:lang w:val="en-GB"/>
        </w:rPr>
        <w:t>C</w:t>
      </w:r>
      <w:r w:rsidR="00F66603" w:rsidRPr="007B22C9">
        <w:rPr>
          <w:sz w:val="20"/>
          <w:szCs w:val="20"/>
          <w:lang w:val="en-GB"/>
        </w:rPr>
        <w:t>onclusion</w:t>
      </w:r>
    </w:p>
    <w:p w:rsidR="00486F4F" w:rsidRDefault="00486F4F" w:rsidP="00637BB1">
      <w:pPr>
        <w:autoSpaceDE w:val="0"/>
        <w:autoSpaceDN w:val="0"/>
        <w:adjustRightInd w:val="0"/>
        <w:jc w:val="both"/>
      </w:pPr>
      <w:r w:rsidRPr="007B22C9">
        <w:t xml:space="preserve">The highest concentration of heavy metals determined in </w:t>
      </w:r>
      <w:r w:rsidR="00355A7D" w:rsidRPr="007B22C9">
        <w:t>the (</w:t>
      </w:r>
      <w:r w:rsidR="00355A7D" w:rsidRPr="007B22C9">
        <w:rPr>
          <w:i/>
        </w:rPr>
        <w:t>Tilapia sp</w:t>
      </w:r>
      <w:r w:rsidR="00355A7D" w:rsidRPr="007B22C9">
        <w:t xml:space="preserve">.) </w:t>
      </w:r>
      <w:r w:rsidRPr="007B22C9">
        <w:t xml:space="preserve">fish samples from the lake of Taman Mutiara, Puchong was Fe (31.93 to 743 mg/kg) followed by Al (15.39 to 320.6 mg/kg), Zn (Zn: 45.52 to 86.08 mg/kg) and Cu (0.17 to 20.78 mg/kg). However, the concentrations of As, Cd and Pb determined </w:t>
      </w:r>
      <w:r w:rsidR="00355A7D" w:rsidRPr="007B22C9">
        <w:t xml:space="preserve">were </w:t>
      </w:r>
      <w:r w:rsidRPr="007B22C9">
        <w:t>very low and below the detection limit. Apparently, the heavy metals concentrations were determined highest at S1 followed by S2 and S3</w:t>
      </w:r>
      <w:r w:rsidR="00355A7D" w:rsidRPr="007B22C9">
        <w:t>, which showed that t</w:t>
      </w:r>
      <w:r w:rsidRPr="007B22C9">
        <w:t xml:space="preserve">he discharge from the sewage treatment plant to the lake </w:t>
      </w:r>
      <w:r w:rsidR="00355A7D" w:rsidRPr="007B22C9">
        <w:t xml:space="preserve">might be the </w:t>
      </w:r>
      <w:r w:rsidRPr="007B22C9">
        <w:t>contribut</w:t>
      </w:r>
      <w:r w:rsidR="00355A7D" w:rsidRPr="007B22C9">
        <w:t>or of heavy metal accumulation and other possible pollutants in the fish samples</w:t>
      </w:r>
      <w:r w:rsidRPr="007B22C9">
        <w:t>. The concentrations of heavy metals in the water</w:t>
      </w:r>
      <w:r w:rsidRPr="007B22C9">
        <w:rPr>
          <w:b/>
        </w:rPr>
        <w:t xml:space="preserve"> </w:t>
      </w:r>
      <w:r w:rsidR="00107D01" w:rsidRPr="007B22C9">
        <w:t>were</w:t>
      </w:r>
      <w:r w:rsidRPr="007B22C9">
        <w:t xml:space="preserve"> very low and below the detection limit. The dissolve</w:t>
      </w:r>
      <w:r w:rsidR="00107D01" w:rsidRPr="007B22C9">
        <w:t>d</w:t>
      </w:r>
      <w:r w:rsidRPr="007B22C9">
        <w:t xml:space="preserve"> oxygen concentrations were very low (1.20 – 1.48 mg/L)</w:t>
      </w:r>
      <w:r w:rsidR="00107D01" w:rsidRPr="007B22C9">
        <w:t xml:space="preserve"> and the pH was between</w:t>
      </w:r>
      <w:r w:rsidRPr="007B22C9">
        <w:t xml:space="preserve"> 7.28 to 8.47</w:t>
      </w:r>
      <w:r w:rsidR="00107D01" w:rsidRPr="007B22C9">
        <w:t>, presumably due</w:t>
      </w:r>
      <w:r w:rsidRPr="007B22C9">
        <w:t xml:space="preserve"> to</w:t>
      </w:r>
      <w:r w:rsidR="00107D01" w:rsidRPr="007B22C9">
        <w:t xml:space="preserve"> the sewage</w:t>
      </w:r>
      <w:r w:rsidRPr="007B22C9">
        <w:t xml:space="preserve"> discharge into the lake.</w:t>
      </w:r>
    </w:p>
    <w:p w:rsidR="00E96F92" w:rsidRPr="007B22C9" w:rsidRDefault="00E96F92" w:rsidP="00637BB1">
      <w:pPr>
        <w:autoSpaceDE w:val="0"/>
        <w:autoSpaceDN w:val="0"/>
        <w:adjustRightInd w:val="0"/>
        <w:jc w:val="both"/>
      </w:pPr>
    </w:p>
    <w:p w:rsidR="00486F4F" w:rsidRPr="007B22C9" w:rsidRDefault="00486F4F" w:rsidP="00637BB1">
      <w:pPr>
        <w:autoSpaceDE w:val="0"/>
        <w:autoSpaceDN w:val="0"/>
        <w:adjustRightInd w:val="0"/>
        <w:jc w:val="both"/>
      </w:pPr>
      <w:r w:rsidRPr="007B22C9">
        <w:t xml:space="preserve">Most </w:t>
      </w:r>
      <w:r w:rsidR="00355A7D" w:rsidRPr="007B22C9">
        <w:t>of the metal</w:t>
      </w:r>
      <w:r w:rsidRPr="007B22C9">
        <w:t xml:space="preserve"> levels were lower than the maximum permissible limits of Malaysian Food Act, 1983 (Malaysian Food and Drug Regulation). The heavy metals conce</w:t>
      </w:r>
      <w:r w:rsidR="00107D01" w:rsidRPr="007B22C9">
        <w:t>ntrations in the fish sample might</w:t>
      </w:r>
      <w:r w:rsidRPr="007B22C9">
        <w:t xml:space="preserve"> not </w:t>
      </w:r>
      <w:r w:rsidR="00107D01" w:rsidRPr="007B22C9">
        <w:t xml:space="preserve">be the </w:t>
      </w:r>
      <w:r w:rsidRPr="007B22C9">
        <w:t xml:space="preserve">cause </w:t>
      </w:r>
      <w:r w:rsidR="00107D01" w:rsidRPr="007B22C9">
        <w:t xml:space="preserve">of </w:t>
      </w:r>
      <w:r w:rsidRPr="007B22C9">
        <w:t xml:space="preserve">the </w:t>
      </w:r>
      <w:r w:rsidR="00107D01" w:rsidRPr="007B22C9">
        <w:t xml:space="preserve">massive floating </w:t>
      </w:r>
      <w:r w:rsidRPr="007B22C9">
        <w:t>fish. However, bioaccumulation process may cause the concentration of the heavy metals in the fish muscle become higher in the future and may kill the fish in the lake.</w:t>
      </w:r>
      <w:r w:rsidR="00107D01" w:rsidRPr="007B22C9">
        <w:t xml:space="preserve"> </w:t>
      </w:r>
      <w:r w:rsidR="00E178B2" w:rsidRPr="007B22C9">
        <w:t>Another possible</w:t>
      </w:r>
      <w:r w:rsidRPr="007B22C9">
        <w:t xml:space="preserve"> factor </w:t>
      </w:r>
      <w:r w:rsidR="00E178B2" w:rsidRPr="007B22C9">
        <w:t xml:space="preserve">that </w:t>
      </w:r>
      <w:r w:rsidRPr="007B22C9">
        <w:t>contributes to the dead fish in the lake</w:t>
      </w:r>
      <w:r w:rsidR="00E178B2" w:rsidRPr="007B22C9">
        <w:t xml:space="preserve"> is e</w:t>
      </w:r>
      <w:r w:rsidRPr="007B22C9">
        <w:t>utrophication</w:t>
      </w:r>
      <w:r w:rsidR="00E178B2" w:rsidRPr="007B22C9">
        <w:t>, in which</w:t>
      </w:r>
      <w:r w:rsidRPr="007B22C9">
        <w:t xml:space="preserve"> the lake surf</w:t>
      </w:r>
      <w:r w:rsidR="00E178B2" w:rsidRPr="007B22C9">
        <w:t xml:space="preserve">ace was covered by aquatic </w:t>
      </w:r>
      <w:r w:rsidRPr="007B22C9">
        <w:t>plants</w:t>
      </w:r>
      <w:r w:rsidR="00E178B2" w:rsidRPr="007B22C9">
        <w:t xml:space="preserve"> within two months, hence causing</w:t>
      </w:r>
      <w:r w:rsidRPr="007B22C9">
        <w:t xml:space="preserve"> low</w:t>
      </w:r>
      <w:r w:rsidR="00E178B2" w:rsidRPr="007B22C9">
        <w:t>er</w:t>
      </w:r>
      <w:r w:rsidRPr="007B22C9">
        <w:t xml:space="preserve"> concentration</w:t>
      </w:r>
      <w:r w:rsidR="00E178B2" w:rsidRPr="007B22C9">
        <w:t>s</w:t>
      </w:r>
      <w:r w:rsidRPr="007B22C9">
        <w:t xml:space="preserve"> of dissolve</w:t>
      </w:r>
      <w:r w:rsidR="00355A7D" w:rsidRPr="007B22C9">
        <w:t>d</w:t>
      </w:r>
      <w:r w:rsidRPr="007B22C9">
        <w:t xml:space="preserve"> oxygen in the wate</w:t>
      </w:r>
      <w:r w:rsidR="00E178B2" w:rsidRPr="007B22C9">
        <w:t>r bodies.</w:t>
      </w:r>
    </w:p>
    <w:p w:rsidR="00F66603" w:rsidRPr="007B22C9" w:rsidRDefault="00F66603" w:rsidP="00637BB1">
      <w:pPr>
        <w:pStyle w:val="Header1"/>
        <w:numPr>
          <w:ilvl w:val="0"/>
          <w:numId w:val="0"/>
        </w:numPr>
        <w:spacing w:before="0" w:after="0" w:line="240" w:lineRule="auto"/>
        <w:ind w:firstLine="357"/>
        <w:jc w:val="both"/>
        <w:rPr>
          <w:b w:val="0"/>
          <w:sz w:val="20"/>
          <w:szCs w:val="20"/>
        </w:rPr>
      </w:pPr>
    </w:p>
    <w:p w:rsidR="007651C5" w:rsidRPr="007B22C9" w:rsidRDefault="007651C5" w:rsidP="00A57D9C">
      <w:pPr>
        <w:pStyle w:val="Header1"/>
        <w:numPr>
          <w:ilvl w:val="0"/>
          <w:numId w:val="0"/>
        </w:numPr>
        <w:spacing w:before="0" w:after="0" w:line="240" w:lineRule="auto"/>
        <w:ind w:left="357" w:hanging="357"/>
        <w:jc w:val="center"/>
        <w:rPr>
          <w:sz w:val="20"/>
          <w:szCs w:val="20"/>
        </w:rPr>
      </w:pPr>
      <w:r w:rsidRPr="007B22C9">
        <w:rPr>
          <w:sz w:val="20"/>
          <w:szCs w:val="20"/>
          <w:lang w:val="en-GB"/>
        </w:rPr>
        <w:t>Acknowledgements</w:t>
      </w:r>
    </w:p>
    <w:p w:rsidR="007651C5" w:rsidRPr="007B22C9" w:rsidRDefault="008C2A95" w:rsidP="00A57D9C">
      <w:pPr>
        <w:pStyle w:val="BodyText"/>
        <w:spacing w:afterLines="0" w:line="240" w:lineRule="auto"/>
        <w:ind w:firstLine="0"/>
        <w:rPr>
          <w:sz w:val="20"/>
        </w:rPr>
      </w:pPr>
      <w:r w:rsidRPr="007B22C9">
        <w:rPr>
          <w:sz w:val="20"/>
        </w:rPr>
        <w:t xml:space="preserve">The authors would like to thank </w:t>
      </w:r>
      <w:r w:rsidR="000D1510" w:rsidRPr="007B22C9">
        <w:rPr>
          <w:sz w:val="20"/>
        </w:rPr>
        <w:t xml:space="preserve">the Subang Jaya Municipal Council (MPSJ) </w:t>
      </w:r>
      <w:r w:rsidRPr="007B22C9">
        <w:rPr>
          <w:sz w:val="20"/>
        </w:rPr>
        <w:t xml:space="preserve">for </w:t>
      </w:r>
      <w:r w:rsidR="000D1510" w:rsidRPr="007B22C9">
        <w:rPr>
          <w:sz w:val="20"/>
        </w:rPr>
        <w:t>providing information and resources</w:t>
      </w:r>
      <w:r w:rsidRPr="007B22C9">
        <w:rPr>
          <w:sz w:val="20"/>
        </w:rPr>
        <w:t xml:space="preserve"> to carry out the study.</w:t>
      </w:r>
    </w:p>
    <w:p w:rsidR="00A57D9C" w:rsidRDefault="00A57D9C" w:rsidP="005527B9">
      <w:pPr>
        <w:pStyle w:val="Header1"/>
        <w:numPr>
          <w:ilvl w:val="0"/>
          <w:numId w:val="0"/>
        </w:numPr>
        <w:spacing w:before="0" w:after="0" w:line="240" w:lineRule="auto"/>
        <w:ind w:left="357" w:hanging="357"/>
        <w:jc w:val="both"/>
        <w:rPr>
          <w:sz w:val="20"/>
          <w:szCs w:val="20"/>
        </w:rPr>
      </w:pPr>
    </w:p>
    <w:p w:rsidR="007651C5" w:rsidRPr="007B22C9" w:rsidRDefault="008C2A95" w:rsidP="00E96F92">
      <w:pPr>
        <w:pStyle w:val="Header1"/>
        <w:numPr>
          <w:ilvl w:val="0"/>
          <w:numId w:val="0"/>
        </w:numPr>
        <w:spacing w:before="0" w:after="0" w:line="240" w:lineRule="auto"/>
        <w:ind w:left="357" w:hanging="357"/>
        <w:jc w:val="center"/>
        <w:rPr>
          <w:sz w:val="20"/>
          <w:szCs w:val="20"/>
        </w:rPr>
      </w:pPr>
      <w:r w:rsidRPr="007B22C9">
        <w:rPr>
          <w:sz w:val="20"/>
          <w:szCs w:val="20"/>
        </w:rPr>
        <w:t>References</w:t>
      </w:r>
    </w:p>
    <w:p w:rsidR="00E96F92" w:rsidRDefault="00A57D9C" w:rsidP="00E96F92">
      <w:pPr>
        <w:pStyle w:val="References"/>
        <w:numPr>
          <w:ilvl w:val="0"/>
          <w:numId w:val="8"/>
        </w:numPr>
        <w:spacing w:afterLines="0" w:line="240" w:lineRule="auto"/>
        <w:ind w:left="709" w:hanging="709"/>
        <w:jc w:val="both"/>
        <w:rPr>
          <w:rStyle w:val="Emphasis"/>
          <w:i w:val="0"/>
          <w:iCs w:val="0"/>
        </w:rPr>
      </w:pPr>
      <w:r w:rsidRPr="002344D3">
        <w:t xml:space="preserve">Mendil, M., Uluozlu, O.D, Hasdemir, E, Tuzen, M, Sari, H and Suicmez, M. (2005) Determination of trace metal levels in seven fish species in lake in Tokat, Turkey, </w:t>
      </w:r>
      <w:r w:rsidRPr="008C6400">
        <w:rPr>
          <w:rStyle w:val="st"/>
          <w:i/>
        </w:rPr>
        <w:t>Food Chemistry</w:t>
      </w:r>
      <w:r>
        <w:rPr>
          <w:rStyle w:val="st"/>
        </w:rPr>
        <w:t xml:space="preserve">, 90 (1-2), pg. </w:t>
      </w:r>
      <w:r w:rsidRPr="00A57D9C">
        <w:rPr>
          <w:rStyle w:val="Emphasis"/>
          <w:i w:val="0"/>
        </w:rPr>
        <w:t>175-179</w:t>
      </w:r>
      <w:r w:rsidR="008C6400">
        <w:rPr>
          <w:rStyle w:val="Emphasis"/>
          <w:i w:val="0"/>
        </w:rPr>
        <w:t>.</w:t>
      </w:r>
    </w:p>
    <w:p w:rsidR="00E96F92" w:rsidRDefault="00E96F92" w:rsidP="00E96F92">
      <w:pPr>
        <w:pStyle w:val="References"/>
        <w:numPr>
          <w:ilvl w:val="0"/>
          <w:numId w:val="0"/>
        </w:numPr>
        <w:spacing w:afterLines="0" w:line="240" w:lineRule="auto"/>
        <w:ind w:left="709"/>
        <w:jc w:val="both"/>
        <w:rPr>
          <w:rStyle w:val="Emphasis"/>
          <w:i w:val="0"/>
          <w:iCs w:val="0"/>
        </w:rPr>
      </w:pPr>
    </w:p>
    <w:p w:rsidR="00E96F92" w:rsidRDefault="00A57D9C" w:rsidP="00E96F92">
      <w:pPr>
        <w:pStyle w:val="References"/>
        <w:numPr>
          <w:ilvl w:val="0"/>
          <w:numId w:val="8"/>
        </w:numPr>
        <w:spacing w:afterLines="0" w:line="240" w:lineRule="auto"/>
        <w:ind w:left="709" w:hanging="709"/>
        <w:jc w:val="both"/>
      </w:pPr>
      <w:r w:rsidRPr="00E96F92">
        <w:rPr>
          <w:iCs/>
        </w:rPr>
        <w:t>Agbozu,</w:t>
      </w:r>
      <w:r w:rsidRPr="002344D3">
        <w:t xml:space="preserve"> I.E,</w:t>
      </w:r>
      <w:r w:rsidRPr="00E96F92">
        <w:rPr>
          <w:iCs/>
        </w:rPr>
        <w:t xml:space="preserve"> Ekweozor, </w:t>
      </w:r>
      <w:r w:rsidRPr="002344D3">
        <w:t>I.K.E,</w:t>
      </w:r>
      <w:r w:rsidRPr="00E96F92">
        <w:rPr>
          <w:iCs/>
        </w:rPr>
        <w:t xml:space="preserve"> Opuene, K (2007)</w:t>
      </w:r>
      <w:r w:rsidRPr="002344D3">
        <w:t xml:space="preserve"> Survey of heavy metals in the catfish</w:t>
      </w:r>
      <w:r w:rsidRPr="00E96F92">
        <w:rPr>
          <w:i/>
          <w:iCs/>
        </w:rPr>
        <w:t xml:space="preserve"> Synodontis clarias</w:t>
      </w:r>
      <w:r w:rsidRPr="00E96F92">
        <w:rPr>
          <w:i/>
        </w:rPr>
        <w:t>. Int. J. Environ. Sci. Tech.,</w:t>
      </w:r>
      <w:r w:rsidRPr="002344D3">
        <w:t xml:space="preserve"> 4 (1): 93-97, 20.</w:t>
      </w:r>
    </w:p>
    <w:p w:rsidR="00E96F92" w:rsidRDefault="00E96F92" w:rsidP="00E96F92">
      <w:pPr>
        <w:pStyle w:val="References"/>
        <w:numPr>
          <w:ilvl w:val="0"/>
          <w:numId w:val="0"/>
        </w:numPr>
        <w:spacing w:afterLines="0" w:line="240" w:lineRule="auto"/>
        <w:ind w:left="709"/>
        <w:jc w:val="both"/>
      </w:pPr>
    </w:p>
    <w:p w:rsidR="00E96F92" w:rsidRDefault="008C6400" w:rsidP="00E96F92">
      <w:pPr>
        <w:pStyle w:val="References"/>
        <w:numPr>
          <w:ilvl w:val="0"/>
          <w:numId w:val="8"/>
        </w:numPr>
        <w:spacing w:afterLines="0" w:line="240" w:lineRule="auto"/>
        <w:ind w:left="709" w:hanging="709"/>
        <w:jc w:val="both"/>
      </w:pPr>
      <w:r w:rsidRPr="002344D3">
        <w:t xml:space="preserve">Wang, W.X (2002) Interactions of trace metals in different marine food chains, </w:t>
      </w:r>
      <w:r w:rsidRPr="00E96F92">
        <w:rPr>
          <w:rFonts w:eastAsia="Times New Roman"/>
          <w:i/>
          <w:lang w:eastAsia="en-US"/>
        </w:rPr>
        <w:t>Marine Ecology Progress Series</w:t>
      </w:r>
      <w:r w:rsidRPr="002344D3">
        <w:t xml:space="preserve"> </w:t>
      </w:r>
      <w:r>
        <w:t xml:space="preserve">243, </w:t>
      </w:r>
      <w:r w:rsidRPr="002344D3">
        <w:t>29</w:t>
      </w:r>
      <w:r>
        <w:t>5</w:t>
      </w:r>
      <w:r w:rsidRPr="002344D3">
        <w:t>-309.</w:t>
      </w:r>
    </w:p>
    <w:p w:rsidR="00E96F92" w:rsidRDefault="00E96F92" w:rsidP="00E96F92">
      <w:pPr>
        <w:pStyle w:val="References"/>
        <w:numPr>
          <w:ilvl w:val="0"/>
          <w:numId w:val="0"/>
        </w:numPr>
        <w:spacing w:afterLines="0" w:line="240" w:lineRule="auto"/>
        <w:ind w:left="709"/>
        <w:jc w:val="both"/>
      </w:pPr>
    </w:p>
    <w:p w:rsidR="00E96F92" w:rsidRDefault="008C6400" w:rsidP="00E96F92">
      <w:pPr>
        <w:pStyle w:val="References"/>
        <w:numPr>
          <w:ilvl w:val="0"/>
          <w:numId w:val="8"/>
        </w:numPr>
        <w:spacing w:afterLines="0" w:line="240" w:lineRule="auto"/>
        <w:ind w:left="709" w:hanging="709"/>
        <w:jc w:val="both"/>
      </w:pPr>
      <w:r>
        <w:t xml:space="preserve">Mohamed, F.A.S and Gad N.S (2008) Environmental pollution-induced biochemical changes in tissues of </w:t>
      </w:r>
      <w:r w:rsidRPr="00E96F92">
        <w:rPr>
          <w:i/>
        </w:rPr>
        <w:t xml:space="preserve">Tilapia zilli, Solea vulgaris </w:t>
      </w:r>
      <w:r w:rsidRPr="000007E5">
        <w:t>and</w:t>
      </w:r>
      <w:r w:rsidRPr="00E96F92">
        <w:rPr>
          <w:i/>
        </w:rPr>
        <w:t xml:space="preserve"> Mugil capito </w:t>
      </w:r>
      <w:r>
        <w:t xml:space="preserve">from Lake Qarun, Egypt. </w:t>
      </w:r>
      <w:r w:rsidRPr="00E96F92">
        <w:rPr>
          <w:i/>
        </w:rPr>
        <w:t>Global Veterinaria</w:t>
      </w:r>
      <w:r>
        <w:t xml:space="preserve"> 2(6), </w:t>
      </w:r>
      <w:r w:rsidRPr="000007E5">
        <w:t>327</w:t>
      </w:r>
      <w:r>
        <w:t>-336.</w:t>
      </w:r>
    </w:p>
    <w:p w:rsidR="00E96F92" w:rsidRDefault="00E96F92" w:rsidP="00E96F92">
      <w:pPr>
        <w:pStyle w:val="References"/>
        <w:numPr>
          <w:ilvl w:val="0"/>
          <w:numId w:val="0"/>
        </w:numPr>
        <w:spacing w:afterLines="0" w:line="240" w:lineRule="auto"/>
        <w:ind w:left="709"/>
        <w:jc w:val="both"/>
      </w:pPr>
    </w:p>
    <w:p w:rsidR="00E96F92" w:rsidRDefault="008C6400" w:rsidP="00E96F92">
      <w:pPr>
        <w:pStyle w:val="References"/>
        <w:numPr>
          <w:ilvl w:val="0"/>
          <w:numId w:val="8"/>
        </w:numPr>
        <w:spacing w:afterLines="0" w:line="240" w:lineRule="auto"/>
        <w:ind w:left="709" w:hanging="709"/>
        <w:jc w:val="both"/>
      </w:pPr>
      <w:r w:rsidRPr="002344D3">
        <w:t xml:space="preserve">Al-Weher, S.M (2008) Levels of heavy metals (Cd, Cu and Zn) in three fish species collected from Northern Jordan Valley, Jordan, </w:t>
      </w:r>
      <w:r w:rsidRPr="00E96F92">
        <w:rPr>
          <w:bCs/>
        </w:rPr>
        <w:t xml:space="preserve">Jordan </w:t>
      </w:r>
      <w:r w:rsidRPr="00E96F92">
        <w:rPr>
          <w:bCs/>
          <w:i/>
        </w:rPr>
        <w:t>J of Biological Sciences</w:t>
      </w:r>
      <w:r w:rsidRPr="00E96F92">
        <w:rPr>
          <w:bCs/>
        </w:rPr>
        <w:t xml:space="preserve">, </w:t>
      </w:r>
      <w:r w:rsidRPr="00E96F92">
        <w:rPr>
          <w:i/>
          <w:iCs/>
        </w:rPr>
        <w:t xml:space="preserve">Vol 1, pp </w:t>
      </w:r>
      <w:r w:rsidRPr="002344D3">
        <w:t>41-46.</w:t>
      </w:r>
    </w:p>
    <w:p w:rsidR="00E96F92" w:rsidRDefault="00E96F92" w:rsidP="00E96F92">
      <w:pPr>
        <w:pStyle w:val="References"/>
        <w:numPr>
          <w:ilvl w:val="0"/>
          <w:numId w:val="0"/>
        </w:numPr>
        <w:spacing w:afterLines="0" w:line="240" w:lineRule="auto"/>
        <w:ind w:left="709"/>
        <w:jc w:val="both"/>
      </w:pPr>
    </w:p>
    <w:p w:rsidR="00E96F92" w:rsidRDefault="008C6400" w:rsidP="00E96F92">
      <w:pPr>
        <w:pStyle w:val="References"/>
        <w:numPr>
          <w:ilvl w:val="0"/>
          <w:numId w:val="8"/>
        </w:numPr>
        <w:spacing w:afterLines="0" w:line="240" w:lineRule="auto"/>
        <w:ind w:left="709" w:hanging="709"/>
        <w:jc w:val="both"/>
      </w:pPr>
      <w:r w:rsidRPr="00E747F0">
        <w:t xml:space="preserve">Reitz, B., Heydorn, K., Pritzl, G. (1996). Determination of aluminium in fish tissues by means of INAA and ICP-MS. </w:t>
      </w:r>
      <w:r w:rsidRPr="00E96F92">
        <w:rPr>
          <w:i/>
        </w:rPr>
        <w:t>J of Radioanalytical and Nuclear Chemistry</w:t>
      </w:r>
      <w:r w:rsidRPr="00E747F0">
        <w:t xml:space="preserve"> 216(1), 113-116.</w:t>
      </w:r>
    </w:p>
    <w:p w:rsidR="00E96F92" w:rsidRDefault="00E96F92" w:rsidP="00E96F92">
      <w:pPr>
        <w:pStyle w:val="References"/>
        <w:numPr>
          <w:ilvl w:val="0"/>
          <w:numId w:val="0"/>
        </w:numPr>
        <w:spacing w:afterLines="0" w:line="240" w:lineRule="auto"/>
        <w:ind w:left="709"/>
        <w:jc w:val="both"/>
      </w:pPr>
    </w:p>
    <w:p w:rsidR="00E96F92" w:rsidRDefault="008C6400" w:rsidP="00E96F92">
      <w:pPr>
        <w:pStyle w:val="References"/>
        <w:numPr>
          <w:ilvl w:val="0"/>
          <w:numId w:val="8"/>
        </w:numPr>
        <w:spacing w:afterLines="0" w:line="240" w:lineRule="auto"/>
        <w:ind w:left="709" w:hanging="709"/>
        <w:jc w:val="both"/>
      </w:pPr>
      <w:r>
        <w:t xml:space="preserve">Zyadah, M.A (1999) Accumulation of some heavy metals in </w:t>
      </w:r>
      <w:r w:rsidRPr="00E96F92">
        <w:rPr>
          <w:i/>
        </w:rPr>
        <w:t>Tilapia zilli</w:t>
      </w:r>
      <w:r>
        <w:t xml:space="preserve"> organs from Lake Manzalah, Egypt. </w:t>
      </w:r>
      <w:r w:rsidRPr="00E96F92">
        <w:rPr>
          <w:i/>
        </w:rPr>
        <w:t>J.Zoology,</w:t>
      </w:r>
      <w:r>
        <w:t xml:space="preserve"> 23, 365-372.</w:t>
      </w:r>
    </w:p>
    <w:p w:rsidR="00E96F92" w:rsidRDefault="00E96F92" w:rsidP="00E96F92">
      <w:pPr>
        <w:pStyle w:val="References"/>
        <w:numPr>
          <w:ilvl w:val="0"/>
          <w:numId w:val="0"/>
        </w:numPr>
        <w:spacing w:afterLines="0" w:line="240" w:lineRule="auto"/>
        <w:ind w:left="709"/>
        <w:jc w:val="both"/>
      </w:pPr>
    </w:p>
    <w:p w:rsidR="00E96F92" w:rsidRDefault="00A5489B" w:rsidP="00E96F92">
      <w:pPr>
        <w:pStyle w:val="References"/>
        <w:numPr>
          <w:ilvl w:val="0"/>
          <w:numId w:val="8"/>
        </w:numPr>
        <w:spacing w:afterLines="0" w:line="240" w:lineRule="auto"/>
        <w:ind w:left="709" w:hanging="709"/>
        <w:jc w:val="both"/>
      </w:pPr>
      <w:r w:rsidRPr="002344D3">
        <w:t>Malik, N; Biswas, A.K.; Qureshi,T.A; Borana, K and Virha, R. (2008)</w:t>
      </w:r>
      <w:r w:rsidRPr="00E96F92">
        <w:rPr>
          <w:vertAlign w:val="superscript"/>
        </w:rPr>
        <w:t xml:space="preserve"> </w:t>
      </w:r>
      <w:r w:rsidRPr="002344D3">
        <w:t xml:space="preserve">Bioaccumulation of heavy metals in fish tissues of a freshwater lake of Bhopal, </w:t>
      </w:r>
      <w:r w:rsidRPr="00E96F92">
        <w:rPr>
          <w:i/>
        </w:rPr>
        <w:t>Environ Monit Assess</w:t>
      </w:r>
      <w:r w:rsidRPr="002344D3">
        <w:t xml:space="preserve">, </w:t>
      </w:r>
      <w:r>
        <w:t>160(1-4):267-276</w:t>
      </w:r>
      <w:r w:rsidRPr="002344D3">
        <w:t>.</w:t>
      </w:r>
    </w:p>
    <w:p w:rsidR="00E96F92" w:rsidRDefault="00E96F92" w:rsidP="00E96F92">
      <w:pPr>
        <w:pStyle w:val="References"/>
        <w:numPr>
          <w:ilvl w:val="0"/>
          <w:numId w:val="0"/>
        </w:numPr>
        <w:spacing w:afterLines="0" w:line="240" w:lineRule="auto"/>
        <w:jc w:val="both"/>
      </w:pPr>
    </w:p>
    <w:p w:rsidR="00E96F92" w:rsidRDefault="00A5489B" w:rsidP="00E96F92">
      <w:pPr>
        <w:pStyle w:val="References"/>
        <w:numPr>
          <w:ilvl w:val="0"/>
          <w:numId w:val="8"/>
        </w:numPr>
        <w:spacing w:afterLines="0" w:line="240" w:lineRule="auto"/>
        <w:ind w:left="709" w:hanging="709"/>
        <w:jc w:val="both"/>
      </w:pPr>
      <w:r>
        <w:t xml:space="preserve">A.K. Ahmad and M. Shuhaimi-Othman, 2010. Heavy Metal Concentrations in Sediments and Fishes from Lake Chini, Pahang, Malaysia. </w:t>
      </w:r>
      <w:r w:rsidRPr="00E96F92">
        <w:rPr>
          <w:i/>
          <w:iCs/>
        </w:rPr>
        <w:t xml:space="preserve">J of Biological Sciences, </w:t>
      </w:r>
      <w:r w:rsidRPr="00E96F92">
        <w:rPr>
          <w:iCs/>
        </w:rPr>
        <w:t>10: 93-100.</w:t>
      </w:r>
    </w:p>
    <w:p w:rsidR="00E96F92" w:rsidRDefault="00E96F92" w:rsidP="00E96F92">
      <w:pPr>
        <w:pStyle w:val="References"/>
        <w:numPr>
          <w:ilvl w:val="0"/>
          <w:numId w:val="0"/>
        </w:numPr>
        <w:spacing w:afterLines="0" w:line="240" w:lineRule="auto"/>
        <w:ind w:left="709"/>
        <w:jc w:val="both"/>
      </w:pPr>
    </w:p>
    <w:p w:rsidR="00E96F92" w:rsidRDefault="00A5489B" w:rsidP="00E96F92">
      <w:pPr>
        <w:pStyle w:val="References"/>
        <w:numPr>
          <w:ilvl w:val="0"/>
          <w:numId w:val="8"/>
        </w:numPr>
        <w:spacing w:afterLines="0" w:line="240" w:lineRule="auto"/>
        <w:ind w:left="709" w:hanging="709"/>
        <w:jc w:val="both"/>
      </w:pPr>
      <w:r w:rsidRPr="002344D3">
        <w:t>Nussey, G., Vuren, J., and Preez, H. (2006). Bioaccumulation of chromium, manganese, nickel and lead in the tissues of moggel</w:t>
      </w:r>
      <w:r w:rsidRPr="00E96F92">
        <w:rPr>
          <w:u w:val="single"/>
        </w:rPr>
        <w:t>,</w:t>
      </w:r>
      <w:r w:rsidRPr="002344D3">
        <w:t xml:space="preserve"> </w:t>
      </w:r>
      <w:r w:rsidRPr="00E96F92">
        <w:rPr>
          <w:i/>
        </w:rPr>
        <w:t>Labeo umbratus</w:t>
      </w:r>
      <w:r w:rsidRPr="002344D3">
        <w:t xml:space="preserve"> (Cyprinidae), from Withbank Dam, Mpumalanga</w:t>
      </w:r>
      <w:r w:rsidRPr="00E96F92">
        <w:rPr>
          <w:i/>
        </w:rPr>
        <w:t>. Water SA.</w:t>
      </w:r>
      <w:r w:rsidRPr="002344D3">
        <w:t xml:space="preserve"> 26 (2) 269-284.</w:t>
      </w:r>
    </w:p>
    <w:p w:rsidR="00E96F92" w:rsidRDefault="00A5489B" w:rsidP="00E96F92">
      <w:pPr>
        <w:pStyle w:val="References"/>
        <w:numPr>
          <w:ilvl w:val="0"/>
          <w:numId w:val="8"/>
        </w:numPr>
        <w:spacing w:afterLines="0" w:line="240" w:lineRule="auto"/>
        <w:ind w:left="709" w:hanging="709"/>
        <w:jc w:val="both"/>
      </w:pPr>
      <w:r w:rsidRPr="002344D3">
        <w:lastRenderedPageBreak/>
        <w:t xml:space="preserve">Klavins M.,, Potapovics O., Rodinov V. (2009) Heavy Metals in Fish from Lakes in Latvia: Concentrations and Trends of Changes. </w:t>
      </w:r>
      <w:r w:rsidRPr="00E96F92">
        <w:rPr>
          <w:i/>
        </w:rPr>
        <w:t>Bulletin of Env Contamination and Toxicology</w:t>
      </w:r>
      <w:r w:rsidRPr="002344D3">
        <w:t>. Vol. 82, pp 96–100.</w:t>
      </w:r>
    </w:p>
    <w:p w:rsidR="00E96F92" w:rsidRDefault="00E96F92" w:rsidP="00E96F92">
      <w:pPr>
        <w:pStyle w:val="References"/>
        <w:numPr>
          <w:ilvl w:val="0"/>
          <w:numId w:val="0"/>
        </w:numPr>
        <w:spacing w:afterLines="0" w:line="240" w:lineRule="auto"/>
        <w:ind w:left="709"/>
        <w:jc w:val="both"/>
      </w:pPr>
    </w:p>
    <w:p w:rsidR="00E96F92" w:rsidRDefault="00486F4F" w:rsidP="00E96F92">
      <w:pPr>
        <w:pStyle w:val="References"/>
        <w:numPr>
          <w:ilvl w:val="0"/>
          <w:numId w:val="8"/>
        </w:numPr>
        <w:spacing w:afterLines="0" w:line="240" w:lineRule="auto"/>
        <w:ind w:left="709" w:hanging="709"/>
        <w:jc w:val="both"/>
      </w:pPr>
      <w:r w:rsidRPr="00E96F92">
        <w:rPr>
          <w:iCs/>
        </w:rPr>
        <w:t xml:space="preserve">Abdel-Satar, A.M and Geneid, Y.A., (2009) </w:t>
      </w:r>
      <w:r w:rsidRPr="00E96F92">
        <w:rPr>
          <w:bCs/>
        </w:rPr>
        <w:t>Evaluation of Heavy Metal Status in Ecosystem of Lake Manzalah, Egypt.</w:t>
      </w:r>
      <w:r w:rsidRPr="002344D3">
        <w:t xml:space="preserve"> </w:t>
      </w:r>
      <w:r w:rsidRPr="00E96F92">
        <w:rPr>
          <w:i/>
        </w:rPr>
        <w:t>Global Journal of Environmental Research</w:t>
      </w:r>
      <w:r w:rsidRPr="002344D3">
        <w:t xml:space="preserve"> 3 (3): 194-204.</w:t>
      </w:r>
    </w:p>
    <w:p w:rsidR="00E96F92" w:rsidRDefault="00E96F92" w:rsidP="00E96F92">
      <w:pPr>
        <w:pStyle w:val="References"/>
        <w:numPr>
          <w:ilvl w:val="0"/>
          <w:numId w:val="0"/>
        </w:numPr>
        <w:spacing w:afterLines="0" w:line="240" w:lineRule="auto"/>
        <w:ind w:left="709"/>
        <w:jc w:val="both"/>
      </w:pPr>
    </w:p>
    <w:p w:rsidR="00E96F92" w:rsidRDefault="00A5489B" w:rsidP="00E96F92">
      <w:pPr>
        <w:pStyle w:val="References"/>
        <w:numPr>
          <w:ilvl w:val="0"/>
          <w:numId w:val="8"/>
        </w:numPr>
        <w:spacing w:afterLines="0" w:line="240" w:lineRule="auto"/>
        <w:ind w:left="709" w:hanging="709"/>
        <w:jc w:val="both"/>
      </w:pPr>
      <w:r w:rsidRPr="00A5489B">
        <w:rPr>
          <w:lang w:eastAsia="en-US"/>
        </w:rPr>
        <w:t xml:space="preserve">Irwandi, J and Farida, O (2009) Mineral and heavy metal contents of marine fin fish in Langkawi Island, Malaysia. </w:t>
      </w:r>
      <w:r w:rsidRPr="00E96F92">
        <w:rPr>
          <w:i/>
          <w:iCs/>
          <w:lang w:eastAsia="en-US"/>
        </w:rPr>
        <w:t xml:space="preserve">International Food Research Journal </w:t>
      </w:r>
      <w:r w:rsidRPr="00E96F92">
        <w:rPr>
          <w:iCs/>
          <w:lang w:eastAsia="en-US"/>
        </w:rPr>
        <w:t>16: 105-112.</w:t>
      </w:r>
    </w:p>
    <w:p w:rsidR="00E96F92" w:rsidRDefault="00E96F92" w:rsidP="00E96F92">
      <w:pPr>
        <w:pStyle w:val="References"/>
        <w:numPr>
          <w:ilvl w:val="0"/>
          <w:numId w:val="0"/>
        </w:numPr>
        <w:spacing w:afterLines="0" w:line="240" w:lineRule="auto"/>
        <w:ind w:left="709"/>
        <w:jc w:val="both"/>
      </w:pPr>
    </w:p>
    <w:p w:rsidR="00E96F92" w:rsidRDefault="00A5489B" w:rsidP="00E96F92">
      <w:pPr>
        <w:pStyle w:val="References"/>
        <w:numPr>
          <w:ilvl w:val="0"/>
          <w:numId w:val="8"/>
        </w:numPr>
        <w:spacing w:afterLines="0" w:line="240" w:lineRule="auto"/>
        <w:ind w:left="709" w:hanging="709"/>
        <w:jc w:val="both"/>
      </w:pPr>
      <w:r w:rsidRPr="002344D3">
        <w:t>Olaifa, F. G.; Olaifa, A. K.; Onwude, T. E., (2004). Lethal and sublethal effects of copper to the African Cat fish (</w:t>
      </w:r>
      <w:r w:rsidRPr="00E96F92">
        <w:rPr>
          <w:i/>
          <w:iCs/>
        </w:rPr>
        <w:t>Clarias gariepnus</w:t>
      </w:r>
      <w:r w:rsidRPr="002344D3">
        <w:t xml:space="preserve">). </w:t>
      </w:r>
      <w:r w:rsidRPr="00E96F92">
        <w:rPr>
          <w:i/>
        </w:rPr>
        <w:t>Afr. J. Biomed. Res</w:t>
      </w:r>
      <w:r w:rsidRPr="002344D3">
        <w:t>., 7, 65-70.</w:t>
      </w:r>
    </w:p>
    <w:p w:rsidR="00E96F92" w:rsidRDefault="00E96F92" w:rsidP="00E96F92">
      <w:pPr>
        <w:pStyle w:val="References"/>
        <w:numPr>
          <w:ilvl w:val="0"/>
          <w:numId w:val="0"/>
        </w:numPr>
        <w:spacing w:afterLines="0" w:line="240" w:lineRule="auto"/>
        <w:ind w:left="709"/>
        <w:jc w:val="both"/>
      </w:pPr>
    </w:p>
    <w:p w:rsidR="00E96F92" w:rsidRDefault="00A5489B" w:rsidP="00E96F92">
      <w:pPr>
        <w:pStyle w:val="References"/>
        <w:numPr>
          <w:ilvl w:val="0"/>
          <w:numId w:val="8"/>
        </w:numPr>
        <w:spacing w:afterLines="0" w:line="240" w:lineRule="auto"/>
        <w:ind w:left="709" w:hanging="709"/>
        <w:jc w:val="both"/>
      </w:pPr>
      <w:r w:rsidRPr="00E96F92">
        <w:rPr>
          <w:rStyle w:val="A5"/>
          <w:bCs/>
        </w:rPr>
        <w:t xml:space="preserve">Öztürk,M., Özözen,G., Minareci,O., Minareci, E. (2009) </w:t>
      </w:r>
      <w:r w:rsidRPr="00E96F92">
        <w:rPr>
          <w:rStyle w:val="A3"/>
          <w:b w:val="0"/>
          <w:sz w:val="20"/>
          <w:szCs w:val="20"/>
        </w:rPr>
        <w:t>Determination of heavy metals</w:t>
      </w:r>
      <w:r w:rsidRPr="00E96F92">
        <w:rPr>
          <w:rStyle w:val="A3"/>
          <w:b w:val="0"/>
          <w:bCs w:val="0"/>
          <w:sz w:val="20"/>
          <w:szCs w:val="20"/>
        </w:rPr>
        <w:t> </w:t>
      </w:r>
      <w:r w:rsidRPr="00E96F92">
        <w:rPr>
          <w:rStyle w:val="A3"/>
          <w:b w:val="0"/>
          <w:sz w:val="20"/>
          <w:szCs w:val="20"/>
        </w:rPr>
        <w:t xml:space="preserve">in fish, water and sediments of Avsar Dam Lake in Turkey, </w:t>
      </w:r>
      <w:r w:rsidRPr="00E96F92">
        <w:rPr>
          <w:i/>
          <w:iCs/>
        </w:rPr>
        <w:t>Iran. J. Environ. Health. Sci. Eng., 2009, Vol. 6, No. 2, pp. 73-80</w:t>
      </w:r>
      <w:r w:rsidRPr="00315F1D">
        <w:t>.</w:t>
      </w:r>
    </w:p>
    <w:p w:rsidR="00E96F92" w:rsidRDefault="00E96F92" w:rsidP="00E96F92">
      <w:pPr>
        <w:pStyle w:val="References"/>
        <w:numPr>
          <w:ilvl w:val="0"/>
          <w:numId w:val="0"/>
        </w:numPr>
        <w:spacing w:afterLines="0" w:line="240" w:lineRule="auto"/>
        <w:ind w:left="709"/>
        <w:jc w:val="both"/>
      </w:pPr>
    </w:p>
    <w:p w:rsidR="0031536E" w:rsidRDefault="0031536E" w:rsidP="00E96F92">
      <w:pPr>
        <w:pStyle w:val="References"/>
        <w:numPr>
          <w:ilvl w:val="0"/>
          <w:numId w:val="8"/>
        </w:numPr>
        <w:spacing w:afterLines="0" w:line="240" w:lineRule="auto"/>
        <w:ind w:left="709" w:hanging="709"/>
        <w:jc w:val="both"/>
      </w:pPr>
      <w:r>
        <w:t xml:space="preserve">Howe, P and Watts, P. (2005) Tin and inorganic tin compounds. </w:t>
      </w:r>
      <w:r w:rsidRPr="00A36628">
        <w:t>United Nations Environment Programme</w:t>
      </w:r>
      <w:r>
        <w:t xml:space="preserve">, </w:t>
      </w:r>
      <w:r w:rsidRPr="00A36628">
        <w:t>I</w:t>
      </w:r>
      <w:r>
        <w:t xml:space="preserve">nternational Labour Organisation, </w:t>
      </w:r>
      <w:r w:rsidRPr="00A36628">
        <w:t>World Health Organization</w:t>
      </w:r>
      <w:r>
        <w:t>.</w:t>
      </w:r>
    </w:p>
    <w:sectPr w:rsidR="0031536E">
      <w:footerReference w:type="even" r:id="rId17"/>
      <w:type w:val="continuous"/>
      <w:pgSz w:w="11907" w:h="16840" w:code="9"/>
      <w:pgMar w:top="1134" w:right="1134" w:bottom="1134" w:left="1134" w:header="907" w:footer="79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C37" w:rsidRDefault="00F30C37">
      <w:r>
        <w:separator/>
      </w:r>
    </w:p>
  </w:endnote>
  <w:endnote w:type="continuationSeparator" w:id="0">
    <w:p w:rsidR="00F30C37" w:rsidRDefault="00F30C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B72" w:rsidRDefault="004B5B72">
    <w:pPr>
      <w:framePr w:wrap="around" w:vAnchor="text" w:hAnchor="margin" w:xAlign="center" w:y="1"/>
    </w:pPr>
    <w:fldSimple w:instr="PAGE  ">
      <w:r>
        <w:rPr>
          <w:noProof/>
        </w:rPr>
        <w:t>2</w:t>
      </w:r>
    </w:fldSimple>
  </w:p>
  <w:p w:rsidR="004B5B72" w:rsidRDefault="004B5B72">
    <w:pPr>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C37" w:rsidRDefault="00F30C37">
      <w:r>
        <w:separator/>
      </w:r>
    </w:p>
  </w:footnote>
  <w:footnote w:type="continuationSeparator" w:id="0">
    <w:p w:rsidR="00F30C37" w:rsidRDefault="00F30C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74729"/>
    <w:multiLevelType w:val="hybridMultilevel"/>
    <w:tmpl w:val="4EF43FBE"/>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070D3324"/>
    <w:multiLevelType w:val="hybridMultilevel"/>
    <w:tmpl w:val="1E26FD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85302E"/>
    <w:multiLevelType w:val="hybridMultilevel"/>
    <w:tmpl w:val="474C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BB6E13"/>
    <w:multiLevelType w:val="hybridMultilevel"/>
    <w:tmpl w:val="6378560E"/>
    <w:lvl w:ilvl="0" w:tplc="5944F44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E9624D"/>
    <w:multiLevelType w:val="multilevel"/>
    <w:tmpl w:val="D052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5D29EB"/>
    <w:multiLevelType w:val="multilevel"/>
    <w:tmpl w:val="F5DECA80"/>
    <w:lvl w:ilvl="0">
      <w:start w:val="1"/>
      <w:numFmt w:val="bullet"/>
      <w:lvlText w:val=""/>
      <w:lvlJc w:val="left"/>
      <w:pPr>
        <w:tabs>
          <w:tab w:val="num" w:pos="648"/>
        </w:tabs>
        <w:ind w:left="648" w:hanging="360"/>
      </w:pPr>
      <w:rPr>
        <w:rFonts w:ascii="Symbol" w:hAnsi="Symbol" w:hint="default"/>
        <w:lang w:val="en-US"/>
      </w:rPr>
    </w:lvl>
    <w:lvl w:ilvl="1" w:tentative="1">
      <w:start w:val="1"/>
      <w:numFmt w:val="bullet"/>
      <w:lvlText w:val="o"/>
      <w:lvlJc w:val="left"/>
      <w:pPr>
        <w:tabs>
          <w:tab w:val="num" w:pos="1368"/>
        </w:tabs>
        <w:ind w:left="1368" w:hanging="360"/>
      </w:pPr>
      <w:rPr>
        <w:rFonts w:ascii="Courier New" w:hAnsi="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6">
    <w:nsid w:val="7706733A"/>
    <w:multiLevelType w:val="multilevel"/>
    <w:tmpl w:val="4EB4E7F2"/>
    <w:lvl w:ilvl="0">
      <w:start w:val="1"/>
      <w:numFmt w:val="decimal"/>
      <w:pStyle w:val="Header1"/>
      <w:lvlText w:val="%1."/>
      <w:lvlJc w:val="left"/>
      <w:pPr>
        <w:tabs>
          <w:tab w:val="num" w:pos="360"/>
        </w:tabs>
        <w:ind w:left="360" w:hanging="360"/>
      </w:pPr>
      <w:rPr>
        <w:rFonts w:ascii="Times New Roman" w:hAnsi="Times New Roman" w:hint="default"/>
        <w:b/>
        <w:i w:val="0"/>
        <w:sz w:val="28"/>
      </w:rPr>
    </w:lvl>
    <w:lvl w:ilvl="1">
      <w:start w:val="1"/>
      <w:numFmt w:val="decimal"/>
      <w:pStyle w:val="Header2"/>
      <w:lvlText w:val="%1.%2."/>
      <w:lvlJc w:val="left"/>
      <w:pPr>
        <w:tabs>
          <w:tab w:val="num" w:pos="605"/>
        </w:tabs>
        <w:ind w:left="605" w:hanging="605"/>
      </w:pPr>
      <w:rPr>
        <w:rFonts w:ascii="Times New Roman" w:hAnsi="Times New Roman" w:hint="default"/>
        <w:b/>
        <w:i w:val="0"/>
        <w:sz w:val="28"/>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7C534558"/>
    <w:multiLevelType w:val="singleLevel"/>
    <w:tmpl w:val="6E1C8B2A"/>
    <w:lvl w:ilvl="0">
      <w:start w:val="1"/>
      <w:numFmt w:val="decimal"/>
      <w:pStyle w:val="References"/>
      <w:lvlText w:val="[%1]"/>
      <w:lvlJc w:val="left"/>
      <w:pPr>
        <w:tabs>
          <w:tab w:val="num" w:pos="360"/>
        </w:tabs>
        <w:ind w:left="360" w:hanging="360"/>
      </w:pPr>
      <w:rPr>
        <w:sz w:val="20"/>
        <w:szCs w:val="20"/>
      </w:rPr>
    </w:lvl>
  </w:abstractNum>
  <w:num w:numId="1">
    <w:abstractNumId w:val="5"/>
  </w:num>
  <w:num w:numId="2">
    <w:abstractNumId w:val="7"/>
  </w:num>
  <w:num w:numId="3">
    <w:abstractNumId w:val="6"/>
  </w:num>
  <w:num w:numId="4">
    <w:abstractNumId w:val="4"/>
  </w:num>
  <w:num w:numId="5">
    <w:abstractNumId w:val="2"/>
  </w:num>
  <w:num w:numId="6">
    <w:abstractNumId w:val="1"/>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applyBreakingRules/>
    <w:useFELayout/>
  </w:compat>
  <w:rsids>
    <w:rsidRoot w:val="007651C5"/>
    <w:rsid w:val="000007E5"/>
    <w:rsid w:val="00006200"/>
    <w:rsid w:val="00015193"/>
    <w:rsid w:val="00025FE9"/>
    <w:rsid w:val="00040826"/>
    <w:rsid w:val="00047177"/>
    <w:rsid w:val="000520AB"/>
    <w:rsid w:val="00067843"/>
    <w:rsid w:val="00095E64"/>
    <w:rsid w:val="000A3197"/>
    <w:rsid w:val="000C1F0B"/>
    <w:rsid w:val="000C61C2"/>
    <w:rsid w:val="000D1510"/>
    <w:rsid w:val="000E34A5"/>
    <w:rsid w:val="00107D01"/>
    <w:rsid w:val="0011744C"/>
    <w:rsid w:val="001938FD"/>
    <w:rsid w:val="001B3DB2"/>
    <w:rsid w:val="001C23AD"/>
    <w:rsid w:val="001C6925"/>
    <w:rsid w:val="001D2345"/>
    <w:rsid w:val="001F149D"/>
    <w:rsid w:val="00222E7A"/>
    <w:rsid w:val="002278BF"/>
    <w:rsid w:val="00240AAE"/>
    <w:rsid w:val="00241A0B"/>
    <w:rsid w:val="00273E99"/>
    <w:rsid w:val="002874BD"/>
    <w:rsid w:val="002A62D1"/>
    <w:rsid w:val="002B11E8"/>
    <w:rsid w:val="002B3DFC"/>
    <w:rsid w:val="002C7DAC"/>
    <w:rsid w:val="002D0956"/>
    <w:rsid w:val="002D1EA0"/>
    <w:rsid w:val="002D7E3F"/>
    <w:rsid w:val="00310667"/>
    <w:rsid w:val="0031536E"/>
    <w:rsid w:val="00315F1D"/>
    <w:rsid w:val="00317AA7"/>
    <w:rsid w:val="00331001"/>
    <w:rsid w:val="00337F49"/>
    <w:rsid w:val="00355A7D"/>
    <w:rsid w:val="00363360"/>
    <w:rsid w:val="00366F62"/>
    <w:rsid w:val="00375D3E"/>
    <w:rsid w:val="00381A27"/>
    <w:rsid w:val="00387382"/>
    <w:rsid w:val="003A1B14"/>
    <w:rsid w:val="003D26B8"/>
    <w:rsid w:val="003D7BC1"/>
    <w:rsid w:val="003E0F8F"/>
    <w:rsid w:val="003F7F46"/>
    <w:rsid w:val="00404A49"/>
    <w:rsid w:val="0041218D"/>
    <w:rsid w:val="00416799"/>
    <w:rsid w:val="00422BC9"/>
    <w:rsid w:val="00427BC0"/>
    <w:rsid w:val="00456330"/>
    <w:rsid w:val="00467BB9"/>
    <w:rsid w:val="00473FAE"/>
    <w:rsid w:val="00480FBF"/>
    <w:rsid w:val="00486F4F"/>
    <w:rsid w:val="00490112"/>
    <w:rsid w:val="004909A0"/>
    <w:rsid w:val="004926A9"/>
    <w:rsid w:val="004B2D22"/>
    <w:rsid w:val="004B5B72"/>
    <w:rsid w:val="004C6503"/>
    <w:rsid w:val="004D2229"/>
    <w:rsid w:val="004F3B18"/>
    <w:rsid w:val="00506DB6"/>
    <w:rsid w:val="00524E60"/>
    <w:rsid w:val="00535D44"/>
    <w:rsid w:val="005527B9"/>
    <w:rsid w:val="00572A8D"/>
    <w:rsid w:val="00584B86"/>
    <w:rsid w:val="00597EA7"/>
    <w:rsid w:val="005A2361"/>
    <w:rsid w:val="005A53BE"/>
    <w:rsid w:val="005B0BC8"/>
    <w:rsid w:val="005C34B5"/>
    <w:rsid w:val="005C55BD"/>
    <w:rsid w:val="005D68E3"/>
    <w:rsid w:val="005E22C0"/>
    <w:rsid w:val="005E4180"/>
    <w:rsid w:val="005E4BA0"/>
    <w:rsid w:val="00602876"/>
    <w:rsid w:val="0060525B"/>
    <w:rsid w:val="00624EA0"/>
    <w:rsid w:val="00637BB1"/>
    <w:rsid w:val="00640E74"/>
    <w:rsid w:val="00645CA7"/>
    <w:rsid w:val="0067237B"/>
    <w:rsid w:val="006746A5"/>
    <w:rsid w:val="00683C8F"/>
    <w:rsid w:val="006A5AB7"/>
    <w:rsid w:val="006B0273"/>
    <w:rsid w:val="006D606C"/>
    <w:rsid w:val="007136FB"/>
    <w:rsid w:val="00742AD4"/>
    <w:rsid w:val="007651C5"/>
    <w:rsid w:val="00792C90"/>
    <w:rsid w:val="007B22C9"/>
    <w:rsid w:val="007B4429"/>
    <w:rsid w:val="007C4C22"/>
    <w:rsid w:val="007C50F8"/>
    <w:rsid w:val="007F41E5"/>
    <w:rsid w:val="008002A6"/>
    <w:rsid w:val="00801B0E"/>
    <w:rsid w:val="00824598"/>
    <w:rsid w:val="00826F21"/>
    <w:rsid w:val="00834708"/>
    <w:rsid w:val="00834EC4"/>
    <w:rsid w:val="008402E6"/>
    <w:rsid w:val="00840C52"/>
    <w:rsid w:val="00852CEB"/>
    <w:rsid w:val="0086044F"/>
    <w:rsid w:val="0086277F"/>
    <w:rsid w:val="00872905"/>
    <w:rsid w:val="00873566"/>
    <w:rsid w:val="00897C9A"/>
    <w:rsid w:val="008B3347"/>
    <w:rsid w:val="008B4496"/>
    <w:rsid w:val="008C2A95"/>
    <w:rsid w:val="008C6400"/>
    <w:rsid w:val="008C6998"/>
    <w:rsid w:val="008E5B69"/>
    <w:rsid w:val="00932C44"/>
    <w:rsid w:val="00934378"/>
    <w:rsid w:val="00972513"/>
    <w:rsid w:val="00987582"/>
    <w:rsid w:val="009917CB"/>
    <w:rsid w:val="009F56DB"/>
    <w:rsid w:val="00A36628"/>
    <w:rsid w:val="00A37413"/>
    <w:rsid w:val="00A51945"/>
    <w:rsid w:val="00A5489B"/>
    <w:rsid w:val="00A57D9C"/>
    <w:rsid w:val="00A65C15"/>
    <w:rsid w:val="00A77A0F"/>
    <w:rsid w:val="00AA1D1C"/>
    <w:rsid w:val="00AF7FAB"/>
    <w:rsid w:val="00B2687E"/>
    <w:rsid w:val="00B4122A"/>
    <w:rsid w:val="00B4636A"/>
    <w:rsid w:val="00B463A1"/>
    <w:rsid w:val="00B46F7C"/>
    <w:rsid w:val="00B56075"/>
    <w:rsid w:val="00B7181C"/>
    <w:rsid w:val="00B81009"/>
    <w:rsid w:val="00B83749"/>
    <w:rsid w:val="00B90D84"/>
    <w:rsid w:val="00BB0D2C"/>
    <w:rsid w:val="00BB46C0"/>
    <w:rsid w:val="00BB7D30"/>
    <w:rsid w:val="00BC2C0E"/>
    <w:rsid w:val="00BD1FE9"/>
    <w:rsid w:val="00BD48E5"/>
    <w:rsid w:val="00BD7398"/>
    <w:rsid w:val="00C374A9"/>
    <w:rsid w:val="00C5098C"/>
    <w:rsid w:val="00C53D08"/>
    <w:rsid w:val="00C601CB"/>
    <w:rsid w:val="00C60546"/>
    <w:rsid w:val="00CA1AB1"/>
    <w:rsid w:val="00CA61B6"/>
    <w:rsid w:val="00CB4D26"/>
    <w:rsid w:val="00CD1643"/>
    <w:rsid w:val="00CF666D"/>
    <w:rsid w:val="00D11574"/>
    <w:rsid w:val="00D11C88"/>
    <w:rsid w:val="00D443C6"/>
    <w:rsid w:val="00D54D9D"/>
    <w:rsid w:val="00D766D4"/>
    <w:rsid w:val="00D8640A"/>
    <w:rsid w:val="00D868B7"/>
    <w:rsid w:val="00DA549B"/>
    <w:rsid w:val="00DB175B"/>
    <w:rsid w:val="00DB3B50"/>
    <w:rsid w:val="00DB5B74"/>
    <w:rsid w:val="00E02EB0"/>
    <w:rsid w:val="00E12CDF"/>
    <w:rsid w:val="00E178B2"/>
    <w:rsid w:val="00E4091C"/>
    <w:rsid w:val="00E574A1"/>
    <w:rsid w:val="00E71DCC"/>
    <w:rsid w:val="00E72424"/>
    <w:rsid w:val="00E747F0"/>
    <w:rsid w:val="00E827D7"/>
    <w:rsid w:val="00E84663"/>
    <w:rsid w:val="00E96F92"/>
    <w:rsid w:val="00EC0A62"/>
    <w:rsid w:val="00EE1506"/>
    <w:rsid w:val="00EE4C26"/>
    <w:rsid w:val="00EE607A"/>
    <w:rsid w:val="00F11A92"/>
    <w:rsid w:val="00F1427B"/>
    <w:rsid w:val="00F17470"/>
    <w:rsid w:val="00F30C37"/>
    <w:rsid w:val="00F3624C"/>
    <w:rsid w:val="00F4410B"/>
    <w:rsid w:val="00F50F16"/>
    <w:rsid w:val="00F6133D"/>
    <w:rsid w:val="00F665FC"/>
    <w:rsid w:val="00F66603"/>
    <w:rsid w:val="00FD6D3C"/>
    <w:rsid w:val="00FF7451"/>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itleofPaper">
    <w:name w:val="Title of Paper"/>
    <w:basedOn w:val="Normal"/>
    <w:pPr>
      <w:spacing w:beforeLines="200" w:after="360"/>
      <w:jc w:val="center"/>
    </w:pPr>
    <w:rPr>
      <w:rFonts w:eastAsia="MS Mincho"/>
      <w:b/>
      <w:bCs/>
      <w:sz w:val="32"/>
      <w:szCs w:val="40"/>
    </w:rPr>
  </w:style>
  <w:style w:type="paragraph" w:customStyle="1" w:styleId="Author">
    <w:name w:val="Author"/>
    <w:basedOn w:val="Normal"/>
    <w:pPr>
      <w:tabs>
        <w:tab w:val="left" w:pos="1800"/>
        <w:tab w:val="left" w:pos="3510"/>
      </w:tabs>
      <w:spacing w:line="360" w:lineRule="auto"/>
      <w:jc w:val="center"/>
    </w:pPr>
    <w:rPr>
      <w:rFonts w:eastAsia="MS Mincho"/>
      <w:sz w:val="24"/>
      <w:szCs w:val="22"/>
    </w:rPr>
  </w:style>
  <w:style w:type="paragraph" w:customStyle="1" w:styleId="Affiliation">
    <w:name w:val="Affiliation"/>
    <w:basedOn w:val="Normal"/>
    <w:pPr>
      <w:spacing w:afterLines="25"/>
      <w:jc w:val="center"/>
    </w:pPr>
    <w:rPr>
      <w:rFonts w:eastAsia="PMingLiU"/>
      <w:sz w:val="22"/>
    </w:rPr>
  </w:style>
  <w:style w:type="paragraph" w:customStyle="1" w:styleId="Header1">
    <w:name w:val="Header 1"/>
    <w:basedOn w:val="Normal"/>
    <w:pPr>
      <w:numPr>
        <w:numId w:val="3"/>
      </w:numPr>
      <w:spacing w:before="240" w:after="120" w:line="240" w:lineRule="exact"/>
      <w:ind w:left="357" w:hanging="357"/>
    </w:pPr>
    <w:rPr>
      <w:b/>
      <w:bCs/>
      <w:sz w:val="28"/>
      <w:szCs w:val="28"/>
    </w:rPr>
  </w:style>
  <w:style w:type="paragraph" w:styleId="BodyText">
    <w:name w:val="Body Text"/>
    <w:basedOn w:val="Normal"/>
    <w:pPr>
      <w:spacing w:afterLines="25" w:line="280" w:lineRule="exact"/>
      <w:ind w:firstLine="357"/>
      <w:jc w:val="both"/>
    </w:pPr>
    <w:rPr>
      <w:sz w:val="22"/>
      <w:lang w:val="en-GB"/>
    </w:rPr>
  </w:style>
  <w:style w:type="paragraph" w:styleId="ListParagraph">
    <w:name w:val="List Paragraph"/>
    <w:basedOn w:val="Normal"/>
    <w:uiPriority w:val="34"/>
    <w:qFormat/>
    <w:rsid w:val="004B2D22"/>
    <w:pPr>
      <w:spacing w:after="200" w:line="480" w:lineRule="auto"/>
      <w:ind w:left="720"/>
      <w:contextualSpacing/>
      <w:jc w:val="center"/>
    </w:pPr>
    <w:rPr>
      <w:rFonts w:ascii="Calibri" w:eastAsia="Calibri" w:hAnsi="Calibri"/>
      <w:sz w:val="22"/>
      <w:szCs w:val="22"/>
      <w:lang w:eastAsia="en-US"/>
    </w:rPr>
  </w:style>
  <w:style w:type="character" w:styleId="Hyperlink">
    <w:name w:val="Hyperlink"/>
    <w:basedOn w:val="DefaultParagraphFont"/>
    <w:rPr>
      <w:color w:val="0000FF"/>
      <w:u w:val="single"/>
    </w:rPr>
  </w:style>
  <w:style w:type="paragraph" w:customStyle="1" w:styleId="Affiliation2">
    <w:name w:val="Affiliation 2"/>
    <w:basedOn w:val="Heading1"/>
    <w:pPr>
      <w:spacing w:before="0" w:after="240"/>
      <w:jc w:val="center"/>
    </w:pPr>
    <w:rPr>
      <w:rFonts w:ascii="Times New Roman" w:hAnsi="Times New Roman" w:cs="Times New Roman"/>
      <w:b w:val="0"/>
      <w:bCs w:val="0"/>
      <w:kern w:val="0"/>
      <w:sz w:val="22"/>
      <w:szCs w:val="20"/>
    </w:rPr>
  </w:style>
  <w:style w:type="paragraph" w:customStyle="1" w:styleId="keywordhead">
    <w:name w:val="keyword head"/>
    <w:basedOn w:val="Normal"/>
    <w:pPr>
      <w:spacing w:before="120" w:afterLines="50" w:line="280" w:lineRule="exact"/>
      <w:ind w:left="425" w:right="431"/>
      <w:jc w:val="both"/>
    </w:pPr>
    <w:rPr>
      <w:rFonts w:eastAsia="MS Mincho"/>
      <w:b/>
      <w:bCs/>
      <w:sz w:val="24"/>
      <w:lang w:val="en-GB"/>
    </w:rPr>
  </w:style>
  <w:style w:type="paragraph" w:customStyle="1" w:styleId="Figure">
    <w:name w:val="Figure"/>
    <w:basedOn w:val="Normal"/>
    <w:pPr>
      <w:widowControl w:val="0"/>
      <w:spacing w:beforeLines="50" w:afterLines="100" w:line="280" w:lineRule="exact"/>
      <w:jc w:val="center"/>
    </w:pPr>
    <w:rPr>
      <w:rFonts w:eastAsia="MS Mincho"/>
      <w:szCs w:val="18"/>
      <w:lang w:val="en-GB"/>
    </w:rPr>
  </w:style>
  <w:style w:type="paragraph" w:customStyle="1" w:styleId="Header2">
    <w:name w:val="Header 2"/>
    <w:basedOn w:val="Header1"/>
    <w:autoRedefine/>
    <w:rsid w:val="008C2A95"/>
    <w:pPr>
      <w:numPr>
        <w:ilvl w:val="1"/>
      </w:numPr>
      <w:spacing w:after="0"/>
      <w:ind w:left="607" w:hanging="607"/>
    </w:pPr>
    <w:rPr>
      <w:sz w:val="24"/>
      <w:lang w:eastAsia="en-US"/>
    </w:rPr>
  </w:style>
  <w:style w:type="paragraph" w:customStyle="1" w:styleId="date">
    <w:name w:val="date"/>
    <w:basedOn w:val="Normal"/>
    <w:pPr>
      <w:spacing w:after="240"/>
      <w:jc w:val="center"/>
    </w:pPr>
    <w:rPr>
      <w:i/>
    </w:rPr>
  </w:style>
  <w:style w:type="paragraph" w:customStyle="1" w:styleId="bullet">
    <w:name w:val="bullet"/>
    <w:basedOn w:val="Normal"/>
    <w:pPr>
      <w:numPr>
        <w:numId w:val="1"/>
      </w:numPr>
      <w:spacing w:after="5" w:line="280" w:lineRule="exact"/>
      <w:ind w:left="646" w:hanging="220"/>
      <w:jc w:val="both"/>
    </w:pPr>
    <w:rPr>
      <w:sz w:val="22"/>
    </w:rPr>
  </w:style>
  <w:style w:type="paragraph" w:customStyle="1" w:styleId="References">
    <w:name w:val="References"/>
    <w:basedOn w:val="Normal"/>
    <w:pPr>
      <w:numPr>
        <w:numId w:val="2"/>
      </w:numPr>
      <w:tabs>
        <w:tab w:val="clear" w:pos="360"/>
        <w:tab w:val="num" w:pos="426"/>
      </w:tabs>
      <w:spacing w:afterLines="25" w:line="280" w:lineRule="exact"/>
      <w:ind w:left="425" w:hanging="425"/>
    </w:pPr>
  </w:style>
  <w:style w:type="character" w:customStyle="1" w:styleId="Char">
    <w:name w:val=" Char"/>
    <w:basedOn w:val="DefaultParagraphFont"/>
    <w:rPr>
      <w:rFonts w:eastAsia="SimSun"/>
      <w:sz w:val="22"/>
      <w:lang w:val="en-GB" w:eastAsia="zh-CN" w:bidi="ar-SA"/>
    </w:rPr>
  </w:style>
  <w:style w:type="paragraph" w:customStyle="1" w:styleId="abstracthead">
    <w:name w:val="abstract head"/>
    <w:basedOn w:val="abstract"/>
    <w:rPr>
      <w:b/>
      <w:bCs/>
      <w:sz w:val="24"/>
    </w:rPr>
  </w:style>
  <w:style w:type="paragraph" w:customStyle="1" w:styleId="abstract">
    <w:name w:val="abstract"/>
    <w:basedOn w:val="Normal"/>
    <w:pPr>
      <w:ind w:left="425" w:right="425"/>
      <w:jc w:val="both"/>
    </w:pPr>
  </w:style>
  <w:style w:type="paragraph" w:styleId="FootnoteText">
    <w:name w:val="footnote text"/>
    <w:basedOn w:val="Normal"/>
    <w:semiHidden/>
    <w:pPr>
      <w:snapToGrid w:val="0"/>
    </w:pPr>
    <w:rPr>
      <w:sz w:val="18"/>
      <w:szCs w:val="18"/>
    </w:rPr>
  </w:style>
  <w:style w:type="character" w:styleId="FootnoteReference">
    <w:name w:val="footnote reference"/>
    <w:basedOn w:val="DefaultParagraphFont"/>
    <w:semiHidden/>
    <w:rPr>
      <w:vertAlign w:val="superscript"/>
    </w:rPr>
  </w:style>
  <w:style w:type="character" w:customStyle="1" w:styleId="abstractChar">
    <w:name w:val="abstract Char"/>
    <w:basedOn w:val="DefaultParagraphFont"/>
    <w:rPr>
      <w:rFonts w:eastAsia="SimSun"/>
      <w:lang w:val="en-US" w:eastAsia="zh-CN" w:bidi="ar-SA"/>
    </w:rPr>
  </w:style>
  <w:style w:type="paragraph" w:customStyle="1" w:styleId="keywords">
    <w:name w:val="keywords"/>
    <w:basedOn w:val="Normal"/>
    <w:pPr>
      <w:spacing w:before="120" w:afterLines="50" w:line="280" w:lineRule="exact"/>
      <w:ind w:left="425" w:right="431"/>
      <w:jc w:val="both"/>
    </w:pPr>
    <w:rPr>
      <w:rFonts w:eastAsia="MS Mincho"/>
      <w:lang w:val="en-GB"/>
    </w:rPr>
  </w:style>
  <w:style w:type="paragraph" w:customStyle="1" w:styleId="Topspaceforeditor">
    <w:name w:val="Top space for editor"/>
    <w:basedOn w:val="Figure"/>
    <w:pPr>
      <w:spacing w:beforeLines="0" w:afterLines="0" w:line="240" w:lineRule="auto"/>
      <w:jc w:val="right"/>
    </w:pPr>
    <w:rPr>
      <w:rFonts w:eastAsia="SimSun"/>
      <w:b/>
      <w:bCs/>
      <w:sz w:val="21"/>
      <w:szCs w:val="20"/>
    </w:rPr>
  </w:style>
  <w:style w:type="character" w:customStyle="1" w:styleId="abstractheadChar">
    <w:name w:val="abstract head Char"/>
    <w:basedOn w:val="abstractChar"/>
    <w:rPr>
      <w:b/>
      <w:bCs/>
      <w:sz w:val="24"/>
    </w:rPr>
  </w:style>
  <w:style w:type="character" w:customStyle="1" w:styleId="keywordheadChar">
    <w:name w:val="keyword head Char"/>
    <w:basedOn w:val="DefaultParagraphFont"/>
    <w:rPr>
      <w:rFonts w:eastAsia="MS Mincho"/>
      <w:b/>
      <w:bCs/>
      <w:sz w:val="24"/>
      <w:lang w:val="en-GB" w:eastAsia="zh-CN" w:bidi="ar-SA"/>
    </w:rPr>
  </w:style>
  <w:style w:type="paragraph" w:styleId="NormalWeb">
    <w:name w:val="Normal (Web)"/>
    <w:basedOn w:val="Normal"/>
    <w:pPr>
      <w:spacing w:before="100" w:beforeAutospacing="1" w:after="100" w:afterAutospacing="1"/>
    </w:pPr>
    <w:rPr>
      <w:rFonts w:ascii="SimSun" w:hAnsi="SimSun" w:cs="SimSun"/>
      <w:sz w:val="24"/>
      <w:szCs w:val="24"/>
    </w:rPr>
  </w:style>
  <w:style w:type="character" w:styleId="Strong">
    <w:name w:val="Strong"/>
    <w:basedOn w:val="DefaultParagraphFont"/>
    <w:qFormat/>
    <w:rPr>
      <w:b/>
      <w:bCs/>
    </w:rPr>
  </w:style>
  <w:style w:type="character" w:customStyle="1" w:styleId="A5">
    <w:name w:val="A5"/>
    <w:rsid w:val="00486F4F"/>
    <w:rPr>
      <w:color w:val="000000"/>
      <w:sz w:val="20"/>
      <w:szCs w:val="20"/>
    </w:rPr>
  </w:style>
  <w:style w:type="paragraph" w:styleId="z-BottomofForm">
    <w:name w:val="HTML Bottom of Form"/>
    <w:basedOn w:val="Normal"/>
    <w:next w:val="Normal"/>
    <w:hidden/>
    <w:pPr>
      <w:widowControl w:val="0"/>
      <w:pBdr>
        <w:top w:val="single" w:sz="6" w:space="1" w:color="auto"/>
      </w:pBdr>
      <w:jc w:val="center"/>
    </w:pPr>
    <w:rPr>
      <w:rFonts w:ascii="Arial" w:hAnsi="Arial" w:cs="Arial"/>
      <w:vanish/>
      <w:kern w:val="2"/>
      <w:sz w:val="16"/>
      <w:szCs w:val="16"/>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Footer">
    <w:name w:val="footer"/>
    <w:basedOn w:val="Normal"/>
    <w:pPr>
      <w:tabs>
        <w:tab w:val="center" w:pos="4153"/>
        <w:tab w:val="right" w:pos="8306"/>
      </w:tabs>
      <w:snapToGrid w:val="0"/>
    </w:pPr>
    <w:rPr>
      <w:sz w:val="18"/>
      <w:szCs w:val="18"/>
    </w:rPr>
  </w:style>
  <w:style w:type="character" w:customStyle="1" w:styleId="A3">
    <w:name w:val="A3"/>
    <w:rsid w:val="00486F4F"/>
    <w:rPr>
      <w:b/>
      <w:bCs/>
      <w:color w:val="000000"/>
      <w:sz w:val="26"/>
      <w:szCs w:val="26"/>
    </w:rPr>
  </w:style>
  <w:style w:type="paragraph" w:styleId="BalloonText">
    <w:name w:val="Balloon Text"/>
    <w:basedOn w:val="Normal"/>
    <w:link w:val="BalloonTextChar"/>
    <w:rsid w:val="00AA1D1C"/>
    <w:rPr>
      <w:rFonts w:ascii="Tahoma" w:hAnsi="Tahoma" w:cs="Tahoma"/>
      <w:sz w:val="16"/>
      <w:szCs w:val="16"/>
    </w:rPr>
  </w:style>
  <w:style w:type="character" w:customStyle="1" w:styleId="BalloonTextChar">
    <w:name w:val="Balloon Text Char"/>
    <w:basedOn w:val="DefaultParagraphFont"/>
    <w:link w:val="BalloonText"/>
    <w:rsid w:val="00AA1D1C"/>
    <w:rPr>
      <w:rFonts w:ascii="Tahoma" w:hAnsi="Tahoma" w:cs="Tahoma"/>
      <w:sz w:val="16"/>
      <w:szCs w:val="16"/>
      <w:lang w:eastAsia="zh-CN"/>
    </w:rPr>
  </w:style>
  <w:style w:type="table" w:styleId="TableGrid">
    <w:name w:val="Table Grid"/>
    <w:basedOn w:val="TableNormal"/>
    <w:uiPriority w:val="59"/>
    <w:rsid w:val="00AA1D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
    <w:name w:val="para"/>
    <w:basedOn w:val="DefaultParagraphFont"/>
    <w:rsid w:val="005E4BA0"/>
    <w:rPr>
      <w:rFonts w:ascii="Arial" w:hAnsi="Arial" w:cs="Arial" w:hint="default"/>
      <w:sz w:val="22"/>
      <w:szCs w:val="22"/>
    </w:rPr>
  </w:style>
  <w:style w:type="character" w:customStyle="1" w:styleId="container">
    <w:name w:val="container"/>
    <w:basedOn w:val="DefaultParagraphFont"/>
    <w:rsid w:val="00E747F0"/>
  </w:style>
  <w:style w:type="character" w:customStyle="1" w:styleId="year">
    <w:name w:val="year"/>
    <w:basedOn w:val="DefaultParagraphFont"/>
    <w:rsid w:val="00E747F0"/>
  </w:style>
  <w:style w:type="character" w:customStyle="1" w:styleId="info">
    <w:name w:val="info"/>
    <w:basedOn w:val="DefaultParagraphFont"/>
    <w:rsid w:val="00E747F0"/>
  </w:style>
  <w:style w:type="character" w:customStyle="1" w:styleId="volume">
    <w:name w:val="volume"/>
    <w:basedOn w:val="DefaultParagraphFont"/>
    <w:rsid w:val="00E747F0"/>
  </w:style>
  <w:style w:type="character" w:customStyle="1" w:styleId="publisher">
    <w:name w:val="publisher"/>
    <w:basedOn w:val="DefaultParagraphFont"/>
    <w:rsid w:val="00E747F0"/>
  </w:style>
  <w:style w:type="character" w:customStyle="1" w:styleId="pages">
    <w:name w:val="pages"/>
    <w:basedOn w:val="DefaultParagraphFont"/>
    <w:rsid w:val="00E747F0"/>
  </w:style>
  <w:style w:type="character" w:customStyle="1" w:styleId="st">
    <w:name w:val="st"/>
    <w:basedOn w:val="DefaultParagraphFont"/>
    <w:rsid w:val="00A57D9C"/>
  </w:style>
  <w:style w:type="character" w:styleId="Emphasis">
    <w:name w:val="Emphasis"/>
    <w:basedOn w:val="DefaultParagraphFont"/>
    <w:uiPriority w:val="20"/>
    <w:qFormat/>
    <w:rsid w:val="00A57D9C"/>
    <w:rPr>
      <w:i/>
      <w:iCs/>
    </w:rPr>
  </w:style>
</w:styles>
</file>

<file path=word/webSettings.xml><?xml version="1.0" encoding="utf-8"?>
<w:webSettings xmlns:r="http://schemas.openxmlformats.org/officeDocument/2006/relationships" xmlns:w="http://schemas.openxmlformats.org/wordprocessingml/2006/main">
  <w:divs>
    <w:div w:id="487593695">
      <w:bodyDiv w:val="1"/>
      <w:marLeft w:val="0"/>
      <w:marRight w:val="0"/>
      <w:marTop w:val="0"/>
      <w:marBottom w:val="0"/>
      <w:divBdr>
        <w:top w:val="none" w:sz="0" w:space="0" w:color="auto"/>
        <w:left w:val="none" w:sz="0" w:space="0" w:color="auto"/>
        <w:bottom w:val="none" w:sz="0" w:space="0" w:color="auto"/>
        <w:right w:val="none" w:sz="0" w:space="0" w:color="auto"/>
      </w:divBdr>
    </w:div>
    <w:div w:id="517887714">
      <w:bodyDiv w:val="1"/>
      <w:marLeft w:val="0"/>
      <w:marRight w:val="0"/>
      <w:marTop w:val="0"/>
      <w:marBottom w:val="0"/>
      <w:divBdr>
        <w:top w:val="none" w:sz="0" w:space="0" w:color="auto"/>
        <w:left w:val="none" w:sz="0" w:space="0" w:color="auto"/>
        <w:bottom w:val="none" w:sz="0" w:space="0" w:color="auto"/>
        <w:right w:val="none" w:sz="0" w:space="0" w:color="auto"/>
      </w:divBdr>
      <w:divsChild>
        <w:div w:id="1302345526">
          <w:marLeft w:val="0"/>
          <w:marRight w:val="0"/>
          <w:marTop w:val="0"/>
          <w:marBottom w:val="0"/>
          <w:divBdr>
            <w:top w:val="none" w:sz="0" w:space="0" w:color="auto"/>
            <w:left w:val="none" w:sz="0" w:space="0" w:color="auto"/>
            <w:bottom w:val="none" w:sz="0" w:space="0" w:color="auto"/>
            <w:right w:val="none" w:sz="0" w:space="0" w:color="auto"/>
          </w:divBdr>
        </w:div>
        <w:div w:id="1499996544">
          <w:marLeft w:val="0"/>
          <w:marRight w:val="0"/>
          <w:marTop w:val="0"/>
          <w:marBottom w:val="0"/>
          <w:divBdr>
            <w:top w:val="none" w:sz="0" w:space="0" w:color="auto"/>
            <w:left w:val="none" w:sz="0" w:space="0" w:color="auto"/>
            <w:bottom w:val="none" w:sz="0" w:space="0" w:color="auto"/>
            <w:right w:val="none" w:sz="0" w:space="0" w:color="auto"/>
          </w:divBdr>
        </w:div>
      </w:divsChild>
    </w:div>
    <w:div w:id="117487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maniza@salam.uitm.edu.my"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epull\Desktop\project\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ko-KR"/>
  <c:chart>
    <c:title>
      <c:tx>
        <c:rich>
          <a:bodyPr/>
          <a:lstStyle/>
          <a:p>
            <a:pPr>
              <a:defRPr/>
            </a:pPr>
            <a:r>
              <a:rPr lang="en-US"/>
              <a:t>Concentration of Heavy Metals in Fish at Tasik Mutiara</a:t>
            </a:r>
          </a:p>
        </c:rich>
      </c:tx>
    </c:title>
    <c:plotArea>
      <c:layout>
        <c:manualLayout>
          <c:layoutTarget val="inner"/>
          <c:xMode val="edge"/>
          <c:yMode val="edge"/>
          <c:x val="0.15889112279983991"/>
          <c:y val="0.2909761980687004"/>
          <c:w val="0.81093055724473062"/>
          <c:h val="0.505863402588697"/>
        </c:manualLayout>
      </c:layout>
      <c:barChart>
        <c:barDir val="col"/>
        <c:grouping val="clustered"/>
        <c:ser>
          <c:idx val="0"/>
          <c:order val="0"/>
          <c:dPt>
            <c:idx val="0"/>
            <c:spPr>
              <a:solidFill>
                <a:srgbClr val="EA1A38"/>
              </a:solidFill>
            </c:spPr>
          </c:dPt>
          <c:dPt>
            <c:idx val="2"/>
            <c:spPr>
              <a:solidFill>
                <a:srgbClr val="7030A0"/>
              </a:solidFill>
            </c:spPr>
          </c:dPt>
          <c:dPt>
            <c:idx val="3"/>
            <c:spPr>
              <a:solidFill>
                <a:srgbClr val="92D050"/>
              </a:solidFill>
            </c:spPr>
          </c:dPt>
          <c:dLbls>
            <c:dLbl>
              <c:idx val="0"/>
              <c:tx>
                <c:rich>
                  <a:bodyPr/>
                  <a:lstStyle/>
                  <a:p>
                    <a:r>
                      <a:rPr lang="en-US"/>
                      <a:t>59.22</a:t>
                    </a:r>
                  </a:p>
                </c:rich>
              </c:tx>
              <c:showVal val="1"/>
            </c:dLbl>
            <c:dLbl>
              <c:idx val="1"/>
              <c:tx>
                <c:rich>
                  <a:bodyPr/>
                  <a:lstStyle/>
                  <a:p>
                    <a:r>
                      <a:rPr lang="en-US"/>
                      <a:t>1.76</a:t>
                    </a:r>
                  </a:p>
                </c:rich>
              </c:tx>
              <c:showVal val="1"/>
            </c:dLbl>
            <c:dLbl>
              <c:idx val="2"/>
              <c:tx>
                <c:rich>
                  <a:bodyPr/>
                  <a:lstStyle/>
                  <a:p>
                    <a:r>
                      <a:rPr lang="en-US"/>
                      <a:t>137.74</a:t>
                    </a:r>
                  </a:p>
                </c:rich>
              </c:tx>
              <c:showVal val="1"/>
            </c:dLbl>
            <c:dLbl>
              <c:idx val="3"/>
              <c:tx>
                <c:rich>
                  <a:bodyPr/>
                  <a:lstStyle/>
                  <a:p>
                    <a:r>
                      <a:rPr lang="en-US"/>
                      <a:t>60.69</a:t>
                    </a:r>
                  </a:p>
                </c:rich>
              </c:tx>
              <c:showVal val="1"/>
            </c:dLbl>
            <c:showVal val="1"/>
          </c:dLbls>
          <c:cat>
            <c:strRef>
              <c:f>Sheet1!$L$41:$O$41</c:f>
              <c:strCache>
                <c:ptCount val="4"/>
                <c:pt idx="0">
                  <c:v>Al</c:v>
                </c:pt>
                <c:pt idx="1">
                  <c:v>Cu</c:v>
                </c:pt>
                <c:pt idx="2">
                  <c:v>Fe</c:v>
                </c:pt>
                <c:pt idx="3">
                  <c:v>Zn</c:v>
                </c:pt>
              </c:strCache>
            </c:strRef>
          </c:cat>
          <c:val>
            <c:numRef>
              <c:f>Sheet1!$L$42:$O$42</c:f>
              <c:numCache>
                <c:formatCode>General</c:formatCode>
                <c:ptCount val="4"/>
                <c:pt idx="0">
                  <c:v>59.222049549549531</c:v>
                </c:pt>
                <c:pt idx="1">
                  <c:v>1.7617037037037047</c:v>
                </c:pt>
                <c:pt idx="2">
                  <c:v>137.73596846846812</c:v>
                </c:pt>
                <c:pt idx="3">
                  <c:v>60.689076576576575</c:v>
                </c:pt>
              </c:numCache>
            </c:numRef>
          </c:val>
        </c:ser>
        <c:dLbls>
          <c:showVal val="1"/>
        </c:dLbls>
        <c:gapWidth val="75"/>
        <c:axId val="86394752"/>
        <c:axId val="89859968"/>
      </c:barChart>
      <c:catAx>
        <c:axId val="86394752"/>
        <c:scaling>
          <c:orientation val="minMax"/>
        </c:scaling>
        <c:axPos val="b"/>
        <c:title>
          <c:tx>
            <c:rich>
              <a:bodyPr/>
              <a:lstStyle/>
              <a:p>
                <a:pPr>
                  <a:defRPr/>
                </a:pPr>
                <a:r>
                  <a:rPr lang="en-US" sz="1100"/>
                  <a:t>Heavy Metal</a:t>
                </a:r>
              </a:p>
            </c:rich>
          </c:tx>
        </c:title>
        <c:majorTickMark val="none"/>
        <c:tickLblPos val="nextTo"/>
        <c:crossAx val="89859968"/>
        <c:crosses val="autoZero"/>
        <c:auto val="1"/>
        <c:lblAlgn val="ctr"/>
        <c:lblOffset val="100"/>
      </c:catAx>
      <c:valAx>
        <c:axId val="89859968"/>
        <c:scaling>
          <c:orientation val="minMax"/>
        </c:scaling>
        <c:axPos val="l"/>
        <c:title>
          <c:tx>
            <c:rich>
              <a:bodyPr rot="-5400000" vert="horz"/>
              <a:lstStyle/>
              <a:p>
                <a:pPr>
                  <a:defRPr/>
                </a:pPr>
                <a:r>
                  <a:rPr lang="en-US" sz="1100"/>
                  <a:t>Concentration (mg/kg)</a:t>
                </a:r>
              </a:p>
            </c:rich>
          </c:tx>
        </c:title>
        <c:numFmt formatCode="General" sourceLinked="1"/>
        <c:majorTickMark val="none"/>
        <c:tickLblPos val="nextTo"/>
        <c:crossAx val="8639475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1E1E1E"/>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23A90-2D26-4013-88B1-08EB5298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3001</Words>
  <Characters>17109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Template for ISCCC 2009</vt:lpstr>
    </vt:vector>
  </TitlesOfParts>
  <Company>The University of Adelaide</Company>
  <LinksUpToDate>false</LinksUpToDate>
  <CharactersWithSpaces>20070</CharactersWithSpaces>
  <SharedDoc>false</SharedDoc>
  <HLinks>
    <vt:vector size="6" baseType="variant">
      <vt:variant>
        <vt:i4>6619207</vt:i4>
      </vt:variant>
      <vt:variant>
        <vt:i4>0</vt:i4>
      </vt:variant>
      <vt:variant>
        <vt:i4>0</vt:i4>
      </vt:variant>
      <vt:variant>
        <vt:i4>5</vt:i4>
      </vt:variant>
      <vt:variant>
        <vt:lpwstr>mailto:ismaniza@salam.uitm.edu.my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 for ISCCC 2009</dc:title>
  <dc:subject>Computer, Communication, Control</dc:subject>
  <dc:creator>IACSIT</dc:creator>
  <cp:lastModifiedBy>Owner</cp:lastModifiedBy>
  <cp:revision>3</cp:revision>
  <dcterms:created xsi:type="dcterms:W3CDTF">2012-12-11T14:02:00Z</dcterms:created>
  <dcterms:modified xsi:type="dcterms:W3CDTF">2012-12-11T14:03:00Z</dcterms:modified>
</cp:coreProperties>
</file>