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67" w:rsidRDefault="00207767" w:rsidP="006D4944">
      <w:pPr>
        <w:spacing w:line="240" w:lineRule="auto"/>
        <w:ind w:left="1872" w:right="187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767" w:rsidRDefault="00207767" w:rsidP="00207767">
      <w:pPr>
        <w:spacing w:line="240" w:lineRule="auto"/>
        <w:ind w:left="864" w:right="86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7767" w:rsidRPr="00337224" w:rsidRDefault="00207767" w:rsidP="00337224">
      <w:pPr>
        <w:spacing w:line="240" w:lineRule="auto"/>
        <w:ind w:left="864" w:right="8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24">
        <w:rPr>
          <w:rFonts w:ascii="Times New Roman" w:hAnsi="Times New Roman" w:cs="Times New Roman"/>
          <w:b/>
          <w:sz w:val="28"/>
          <w:szCs w:val="28"/>
        </w:rPr>
        <w:t xml:space="preserve">DETERMINATION OF </w:t>
      </w:r>
      <w:r w:rsidR="001D4707" w:rsidRPr="00337224">
        <w:rPr>
          <w:rFonts w:ascii="Times New Roman" w:hAnsi="Times New Roman" w:cs="Times New Roman"/>
          <w:b/>
          <w:sz w:val="28"/>
          <w:szCs w:val="28"/>
        </w:rPr>
        <w:t xml:space="preserve">ORGANIC </w:t>
      </w:r>
      <w:r w:rsidRPr="00337224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1D4707" w:rsidRPr="00337224">
        <w:rPr>
          <w:rFonts w:ascii="Times New Roman" w:hAnsi="Times New Roman" w:cs="Times New Roman"/>
          <w:b/>
          <w:sz w:val="28"/>
          <w:szCs w:val="28"/>
        </w:rPr>
        <w:t xml:space="preserve">INORGANIC </w:t>
      </w:r>
      <w:r w:rsidRPr="00337224">
        <w:rPr>
          <w:rFonts w:ascii="Times New Roman" w:hAnsi="Times New Roman" w:cs="Times New Roman"/>
          <w:b/>
          <w:sz w:val="28"/>
          <w:szCs w:val="28"/>
        </w:rPr>
        <w:t xml:space="preserve">MERCURY </w:t>
      </w:r>
      <w:r w:rsidR="001D4707">
        <w:rPr>
          <w:rFonts w:ascii="Times New Roman" w:hAnsi="Times New Roman" w:cs="Times New Roman"/>
          <w:b/>
          <w:sz w:val="28"/>
          <w:szCs w:val="28"/>
        </w:rPr>
        <w:t xml:space="preserve">SPECIES IN SUNGAI KINTA, PERAK </w:t>
      </w:r>
      <w:r w:rsidRPr="00337224">
        <w:rPr>
          <w:rFonts w:ascii="Times New Roman" w:hAnsi="Times New Roman" w:cs="Times New Roman"/>
          <w:b/>
          <w:sz w:val="28"/>
          <w:szCs w:val="28"/>
        </w:rPr>
        <w:t>BY REVERSED-PHASE HIGH PERFORMANCE LIQUID CHROMATOGRAPHY</w:t>
      </w:r>
      <w:r w:rsidR="001D4707">
        <w:rPr>
          <w:rFonts w:ascii="Times New Roman" w:hAnsi="Times New Roman" w:cs="Times New Roman"/>
          <w:b/>
          <w:sz w:val="28"/>
          <w:szCs w:val="28"/>
        </w:rPr>
        <w:t xml:space="preserve"> (HPLC) ON-LINE COUPLED WITH ICP-MS</w:t>
      </w:r>
    </w:p>
    <w:p w:rsidR="00337224" w:rsidRDefault="00337224" w:rsidP="00337224">
      <w:pPr>
        <w:ind w:left="2552" w:right="2552"/>
        <w:jc w:val="center"/>
      </w:pPr>
    </w:p>
    <w:p w:rsidR="008A7E87" w:rsidRDefault="00BB68E5" w:rsidP="00BB68E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B68E5">
        <w:rPr>
          <w:rFonts w:ascii="Times New Roman" w:hAnsi="Times New Roman" w:cs="Times New Roman"/>
          <w:sz w:val="20"/>
          <w:szCs w:val="20"/>
        </w:rPr>
        <w:t>Norshidah</w:t>
      </w:r>
      <w:proofErr w:type="spellEnd"/>
      <w:r w:rsidRPr="00BB68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8E5">
        <w:rPr>
          <w:rFonts w:ascii="Times New Roman" w:hAnsi="Times New Roman" w:cs="Times New Roman"/>
          <w:sz w:val="20"/>
          <w:szCs w:val="20"/>
        </w:rPr>
        <w:t>Baharuddin</w:t>
      </w:r>
      <w:proofErr w:type="spellEnd"/>
      <w:r w:rsidRPr="00BB68E5">
        <w:rPr>
          <w:rFonts w:ascii="Times New Roman" w:hAnsi="Times New Roman" w:cs="Times New Roman"/>
          <w:sz w:val="20"/>
          <w:szCs w:val="20"/>
        </w:rPr>
        <w:t xml:space="preserve"> </w:t>
      </w:r>
      <w:r w:rsidRPr="00BB68E5">
        <w:rPr>
          <w:rFonts w:ascii="Times New Roman" w:hAnsi="Times New Roman" w:cs="Times New Roman"/>
          <w:sz w:val="20"/>
          <w:szCs w:val="20"/>
          <w:vertAlign w:val="superscript"/>
        </w:rPr>
        <w:t>1*</w:t>
      </w:r>
      <w:r w:rsidRPr="00BB68E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68E5">
        <w:rPr>
          <w:rFonts w:ascii="Times New Roman" w:hAnsi="Times New Roman" w:cs="Times New Roman"/>
          <w:sz w:val="20"/>
          <w:szCs w:val="20"/>
        </w:rPr>
        <w:t>Norashikin</w:t>
      </w:r>
      <w:proofErr w:type="spellEnd"/>
      <w:r w:rsidRPr="00BB68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8E5">
        <w:rPr>
          <w:rFonts w:ascii="Times New Roman" w:hAnsi="Times New Roman" w:cs="Times New Roman"/>
          <w:sz w:val="20"/>
          <w:szCs w:val="20"/>
        </w:rPr>
        <w:t>Saim</w:t>
      </w:r>
      <w:proofErr w:type="spellEnd"/>
      <w:r w:rsidRPr="00BB68E5">
        <w:rPr>
          <w:rFonts w:ascii="Times New Roman" w:hAnsi="Times New Roman" w:cs="Times New Roman"/>
          <w:sz w:val="20"/>
          <w:szCs w:val="20"/>
        </w:rPr>
        <w:t xml:space="preserve"> </w:t>
      </w:r>
      <w:r w:rsidRPr="00BB68E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B68E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68E5">
        <w:rPr>
          <w:rFonts w:ascii="Times New Roman" w:hAnsi="Times New Roman" w:cs="Times New Roman"/>
          <w:sz w:val="20"/>
          <w:szCs w:val="20"/>
        </w:rPr>
        <w:t>Rozita</w:t>
      </w:r>
      <w:proofErr w:type="spellEnd"/>
      <w:r w:rsidRPr="00BB68E5">
        <w:rPr>
          <w:rFonts w:ascii="Times New Roman" w:hAnsi="Times New Roman" w:cs="Times New Roman"/>
          <w:sz w:val="20"/>
          <w:szCs w:val="20"/>
        </w:rPr>
        <w:t xml:space="preserve"> Osman </w:t>
      </w:r>
      <w:r w:rsidRPr="00BB68E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B68E5">
        <w:rPr>
          <w:rFonts w:ascii="Times New Roman" w:hAnsi="Times New Roman" w:cs="Times New Roman"/>
          <w:sz w:val="20"/>
          <w:szCs w:val="20"/>
        </w:rPr>
        <w:t xml:space="preserve">, Sharifuddin Md. </w:t>
      </w:r>
      <w:proofErr w:type="spellStart"/>
      <w:r w:rsidRPr="00BB68E5">
        <w:rPr>
          <w:rFonts w:ascii="Times New Roman" w:hAnsi="Times New Roman" w:cs="Times New Roman"/>
          <w:sz w:val="20"/>
          <w:szCs w:val="20"/>
        </w:rPr>
        <w:t>Zain</w:t>
      </w:r>
      <w:proofErr w:type="spellEnd"/>
      <w:r w:rsidRPr="00BB68E5">
        <w:rPr>
          <w:rFonts w:ascii="Times New Roman" w:hAnsi="Times New Roman" w:cs="Times New Roman"/>
          <w:sz w:val="20"/>
          <w:szCs w:val="20"/>
        </w:rPr>
        <w:t xml:space="preserve"> </w:t>
      </w:r>
      <w:r w:rsidRPr="00BB68E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B68E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B68E5" w:rsidRPr="008A7E87" w:rsidRDefault="00BB68E5" w:rsidP="008A7E8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B68E5">
        <w:rPr>
          <w:rFonts w:ascii="Times New Roman" w:hAnsi="Times New Roman" w:cs="Times New Roman"/>
          <w:sz w:val="20"/>
          <w:szCs w:val="20"/>
        </w:rPr>
        <w:t xml:space="preserve">Hafizan Juahir </w:t>
      </w:r>
      <w:r w:rsidRPr="00BB68E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BB68E5">
        <w:rPr>
          <w:rFonts w:ascii="Times New Roman" w:hAnsi="Times New Roman" w:cs="Times New Roman"/>
          <w:sz w:val="20"/>
          <w:szCs w:val="20"/>
        </w:rPr>
        <w:t xml:space="preserve">, Siti Rafzah Saari </w:t>
      </w:r>
      <w:r w:rsidRPr="00BB68E5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BB68E5" w:rsidRPr="00BB68E5" w:rsidRDefault="00BB68E5" w:rsidP="00BB68E5">
      <w:pPr>
        <w:spacing w:line="240" w:lineRule="auto"/>
        <w:contextualSpacing/>
        <w:jc w:val="center"/>
        <w:rPr>
          <w:sz w:val="24"/>
          <w:szCs w:val="24"/>
          <w:vertAlign w:val="superscript"/>
        </w:rPr>
      </w:pPr>
    </w:p>
    <w:p w:rsidR="00BB68E5" w:rsidRPr="00BB68E5" w:rsidRDefault="00BB68E5" w:rsidP="00BB68E5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68E5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BB68E5">
        <w:rPr>
          <w:rFonts w:ascii="Times New Roman" w:hAnsi="Times New Roman" w:cs="Times New Roman"/>
          <w:i/>
          <w:sz w:val="20"/>
          <w:szCs w:val="20"/>
        </w:rPr>
        <w:t xml:space="preserve">Sirim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Berhad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 xml:space="preserve">, 40911 Shah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Alam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>, Selangor, Malaysia</w:t>
      </w:r>
    </w:p>
    <w:p w:rsidR="00BB68E5" w:rsidRPr="00BB68E5" w:rsidRDefault="00BB68E5" w:rsidP="00BB68E5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68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B68E5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BB68E5">
        <w:rPr>
          <w:rFonts w:ascii="Times New Roman" w:hAnsi="Times New Roman" w:cs="Times New Roman"/>
          <w:i/>
          <w:sz w:val="20"/>
          <w:szCs w:val="20"/>
        </w:rPr>
        <w:t xml:space="preserve">Faculty of Applied Sciences,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Universiti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 xml:space="preserve"> MARA, 40450 Shah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Alam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>, Selangor, Malaysia</w:t>
      </w:r>
    </w:p>
    <w:p w:rsidR="00BB68E5" w:rsidRPr="00BB68E5" w:rsidRDefault="00BB68E5" w:rsidP="00BB68E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68E5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BB68E5">
        <w:rPr>
          <w:rFonts w:ascii="Times New Roman" w:hAnsi="Times New Roman" w:cs="Times New Roman"/>
          <w:i/>
          <w:sz w:val="20"/>
          <w:szCs w:val="20"/>
        </w:rPr>
        <w:t>Department of Chemistry, Faculty of Science, UM 56000 Kuala Lumpur, Malaysia</w:t>
      </w:r>
    </w:p>
    <w:p w:rsidR="00BB68E5" w:rsidRPr="00BB68E5" w:rsidRDefault="00BB68E5" w:rsidP="00BB68E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68E5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Pr="00BB68E5">
        <w:rPr>
          <w:rFonts w:ascii="Times New Roman" w:hAnsi="Times New Roman" w:cs="Times New Roman"/>
          <w:i/>
          <w:sz w:val="20"/>
          <w:szCs w:val="20"/>
        </w:rPr>
        <w:t xml:space="preserve">Department of Environmental Sciences, Faculty of Environmental Study,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Universiti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 xml:space="preserve"> Putra Malaysia, 43400 </w:t>
      </w:r>
      <w:proofErr w:type="spellStart"/>
      <w:r w:rsidRPr="00BB68E5">
        <w:rPr>
          <w:rFonts w:ascii="Times New Roman" w:hAnsi="Times New Roman" w:cs="Times New Roman"/>
          <w:i/>
          <w:sz w:val="20"/>
          <w:szCs w:val="20"/>
        </w:rPr>
        <w:t>Serdang</w:t>
      </w:r>
      <w:proofErr w:type="spellEnd"/>
      <w:r w:rsidRPr="00BB68E5">
        <w:rPr>
          <w:rFonts w:ascii="Times New Roman" w:hAnsi="Times New Roman" w:cs="Times New Roman"/>
          <w:i/>
          <w:sz w:val="20"/>
          <w:szCs w:val="20"/>
        </w:rPr>
        <w:t>, Selangor, Malaysia</w:t>
      </w:r>
    </w:p>
    <w:p w:rsidR="00BF43CA" w:rsidRDefault="00BF43CA" w:rsidP="00337224">
      <w:pPr>
        <w:ind w:left="2552" w:right="2552"/>
        <w:jc w:val="center"/>
      </w:pPr>
    </w:p>
    <w:p w:rsidR="008A7E87" w:rsidRDefault="008A7E87" w:rsidP="00337224">
      <w:pPr>
        <w:ind w:left="2552" w:right="255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7E87">
        <w:rPr>
          <w:rFonts w:ascii="Times New Roman" w:hAnsi="Times New Roman" w:cs="Times New Roman"/>
          <w:b/>
          <w:sz w:val="18"/>
          <w:szCs w:val="18"/>
        </w:rPr>
        <w:t>Abstract</w:t>
      </w:r>
    </w:p>
    <w:p w:rsidR="00AF423F" w:rsidRDefault="00AF423F" w:rsidP="00AF423F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AF423F">
        <w:rPr>
          <w:rFonts w:ascii="Times New Roman" w:eastAsia="Arial Unicode MS" w:hAnsi="Times New Roman" w:cs="Times New Roman"/>
          <w:sz w:val="18"/>
          <w:szCs w:val="18"/>
        </w:rPr>
        <w:t>This paper describes a simple method for mercury speciation in river water</w:t>
      </w:r>
      <w:r w:rsidR="00AB4F26">
        <w:rPr>
          <w:rFonts w:ascii="Times New Roman" w:eastAsia="Arial Unicode MS" w:hAnsi="Times New Roman" w:cs="Times New Roman"/>
          <w:sz w:val="18"/>
          <w:szCs w:val="18"/>
        </w:rPr>
        <w:t xml:space="preserve"> samples </w:t>
      </w:r>
      <w:r w:rsidR="00420123">
        <w:rPr>
          <w:rFonts w:ascii="Times New Roman" w:eastAsia="Arial Unicode MS" w:hAnsi="Times New Roman" w:cs="Times New Roman"/>
          <w:sz w:val="18"/>
          <w:szCs w:val="18"/>
        </w:rPr>
        <w:t>of</w:t>
      </w:r>
      <w:r w:rsidR="00AB4F26">
        <w:rPr>
          <w:rFonts w:ascii="Times New Roman" w:eastAsia="Arial Unicode MS" w:hAnsi="Times New Roman" w:cs="Times New Roman"/>
          <w:sz w:val="18"/>
          <w:szCs w:val="18"/>
        </w:rPr>
        <w:t xml:space="preserve"> Sungai Kinta, Perak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. </w:t>
      </w:r>
      <w:r w:rsidRPr="008A7E87">
        <w:rPr>
          <w:rFonts w:ascii="Times New Roman" w:hAnsi="Times New Roman" w:cs="Times New Roman"/>
          <w:sz w:val="18"/>
          <w:szCs w:val="18"/>
        </w:rPr>
        <w:t>Se</w:t>
      </w:r>
      <w:r>
        <w:rPr>
          <w:rFonts w:ascii="Times New Roman" w:hAnsi="Times New Roman" w:cs="Times New Roman"/>
          <w:sz w:val="18"/>
          <w:szCs w:val="18"/>
        </w:rPr>
        <w:t xml:space="preserve">paration and measurement were done by high-performance liquid chromatography on-line with inductively coupled plasma mass spectrometry (HPLC/ICP-MS). 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Separation of mercury species was accomplished within 6 minutes on an </w:t>
      </w:r>
      <w:r w:rsidRPr="00AF423F">
        <w:rPr>
          <w:rFonts w:ascii="Times New Roman" w:eastAsia="Arial Unicode MS" w:hAnsi="Times New Roman" w:cs="Times New Roman"/>
          <w:sz w:val="18"/>
          <w:szCs w:val="18"/>
          <w:lang w:val="fr-FR"/>
        </w:rPr>
        <w:t xml:space="preserve">AQ C18 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4.6mm </w:t>
      </w:r>
      <w:proofErr w:type="spellStart"/>
      <w:r w:rsidRPr="00AF423F">
        <w:rPr>
          <w:rFonts w:ascii="Times New Roman" w:eastAsia="Arial Unicode MS" w:hAnsi="Times New Roman" w:cs="Times New Roman"/>
          <w:sz w:val="18"/>
          <w:szCs w:val="18"/>
        </w:rPr>
        <w:t>i.d</w:t>
      </w:r>
      <w:proofErr w:type="spellEnd"/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 x 150mm, 5µm reversed phase column with 0.1% (w/v) L-</w:t>
      </w:r>
      <w:proofErr w:type="spellStart"/>
      <w:r w:rsidRPr="00AF423F">
        <w:rPr>
          <w:rFonts w:ascii="Times New Roman" w:eastAsia="Arial Unicode MS" w:hAnsi="Times New Roman" w:cs="Times New Roman"/>
          <w:sz w:val="18"/>
          <w:szCs w:val="18"/>
        </w:rPr>
        <w:t>cysteine</w:t>
      </w:r>
      <w:proofErr w:type="spellEnd"/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proofErr w:type="gramStart"/>
      <w:r w:rsidRPr="00AF423F">
        <w:rPr>
          <w:rFonts w:ascii="Times New Roman" w:eastAsia="Arial Unicode MS" w:hAnsi="Times New Roman" w:cs="Times New Roman"/>
          <w:sz w:val="18"/>
          <w:szCs w:val="18"/>
        </w:rPr>
        <w:t>as  mobile</w:t>
      </w:r>
      <w:proofErr w:type="gramEnd"/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 phase. </w:t>
      </w:r>
      <w:r>
        <w:rPr>
          <w:rFonts w:ascii="Times New Roman" w:hAnsi="Times New Roman" w:cs="Times New Roman"/>
          <w:sz w:val="18"/>
          <w:szCs w:val="18"/>
        </w:rPr>
        <w:t xml:space="preserve">Under the optimum instrumental conditions, recoveries of 101-104% for </w:t>
      </w:r>
      <w:proofErr w:type="spellStart"/>
      <w:r>
        <w:rPr>
          <w:rFonts w:ascii="Times New Roman" w:hAnsi="Times New Roman" w:cs="Times New Roman"/>
          <w:sz w:val="18"/>
          <w:szCs w:val="18"/>
        </w:rPr>
        <w:t>MeHg</w:t>
      </w:r>
      <w:proofErr w:type="spellEnd"/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+ </w:t>
      </w:r>
      <w:r>
        <w:rPr>
          <w:rFonts w:ascii="Times New Roman" w:hAnsi="Times New Roman" w:cs="Times New Roman"/>
          <w:sz w:val="18"/>
          <w:szCs w:val="18"/>
        </w:rPr>
        <w:t>and 96 – 104% for Hg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>
        <w:rPr>
          <w:rFonts w:ascii="Times New Roman" w:hAnsi="Times New Roman" w:cs="Times New Roman"/>
          <w:sz w:val="18"/>
          <w:szCs w:val="18"/>
        </w:rPr>
        <w:t xml:space="preserve"> were obtained</w:t>
      </w:r>
      <w:r w:rsidR="009A7BFE">
        <w:rPr>
          <w:rFonts w:ascii="Times New Roman" w:hAnsi="Times New Roman" w:cs="Times New Roman"/>
          <w:sz w:val="18"/>
          <w:szCs w:val="18"/>
        </w:rPr>
        <w:t xml:space="preserve"> with 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>experimental detection limits</w:t>
      </w:r>
      <w:r w:rsidR="009A7BFE">
        <w:rPr>
          <w:rFonts w:ascii="Times New Roman" w:eastAsia="Arial Unicode MS" w:hAnsi="Times New Roman" w:cs="Times New Roman"/>
          <w:sz w:val="18"/>
          <w:szCs w:val="18"/>
        </w:rPr>
        <w:t xml:space="preserve"> of 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>1ngL</w:t>
      </w:r>
      <w:r w:rsidRPr="00AF423F">
        <w:rPr>
          <w:rFonts w:ascii="Times New Roman" w:eastAsia="Arial Unicode MS" w:hAnsi="Times New Roman" w:cs="Times New Roman"/>
          <w:sz w:val="18"/>
          <w:szCs w:val="18"/>
          <w:vertAlign w:val="superscript"/>
        </w:rPr>
        <w:t>-1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 for inorganic mercury and 1.5µgL</w:t>
      </w:r>
      <w:r w:rsidRPr="00AF423F">
        <w:rPr>
          <w:rFonts w:ascii="Times New Roman" w:eastAsia="Arial Unicode MS" w:hAnsi="Times New Roman" w:cs="Times New Roman"/>
          <w:sz w:val="18"/>
          <w:szCs w:val="18"/>
          <w:vertAlign w:val="superscript"/>
        </w:rPr>
        <w:t>-1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 for organic mercury</w:t>
      </w:r>
      <w:r w:rsidR="00AB4F26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AF423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</w:p>
    <w:p w:rsidR="00A10CA0" w:rsidRDefault="00A10CA0" w:rsidP="00AF423F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A10CA0" w:rsidRDefault="00A10CA0" w:rsidP="00A10CA0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A10CA0">
        <w:rPr>
          <w:rFonts w:ascii="Times New Roman" w:eastAsia="Arial Unicode MS" w:hAnsi="Times New Roman" w:cs="Times New Roman"/>
          <w:b/>
          <w:sz w:val="18"/>
          <w:szCs w:val="18"/>
        </w:rPr>
        <w:t>Keywords</w:t>
      </w:r>
      <w:r>
        <w:rPr>
          <w:rFonts w:ascii="Times New Roman" w:eastAsia="Arial Unicode MS" w:hAnsi="Times New Roman" w:cs="Times New Roman"/>
          <w:sz w:val="18"/>
          <w:szCs w:val="18"/>
        </w:rPr>
        <w:t>: HPLC/ICP-MS, reversed phase, L-</w:t>
      </w:r>
      <w:proofErr w:type="spellStart"/>
      <w:r>
        <w:rPr>
          <w:rFonts w:ascii="Times New Roman" w:eastAsia="Arial Unicode MS" w:hAnsi="Times New Roman" w:cs="Times New Roman"/>
          <w:sz w:val="18"/>
          <w:szCs w:val="18"/>
        </w:rPr>
        <w:t>cysteine</w:t>
      </w:r>
      <w:proofErr w:type="spellEnd"/>
      <w:r>
        <w:rPr>
          <w:rFonts w:ascii="Times New Roman" w:eastAsia="Arial Unicode MS" w:hAnsi="Times New Roman" w:cs="Times New Roman"/>
          <w:sz w:val="18"/>
          <w:szCs w:val="18"/>
        </w:rPr>
        <w:t>, mobile phase</w:t>
      </w:r>
    </w:p>
    <w:p w:rsidR="00972C8A" w:rsidRDefault="00972C8A" w:rsidP="00A10CA0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</w:p>
    <w:p w:rsidR="00972C8A" w:rsidRPr="00972C8A" w:rsidRDefault="00972C8A" w:rsidP="00A10CA0">
      <w:pPr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proofErr w:type="spellStart"/>
      <w:r w:rsidRPr="00972C8A">
        <w:rPr>
          <w:rFonts w:ascii="Times New Roman" w:eastAsia="Arial Unicode MS" w:hAnsi="Times New Roman" w:cs="Times New Roman"/>
          <w:b/>
          <w:sz w:val="18"/>
          <w:szCs w:val="18"/>
        </w:rPr>
        <w:t>Abstrak</w:t>
      </w:r>
      <w:proofErr w:type="spellEnd"/>
    </w:p>
    <w:p w:rsidR="002C4A0E" w:rsidRDefault="002C4A0E" w:rsidP="00475218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Kajian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bertujuan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untuk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membangunkan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satu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kaedah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untuk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analisa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spesies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raksa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air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sungai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C4A0E">
        <w:rPr>
          <w:rFonts w:ascii="Times New Roman" w:hAnsi="Times New Roman" w:cs="Times New Roman"/>
          <w:sz w:val="18"/>
          <w:szCs w:val="18"/>
        </w:rPr>
        <w:t>Sungai Kinta, Perak.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Penganalisaan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kandungan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spesies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raksa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telah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dijalankan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dengan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r w:rsidRPr="002C4A0E">
        <w:rPr>
          <w:rFonts w:ascii="Times New Roman" w:hAnsi="Times New Roman" w:cs="Times New Roman"/>
          <w:i/>
          <w:sz w:val="18"/>
          <w:szCs w:val="18"/>
        </w:rPr>
        <w:t>high</w:t>
      </w:r>
      <w:proofErr w:type="gramEnd"/>
      <w:r w:rsidRPr="002C4A0E">
        <w:rPr>
          <w:rFonts w:ascii="Times New Roman" w:hAnsi="Times New Roman" w:cs="Times New Roman"/>
          <w:i/>
          <w:sz w:val="18"/>
          <w:szCs w:val="18"/>
        </w:rPr>
        <w:t>-performance liquid chromatography on-line with inductively coupled plasma mass spectrometry (HPLC/ICP-MS)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Pemisahan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00254">
        <w:rPr>
          <w:rFonts w:ascii="Times New Roman" w:hAnsi="Times New Roman" w:cs="Times New Roman"/>
          <w:sz w:val="18"/>
          <w:szCs w:val="18"/>
        </w:rPr>
        <w:t>spe</w:t>
      </w:r>
      <w:r w:rsidR="0059236F">
        <w:rPr>
          <w:rFonts w:ascii="Times New Roman" w:hAnsi="Times New Roman" w:cs="Times New Roman"/>
          <w:sz w:val="18"/>
          <w:szCs w:val="18"/>
        </w:rPr>
        <w:t>s</w:t>
      </w:r>
      <w:r w:rsidR="00200254">
        <w:rPr>
          <w:rFonts w:ascii="Times New Roman" w:hAnsi="Times New Roman" w:cs="Times New Roman"/>
          <w:sz w:val="18"/>
          <w:szCs w:val="18"/>
        </w:rPr>
        <w:t>ies</w:t>
      </w:r>
      <w:proofErr w:type="spellEnd"/>
      <w:r w:rsidR="0020025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raksa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dicapai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masa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C4A0E">
        <w:rPr>
          <w:rFonts w:ascii="Times New Roman" w:hAnsi="Times New Roman" w:cs="Times New Roman"/>
          <w:sz w:val="18"/>
          <w:szCs w:val="18"/>
        </w:rPr>
        <w:t xml:space="preserve">6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minit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dengan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20123">
        <w:rPr>
          <w:rFonts w:ascii="Times New Roman" w:hAnsi="Times New Roman" w:cs="Times New Roman"/>
          <w:sz w:val="18"/>
          <w:szCs w:val="18"/>
        </w:rPr>
        <w:t>turus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fasa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terbalik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C4A0E">
        <w:rPr>
          <w:rFonts w:ascii="Times New Roman" w:hAnsi="Times New Roman" w:cs="Times New Roman"/>
          <w:sz w:val="18"/>
          <w:szCs w:val="18"/>
        </w:rPr>
        <w:t xml:space="preserve"> AQ</w:t>
      </w:r>
      <w:proofErr w:type="gramEnd"/>
      <w:r w:rsidRPr="002C4A0E">
        <w:rPr>
          <w:rFonts w:ascii="Times New Roman" w:hAnsi="Times New Roman" w:cs="Times New Roman"/>
          <w:sz w:val="18"/>
          <w:szCs w:val="18"/>
        </w:rPr>
        <w:t xml:space="preserve"> C18 4.6mm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i.d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x 150mm, 5µm 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0.1% (w / v) L-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sisteina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fasa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gerak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. Di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bawah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5218">
        <w:rPr>
          <w:rFonts w:ascii="Times New Roman" w:hAnsi="Times New Roman" w:cs="Times New Roman"/>
          <w:sz w:val="18"/>
          <w:szCs w:val="18"/>
        </w:rPr>
        <w:t>keadaan</w:t>
      </w:r>
      <w:proofErr w:type="spellEnd"/>
      <w:r w:rsidR="004752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5218">
        <w:rPr>
          <w:rFonts w:ascii="Times New Roman" w:hAnsi="Times New Roman" w:cs="Times New Roman"/>
          <w:sz w:val="18"/>
          <w:szCs w:val="18"/>
        </w:rPr>
        <w:t>instrumentasi</w:t>
      </w:r>
      <w:proofErr w:type="spellEnd"/>
      <w:r w:rsidR="00475218">
        <w:rPr>
          <w:rFonts w:ascii="Times New Roman" w:hAnsi="Times New Roman" w:cs="Times New Roman"/>
          <w:sz w:val="18"/>
          <w:szCs w:val="18"/>
        </w:rPr>
        <w:t xml:space="preserve"> yang optimum, 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pemerolehan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semula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101-104% </w:t>
      </w:r>
      <w:r w:rsidR="0047521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MeHg</w:t>
      </w:r>
      <w:proofErr w:type="spellEnd"/>
      <w:r w:rsidRPr="00475218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96 – 104%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Hg</w:t>
      </w:r>
      <w:r w:rsidRPr="00475218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diperolehi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had-had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pengesanan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 1ngL</w:t>
      </w:r>
      <w:r w:rsidRPr="00475218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raksa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tak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organik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1.5µgL</w:t>
      </w:r>
      <w:r w:rsidR="00475218">
        <w:rPr>
          <w:rFonts w:ascii="Times New Roman" w:hAnsi="Times New Roman" w:cs="Times New Roman"/>
          <w:sz w:val="18"/>
          <w:szCs w:val="18"/>
        </w:rPr>
        <w:t xml:space="preserve"> </w:t>
      </w:r>
      <w:r w:rsidRPr="00475218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5218">
        <w:rPr>
          <w:rFonts w:ascii="Times New Roman" w:hAnsi="Times New Roman" w:cs="Times New Roman"/>
          <w:sz w:val="18"/>
          <w:szCs w:val="18"/>
        </w:rPr>
        <w:t>raksa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4A0E">
        <w:rPr>
          <w:rFonts w:ascii="Times New Roman" w:hAnsi="Times New Roman" w:cs="Times New Roman"/>
          <w:sz w:val="18"/>
          <w:szCs w:val="18"/>
        </w:rPr>
        <w:t>organik</w:t>
      </w:r>
      <w:proofErr w:type="spellEnd"/>
      <w:r w:rsidRPr="002C4A0E">
        <w:rPr>
          <w:rFonts w:ascii="Times New Roman" w:hAnsi="Times New Roman" w:cs="Times New Roman"/>
          <w:sz w:val="18"/>
          <w:szCs w:val="18"/>
        </w:rPr>
        <w:t>.</w:t>
      </w:r>
    </w:p>
    <w:p w:rsidR="00972C8A" w:rsidRDefault="00972C8A" w:rsidP="0047521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72C8A" w:rsidRPr="002C4A0E" w:rsidRDefault="00972C8A" w:rsidP="00972C8A">
      <w:pPr>
        <w:jc w:val="center"/>
        <w:rPr>
          <w:rFonts w:ascii="Times New Roman" w:eastAsia="Arial Unicode MS" w:hAnsi="Times New Roman" w:cs="Times New Roman"/>
          <w:color w:val="FF0000"/>
          <w:sz w:val="18"/>
          <w:szCs w:val="18"/>
        </w:rPr>
      </w:pPr>
      <w:proofErr w:type="spellStart"/>
      <w:r w:rsidRPr="00972C8A">
        <w:rPr>
          <w:rFonts w:ascii="Times New Roman" w:hAnsi="Times New Roman" w:cs="Times New Roman"/>
          <w:b/>
          <w:sz w:val="18"/>
          <w:szCs w:val="18"/>
        </w:rPr>
        <w:t>Kata</w:t>
      </w:r>
      <w:proofErr w:type="spellEnd"/>
      <w:r w:rsidRPr="00972C8A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972C8A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HPLC/ICP-MS, </w:t>
      </w:r>
      <w:proofErr w:type="spellStart"/>
      <w:r>
        <w:rPr>
          <w:rFonts w:ascii="Times New Roman" w:hAnsi="Times New Roman" w:cs="Times New Roman"/>
          <w:sz w:val="18"/>
          <w:szCs w:val="18"/>
        </w:rPr>
        <w:t>fasa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terbalik</w:t>
      </w:r>
      <w:proofErr w:type="spellEnd"/>
      <w:r>
        <w:rPr>
          <w:rFonts w:ascii="Times New Roman" w:hAnsi="Times New Roman" w:cs="Times New Roman"/>
          <w:sz w:val="18"/>
          <w:szCs w:val="18"/>
        </w:rPr>
        <w:t>, L-</w:t>
      </w:r>
      <w:proofErr w:type="spellStart"/>
      <w:r>
        <w:rPr>
          <w:rFonts w:ascii="Times New Roman" w:hAnsi="Times New Roman" w:cs="Times New Roman"/>
          <w:sz w:val="18"/>
          <w:szCs w:val="18"/>
        </w:rPr>
        <w:t>sisteina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fasa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gerak</w:t>
      </w:r>
      <w:proofErr w:type="spellEnd"/>
    </w:p>
    <w:p w:rsidR="00972C8A" w:rsidRDefault="00972C8A" w:rsidP="00972C8A">
      <w:pPr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018F2" w:rsidRDefault="003018F2" w:rsidP="00972C8A">
      <w:pPr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018F2" w:rsidRDefault="003018F2" w:rsidP="00972C8A">
      <w:pPr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018F2" w:rsidRDefault="003018F2" w:rsidP="00972C8A">
      <w:pPr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A10CA0" w:rsidRDefault="00A10CA0" w:rsidP="00A10CA0">
      <w:pPr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10CA0">
        <w:rPr>
          <w:rFonts w:ascii="Times New Roman" w:eastAsia="Arial Unicode MS" w:hAnsi="Times New Roman" w:cs="Times New Roman"/>
          <w:b/>
          <w:sz w:val="20"/>
          <w:szCs w:val="20"/>
        </w:rPr>
        <w:t>Introduction</w:t>
      </w:r>
    </w:p>
    <w:p w:rsidR="00AB4F26" w:rsidRPr="0041716E" w:rsidRDefault="00C82599" w:rsidP="00AB4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Mercury is found throughout the ecosystem in trace amounts: in soil, air, water and living organisms </w:t>
      </w:r>
      <w:r w:rsidRPr="0041716E">
        <w:rPr>
          <w:rFonts w:ascii="Times New Roman" w:hAnsi="Times New Roman" w:cs="Times New Roman"/>
          <w:color w:val="000066"/>
          <w:sz w:val="20"/>
          <w:szCs w:val="20"/>
        </w:rPr>
        <w:t>[1]</w:t>
      </w:r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. The accumulation of </w:t>
      </w:r>
      <w:proofErr w:type="spell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monomethylmercury</w:t>
      </w:r>
      <w:proofErr w:type="spell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420123">
        <w:rPr>
          <w:rFonts w:ascii="Times New Roman" w:hAnsi="Times New Roman" w:cs="Times New Roman"/>
          <w:color w:val="000000"/>
          <w:sz w:val="20"/>
          <w:szCs w:val="20"/>
        </w:rPr>
        <w:t>eHg</w:t>
      </w:r>
      <w:proofErr w:type="spell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) in fish and the subsequent poisoning of the </w:t>
      </w:r>
      <w:proofErr w:type="spell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Minamata</w:t>
      </w:r>
      <w:proofErr w:type="spell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inhabitants,</w:t>
      </w:r>
      <w:proofErr w:type="gram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 was a turning point in the analysis of environmental levels of toxic metals, because it was apparent that to provide a clear picture of toxicity, biogeochemistry and bioaccumulation, it is necessary to measure all the different physicochemical forms </w:t>
      </w:r>
      <w:r w:rsidRPr="0041716E">
        <w:rPr>
          <w:rFonts w:ascii="Times New Roman" w:hAnsi="Times New Roman" w:cs="Times New Roman"/>
          <w:color w:val="000066"/>
          <w:sz w:val="20"/>
          <w:szCs w:val="20"/>
        </w:rPr>
        <w:t>[2]</w:t>
      </w:r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420123">
        <w:rPr>
          <w:rFonts w:ascii="Times New Roman" w:hAnsi="Times New Roman" w:cs="Times New Roman"/>
          <w:color w:val="000000"/>
          <w:sz w:val="20"/>
          <w:szCs w:val="20"/>
        </w:rPr>
        <w:t>eHg</w:t>
      </w:r>
      <w:proofErr w:type="spell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 and the other </w:t>
      </w:r>
      <w:proofErr w:type="spell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organomercury</w:t>
      </w:r>
      <w:proofErr w:type="spell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 compounds are more toxic than </w:t>
      </w:r>
      <w:proofErr w:type="gram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Hg(</w:t>
      </w:r>
      <w:proofErr w:type="gram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II), because of their </w:t>
      </w:r>
      <w:proofErr w:type="spellStart"/>
      <w:r w:rsidRPr="0041716E">
        <w:rPr>
          <w:rFonts w:ascii="Times New Roman" w:hAnsi="Times New Roman" w:cs="Times New Roman"/>
          <w:color w:val="000000"/>
          <w:sz w:val="20"/>
          <w:szCs w:val="20"/>
        </w:rPr>
        <w:t>lipophilic</w:t>
      </w:r>
      <w:proofErr w:type="spellEnd"/>
      <w:r w:rsidRPr="0041716E">
        <w:rPr>
          <w:rFonts w:ascii="Times New Roman" w:hAnsi="Times New Roman" w:cs="Times New Roman"/>
          <w:color w:val="000000"/>
          <w:sz w:val="20"/>
          <w:szCs w:val="20"/>
        </w:rPr>
        <w:t xml:space="preserve"> nature, which allows them to permeate biological membranes and enter cells. </w:t>
      </w:r>
    </w:p>
    <w:p w:rsidR="0041716E" w:rsidRPr="00C82599" w:rsidRDefault="0041716E" w:rsidP="00AB4F2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0"/>
          <w:szCs w:val="20"/>
        </w:rPr>
      </w:pPr>
    </w:p>
    <w:p w:rsidR="00C82599" w:rsidRPr="00420123" w:rsidRDefault="00F45987" w:rsidP="00C8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6E4D">
        <w:rPr>
          <w:rFonts w:ascii="Times New Roman" w:hAnsi="Times New Roman" w:cs="Times New Roman"/>
          <w:color w:val="000000"/>
          <w:sz w:val="20"/>
          <w:szCs w:val="20"/>
        </w:rPr>
        <w:t>The most common methods currently in use for the speciation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analysis of mer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cury species </w:t>
      </w:r>
      <w:proofErr w:type="gramStart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are 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Gas</w:t>
      </w:r>
      <w:proofErr w:type="gramEnd"/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Chromatography (GC) </w:t>
      </w:r>
      <w:r w:rsidR="0041716E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High Performance Liquid Chromatography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(HPLC) coupled to an elemental specific detector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such as inductively coupled plasma-mass spectrometry (ICPMS)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>[1]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. GC coupled with ICP-MS currently has some of the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lowest reported detection limits 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 xml:space="preserve">[2]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for mercury species with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20123">
        <w:rPr>
          <w:rFonts w:ascii="Times New Roman" w:hAnsi="Times New Roman" w:cs="Times New Roman"/>
          <w:color w:val="000000"/>
          <w:sz w:val="20"/>
          <w:szCs w:val="20"/>
        </w:rPr>
        <w:t>detection limits of 0.027 pg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420123">
        <w:rPr>
          <w:rFonts w:ascii="Times New Roman" w:eastAsia="MTSY" w:hAnsi="Times New Roman" w:cs="Times New Roman"/>
          <w:color w:val="000000"/>
          <w:sz w:val="20"/>
          <w:szCs w:val="20"/>
          <w:vertAlign w:val="superscript"/>
        </w:rPr>
        <w:t>−</w:t>
      </w:r>
      <w:r w:rsidRPr="0042012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for methyl mercury (CH</w:t>
      </w:r>
      <w:r w:rsidRPr="00C8259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Hg)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20123">
        <w:rPr>
          <w:rFonts w:ascii="Times New Roman" w:hAnsi="Times New Roman" w:cs="Times New Roman"/>
          <w:color w:val="000000"/>
          <w:sz w:val="20"/>
          <w:szCs w:val="20"/>
        </w:rPr>
        <w:t>and 0.27 pg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420123">
        <w:rPr>
          <w:rFonts w:ascii="Times New Roman" w:eastAsia="MTSY" w:hAnsi="Times New Roman" w:cs="Times New Roman"/>
          <w:color w:val="000000"/>
          <w:sz w:val="20"/>
          <w:szCs w:val="20"/>
          <w:vertAlign w:val="superscript"/>
        </w:rPr>
        <w:t>−</w:t>
      </w:r>
      <w:r w:rsidRPr="0042012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for inorganic mercury (Hg</w:t>
      </w:r>
      <w:r w:rsidRPr="001E1E4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2+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) with solid phase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06E4D">
        <w:rPr>
          <w:rFonts w:ascii="Times New Roman" w:hAnsi="Times New Roman" w:cs="Times New Roman"/>
          <w:color w:val="000000"/>
          <w:sz w:val="20"/>
          <w:szCs w:val="20"/>
        </w:rPr>
        <w:t>microextraction</w:t>
      </w:r>
      <w:proofErr w:type="spellEnd"/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(SPME) pre-concentration. Other detection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methods such as atomic fluorescence spectroscopy with solid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phase extraction 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 xml:space="preserve">[3]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can reach detection limits as low as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20123">
        <w:rPr>
          <w:rFonts w:ascii="Times New Roman" w:hAnsi="Times New Roman" w:cs="Times New Roman"/>
          <w:color w:val="000000"/>
          <w:sz w:val="20"/>
          <w:szCs w:val="20"/>
        </w:rPr>
        <w:t>0.01 ng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420123">
        <w:rPr>
          <w:rFonts w:ascii="Times New Roman" w:eastAsia="MTSY" w:hAnsi="Times New Roman" w:cs="Times New Roman"/>
          <w:color w:val="000000"/>
          <w:sz w:val="20"/>
          <w:szCs w:val="20"/>
          <w:vertAlign w:val="superscript"/>
        </w:rPr>
        <w:t>−</w:t>
      </w:r>
      <w:r w:rsidRPr="0042012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for CH</w:t>
      </w:r>
      <w:r w:rsidRPr="00C8259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Hg and is suitable for the analysis of mercury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species in ocean</w:t>
      </w:r>
      <w:r w:rsidR="004171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water 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>[4]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171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However, the drawback of GC is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that the species have to be rendered volatile and this requires a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06E4D">
        <w:rPr>
          <w:rFonts w:ascii="Times New Roman" w:hAnsi="Times New Roman" w:cs="Times New Roman"/>
          <w:color w:val="000000"/>
          <w:sz w:val="20"/>
          <w:szCs w:val="20"/>
        </w:rPr>
        <w:t>derivatisation</w:t>
      </w:r>
      <w:proofErr w:type="spellEnd"/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step with either Grignard reagents or more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recently </w:t>
      </w:r>
      <w:proofErr w:type="spellStart"/>
      <w:r w:rsidRPr="00006E4D">
        <w:rPr>
          <w:rFonts w:ascii="Times New Roman" w:hAnsi="Times New Roman" w:cs="Times New Roman"/>
          <w:color w:val="000000"/>
          <w:sz w:val="20"/>
          <w:szCs w:val="20"/>
        </w:rPr>
        <w:t>tetraalkyborate</w:t>
      </w:r>
      <w:proofErr w:type="spellEnd"/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compounds 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>[5]</w:t>
      </w:r>
      <w:r w:rsidR="0041716E">
        <w:rPr>
          <w:rFonts w:ascii="Times New Roman" w:hAnsi="Times New Roman" w:cs="Times New Roman"/>
          <w:color w:val="000066"/>
          <w:sz w:val="20"/>
          <w:szCs w:val="20"/>
        </w:rPr>
        <w:t xml:space="preserve">. This </w:t>
      </w:r>
      <w:proofErr w:type="spellStart"/>
      <w:r w:rsidR="0041716E">
        <w:rPr>
          <w:rFonts w:ascii="Times New Roman" w:hAnsi="Times New Roman" w:cs="Times New Roman"/>
          <w:color w:val="000066"/>
          <w:sz w:val="20"/>
          <w:szCs w:val="20"/>
        </w:rPr>
        <w:t>derivatisation</w:t>
      </w:r>
      <w:proofErr w:type="spellEnd"/>
      <w:r w:rsidR="0041716E">
        <w:rPr>
          <w:rFonts w:ascii="Times New Roman" w:hAnsi="Times New Roman" w:cs="Times New Roman"/>
          <w:color w:val="000066"/>
          <w:sz w:val="20"/>
          <w:szCs w:val="20"/>
        </w:rPr>
        <w:t xml:space="preserve"> step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 xml:space="preserve"> </w:t>
      </w:r>
      <w:r w:rsidR="0041716E">
        <w:rPr>
          <w:rFonts w:ascii="Times New Roman" w:hAnsi="Times New Roman" w:cs="Times New Roman"/>
          <w:color w:val="000066"/>
          <w:sz w:val="20"/>
          <w:szCs w:val="20"/>
        </w:rPr>
        <w:t xml:space="preserve">can be time consuming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and can sometimes result in species transformations</w:t>
      </w:r>
      <w:r w:rsid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66"/>
          <w:sz w:val="20"/>
          <w:szCs w:val="20"/>
        </w:rPr>
        <w:t>[6]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41716E">
        <w:rPr>
          <w:rFonts w:ascii="Times New Roman" w:hAnsi="Times New Roman" w:cs="Times New Roman"/>
          <w:color w:val="000000"/>
          <w:sz w:val="20"/>
          <w:szCs w:val="20"/>
        </w:rPr>
        <w:t>thus alternative method is required.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HPLC on the other hand requires no </w:t>
      </w:r>
      <w:proofErr w:type="spellStart"/>
      <w:r w:rsidRPr="00006E4D">
        <w:rPr>
          <w:rFonts w:ascii="Times New Roman" w:hAnsi="Times New Roman" w:cs="Times New Roman"/>
          <w:color w:val="000000"/>
          <w:sz w:val="20"/>
          <w:szCs w:val="20"/>
        </w:rPr>
        <w:t>derivatisation</w:t>
      </w:r>
      <w:proofErr w:type="spellEnd"/>
      <w:r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step,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6E4D">
        <w:rPr>
          <w:rFonts w:ascii="Times New Roman" w:hAnsi="Times New Roman" w:cs="Times New Roman"/>
          <w:color w:val="000000"/>
          <w:sz w:val="20"/>
          <w:szCs w:val="20"/>
        </w:rPr>
        <w:t>as the species do not need to be volatile before injection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[7]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, simplifying the sample preparation considerably. However, to reach the detection limits </w:t>
      </w:r>
      <w:r w:rsidR="005168C3">
        <w:rPr>
          <w:rFonts w:ascii="Times New Roman" w:hAnsi="Times New Roman" w:cs="Times New Roman"/>
          <w:color w:val="000000"/>
          <w:sz w:val="20"/>
          <w:szCs w:val="20"/>
        </w:rPr>
        <w:t xml:space="preserve">is necessary. Various pre-concentration methods have been reviewed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[8]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includ</w:t>
      </w:r>
      <w:r w:rsidR="005168C3">
        <w:rPr>
          <w:rFonts w:ascii="Times New Roman" w:hAnsi="Times New Roman" w:cs="Times New Roman"/>
          <w:color w:val="000000"/>
          <w:sz w:val="20"/>
          <w:szCs w:val="20"/>
        </w:rPr>
        <w:t>ing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on-line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[7]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, and off-line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 xml:space="preserve">[9] </w:t>
      </w:r>
      <w:r w:rsidR="005168C3">
        <w:rPr>
          <w:rFonts w:ascii="Times New Roman" w:hAnsi="Times New Roman" w:cs="Times New Roman"/>
          <w:color w:val="000000"/>
          <w:sz w:val="20"/>
          <w:szCs w:val="20"/>
        </w:rPr>
        <w:t xml:space="preserve">pre-concentration 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on various materials </w:t>
      </w:r>
      <w:r w:rsidR="005168C3">
        <w:rPr>
          <w:rFonts w:ascii="Times New Roman" w:hAnsi="Times New Roman" w:cs="Times New Roman"/>
          <w:color w:val="000000"/>
          <w:sz w:val="20"/>
          <w:szCs w:val="20"/>
        </w:rPr>
        <w:t>such as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C-18 micro-columns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[10</w:t>
      </w:r>
      <w:proofErr w:type="gramStart"/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,11</w:t>
      </w:r>
      <w:proofErr w:type="gramEnd"/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]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sulfhydryl</w:t>
      </w:r>
      <w:proofErr w:type="spellEnd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cotton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[12]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. However, to successfully separate mercury species by HPLC, ion pairing agents such as </w:t>
      </w:r>
      <w:r w:rsidR="00C82599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cysteine</w:t>
      </w:r>
      <w:proofErr w:type="spellEnd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[13</w:t>
      </w:r>
      <w:proofErr w:type="gramStart"/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,14</w:t>
      </w:r>
      <w:proofErr w:type="gramEnd"/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 xml:space="preserve">] 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are required, which when coupled with </w:t>
      </w:r>
      <w:proofErr w:type="spellStart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vapour</w:t>
      </w:r>
      <w:proofErr w:type="spellEnd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generation and ICP-MS gives detection limits of between 0.03 and 0.11 ngmL</w:t>
      </w:r>
      <w:r w:rsidR="00006E4D" w:rsidRPr="001E1E4D">
        <w:rPr>
          <w:rFonts w:ascii="Times New Roman" w:eastAsia="MTSY" w:hAnsi="Times New Roman" w:cs="Times New Roman"/>
          <w:color w:val="000000"/>
          <w:sz w:val="20"/>
          <w:szCs w:val="20"/>
          <w:vertAlign w:val="superscript"/>
        </w:rPr>
        <w:t>−</w:t>
      </w:r>
      <w:r w:rsidR="00006E4D" w:rsidRPr="001E1E4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. HPLC–ICP-MS with</w:t>
      </w:r>
      <w:r w:rsidR="0042012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off-line pre-concentration rea</w:t>
      </w:r>
      <w:r w:rsidR="00664E54">
        <w:rPr>
          <w:rFonts w:ascii="Times New Roman" w:hAnsi="Times New Roman" w:cs="Times New Roman"/>
          <w:color w:val="000000"/>
          <w:sz w:val="20"/>
          <w:szCs w:val="20"/>
        </w:rPr>
        <w:t>ched detection limits of 5.2 ng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006E4D" w:rsidRPr="00664E54">
        <w:rPr>
          <w:rFonts w:ascii="Times New Roman" w:eastAsia="MTSY" w:hAnsi="Times New Roman" w:cs="Times New Roman"/>
          <w:color w:val="000000"/>
          <w:sz w:val="20"/>
          <w:szCs w:val="20"/>
          <w:vertAlign w:val="superscript"/>
        </w:rPr>
        <w:t>−</w:t>
      </w:r>
      <w:r w:rsidR="00006E4D" w:rsidRPr="00664E5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for Hg</w:t>
      </w:r>
      <w:r w:rsidR="00006E4D" w:rsidRPr="00664E5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2+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2599">
        <w:rPr>
          <w:rFonts w:ascii="Times New Roman" w:hAnsi="Times New Roman" w:cs="Times New Roman"/>
          <w:color w:val="000000"/>
          <w:sz w:val="20"/>
          <w:szCs w:val="20"/>
        </w:rPr>
        <w:t>and 5.6 ng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006E4D" w:rsidRPr="001E1E4D">
        <w:rPr>
          <w:rFonts w:ascii="Times New Roman" w:eastAsia="MTSY" w:hAnsi="Times New Roman" w:cs="Times New Roman"/>
          <w:color w:val="000000"/>
          <w:sz w:val="20"/>
          <w:szCs w:val="20"/>
          <w:vertAlign w:val="superscript"/>
        </w:rPr>
        <w:t>−</w:t>
      </w:r>
      <w:r w:rsidR="00006E4D" w:rsidRPr="001E1E4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 for CH</w:t>
      </w:r>
      <w:r w:rsidR="00006E4D" w:rsidRPr="00C8259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Hg, recently </w:t>
      </w:r>
      <w:proofErr w:type="spellStart"/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>microbore</w:t>
      </w:r>
      <w:proofErr w:type="spellEnd"/>
      <w:r w:rsidR="00006E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06E4D" w:rsidRPr="00006E4D">
        <w:rPr>
          <w:rFonts w:ascii="Times New Roman" w:hAnsi="Times New Roman" w:cs="Times New Roman"/>
          <w:color w:val="000000"/>
          <w:sz w:val="20"/>
          <w:szCs w:val="20"/>
        </w:rPr>
        <w:t xml:space="preserve">HPLC–ICP-MS has been used for the speciation analysis of mercury 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[1</w:t>
      </w:r>
      <w:r w:rsidR="001E1E4D">
        <w:rPr>
          <w:rFonts w:ascii="Times New Roman" w:hAnsi="Times New Roman" w:cs="Times New Roman"/>
          <w:color w:val="000066"/>
          <w:sz w:val="20"/>
          <w:szCs w:val="20"/>
        </w:rPr>
        <w:t>5</w:t>
      </w:r>
      <w:r w:rsidR="00006E4D" w:rsidRPr="00006E4D">
        <w:rPr>
          <w:rFonts w:ascii="Times New Roman" w:hAnsi="Times New Roman" w:cs="Times New Roman"/>
          <w:color w:val="000066"/>
          <w:sz w:val="20"/>
          <w:szCs w:val="20"/>
        </w:rPr>
        <w:t>]</w:t>
      </w:r>
      <w:r w:rsidR="00972C8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82599" w:rsidRPr="0081086E">
        <w:rPr>
          <w:rFonts w:ascii="Times New Roman" w:eastAsia="Arial Unicode MS" w:hAnsi="Times New Roman" w:cs="Times New Roman"/>
          <w:sz w:val="20"/>
          <w:szCs w:val="20"/>
        </w:rPr>
        <w:t>ICP-MS offers extremely low detection limits ranging from sub part per billion (ppb) to trillion (</w:t>
      </w:r>
      <w:proofErr w:type="spellStart"/>
      <w:r w:rsidR="00C82599" w:rsidRPr="0081086E">
        <w:rPr>
          <w:rFonts w:ascii="Times New Roman" w:eastAsia="Arial Unicode MS" w:hAnsi="Times New Roman" w:cs="Times New Roman"/>
          <w:sz w:val="20"/>
          <w:szCs w:val="20"/>
        </w:rPr>
        <w:t>ppt</w:t>
      </w:r>
      <w:proofErr w:type="spellEnd"/>
      <w:r w:rsidR="00C82599" w:rsidRPr="0081086E">
        <w:rPr>
          <w:rFonts w:ascii="Times New Roman" w:eastAsia="Arial Unicode MS" w:hAnsi="Times New Roman" w:cs="Times New Roman"/>
          <w:sz w:val="20"/>
          <w:szCs w:val="20"/>
        </w:rPr>
        <w:t>) for most elements. It has a rapid multi-element scanning capability over a wide range of masses with lower detection limits compared to GF-AAS and ICP-AES. Detection limits generally depend on the element, sample matrix, preparation, and the instrumental conditions used for analysis. The detection limits in ICP-MS particularly for elements which occur abundantly in nature, are often determined by blank values</w:t>
      </w:r>
      <w:r w:rsidR="00C8259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="00C82599" w:rsidRPr="0081086E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</w:t>
      </w:r>
      <w:proofErr w:type="gramStart"/>
      <w:r w:rsidR="00C82599" w:rsidRPr="0081086E">
        <w:rPr>
          <w:rFonts w:ascii="Times New Roman" w:eastAsia="Arial Unicode MS" w:hAnsi="Times New Roman" w:cs="Times New Roman"/>
          <w:sz w:val="20"/>
          <w:szCs w:val="20"/>
        </w:rPr>
        <w:t>Argon plasma in the HPLC-ICP-MS system able to decompose and ionize an element, irrespective of the chemical structure of the species.</w:t>
      </w:r>
      <w:proofErr w:type="gramEnd"/>
      <w:r w:rsidR="00C82599" w:rsidRPr="0081086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686C30" w:rsidRDefault="00686C30" w:rsidP="008108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</w:p>
    <w:p w:rsidR="00686C30" w:rsidRDefault="00686C30" w:rsidP="0068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15E1">
        <w:rPr>
          <w:rFonts w:ascii="Times New Roman" w:hAnsi="Times New Roman"/>
          <w:sz w:val="20"/>
          <w:szCs w:val="20"/>
        </w:rPr>
        <w:t xml:space="preserve">For these reasons, the aim of this work was to develop a powerful speciation method </w:t>
      </w:r>
      <w:r w:rsidR="005335AF">
        <w:rPr>
          <w:rFonts w:ascii="Times New Roman" w:hAnsi="Times New Roman"/>
          <w:sz w:val="20"/>
          <w:szCs w:val="20"/>
        </w:rPr>
        <w:t>applicable for trace</w:t>
      </w:r>
      <w:r w:rsidRPr="008E15E1">
        <w:rPr>
          <w:rFonts w:ascii="Times New Roman" w:hAnsi="Times New Roman"/>
          <w:sz w:val="20"/>
          <w:szCs w:val="20"/>
        </w:rPr>
        <w:t xml:space="preserve"> analysis of </w:t>
      </w:r>
      <w:r>
        <w:rPr>
          <w:rFonts w:ascii="Times New Roman" w:hAnsi="Times New Roman"/>
          <w:sz w:val="20"/>
          <w:szCs w:val="20"/>
        </w:rPr>
        <w:t>mercury</w:t>
      </w:r>
      <w:r w:rsidRPr="008E15E1">
        <w:rPr>
          <w:rFonts w:ascii="Times New Roman" w:hAnsi="Times New Roman"/>
          <w:sz w:val="20"/>
          <w:szCs w:val="20"/>
        </w:rPr>
        <w:t xml:space="preserve"> species </w:t>
      </w:r>
      <w:r w:rsidR="005335AF">
        <w:rPr>
          <w:rFonts w:ascii="Times New Roman" w:hAnsi="Times New Roman"/>
          <w:sz w:val="20"/>
          <w:szCs w:val="20"/>
        </w:rPr>
        <w:t>in water samples from</w:t>
      </w:r>
      <w:r w:rsidRPr="008E15E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Sungai Kinta</w:t>
      </w:r>
      <w:r w:rsidRPr="008E15E1">
        <w:rPr>
          <w:rFonts w:ascii="Times New Roman" w:hAnsi="Times New Roman"/>
          <w:sz w:val="20"/>
          <w:szCs w:val="20"/>
        </w:rPr>
        <w:t xml:space="preserve"> water in Malaysia with appropriate performance characteristics in order to identify and quantify each </w:t>
      </w:r>
      <w:r>
        <w:rPr>
          <w:rFonts w:ascii="Times New Roman" w:hAnsi="Times New Roman"/>
          <w:sz w:val="20"/>
          <w:szCs w:val="20"/>
        </w:rPr>
        <w:t>mercury</w:t>
      </w:r>
      <w:r w:rsidRPr="008E15E1">
        <w:rPr>
          <w:rFonts w:ascii="Times New Roman" w:hAnsi="Times New Roman"/>
          <w:sz w:val="20"/>
          <w:szCs w:val="20"/>
        </w:rPr>
        <w:t xml:space="preserve"> species.</w:t>
      </w:r>
    </w:p>
    <w:p w:rsidR="00E71308" w:rsidRDefault="00E71308" w:rsidP="0068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82599" w:rsidRDefault="00C82599" w:rsidP="0068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1308" w:rsidRDefault="00E71308" w:rsidP="00E71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1308">
        <w:rPr>
          <w:rFonts w:ascii="Times New Roman" w:hAnsi="Times New Roman"/>
          <w:b/>
          <w:sz w:val="20"/>
          <w:szCs w:val="20"/>
        </w:rPr>
        <w:t>Experimental</w:t>
      </w:r>
    </w:p>
    <w:p w:rsidR="00E71308" w:rsidRPr="00E71308" w:rsidRDefault="00E71308" w:rsidP="00E7130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E71308">
        <w:rPr>
          <w:rFonts w:ascii="Times New Roman" w:eastAsia="Arial Unicode MS" w:hAnsi="Times New Roman" w:cs="Times New Roman"/>
          <w:b/>
          <w:sz w:val="20"/>
          <w:szCs w:val="20"/>
        </w:rPr>
        <w:t>Chemical and Reagents</w:t>
      </w:r>
    </w:p>
    <w:p w:rsidR="00E71308" w:rsidRDefault="00E71308" w:rsidP="00E71308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71308">
        <w:rPr>
          <w:rFonts w:ascii="Times New Roman" w:eastAsia="Arial Unicode MS" w:hAnsi="Times New Roman" w:cs="Times New Roman"/>
          <w:sz w:val="20"/>
          <w:szCs w:val="20"/>
        </w:rPr>
        <w:t>Mercury (Hg) standard, 1000mgL</w:t>
      </w:r>
      <w:r w:rsidRPr="00E71308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and 2-mercapthoethano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l for electrophoresis (&gt; 98%)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>were purchased from Merck,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Germany. 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Methylmercury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chloride (99.9%) and L-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Cysteine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(≥ 98.5%) were obtained from 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Fluka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>, Germany and Sigma,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>US</w:t>
      </w:r>
      <w:r>
        <w:rPr>
          <w:rFonts w:ascii="Times New Roman" w:eastAsia="Arial Unicode MS" w:hAnsi="Times New Roman" w:cs="Times New Roman"/>
          <w:sz w:val="20"/>
          <w:szCs w:val="20"/>
        </w:rPr>
        <w:t>A,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respectively. The stock standard solutions were prepared by dissolving the standard in the solution of L-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Cysteine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hydrochloride (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Fluka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>, Germany). Gold standard, 1000mgL</w:t>
      </w:r>
      <w:r w:rsidRPr="00E71308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from Perkin Elmer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, USA was used to wash out the mercury species that retain in 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the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>column after each analysis.</w:t>
      </w:r>
    </w:p>
    <w:p w:rsidR="00E71308" w:rsidRDefault="00E71308" w:rsidP="00E71308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E71308" w:rsidRDefault="00E71308" w:rsidP="00E71308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E71308">
        <w:rPr>
          <w:rFonts w:ascii="Times New Roman" w:eastAsia="Arial Unicode MS" w:hAnsi="Times New Roman" w:cs="Times New Roman"/>
          <w:b/>
          <w:sz w:val="20"/>
          <w:szCs w:val="20"/>
        </w:rPr>
        <w:t>Instrumental</w:t>
      </w:r>
    </w:p>
    <w:p w:rsidR="00E71308" w:rsidRPr="00E71308" w:rsidRDefault="00E71308" w:rsidP="00E71308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Perkin Elmer High Performance Liquid Chromatography (HPLC) series 200 consisting essentially of  series 200 quaternary pump, series 200 LC </w:t>
      </w:r>
      <w:proofErr w:type="spellStart"/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Peltier</w:t>
      </w:r>
      <w:proofErr w:type="spellEnd"/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column oven, series 200 LC vacuum degasser and series 200 LC auto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sampler (Perkin Elmer, U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SA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). The separation of the mercury species was performed on an </w:t>
      </w:r>
      <w:r w:rsidRPr="00E71308">
        <w:rPr>
          <w:rFonts w:ascii="Times New Roman" w:eastAsia="Arial Unicode MS" w:hAnsi="Times New Roman" w:cs="Times New Roman"/>
          <w:sz w:val="20"/>
          <w:szCs w:val="20"/>
          <w:lang w:val="fr-FR"/>
        </w:rPr>
        <w:t xml:space="preserve">AQ C18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>4.6</w:t>
      </w:r>
      <w:r w:rsidR="00A14AD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mm 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i.d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x 150mm, 5µm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column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and 50 µL of the sample was injected in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>to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the chromatographic column.</w:t>
      </w:r>
      <w:r w:rsidRPr="00E71308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The operational conditions are shown in Table 1.</w:t>
      </w:r>
    </w:p>
    <w:p w:rsidR="00E71308" w:rsidRDefault="00E71308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972C8A" w:rsidRDefault="00972C8A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972C8A" w:rsidRDefault="00972C8A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972C8A" w:rsidRDefault="00972C8A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8F78EE" w:rsidRPr="008F78EE" w:rsidRDefault="008F78EE" w:rsidP="008F78EE">
      <w:pPr>
        <w:pStyle w:val="ListParagraph"/>
        <w:spacing w:after="0" w:line="240" w:lineRule="auto"/>
        <w:ind w:left="792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8F78EE">
        <w:rPr>
          <w:rFonts w:ascii="Times New Roman" w:eastAsia="Arial Unicode MS" w:hAnsi="Times New Roman" w:cs="Times New Roman"/>
          <w:b/>
          <w:sz w:val="18"/>
          <w:szCs w:val="18"/>
        </w:rPr>
        <w:t>Table 1: Operational parameters of the HPLC system</w:t>
      </w:r>
    </w:p>
    <w:p w:rsidR="008F78EE" w:rsidRPr="008F78EE" w:rsidRDefault="008F78EE" w:rsidP="008F78EE">
      <w:pPr>
        <w:pStyle w:val="ListParagraph"/>
        <w:spacing w:after="0" w:line="240" w:lineRule="auto"/>
        <w:ind w:left="792"/>
        <w:jc w:val="center"/>
        <w:rPr>
          <w:rFonts w:ascii="Times New Roman" w:eastAsia="Arial Unicode MS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1"/>
        <w:gridCol w:w="3189"/>
      </w:tblGrid>
      <w:tr w:rsidR="008F78EE" w:rsidRPr="008F78EE" w:rsidTr="008F78EE">
        <w:trPr>
          <w:trHeight w:val="53"/>
        </w:trPr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HPLC System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Perkin Elmer Model 200</w:t>
            </w:r>
          </w:p>
          <w:p w:rsidR="008F78EE" w:rsidRPr="008F78EE" w:rsidRDefault="008F78EE" w:rsidP="008F78EE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(Quaternary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p</w:t>
            </w: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ump,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uto sampler,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c</w:t>
            </w: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olumn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o</w:t>
            </w: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ven, vacuum degasser)</w:t>
            </w:r>
          </w:p>
        </w:tc>
      </w:tr>
      <w:tr w:rsidR="008F78EE" w:rsidRPr="008F78EE" w:rsidTr="008F78EE">
        <w:trPr>
          <w:trHeight w:val="53"/>
        </w:trPr>
        <w:tc>
          <w:tcPr>
            <w:tcW w:w="3921" w:type="dxa"/>
            <w:tcBorders>
              <w:top w:val="single" w:sz="4" w:space="0" w:color="auto"/>
            </w:tcBorders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Column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  <w:lang w:val="fr-FR"/>
              </w:rPr>
              <w:t xml:space="preserve">AQ C18 </w:t>
            </w: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4.6mm </w:t>
            </w:r>
            <w:proofErr w:type="spellStart"/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i.d</w:t>
            </w:r>
            <w:proofErr w:type="spellEnd"/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x 150mm, 5µm</w:t>
            </w:r>
          </w:p>
        </w:tc>
      </w:tr>
      <w:tr w:rsidR="008F78EE" w:rsidRPr="008F78EE" w:rsidTr="008F78EE">
        <w:tc>
          <w:tcPr>
            <w:tcW w:w="3921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Mobile phase</w:t>
            </w:r>
          </w:p>
        </w:tc>
        <w:tc>
          <w:tcPr>
            <w:tcW w:w="3189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0.1% w/v L-</w:t>
            </w:r>
            <w:proofErr w:type="spellStart"/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cysteine</w:t>
            </w:r>
            <w:proofErr w:type="spellEnd"/>
          </w:p>
        </w:tc>
      </w:tr>
      <w:tr w:rsidR="008F78EE" w:rsidRPr="008F78EE" w:rsidTr="008F78EE">
        <w:tc>
          <w:tcPr>
            <w:tcW w:w="3921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Separation Scheme</w:t>
            </w:r>
          </w:p>
        </w:tc>
        <w:tc>
          <w:tcPr>
            <w:tcW w:w="3189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Isocratic</w:t>
            </w:r>
          </w:p>
        </w:tc>
      </w:tr>
      <w:tr w:rsidR="008F78EE" w:rsidRPr="008F78EE" w:rsidTr="008F78EE">
        <w:tc>
          <w:tcPr>
            <w:tcW w:w="3921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Flow rate of the mobile phase</w:t>
            </w:r>
          </w:p>
        </w:tc>
        <w:tc>
          <w:tcPr>
            <w:tcW w:w="3189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1 ml/min</w:t>
            </w:r>
          </w:p>
        </w:tc>
      </w:tr>
      <w:tr w:rsidR="008F78EE" w:rsidRPr="008F78EE" w:rsidTr="008F78EE">
        <w:tc>
          <w:tcPr>
            <w:tcW w:w="3921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Column temperature</w:t>
            </w:r>
          </w:p>
        </w:tc>
        <w:tc>
          <w:tcPr>
            <w:tcW w:w="3189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25°C</w:t>
            </w:r>
          </w:p>
        </w:tc>
      </w:tr>
      <w:tr w:rsidR="008F78EE" w:rsidRPr="008F78EE" w:rsidTr="008F78EE">
        <w:tc>
          <w:tcPr>
            <w:tcW w:w="3921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Auto sampler flush solvent</w:t>
            </w:r>
          </w:p>
        </w:tc>
        <w:tc>
          <w:tcPr>
            <w:tcW w:w="3189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100% methanol HPLC grade</w:t>
            </w:r>
          </w:p>
        </w:tc>
      </w:tr>
      <w:tr w:rsidR="008F78EE" w:rsidRPr="008F78EE" w:rsidTr="008F78EE">
        <w:tc>
          <w:tcPr>
            <w:tcW w:w="3921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Injection volume</w:t>
            </w:r>
          </w:p>
        </w:tc>
        <w:tc>
          <w:tcPr>
            <w:tcW w:w="3189" w:type="dxa"/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50 µl</w:t>
            </w:r>
          </w:p>
        </w:tc>
      </w:tr>
      <w:tr w:rsidR="008F78EE" w:rsidRPr="008F78EE" w:rsidTr="008F78EE">
        <w:tc>
          <w:tcPr>
            <w:tcW w:w="3921" w:type="dxa"/>
            <w:tcBorders>
              <w:bottom w:val="single" w:sz="4" w:space="0" w:color="auto"/>
            </w:tcBorders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Sample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8F78EE" w:rsidRPr="008F78EE" w:rsidRDefault="008F78EE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F78EE">
              <w:rPr>
                <w:rFonts w:ascii="Times New Roman" w:eastAsia="Arial Unicode MS" w:hAnsi="Times New Roman" w:cs="Times New Roman"/>
                <w:sz w:val="18"/>
                <w:szCs w:val="18"/>
              </w:rPr>
              <w:t>River Water</w:t>
            </w:r>
          </w:p>
        </w:tc>
      </w:tr>
    </w:tbl>
    <w:p w:rsidR="008F78EE" w:rsidRDefault="008F78EE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553F39" w:rsidRPr="00E71308" w:rsidRDefault="00553F39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E71308" w:rsidRPr="00E71308" w:rsidRDefault="00E71308" w:rsidP="00E713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An Inductively Coupled Plasma-Mass Spectrometry (Perkin-Elmer SCIEX, Model ELAN DRC-e, U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>SA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) system consisted of S10 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>a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uto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sampler (Perkin Elmer, U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>SA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) and equipped with concentric nebulizer, a cyclonic spray chamber, quartz torch with a quartz injector tube, was used. ELAN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>DRC-e was equipped with platinum sampler and skimmer cones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Nebulizer capillary tubing was used to connect the nebulizer and the peristaltic pump tubing.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Sample introduction system components are cyclonic spray chamber (Glass Expansion, Inc., Australia) and a 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Meinhard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® type </w:t>
      </w:r>
      <w:proofErr w:type="gramStart"/>
      <w:r w:rsidRPr="00E71308">
        <w:rPr>
          <w:rFonts w:ascii="Times New Roman" w:eastAsia="Arial Unicode MS" w:hAnsi="Times New Roman" w:cs="Times New Roman"/>
          <w:sz w:val="20"/>
          <w:szCs w:val="20"/>
        </w:rPr>
        <w:t>A</w:t>
      </w:r>
      <w:proofErr w:type="gram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 nebulizer. The effluent from the LC column was directly connected to the nebulizer with PEEK tubing (1.59 mm </w:t>
      </w:r>
      <w:proofErr w:type="spellStart"/>
      <w:r w:rsidRPr="00E71308">
        <w:rPr>
          <w:rFonts w:ascii="Times New Roman" w:eastAsia="Arial Unicode MS" w:hAnsi="Times New Roman" w:cs="Times New Roman"/>
          <w:sz w:val="20"/>
          <w:szCs w:val="20"/>
        </w:rPr>
        <w:t>o.d</w:t>
      </w:r>
      <w:proofErr w:type="spellEnd"/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.) and a low dead volume PEEK connector (Part No.: WE024375).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Instrumental performance optimization, including nebulizer gas flow, ion le</w:t>
      </w:r>
      <w:r w:rsidR="00AE1D0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ns voltage and torch alignment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was carried out</w:t>
      </w:r>
      <w:r w:rsidR="00AE1D0F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Both mercury isotope, </w:t>
      </w:r>
      <w:r w:rsidRPr="00E71308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202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Hg and </w:t>
      </w:r>
      <w:r w:rsidRPr="00E71308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200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 xml:space="preserve">Hg for organic and inorganic mercury were monitored 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which were obtained by integrating peak area, using the </w:t>
      </w:r>
      <w:proofErr w:type="spellStart"/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>Chromera</w:t>
      </w:r>
      <w:proofErr w:type="spellEnd"/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software (Perkin Elmer, </w:t>
      </w:r>
      <w:r w:rsidRPr="00E71308">
        <w:rPr>
          <w:rFonts w:ascii="Times New Roman" w:eastAsia="Arial Unicode MS" w:hAnsi="Times New Roman" w:cs="Times New Roman"/>
          <w:sz w:val="20"/>
          <w:szCs w:val="20"/>
        </w:rPr>
        <w:t>version 3.4</w:t>
      </w:r>
      <w:r w:rsidR="00A14AD9">
        <w:rPr>
          <w:rFonts w:ascii="Times New Roman" w:eastAsia="Arial Unicode MS" w:hAnsi="Times New Roman" w:cs="Times New Roman"/>
          <w:sz w:val="20"/>
          <w:szCs w:val="20"/>
        </w:rPr>
        <w:t>)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The operational conditions </w:t>
      </w:r>
      <w:r w:rsidR="00A14AD9">
        <w:rPr>
          <w:rFonts w:ascii="Times New Roman" w:eastAsia="Arial Unicode MS" w:hAnsi="Times New Roman" w:cs="Times New Roman"/>
          <w:color w:val="000000"/>
          <w:sz w:val="20"/>
          <w:szCs w:val="20"/>
        </w:rPr>
        <w:t>as</w:t>
      </w:r>
      <w:r w:rsidRPr="00E7130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shown in Table 2.</w:t>
      </w:r>
      <w:proofErr w:type="gramEnd"/>
    </w:p>
    <w:p w:rsidR="00E71308" w:rsidRPr="00E71308" w:rsidRDefault="00E71308" w:rsidP="00E71308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553F39" w:rsidRDefault="00553F39" w:rsidP="00E71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53F39" w:rsidRPr="00E71308" w:rsidRDefault="00553F39" w:rsidP="00E71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1"/>
        <w:gridCol w:w="2019"/>
      </w:tblGrid>
      <w:tr w:rsidR="00553F39" w:rsidRPr="00DE606E" w:rsidTr="00553F39"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:rsidR="00553F39" w:rsidRPr="00553F39" w:rsidRDefault="00553F39" w:rsidP="00553F3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Table 2: Operational parameters of the ICP-MS system</w:t>
            </w:r>
          </w:p>
          <w:p w:rsidR="00553F39" w:rsidRPr="00553F39" w:rsidRDefault="00553F39" w:rsidP="00553F3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</w:tr>
      <w:tr w:rsidR="00553F39" w:rsidRPr="00DE606E" w:rsidTr="00553F39"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ICP-MS System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ELAN DRC-e</w:t>
            </w:r>
          </w:p>
        </w:tc>
      </w:tr>
      <w:tr w:rsidR="00553F39" w:rsidRPr="00DE606E" w:rsidTr="00553F39">
        <w:tc>
          <w:tcPr>
            <w:tcW w:w="3561" w:type="dxa"/>
            <w:tcBorders>
              <w:top w:val="single" w:sz="4" w:space="0" w:color="auto"/>
            </w:tcBorders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Nebulizer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Meinhard</w:t>
            </w:r>
            <w:proofErr w:type="spellEnd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® type A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Spray Chamber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cyclonic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tabs>
                <w:tab w:val="left" w:pos="2114"/>
              </w:tabs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Nebulizer gas flow</w:t>
            </w: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0.78 L/min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RF Power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1400W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Plasma gas flow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15 L/min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Reaction gas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Argon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Monitoring masses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Hg, </w:t>
            </w:r>
            <w:r w:rsidRPr="00553F39">
              <w:rPr>
                <w:rFonts w:ascii="Times New Roman" w:eastAsia="Arial Unicode MS" w:hAnsi="Times New Roman" w:cs="Times New Roman"/>
                <w:i/>
                <w:iCs/>
                <w:sz w:val="18"/>
                <w:szCs w:val="18"/>
              </w:rPr>
              <w:t>m</w:t>
            </w: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/</w:t>
            </w:r>
            <w:r w:rsidRPr="00553F39">
              <w:rPr>
                <w:rFonts w:ascii="Times New Roman" w:eastAsia="Arial Unicode MS" w:hAnsi="Times New Roman" w:cs="Times New Roman"/>
                <w:i/>
                <w:iCs/>
                <w:sz w:val="18"/>
                <w:szCs w:val="18"/>
              </w:rPr>
              <w:t xml:space="preserve">z </w:t>
            </w: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= 202 and 200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Analysis Time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6 minutes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CeO</w:t>
            </w:r>
            <w:proofErr w:type="spellEnd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+/</w:t>
            </w:r>
            <w:proofErr w:type="spellStart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Ce</w:t>
            </w:r>
            <w:proofErr w:type="spellEnd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&lt;2%</w:t>
            </w:r>
          </w:p>
        </w:tc>
      </w:tr>
      <w:tr w:rsidR="00553F39" w:rsidRPr="00DE606E" w:rsidTr="00553F39">
        <w:tc>
          <w:tcPr>
            <w:tcW w:w="3561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Ba</w:t>
            </w:r>
            <w:proofErr w:type="spellEnd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++/</w:t>
            </w:r>
            <w:proofErr w:type="spellStart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Ba</w:t>
            </w:r>
            <w:proofErr w:type="spellEnd"/>
          </w:p>
        </w:tc>
        <w:tc>
          <w:tcPr>
            <w:tcW w:w="2019" w:type="dxa"/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&lt;2%</w:t>
            </w:r>
          </w:p>
        </w:tc>
      </w:tr>
      <w:tr w:rsidR="00553F39" w:rsidRPr="00DE606E" w:rsidTr="00553F39">
        <w:tc>
          <w:tcPr>
            <w:tcW w:w="3561" w:type="dxa"/>
            <w:tcBorders>
              <w:bottom w:val="single" w:sz="4" w:space="0" w:color="auto"/>
            </w:tcBorders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Rpq</w:t>
            </w:r>
            <w:proofErr w:type="spellEnd"/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553F39" w:rsidRPr="00553F39" w:rsidRDefault="00553F39" w:rsidP="00442D8F">
            <w:pPr>
              <w:pStyle w:val="ListParagraph"/>
              <w:ind w:left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53F39">
              <w:rPr>
                <w:rFonts w:ascii="Times New Roman" w:eastAsia="Arial Unicode MS" w:hAnsi="Times New Roman" w:cs="Times New Roman"/>
                <w:sz w:val="18"/>
                <w:szCs w:val="18"/>
              </w:rPr>
              <w:t>0.05</w:t>
            </w:r>
          </w:p>
        </w:tc>
      </w:tr>
    </w:tbl>
    <w:p w:rsidR="00553F39" w:rsidRPr="00DE606E" w:rsidRDefault="00553F39" w:rsidP="00553F39">
      <w:pPr>
        <w:spacing w:after="0" w:line="240" w:lineRule="auto"/>
        <w:contextualSpacing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71308" w:rsidRPr="003F0255" w:rsidRDefault="00E71308" w:rsidP="0068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C27B5" w:rsidRDefault="00FC27B5" w:rsidP="00FC27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C27B5">
        <w:rPr>
          <w:rFonts w:ascii="Times New Roman" w:eastAsia="Arial Unicode MS" w:hAnsi="Times New Roman" w:cs="Times New Roman"/>
          <w:sz w:val="20"/>
          <w:szCs w:val="20"/>
        </w:rPr>
        <w:t xml:space="preserve">Daily Optimizations and Performance Check is </w:t>
      </w:r>
      <w:r w:rsidR="00B666D0">
        <w:rPr>
          <w:rFonts w:ascii="Times New Roman" w:eastAsia="Arial Unicode MS" w:hAnsi="Times New Roman" w:cs="Times New Roman"/>
          <w:sz w:val="20"/>
          <w:szCs w:val="20"/>
        </w:rPr>
        <w:t>conducted for optimum performance of the instrument.</w:t>
      </w:r>
      <w:r w:rsidRPr="00FC27B5">
        <w:rPr>
          <w:rFonts w:ascii="Times New Roman" w:eastAsia="Arial Unicode MS" w:hAnsi="Times New Roman" w:cs="Times New Roman"/>
          <w:sz w:val="20"/>
          <w:szCs w:val="20"/>
        </w:rPr>
        <w:t xml:space="preserve"> The instrument was tuned using a Smart Tune Solut</w:t>
      </w:r>
      <w:r w:rsidR="006B21A9">
        <w:rPr>
          <w:rFonts w:ascii="Times New Roman" w:eastAsia="Arial Unicode MS" w:hAnsi="Times New Roman" w:cs="Times New Roman"/>
          <w:sz w:val="20"/>
          <w:szCs w:val="20"/>
        </w:rPr>
        <w:t>ion-Standard ELAN &amp; DRC-e 10 µg</w:t>
      </w:r>
      <w:r w:rsidRPr="00FC27B5">
        <w:rPr>
          <w:rFonts w:ascii="Times New Roman" w:eastAsia="Arial Unicode MS" w:hAnsi="Times New Roman" w:cs="Times New Roman"/>
          <w:sz w:val="20"/>
          <w:szCs w:val="20"/>
        </w:rPr>
        <w:t>L</w:t>
      </w:r>
      <w:r w:rsidRPr="00FC27B5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r w:rsidRPr="00FC27B5">
        <w:rPr>
          <w:rFonts w:ascii="Times New Roman" w:eastAsia="Arial Unicode MS" w:hAnsi="Times New Roman" w:cs="Times New Roman"/>
          <w:sz w:val="20"/>
          <w:szCs w:val="20"/>
        </w:rPr>
        <w:t xml:space="preserve"> Barium (137Ba), Beryllium (9Be), Cerium (140Ce), Cobalt (59Co), Indium (115In), Magnesium (24Mg), </w:t>
      </w:r>
      <w:proofErr w:type="spellStart"/>
      <w:proofErr w:type="gramStart"/>
      <w:r w:rsidRPr="00FC27B5">
        <w:rPr>
          <w:rFonts w:ascii="Times New Roman" w:eastAsia="Arial Unicode MS" w:hAnsi="Times New Roman" w:cs="Times New Roman"/>
          <w:sz w:val="20"/>
          <w:szCs w:val="20"/>
        </w:rPr>
        <w:t>Plumbum</w:t>
      </w:r>
      <w:proofErr w:type="spellEnd"/>
      <w:proofErr w:type="gramEnd"/>
      <w:r w:rsidRPr="00FC27B5">
        <w:rPr>
          <w:rFonts w:ascii="Times New Roman" w:eastAsia="Arial Unicode MS" w:hAnsi="Times New Roman" w:cs="Times New Roman"/>
          <w:sz w:val="20"/>
          <w:szCs w:val="20"/>
        </w:rPr>
        <w:t xml:space="preserve"> (207Pb), Rhodium (103Rh) and Uranium (238U). The ratio of oxides (140Ce16O/140Ce) and doubly charged ions (140Ce2+/140Ce+) were maintained at a low level to minimize the potential interferences. The background for 220 should be less than 2 cps, but the result for background can be ignor</w:t>
      </w:r>
      <w:r w:rsidR="006B21A9">
        <w:rPr>
          <w:rFonts w:ascii="Times New Roman" w:eastAsia="Arial Unicode MS" w:hAnsi="Times New Roman" w:cs="Times New Roman"/>
          <w:sz w:val="20"/>
          <w:szCs w:val="20"/>
        </w:rPr>
        <w:t>ed</w:t>
      </w:r>
      <w:r w:rsidRPr="00FC27B5">
        <w:rPr>
          <w:rFonts w:ascii="Times New Roman" w:eastAsia="Arial Unicode MS" w:hAnsi="Times New Roman" w:cs="Times New Roman"/>
          <w:sz w:val="20"/>
          <w:szCs w:val="20"/>
        </w:rPr>
        <w:t xml:space="preserve"> if doubly charged and oxide criteria were achieved.</w:t>
      </w:r>
    </w:p>
    <w:p w:rsidR="00FC27B5" w:rsidRPr="00FC27B5" w:rsidRDefault="00FC27B5" w:rsidP="00FC27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</w:p>
    <w:p w:rsidR="00972C8A" w:rsidRDefault="00972C8A" w:rsidP="008108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</w:p>
    <w:p w:rsidR="001D4707" w:rsidRDefault="001D4707" w:rsidP="008108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</w:p>
    <w:p w:rsidR="001D4707" w:rsidRDefault="001D4707" w:rsidP="008108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</w:p>
    <w:p w:rsidR="001D4707" w:rsidRPr="00FC27B5" w:rsidRDefault="001D4707" w:rsidP="008108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</w:p>
    <w:p w:rsidR="00881F09" w:rsidRDefault="009C6ACD" w:rsidP="0071220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Sampling locations</w:t>
      </w:r>
    </w:p>
    <w:p w:rsidR="00A228DB" w:rsidRDefault="00A228DB" w:rsidP="00A228D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0"/>
          <w:szCs w:val="20"/>
        </w:rPr>
      </w:pP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Sungai Kinta is one of the important rivers in the state of Perak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Darul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Ridzwan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and it is one of main tributaries of Sungai Perak. Sungai Kinta flows from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Gunung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Korbu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at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Ulu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Kinta,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Tanjung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Rambutan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to Sungai Perak. The tributes of Sungai Kinta are Sungai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Pari</w:t>
      </w:r>
      <w:proofErr w:type="gramStart"/>
      <w:r w:rsidRPr="00347020">
        <w:rPr>
          <w:rFonts w:ascii="Times New Roman" w:eastAsia="Arial Unicode MS" w:hAnsi="Times New Roman" w:cs="Times New Roman"/>
          <w:sz w:val="20"/>
          <w:szCs w:val="20"/>
        </w:rPr>
        <w:t>,Sungai</w:t>
      </w:r>
      <w:proofErr w:type="spellEnd"/>
      <w:proofErr w:type="gram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Buntong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, Sungai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Kledang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, Sungai Raya, Sungai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Pinj</w:t>
      </w:r>
      <w:r w:rsidR="00B23BB2">
        <w:rPr>
          <w:rFonts w:ascii="Times New Roman" w:eastAsia="Arial Unicode MS" w:hAnsi="Times New Roman" w:cs="Times New Roman"/>
          <w:sz w:val="20"/>
          <w:szCs w:val="20"/>
        </w:rPr>
        <w:t>i</w:t>
      </w:r>
      <w:proofErr w:type="spellEnd"/>
      <w:r w:rsidR="00B23BB2">
        <w:rPr>
          <w:rFonts w:ascii="Times New Roman" w:eastAsia="Arial Unicode MS" w:hAnsi="Times New Roman" w:cs="Times New Roman"/>
          <w:sz w:val="20"/>
          <w:szCs w:val="20"/>
        </w:rPr>
        <w:t>, Sungai Johan, Sungai Kampar and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Sungai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Chenderiang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.  </w:t>
      </w:r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Sungai Kinta flow through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Tanjung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Tualang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Batu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Gajah,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Papan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Pusing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, </w:t>
      </w:r>
      <w:proofErr w:type="spellStart"/>
      <w:proofErr w:type="gram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Lahat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,</w:t>
      </w:r>
      <w:proofErr w:type="gram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Ipoh,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Tanjung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Rambutan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and </w:t>
      </w:r>
      <w:proofErr w:type="spellStart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>Ulu</w:t>
      </w:r>
      <w:proofErr w:type="spellEnd"/>
      <w:r w:rsidRPr="00347020">
        <w:rPr>
          <w:rFonts w:ascii="Times New Roman" w:eastAsia="Arial Unicode MS" w:hAnsi="Times New Roman" w:cs="Times New Roman"/>
          <w:color w:val="333333"/>
          <w:sz w:val="20"/>
          <w:szCs w:val="20"/>
        </w:rPr>
        <w:t xml:space="preserve"> Kinta.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The size of river basin is 2500 km</w:t>
      </w:r>
      <w:r w:rsidRPr="00347020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 xml:space="preserve">2 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>and about 100km in length. S</w:t>
      </w:r>
      <w:r>
        <w:rPr>
          <w:rFonts w:ascii="Times New Roman" w:eastAsia="Arial Unicode MS" w:hAnsi="Times New Roman" w:cs="Times New Roman"/>
          <w:sz w:val="20"/>
          <w:szCs w:val="20"/>
        </w:rPr>
        <w:t>un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>g</w:t>
      </w:r>
      <w:r>
        <w:rPr>
          <w:rFonts w:ascii="Times New Roman" w:eastAsia="Arial Unicode MS" w:hAnsi="Times New Roman" w:cs="Times New Roman"/>
          <w:sz w:val="20"/>
          <w:szCs w:val="20"/>
        </w:rPr>
        <w:t>ai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Kinta's main function is for water supply. Therefore, there is a need to protect the river's water quality.  The S</w:t>
      </w:r>
      <w:r>
        <w:rPr>
          <w:rFonts w:ascii="Times New Roman" w:eastAsia="Arial Unicode MS" w:hAnsi="Times New Roman" w:cs="Times New Roman"/>
          <w:sz w:val="20"/>
          <w:szCs w:val="20"/>
        </w:rPr>
        <w:t>un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>g</w:t>
      </w:r>
      <w:r>
        <w:rPr>
          <w:rFonts w:ascii="Times New Roman" w:eastAsia="Arial Unicode MS" w:hAnsi="Times New Roman" w:cs="Times New Roman"/>
          <w:sz w:val="20"/>
          <w:szCs w:val="20"/>
        </w:rPr>
        <w:t>ai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Kinta </w:t>
      </w:r>
      <w:r>
        <w:rPr>
          <w:rFonts w:ascii="Times New Roman" w:eastAsia="Arial Unicode MS" w:hAnsi="Times New Roman" w:cs="Times New Roman"/>
          <w:sz w:val="20"/>
          <w:szCs w:val="20"/>
        </w:rPr>
        <w:t>d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am is at the last phase of the Greater Ipoh Water Supply II Scheme under implementation by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Lembaga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Air Perak (LAP). It is able to provide 639 million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litres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of water per day and is expected to be able to meet water demand in the Kinta Valley until 2020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[</w:t>
      </w:r>
      <w:r w:rsidRPr="009B29D3">
        <w:rPr>
          <w:rFonts w:ascii="Times New Roman" w:eastAsia="Arial Unicode MS" w:hAnsi="Times New Roman" w:cs="Times New Roman"/>
          <w:sz w:val="20"/>
          <w:szCs w:val="20"/>
        </w:rPr>
        <w:t>2</w:t>
      </w:r>
      <w:r w:rsidR="009B29D3" w:rsidRPr="009B29D3">
        <w:rPr>
          <w:rFonts w:ascii="Times New Roman" w:eastAsia="Arial Unicode MS" w:hAnsi="Times New Roman" w:cs="Times New Roman"/>
          <w:sz w:val="20"/>
          <w:szCs w:val="20"/>
        </w:rPr>
        <w:t>2</w:t>
      </w:r>
      <w:r w:rsidRPr="009B29D3">
        <w:rPr>
          <w:rFonts w:ascii="Times New Roman" w:eastAsia="Arial Unicode MS" w:hAnsi="Times New Roman" w:cs="Times New Roman"/>
          <w:sz w:val="20"/>
          <w:szCs w:val="20"/>
        </w:rPr>
        <w:t>].</w:t>
      </w:r>
      <w:r w:rsidRPr="00347020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</w:t>
      </w:r>
    </w:p>
    <w:p w:rsidR="00A228DB" w:rsidRDefault="00A228DB" w:rsidP="00A228D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228DB" w:rsidRPr="00C82599" w:rsidRDefault="00A228DB" w:rsidP="00C82599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47020">
        <w:rPr>
          <w:rFonts w:ascii="Times New Roman" w:eastAsia="Arial Unicode MS" w:hAnsi="Times New Roman" w:cs="Times New Roman"/>
          <w:sz w:val="20"/>
          <w:szCs w:val="20"/>
        </w:rPr>
        <w:t>S</w:t>
      </w:r>
      <w:r>
        <w:rPr>
          <w:rFonts w:ascii="Times New Roman" w:eastAsia="Arial Unicode MS" w:hAnsi="Times New Roman" w:cs="Times New Roman"/>
          <w:sz w:val="20"/>
          <w:szCs w:val="20"/>
        </w:rPr>
        <w:t>un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>g</w:t>
      </w:r>
      <w:r>
        <w:rPr>
          <w:rFonts w:ascii="Times New Roman" w:eastAsia="Arial Unicode MS" w:hAnsi="Times New Roman" w:cs="Times New Roman"/>
          <w:sz w:val="20"/>
          <w:szCs w:val="20"/>
        </w:rPr>
        <w:t>ai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Kinta is currently classified with an average Class III water quality and a water quality index of 51.9 – 76.5. The major causes of pollution in the Sungai Kinta Basin are industrial discharge, improper sewage treatment, residential discharge, wet markets, pig/chicken farms, sand-mining, land development, and soil erosion </w:t>
      </w:r>
      <w:r>
        <w:rPr>
          <w:rFonts w:ascii="Times New Roman" w:eastAsia="Arial Unicode MS" w:hAnsi="Times New Roman" w:cs="Times New Roman"/>
          <w:sz w:val="20"/>
          <w:szCs w:val="20"/>
        </w:rPr>
        <w:t>[</w:t>
      </w:r>
      <w:r w:rsidR="009B29D3" w:rsidRPr="009B29D3">
        <w:rPr>
          <w:rFonts w:ascii="Times New Roman" w:eastAsia="Arial Unicode MS" w:hAnsi="Times New Roman" w:cs="Times New Roman"/>
          <w:sz w:val="20"/>
          <w:szCs w:val="20"/>
        </w:rPr>
        <w:t>22</w:t>
      </w:r>
      <w:r w:rsidRPr="009B29D3">
        <w:rPr>
          <w:rFonts w:ascii="Times New Roman" w:eastAsia="Arial Unicode MS" w:hAnsi="Times New Roman" w:cs="Times New Roman"/>
          <w:sz w:val="20"/>
          <w:szCs w:val="20"/>
        </w:rPr>
        <w:t>].</w:t>
      </w:r>
      <w:r w:rsidRPr="00347020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</w:t>
      </w:r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The sampling sites for this study are at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Kampung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Temiang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Tanjung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Rambutan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Ulu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Kinta,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Kampung</w:t>
      </w:r>
      <w:proofErr w:type="spellEnd"/>
      <w:r w:rsidRPr="003470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sz w:val="20"/>
          <w:szCs w:val="20"/>
        </w:rPr>
        <w:t>Palo</w:t>
      </w:r>
      <w:r>
        <w:rPr>
          <w:rFonts w:ascii="Times New Roman" w:eastAsia="Arial Unicode MS" w:hAnsi="Times New Roman" w:cs="Times New Roman"/>
          <w:sz w:val="20"/>
          <w:szCs w:val="20"/>
        </w:rPr>
        <w:t>h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Hutan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lipur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>, and River Front as shown in Fig. 1 and Table 3.</w:t>
      </w: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1F6F1C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1F6F1C"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7.95pt;margin-top:252.9pt;width:193.55pt;height:0;z-index:251660288" o:connectortype="straight">
            <v:stroke endarrow="block"/>
          </v:shape>
        </w:pict>
      </w:r>
      <w:r w:rsidRPr="001F6F1C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26" style="position:absolute;left:0;text-align:left;margin-left:85.8pt;margin-top:195.8pt;width:42.15pt;height:106.95pt;z-index:251658240" filled="f" strokeweight="1.5pt"/>
        </w:pict>
      </w:r>
      <w:r w:rsidR="00A228DB" w:rsidRPr="00A228DB">
        <w:rPr>
          <w:rFonts w:ascii="Times New Roman" w:eastAsia="Arial Unicode MS" w:hAnsi="Times New Roman" w:cs="Times New Roman"/>
          <w:noProof/>
          <w:sz w:val="20"/>
          <w:szCs w:val="20"/>
        </w:rPr>
        <w:drawing>
          <wp:inline distT="0" distB="0" distL="0" distR="0">
            <wp:extent cx="2895600" cy="4419600"/>
            <wp:effectExtent l="19050" t="0" r="0" b="0"/>
            <wp:docPr id="6" name="Picture 1" descr="C:\Documents and Settings\rafzah\Desktop\WEPUKO\LC-ICP-MS Hg\Sampling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fzah\Desktop\WEPUKO\LC-ICP-MS Hg\Sampling 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23" cy="442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28DB" w:rsidRPr="00A228D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464CA6">
        <w:rPr>
          <w:rFonts w:ascii="Times New Roman" w:eastAsia="Arial Unicode MS" w:hAnsi="Times New Roman" w:cs="Times New Roman"/>
          <w:noProof/>
          <w:sz w:val="20"/>
          <w:szCs w:val="20"/>
        </w:rPr>
        <w:drawing>
          <wp:inline distT="0" distB="0" distL="0" distR="0">
            <wp:extent cx="2681620" cy="4418049"/>
            <wp:effectExtent l="19050" t="0" r="4430" b="0"/>
            <wp:docPr id="1" name="Picture 1" descr="H:\sampling s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ampling stati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62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8DB" w:rsidRDefault="00A228DB" w:rsidP="00A228DB">
      <w:pPr>
        <w:pStyle w:val="ListParagraph"/>
        <w:spacing w:after="0" w:line="240" w:lineRule="auto"/>
        <w:ind w:left="0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A228DB" w:rsidRDefault="00A228DB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D976A2" w:rsidRPr="00347020" w:rsidRDefault="00D976A2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>Fig</w:t>
      </w:r>
      <w:r w:rsidR="008A400E">
        <w:rPr>
          <w:rFonts w:ascii="Times New Roman" w:eastAsia="Arial Unicode MS" w:hAnsi="Times New Roman" w:cs="Times New Roman"/>
          <w:b/>
          <w:sz w:val="18"/>
          <w:szCs w:val="18"/>
        </w:rPr>
        <w:t>.</w:t>
      </w:r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 xml:space="preserve"> 1: Sampling </w:t>
      </w:r>
      <w:r w:rsidR="009C6ACD">
        <w:rPr>
          <w:rFonts w:ascii="Times New Roman" w:eastAsia="Arial Unicode MS" w:hAnsi="Times New Roman" w:cs="Times New Roman"/>
          <w:b/>
          <w:sz w:val="18"/>
          <w:szCs w:val="18"/>
        </w:rPr>
        <w:t>points</w:t>
      </w:r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="00347020" w:rsidRPr="00347020">
        <w:rPr>
          <w:rFonts w:ascii="Times New Roman" w:eastAsia="Arial Unicode MS" w:hAnsi="Times New Roman" w:cs="Times New Roman"/>
          <w:b/>
          <w:sz w:val="18"/>
          <w:szCs w:val="18"/>
        </w:rPr>
        <w:t xml:space="preserve">at Sungai Kinta, </w:t>
      </w:r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 xml:space="preserve">Perak </w:t>
      </w:r>
      <w:proofErr w:type="spellStart"/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>Darul</w:t>
      </w:r>
      <w:proofErr w:type="spellEnd"/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proofErr w:type="spellStart"/>
      <w:r w:rsidRPr="00347020">
        <w:rPr>
          <w:rFonts w:ascii="Times New Roman" w:eastAsia="Arial Unicode MS" w:hAnsi="Times New Roman" w:cs="Times New Roman"/>
          <w:b/>
          <w:sz w:val="18"/>
          <w:szCs w:val="18"/>
        </w:rPr>
        <w:t>Ridzwan</w:t>
      </w:r>
      <w:proofErr w:type="spellEnd"/>
    </w:p>
    <w:p w:rsidR="00347020" w:rsidRPr="00347020" w:rsidRDefault="00347020" w:rsidP="00D976A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r>
        <w:rPr>
          <w:rFonts w:ascii="Times New Roman" w:eastAsia="Arial Unicode MS" w:hAnsi="Times New Roman" w:cs="Times New Roman"/>
          <w:b/>
          <w:sz w:val="18"/>
          <w:szCs w:val="18"/>
        </w:rPr>
        <w:t xml:space="preserve">(Source: </w:t>
      </w:r>
      <w:proofErr w:type="spellStart"/>
      <w:r>
        <w:rPr>
          <w:rFonts w:ascii="Times New Roman" w:eastAsia="Arial Unicode MS" w:hAnsi="Times New Roman" w:cs="Times New Roman"/>
          <w:b/>
          <w:sz w:val="18"/>
          <w:szCs w:val="18"/>
        </w:rPr>
        <w:t>Alam</w:t>
      </w:r>
      <w:proofErr w:type="spellEnd"/>
      <w:r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18"/>
          <w:szCs w:val="18"/>
        </w:rPr>
        <w:t>Sekitar</w:t>
      </w:r>
      <w:proofErr w:type="spellEnd"/>
      <w:r>
        <w:rPr>
          <w:rFonts w:ascii="Times New Roman" w:eastAsia="Arial Unicode MS" w:hAnsi="Times New Roman" w:cs="Times New Roman"/>
          <w:b/>
          <w:sz w:val="18"/>
          <w:szCs w:val="18"/>
        </w:rPr>
        <w:t xml:space="preserve"> Malaysia)</w:t>
      </w:r>
    </w:p>
    <w:p w:rsidR="00A228DB" w:rsidRDefault="00A228DB" w:rsidP="0034702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228DB" w:rsidRDefault="00A228DB" w:rsidP="0034702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228DB" w:rsidRDefault="00A228DB" w:rsidP="0034702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228DB" w:rsidRPr="00A228DB" w:rsidRDefault="00A228DB" w:rsidP="00A228D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228DB">
        <w:rPr>
          <w:rFonts w:ascii="Times New Roman" w:eastAsia="Arial Unicode MS" w:hAnsi="Times New Roman" w:cs="Times New Roman"/>
          <w:b/>
          <w:sz w:val="20"/>
          <w:szCs w:val="20"/>
        </w:rPr>
        <w:t xml:space="preserve">Table 3: </w:t>
      </w:r>
      <w:r w:rsidR="009C6ACD">
        <w:rPr>
          <w:rFonts w:ascii="Times New Roman" w:eastAsia="Arial Unicode MS" w:hAnsi="Times New Roman" w:cs="Times New Roman"/>
          <w:b/>
          <w:sz w:val="20"/>
          <w:szCs w:val="20"/>
        </w:rPr>
        <w:t>S</w:t>
      </w:r>
      <w:r w:rsidR="009C6ACD" w:rsidRPr="00A228DB">
        <w:rPr>
          <w:rFonts w:ascii="Times New Roman" w:eastAsia="Arial Unicode MS" w:hAnsi="Times New Roman" w:cs="Times New Roman"/>
          <w:b/>
          <w:sz w:val="20"/>
          <w:szCs w:val="20"/>
        </w:rPr>
        <w:t xml:space="preserve">ampling </w:t>
      </w:r>
      <w:r w:rsidR="009C6ACD">
        <w:rPr>
          <w:rFonts w:ascii="Times New Roman" w:eastAsia="Arial Unicode MS" w:hAnsi="Times New Roman" w:cs="Times New Roman"/>
          <w:b/>
          <w:sz w:val="20"/>
          <w:szCs w:val="20"/>
        </w:rPr>
        <w:t>locations</w:t>
      </w:r>
      <w:r w:rsidRPr="00A228DB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</w:p>
    <w:p w:rsidR="00A228DB" w:rsidRPr="00A228DB" w:rsidRDefault="00A228DB" w:rsidP="00A228D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620"/>
        <w:gridCol w:w="1890"/>
        <w:gridCol w:w="1697"/>
        <w:gridCol w:w="3703"/>
      </w:tblGrid>
      <w:tr w:rsidR="00A228DB" w:rsidRPr="00A228DB" w:rsidTr="000814EC">
        <w:tc>
          <w:tcPr>
            <w:tcW w:w="1620" w:type="dxa"/>
            <w:vMerge w:val="restart"/>
            <w:tcBorders>
              <w:left w:val="nil"/>
              <w:bottom w:val="single" w:sz="4" w:space="0" w:color="000000" w:themeColor="text1"/>
            </w:tcBorders>
            <w:vAlign w:val="center"/>
          </w:tcPr>
          <w:p w:rsidR="00A228DB" w:rsidRPr="00A228DB" w:rsidRDefault="00A228DB" w:rsidP="00442D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Sampling Station</w:t>
            </w:r>
          </w:p>
        </w:tc>
        <w:tc>
          <w:tcPr>
            <w:tcW w:w="3587" w:type="dxa"/>
            <w:gridSpan w:val="2"/>
            <w:tcBorders>
              <w:bottom w:val="single" w:sz="4" w:space="0" w:color="auto"/>
            </w:tcBorders>
            <w:vAlign w:val="center"/>
          </w:tcPr>
          <w:p w:rsidR="00A228DB" w:rsidRPr="00A228DB" w:rsidRDefault="00A228DB" w:rsidP="00442D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Coordinate</w:t>
            </w:r>
          </w:p>
        </w:tc>
        <w:tc>
          <w:tcPr>
            <w:tcW w:w="3703" w:type="dxa"/>
            <w:vMerge w:val="restart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228DB" w:rsidRPr="00A228DB" w:rsidRDefault="00A228DB" w:rsidP="00442D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Location (Area description)</w:t>
            </w:r>
          </w:p>
        </w:tc>
      </w:tr>
      <w:tr w:rsidR="00A228DB" w:rsidRPr="00A228DB" w:rsidTr="000814EC"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A228DB" w:rsidRPr="00A228DB" w:rsidRDefault="00A228DB" w:rsidP="00442D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A228DB" w:rsidRPr="00A228DB" w:rsidRDefault="00A228DB" w:rsidP="00442D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Longitude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A228DB" w:rsidRPr="00A228DB" w:rsidRDefault="00A228DB" w:rsidP="00442D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Latitude</w:t>
            </w:r>
          </w:p>
        </w:tc>
        <w:tc>
          <w:tcPr>
            <w:tcW w:w="3703" w:type="dxa"/>
            <w:vMerge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A228DB" w:rsidRPr="00A228DB" w:rsidTr="000814EC">
        <w:tc>
          <w:tcPr>
            <w:tcW w:w="1620" w:type="dxa"/>
            <w:tcBorders>
              <w:left w:val="nil"/>
            </w:tcBorders>
          </w:tcPr>
          <w:p w:rsidR="00A228DB" w:rsidRPr="00A228DB" w:rsidRDefault="00A228DB" w:rsidP="00A228DB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2PK 19</w:t>
            </w:r>
          </w:p>
        </w:tc>
        <w:tc>
          <w:tcPr>
            <w:tcW w:w="1890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E 101° 01.211’</w:t>
            </w:r>
          </w:p>
        </w:tc>
        <w:tc>
          <w:tcPr>
            <w:tcW w:w="1697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N 04° 07.123’</w:t>
            </w:r>
          </w:p>
        </w:tc>
        <w:tc>
          <w:tcPr>
            <w:tcW w:w="3703" w:type="dxa"/>
            <w:tcBorders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Laksamana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Bridge,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Hilir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Perak Border</w:t>
            </w:r>
          </w:p>
        </w:tc>
      </w:tr>
      <w:tr w:rsidR="00A228DB" w:rsidRPr="00A228DB" w:rsidTr="000814EC">
        <w:tc>
          <w:tcPr>
            <w:tcW w:w="1620" w:type="dxa"/>
            <w:tcBorders>
              <w:left w:val="nil"/>
            </w:tcBorders>
          </w:tcPr>
          <w:p w:rsidR="00A228DB" w:rsidRPr="00A228DB" w:rsidRDefault="00A228DB" w:rsidP="00A228DB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2PK 22</w:t>
            </w:r>
          </w:p>
        </w:tc>
        <w:tc>
          <w:tcPr>
            <w:tcW w:w="1890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E 101° 09.372’</w:t>
            </w:r>
          </w:p>
        </w:tc>
        <w:tc>
          <w:tcPr>
            <w:tcW w:w="1697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N 04° 40.119’</w:t>
            </w:r>
          </w:p>
        </w:tc>
        <w:tc>
          <w:tcPr>
            <w:tcW w:w="3703" w:type="dxa"/>
            <w:tcBorders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Tanjung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Rambutan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Mosque</w:t>
            </w:r>
          </w:p>
        </w:tc>
      </w:tr>
      <w:tr w:rsidR="00A228DB" w:rsidRPr="00A228DB" w:rsidTr="000814EC">
        <w:tc>
          <w:tcPr>
            <w:tcW w:w="1620" w:type="dxa"/>
            <w:tcBorders>
              <w:left w:val="nil"/>
            </w:tcBorders>
          </w:tcPr>
          <w:p w:rsidR="00A228DB" w:rsidRPr="00A228DB" w:rsidRDefault="00A228DB" w:rsidP="00A228DB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2PK 33</w:t>
            </w:r>
          </w:p>
        </w:tc>
        <w:tc>
          <w:tcPr>
            <w:tcW w:w="1890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E 101° 04.359’</w:t>
            </w:r>
          </w:p>
        </w:tc>
        <w:tc>
          <w:tcPr>
            <w:tcW w:w="1697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N 04° 19.595’</w:t>
            </w:r>
          </w:p>
        </w:tc>
        <w:tc>
          <w:tcPr>
            <w:tcW w:w="3703" w:type="dxa"/>
            <w:tcBorders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Corner before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Tanjung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Tualang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town</w:t>
            </w:r>
          </w:p>
        </w:tc>
      </w:tr>
      <w:tr w:rsidR="00A228DB" w:rsidRPr="00A228DB" w:rsidTr="000814EC">
        <w:tc>
          <w:tcPr>
            <w:tcW w:w="1620" w:type="dxa"/>
            <w:tcBorders>
              <w:left w:val="nil"/>
            </w:tcBorders>
          </w:tcPr>
          <w:p w:rsidR="00A228DB" w:rsidRPr="00A228DB" w:rsidRDefault="00A228DB" w:rsidP="00A228DB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2PK 34</w:t>
            </w:r>
          </w:p>
        </w:tc>
        <w:tc>
          <w:tcPr>
            <w:tcW w:w="1890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E 101° 02.681’</w:t>
            </w:r>
          </w:p>
        </w:tc>
        <w:tc>
          <w:tcPr>
            <w:tcW w:w="1697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N 04° 27.883’</w:t>
            </w:r>
          </w:p>
        </w:tc>
        <w:tc>
          <w:tcPr>
            <w:tcW w:w="3703" w:type="dxa"/>
            <w:tcBorders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Kampung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Pisang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batu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Gajah (Car Wash)</w:t>
            </w:r>
          </w:p>
        </w:tc>
      </w:tr>
      <w:tr w:rsidR="00A228DB" w:rsidRPr="00A228DB" w:rsidTr="000814EC">
        <w:tc>
          <w:tcPr>
            <w:tcW w:w="1620" w:type="dxa"/>
            <w:tcBorders>
              <w:left w:val="nil"/>
            </w:tcBorders>
          </w:tcPr>
          <w:p w:rsidR="00A228DB" w:rsidRPr="00A228DB" w:rsidRDefault="00A228DB" w:rsidP="00A228DB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2PK 59</w:t>
            </w:r>
          </w:p>
        </w:tc>
        <w:tc>
          <w:tcPr>
            <w:tcW w:w="1890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E 101° 03.300’</w:t>
            </w:r>
          </w:p>
        </w:tc>
        <w:tc>
          <w:tcPr>
            <w:tcW w:w="1697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N 04° 30.355’</w:t>
            </w:r>
          </w:p>
        </w:tc>
        <w:tc>
          <w:tcPr>
            <w:tcW w:w="3703" w:type="dxa"/>
            <w:tcBorders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Jalan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Kampung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Pengkalan</w:t>
            </w:r>
            <w:proofErr w:type="spellEnd"/>
          </w:p>
        </w:tc>
      </w:tr>
      <w:tr w:rsidR="00A228DB" w:rsidRPr="00A228DB" w:rsidTr="000814EC">
        <w:tc>
          <w:tcPr>
            <w:tcW w:w="1620" w:type="dxa"/>
            <w:tcBorders>
              <w:left w:val="nil"/>
            </w:tcBorders>
          </w:tcPr>
          <w:p w:rsidR="00A228DB" w:rsidRPr="00A228DB" w:rsidRDefault="00A228DB" w:rsidP="00A228DB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2PK 60</w:t>
            </w:r>
          </w:p>
        </w:tc>
        <w:tc>
          <w:tcPr>
            <w:tcW w:w="1890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E 101° 04.950’</w:t>
            </w:r>
          </w:p>
        </w:tc>
        <w:tc>
          <w:tcPr>
            <w:tcW w:w="1697" w:type="dxa"/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N 04° 16.679’</w:t>
            </w:r>
          </w:p>
        </w:tc>
        <w:tc>
          <w:tcPr>
            <w:tcW w:w="3703" w:type="dxa"/>
            <w:tcBorders>
              <w:right w:val="nil"/>
            </w:tcBorders>
          </w:tcPr>
          <w:p w:rsidR="00A228DB" w:rsidRPr="00A228DB" w:rsidRDefault="00A228DB" w:rsidP="00442D8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Kampung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Baru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Timah-Kampung</w:t>
            </w:r>
            <w:proofErr w:type="spellEnd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8DB">
              <w:rPr>
                <w:rFonts w:ascii="Times New Roman" w:eastAsia="Arial Unicode MS" w:hAnsi="Times New Roman" w:cs="Times New Roman"/>
                <w:sz w:val="20"/>
                <w:szCs w:val="20"/>
              </w:rPr>
              <w:t>Tronoh</w:t>
            </w:r>
            <w:proofErr w:type="spellEnd"/>
          </w:p>
        </w:tc>
      </w:tr>
    </w:tbl>
    <w:p w:rsidR="00972C8A" w:rsidRDefault="00972C8A" w:rsidP="00972C8A">
      <w:pPr>
        <w:ind w:right="1872"/>
        <w:rPr>
          <w:b/>
          <w:sz w:val="18"/>
          <w:szCs w:val="18"/>
        </w:rPr>
      </w:pPr>
    </w:p>
    <w:p w:rsidR="009C6ACD" w:rsidRPr="00972C8A" w:rsidRDefault="009C6ACD" w:rsidP="00972C8A">
      <w:pPr>
        <w:ind w:right="1872"/>
        <w:rPr>
          <w:b/>
          <w:sz w:val="18"/>
          <w:szCs w:val="18"/>
        </w:rPr>
      </w:pPr>
      <w:r w:rsidRPr="009C6ACD">
        <w:rPr>
          <w:rFonts w:ascii="Times New Roman" w:eastAsia="Arial Unicode MS" w:hAnsi="Times New Roman" w:cs="Times New Roman"/>
          <w:b/>
          <w:sz w:val="20"/>
          <w:szCs w:val="20"/>
        </w:rPr>
        <w:t>Sample and standard preparation</w:t>
      </w:r>
    </w:p>
    <w:p w:rsidR="009C6ACD" w:rsidRDefault="00AE1D0F" w:rsidP="009C6A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Inorganic m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ercury and </w:t>
      </w:r>
      <w:proofErr w:type="spellStart"/>
      <w:r w:rsidR="00C82599">
        <w:rPr>
          <w:rFonts w:ascii="Times New Roman" w:eastAsia="Arial Unicode MS" w:hAnsi="Times New Roman" w:cs="Times New Roman"/>
          <w:sz w:val="20"/>
          <w:szCs w:val="20"/>
        </w:rPr>
        <w:t>m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>ethylmercury</w:t>
      </w:r>
      <w:proofErr w:type="spellEnd"/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 were used for the preparation of standard stock solution. 2 to 3 drops of 2-mercaptoethanol for electrophoresis were added to </w:t>
      </w:r>
      <w:r w:rsidR="0092618D">
        <w:rPr>
          <w:rFonts w:ascii="Times New Roman" w:eastAsia="Arial Unicode MS" w:hAnsi="Times New Roman" w:cs="Times New Roman"/>
          <w:sz w:val="20"/>
          <w:szCs w:val="20"/>
        </w:rPr>
        <w:t>m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ethyl mercury to </w:t>
      </w:r>
      <w:r w:rsidR="0092618D">
        <w:rPr>
          <w:rFonts w:ascii="Times New Roman" w:eastAsia="Arial Unicode MS" w:hAnsi="Times New Roman" w:cs="Times New Roman"/>
          <w:sz w:val="20"/>
          <w:szCs w:val="20"/>
        </w:rPr>
        <w:t>aid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 in dissolving. The stock solutions were stored at 4 °C prior to the analysis. Analytical working solutions were prepared </w:t>
      </w:r>
      <w:r w:rsidR="0092618D">
        <w:rPr>
          <w:rFonts w:ascii="Times New Roman" w:eastAsia="Arial Unicode MS" w:hAnsi="Times New Roman" w:cs="Times New Roman"/>
          <w:sz w:val="20"/>
          <w:szCs w:val="20"/>
        </w:rPr>
        <w:t xml:space="preserve">daily 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by diluting the stock solutions with calibration blank prior to analysis. Mixed standards of the following two species were made: 5, 10, 15, and </w:t>
      </w:r>
      <w:proofErr w:type="gramStart"/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20 </w:t>
      </w:r>
      <w:r w:rsidR="008C2A7B">
        <w:rPr>
          <w:rFonts w:ascii="Times New Roman" w:eastAsia="Arial Unicode MS" w:hAnsi="Times New Roman" w:cs="Times New Roman"/>
          <w:sz w:val="20"/>
          <w:szCs w:val="20"/>
        </w:rPr>
        <w:t>µg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>L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proofErr w:type="gramEnd"/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>. These were prepared by mixing the individual stock species standards and prepared daily.</w:t>
      </w:r>
    </w:p>
    <w:p w:rsidR="009C6ACD" w:rsidRDefault="009C6ACD" w:rsidP="009C6A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9C6ACD" w:rsidRDefault="00AF4E85" w:rsidP="009C6A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All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 samples were stored in sampling bottle at 4 °C without acidification to prevent changes in species distribution. </w:t>
      </w:r>
      <w:r>
        <w:rPr>
          <w:rFonts w:ascii="Times New Roman" w:eastAsia="Arial Unicode MS" w:hAnsi="Times New Roman" w:cs="Times New Roman"/>
          <w:sz w:val="20"/>
          <w:szCs w:val="20"/>
        </w:rPr>
        <w:t>S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amples were filtered through </w:t>
      </w:r>
      <w:proofErr w:type="spellStart"/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>Whatman</w:t>
      </w:r>
      <w:proofErr w:type="spellEnd"/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 xml:space="preserve"> 0.45 µm nylon filter membranes 30mm diameter directly into the auto sampler vial and injected in the chromatographic system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, and </w:t>
      </w:r>
      <w:r w:rsidR="009C6ACD" w:rsidRPr="009C6ACD">
        <w:rPr>
          <w:rFonts w:ascii="Times New Roman" w:eastAsia="Arial Unicode MS" w:hAnsi="Times New Roman" w:cs="Times New Roman"/>
          <w:sz w:val="20"/>
          <w:szCs w:val="20"/>
        </w:rPr>
        <w:t>analyzed in duplicate.</w:t>
      </w:r>
    </w:p>
    <w:p w:rsidR="008C2A7B" w:rsidRDefault="008C2A7B" w:rsidP="008C2A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9C6ACD" w:rsidRDefault="009C6ACD" w:rsidP="009C6ACD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4640F2" w:rsidRDefault="004640F2" w:rsidP="004640F2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640F2">
        <w:rPr>
          <w:rFonts w:ascii="Times New Roman" w:eastAsia="Arial Unicode MS" w:hAnsi="Times New Roman" w:cs="Times New Roman"/>
          <w:b/>
          <w:sz w:val="20"/>
          <w:szCs w:val="20"/>
        </w:rPr>
        <w:t>Results and Discussion</w:t>
      </w:r>
    </w:p>
    <w:p w:rsidR="004640F2" w:rsidRDefault="004640F2" w:rsidP="004640F2">
      <w:pPr>
        <w:pStyle w:val="ListParagraph"/>
        <w:spacing w:after="0" w:line="240" w:lineRule="auto"/>
        <w:ind w:left="0"/>
        <w:rPr>
          <w:rFonts w:ascii="Times New Roman" w:eastAsia="Arial Unicode MS" w:hAnsi="Times New Roman" w:cs="Times New Roman"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>Method validation</w:t>
      </w: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FE0017" w:rsidRDefault="00FE0017" w:rsidP="00AF4E85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1A7428">
        <w:rPr>
          <w:rFonts w:ascii="Times New Roman" w:hAnsi="Times New Roman"/>
          <w:bCs/>
          <w:sz w:val="20"/>
          <w:szCs w:val="20"/>
        </w:rPr>
        <w:t xml:space="preserve">The validity of methods and procedures used for </w:t>
      </w:r>
      <w:r w:rsidR="009B29D3">
        <w:rPr>
          <w:rFonts w:ascii="Times New Roman" w:hAnsi="Times New Roman"/>
          <w:bCs/>
          <w:sz w:val="20"/>
          <w:szCs w:val="20"/>
        </w:rPr>
        <w:t>mercury</w:t>
      </w:r>
      <w:r w:rsidR="008C2A7B">
        <w:rPr>
          <w:rFonts w:ascii="Times New Roman" w:hAnsi="Times New Roman"/>
          <w:bCs/>
          <w:sz w:val="20"/>
          <w:szCs w:val="20"/>
        </w:rPr>
        <w:t xml:space="preserve"> speciation are determined by</w:t>
      </w:r>
      <w:r w:rsidRPr="001A7428">
        <w:rPr>
          <w:rFonts w:ascii="Times New Roman" w:hAnsi="Times New Roman"/>
          <w:bCs/>
          <w:sz w:val="20"/>
          <w:szCs w:val="20"/>
        </w:rPr>
        <w:t xml:space="preserve"> linearity, limit of detectio</w:t>
      </w:r>
      <w:r>
        <w:rPr>
          <w:rFonts w:ascii="Times New Roman" w:hAnsi="Times New Roman"/>
          <w:bCs/>
          <w:sz w:val="20"/>
          <w:szCs w:val="20"/>
        </w:rPr>
        <w:t>n</w:t>
      </w:r>
    </w:p>
    <w:p w:rsidR="00FE0017" w:rsidRDefault="008C2A7B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bCs/>
          <w:sz w:val="20"/>
          <w:szCs w:val="20"/>
        </w:rPr>
        <w:t xml:space="preserve">(LOD) </w:t>
      </w:r>
      <w:r w:rsidR="00FE0017" w:rsidRPr="001A7428">
        <w:rPr>
          <w:rFonts w:ascii="Times New Roman" w:hAnsi="Times New Roman"/>
          <w:bCs/>
          <w:sz w:val="20"/>
          <w:szCs w:val="20"/>
        </w:rPr>
        <w:t>and recovery.</w:t>
      </w:r>
      <w:proofErr w:type="gramEnd"/>
      <w:r w:rsidR="00FE0017" w:rsidRPr="001A7428">
        <w:rPr>
          <w:rFonts w:ascii="Times New Roman" w:hAnsi="Times New Roman"/>
          <w:bCs/>
          <w:sz w:val="20"/>
          <w:szCs w:val="20"/>
        </w:rPr>
        <w:t xml:space="preserve"> The linearity of the method was studied using </w:t>
      </w:r>
      <w:proofErr w:type="spellStart"/>
      <w:r w:rsidR="00FE0017" w:rsidRPr="001A7428">
        <w:rPr>
          <w:rFonts w:ascii="Times New Roman" w:hAnsi="Times New Roman"/>
          <w:bCs/>
          <w:sz w:val="20"/>
          <w:szCs w:val="20"/>
        </w:rPr>
        <w:t>deionised</w:t>
      </w:r>
      <w:proofErr w:type="spellEnd"/>
      <w:r w:rsidR="00FE0017" w:rsidRPr="001A7428">
        <w:rPr>
          <w:rFonts w:ascii="Times New Roman" w:hAnsi="Times New Roman"/>
          <w:bCs/>
          <w:sz w:val="20"/>
          <w:szCs w:val="20"/>
        </w:rPr>
        <w:t xml:space="preserve"> water spiked with </w:t>
      </w:r>
      <w:r>
        <w:rPr>
          <w:rFonts w:ascii="Times New Roman" w:hAnsi="Times New Roman"/>
          <w:bCs/>
          <w:sz w:val="20"/>
          <w:szCs w:val="20"/>
        </w:rPr>
        <w:t>mercury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species i.e. </w:t>
      </w:r>
      <w:r>
        <w:rPr>
          <w:rFonts w:ascii="Times New Roman" w:hAnsi="Times New Roman"/>
          <w:bCs/>
          <w:sz w:val="20"/>
          <w:szCs w:val="20"/>
        </w:rPr>
        <w:t>Hg</w:t>
      </w:r>
      <w:r>
        <w:rPr>
          <w:rFonts w:ascii="Times New Roman" w:hAnsi="Times New Roman"/>
          <w:bCs/>
          <w:sz w:val="20"/>
          <w:szCs w:val="20"/>
          <w:vertAlign w:val="superscript"/>
        </w:rPr>
        <w:t>2+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and </w:t>
      </w:r>
      <w:proofErr w:type="spellStart"/>
      <w:r>
        <w:rPr>
          <w:rFonts w:ascii="Times New Roman" w:hAnsi="Times New Roman"/>
          <w:bCs/>
          <w:sz w:val="20"/>
          <w:szCs w:val="20"/>
        </w:rPr>
        <w:t>MeHg</w:t>
      </w:r>
      <w:proofErr w:type="spellEnd"/>
      <w:r w:rsidR="00AE1D0F">
        <w:rPr>
          <w:rFonts w:ascii="Times New Roman" w:hAnsi="Times New Roman"/>
          <w:bCs/>
          <w:sz w:val="20"/>
          <w:szCs w:val="20"/>
          <w:vertAlign w:val="superscript"/>
        </w:rPr>
        <w:t>+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at the levels 1, </w:t>
      </w:r>
      <w:r>
        <w:rPr>
          <w:rFonts w:ascii="Times New Roman" w:hAnsi="Times New Roman"/>
          <w:bCs/>
          <w:sz w:val="20"/>
          <w:szCs w:val="20"/>
        </w:rPr>
        <w:t>1.5</w:t>
      </w:r>
      <w:r w:rsidR="00FE0017" w:rsidRPr="001A7428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2, and </w:t>
      </w:r>
      <w:proofErr w:type="gramStart"/>
      <w:r>
        <w:rPr>
          <w:rFonts w:ascii="Times New Roman" w:hAnsi="Times New Roman"/>
          <w:bCs/>
          <w:sz w:val="20"/>
          <w:szCs w:val="20"/>
        </w:rPr>
        <w:t>2.5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µgL</w:t>
      </w:r>
      <w:r w:rsidR="00FE0017" w:rsidRPr="001A7428">
        <w:rPr>
          <w:rFonts w:ascii="Times New Roman" w:hAnsi="Times New Roman"/>
          <w:sz w:val="20"/>
          <w:szCs w:val="20"/>
          <w:vertAlign w:val="superscript"/>
        </w:rPr>
        <w:t>-1</w:t>
      </w:r>
      <w:proofErr w:type="gramEnd"/>
      <w:r w:rsidR="00FE0017" w:rsidRPr="001A7428">
        <w:rPr>
          <w:rFonts w:ascii="Times New Roman" w:hAnsi="Times New Roman"/>
          <w:sz w:val="20"/>
          <w:szCs w:val="20"/>
        </w:rPr>
        <w:t xml:space="preserve">. </w:t>
      </w:r>
      <w:r w:rsidR="00FE0017" w:rsidRPr="001A742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FE0017" w:rsidRPr="001A7428">
        <w:rPr>
          <w:rFonts w:ascii="Times New Roman" w:hAnsi="Times New Roman"/>
          <w:sz w:val="20"/>
          <w:szCs w:val="20"/>
        </w:rPr>
        <w:t xml:space="preserve">Linear regression analysis was used to evaluate whether the </w:t>
      </w:r>
      <w:r>
        <w:rPr>
          <w:rFonts w:ascii="Times New Roman" w:hAnsi="Times New Roman"/>
          <w:sz w:val="20"/>
          <w:szCs w:val="20"/>
        </w:rPr>
        <w:t>mercury</w:t>
      </w:r>
      <w:r w:rsidR="00FE0017" w:rsidRPr="001A7428">
        <w:rPr>
          <w:rFonts w:ascii="Times New Roman" w:hAnsi="Times New Roman"/>
          <w:sz w:val="20"/>
          <w:szCs w:val="20"/>
        </w:rPr>
        <w:t xml:space="preserve"> results were</w:t>
      </w:r>
      <w:r w:rsidR="00FE0017">
        <w:rPr>
          <w:rFonts w:ascii="Times New Roman" w:hAnsi="Times New Roman"/>
          <w:sz w:val="20"/>
          <w:szCs w:val="20"/>
        </w:rPr>
        <w:t xml:space="preserve"> </w:t>
      </w:r>
      <w:r w:rsidR="00FE0017" w:rsidRPr="001A7428">
        <w:rPr>
          <w:rFonts w:ascii="Times New Roman" w:hAnsi="Times New Roman"/>
          <w:sz w:val="20"/>
          <w:szCs w:val="20"/>
        </w:rPr>
        <w:t xml:space="preserve">significantly different from the standard calibration curve. Good linearity was obtained for the </w:t>
      </w:r>
      <w:r>
        <w:rPr>
          <w:rFonts w:ascii="Times New Roman" w:hAnsi="Times New Roman"/>
          <w:sz w:val="20"/>
          <w:szCs w:val="20"/>
        </w:rPr>
        <w:t>mercury</w:t>
      </w:r>
      <w:r w:rsidR="00FE0017" w:rsidRPr="001A7428">
        <w:rPr>
          <w:rFonts w:ascii="Times New Roman" w:hAnsi="Times New Roman"/>
          <w:sz w:val="20"/>
          <w:szCs w:val="20"/>
        </w:rPr>
        <w:t xml:space="preserve"> species with a determination coefficient (R</w:t>
      </w:r>
      <w:r w:rsidR="00FE0017" w:rsidRPr="001A7428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) in the range 0.966</w:t>
      </w:r>
      <w:r w:rsidR="00FE0017" w:rsidRPr="001A7428">
        <w:rPr>
          <w:rFonts w:ascii="Times New Roman" w:hAnsi="Times New Roman"/>
          <w:sz w:val="20"/>
          <w:szCs w:val="20"/>
        </w:rPr>
        <w:t xml:space="preserve"> to 0.99</w:t>
      </w:r>
      <w:r>
        <w:rPr>
          <w:rFonts w:ascii="Times New Roman" w:hAnsi="Times New Roman"/>
          <w:sz w:val="20"/>
          <w:szCs w:val="20"/>
        </w:rPr>
        <w:t>9</w:t>
      </w:r>
      <w:r w:rsidR="00FE0017" w:rsidRPr="001A7428">
        <w:rPr>
          <w:rFonts w:ascii="Times New Roman" w:hAnsi="Times New Roman"/>
          <w:sz w:val="20"/>
          <w:szCs w:val="20"/>
        </w:rPr>
        <w:t xml:space="preserve"> as shown in </w:t>
      </w:r>
      <w:r w:rsidR="00FE0017" w:rsidRPr="0021763A">
        <w:rPr>
          <w:rFonts w:ascii="Times New Roman" w:hAnsi="Times New Roman"/>
          <w:sz w:val="20"/>
          <w:szCs w:val="20"/>
        </w:rPr>
        <w:t xml:space="preserve">Table </w:t>
      </w:r>
      <w:r w:rsidR="009B29D3">
        <w:rPr>
          <w:rFonts w:ascii="Times New Roman" w:hAnsi="Times New Roman"/>
          <w:sz w:val="20"/>
          <w:szCs w:val="20"/>
        </w:rPr>
        <w:t>4</w:t>
      </w:r>
      <w:r w:rsidR="00FE0017" w:rsidRPr="0021763A">
        <w:rPr>
          <w:rFonts w:ascii="Times New Roman" w:hAnsi="Times New Roman"/>
          <w:sz w:val="20"/>
          <w:szCs w:val="20"/>
        </w:rPr>
        <w:t>.</w:t>
      </w:r>
      <w:r w:rsidR="00FE0017" w:rsidRPr="008C2A7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FE0017" w:rsidRPr="001A7428">
        <w:rPr>
          <w:rFonts w:ascii="Times New Roman" w:hAnsi="Times New Roman"/>
          <w:sz w:val="20"/>
          <w:szCs w:val="20"/>
        </w:rPr>
        <w:t xml:space="preserve"> The</w:t>
      </w:r>
      <w:r w:rsidR="00FE0017" w:rsidRPr="001A742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FE0017" w:rsidRPr="001A7428">
        <w:rPr>
          <w:rFonts w:ascii="Times New Roman" w:hAnsi="Times New Roman"/>
          <w:sz w:val="20"/>
          <w:szCs w:val="20"/>
        </w:rPr>
        <w:t>detection limits were found to be 1</w:t>
      </w:r>
      <w:r>
        <w:rPr>
          <w:rFonts w:ascii="Times New Roman" w:hAnsi="Times New Roman"/>
          <w:sz w:val="20"/>
          <w:szCs w:val="20"/>
        </w:rPr>
        <w:t xml:space="preserve"> ngL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 w:rsidR="00FE0017" w:rsidRPr="001A7428">
        <w:rPr>
          <w:rFonts w:ascii="Times New Roman" w:hAnsi="Times New Roman"/>
          <w:sz w:val="20"/>
          <w:szCs w:val="20"/>
        </w:rPr>
        <w:t xml:space="preserve"> and </w:t>
      </w:r>
      <w:proofErr w:type="gramStart"/>
      <w:r>
        <w:rPr>
          <w:rFonts w:ascii="Times New Roman" w:hAnsi="Times New Roman"/>
          <w:sz w:val="20"/>
          <w:szCs w:val="20"/>
        </w:rPr>
        <w:t>1.5 µgL</w:t>
      </w:r>
      <w:r w:rsidRPr="001A7428">
        <w:rPr>
          <w:rFonts w:ascii="Times New Roman" w:hAnsi="Times New Roman"/>
          <w:sz w:val="20"/>
          <w:szCs w:val="20"/>
          <w:vertAlign w:val="superscript"/>
        </w:rPr>
        <w:t>-1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FE0017" w:rsidRPr="001A7428">
        <w:rPr>
          <w:rFonts w:ascii="Times New Roman" w:hAnsi="Times New Roman"/>
          <w:sz w:val="20"/>
          <w:szCs w:val="20"/>
        </w:rPr>
        <w:t>for</w:t>
      </w:r>
      <w:r w:rsidR="00FE00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Hg</w:t>
      </w:r>
      <w:r>
        <w:rPr>
          <w:rFonts w:ascii="Times New Roman" w:hAnsi="Times New Roman"/>
          <w:sz w:val="20"/>
          <w:szCs w:val="20"/>
          <w:vertAlign w:val="superscript"/>
        </w:rPr>
        <w:t>2+</w:t>
      </w:r>
      <w:r w:rsidR="00FE0017" w:rsidRPr="001A7428">
        <w:rPr>
          <w:rFonts w:ascii="Times New Roman" w:hAnsi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/>
          <w:sz w:val="20"/>
          <w:szCs w:val="20"/>
        </w:rPr>
        <w:t>MeHg</w:t>
      </w:r>
      <w:proofErr w:type="spellEnd"/>
      <w:r w:rsidR="00202DC7">
        <w:rPr>
          <w:rFonts w:ascii="Times New Roman" w:hAnsi="Times New Roman"/>
          <w:sz w:val="20"/>
          <w:szCs w:val="20"/>
          <w:vertAlign w:val="superscript"/>
        </w:rPr>
        <w:t>+</w:t>
      </w:r>
      <w:r w:rsidR="00FE0017" w:rsidRPr="001A7428">
        <w:rPr>
          <w:rFonts w:ascii="Times New Roman" w:hAnsi="Times New Roman"/>
          <w:sz w:val="20"/>
          <w:szCs w:val="20"/>
        </w:rPr>
        <w:t>, respectively</w:t>
      </w:r>
      <w:r w:rsidR="00FE0017">
        <w:rPr>
          <w:rFonts w:ascii="Times New Roman" w:hAnsi="Times New Roman"/>
          <w:sz w:val="20"/>
          <w:szCs w:val="20"/>
        </w:rPr>
        <w:t>.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Under the optimized condition the limit of detection (LOD) and </w:t>
      </w:r>
      <w:r w:rsidR="00FE0017">
        <w:rPr>
          <w:rFonts w:ascii="Times New Roman" w:hAnsi="Times New Roman"/>
          <w:bCs/>
          <w:sz w:val="20"/>
          <w:szCs w:val="20"/>
        </w:rPr>
        <w:t xml:space="preserve">accuracy 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were calculated to ascertain the applicability of the proposed method. The recovery of the </w:t>
      </w:r>
      <w:r w:rsidR="00981583">
        <w:rPr>
          <w:rFonts w:ascii="Times New Roman" w:hAnsi="Times New Roman"/>
          <w:bCs/>
          <w:sz w:val="20"/>
          <w:szCs w:val="20"/>
        </w:rPr>
        <w:t>mercury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species that were added to the </w:t>
      </w:r>
      <w:proofErr w:type="spellStart"/>
      <w:r w:rsidR="00FE0017" w:rsidRPr="001A7428">
        <w:rPr>
          <w:rFonts w:ascii="Times New Roman" w:hAnsi="Times New Roman"/>
          <w:bCs/>
          <w:sz w:val="20"/>
          <w:szCs w:val="20"/>
        </w:rPr>
        <w:t>deionised</w:t>
      </w:r>
      <w:proofErr w:type="spellEnd"/>
      <w:r w:rsidR="00FE0017" w:rsidRPr="001A7428">
        <w:rPr>
          <w:rFonts w:ascii="Times New Roman" w:hAnsi="Times New Roman"/>
          <w:bCs/>
          <w:sz w:val="20"/>
          <w:szCs w:val="20"/>
        </w:rPr>
        <w:t xml:space="preserve"> water was in the range </w:t>
      </w:r>
      <w:r w:rsidR="00981583">
        <w:rPr>
          <w:rFonts w:ascii="Times New Roman" w:hAnsi="Times New Roman"/>
          <w:bCs/>
          <w:sz w:val="20"/>
          <w:szCs w:val="20"/>
        </w:rPr>
        <w:t>95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to </w:t>
      </w:r>
      <w:r w:rsidR="00981583">
        <w:rPr>
          <w:rFonts w:ascii="Times New Roman" w:hAnsi="Times New Roman"/>
          <w:bCs/>
          <w:sz w:val="20"/>
          <w:szCs w:val="20"/>
        </w:rPr>
        <w:t>104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% for </w:t>
      </w:r>
      <w:r w:rsidR="00981583">
        <w:rPr>
          <w:rFonts w:ascii="Times New Roman" w:hAnsi="Times New Roman"/>
          <w:bCs/>
          <w:sz w:val="20"/>
          <w:szCs w:val="20"/>
        </w:rPr>
        <w:t>Hg</w:t>
      </w:r>
      <w:r w:rsidR="00981583">
        <w:rPr>
          <w:rFonts w:ascii="Times New Roman" w:hAnsi="Times New Roman"/>
          <w:bCs/>
          <w:sz w:val="20"/>
          <w:szCs w:val="20"/>
          <w:vertAlign w:val="superscript"/>
        </w:rPr>
        <w:t>2+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and 10</w:t>
      </w:r>
      <w:r w:rsidR="00981583">
        <w:rPr>
          <w:rFonts w:ascii="Times New Roman" w:hAnsi="Times New Roman"/>
          <w:bCs/>
          <w:sz w:val="20"/>
          <w:szCs w:val="20"/>
        </w:rPr>
        <w:t>1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to </w:t>
      </w:r>
      <w:r w:rsidR="009B29D3">
        <w:rPr>
          <w:rFonts w:ascii="Times New Roman" w:hAnsi="Times New Roman"/>
          <w:bCs/>
          <w:sz w:val="20"/>
          <w:szCs w:val="20"/>
        </w:rPr>
        <w:t>1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11% for </w:t>
      </w:r>
      <w:proofErr w:type="spellStart"/>
      <w:r w:rsidR="00981583">
        <w:rPr>
          <w:rFonts w:ascii="Times New Roman" w:hAnsi="Times New Roman"/>
          <w:bCs/>
          <w:sz w:val="20"/>
          <w:szCs w:val="20"/>
        </w:rPr>
        <w:t>MeHg</w:t>
      </w:r>
      <w:proofErr w:type="spellEnd"/>
      <w:r w:rsidR="009B29D3">
        <w:rPr>
          <w:rFonts w:ascii="Times New Roman" w:hAnsi="Times New Roman"/>
          <w:bCs/>
          <w:sz w:val="20"/>
          <w:szCs w:val="20"/>
          <w:vertAlign w:val="superscript"/>
        </w:rPr>
        <w:t>+</w:t>
      </w:r>
      <w:r w:rsidR="00FE0017" w:rsidRPr="001A7428">
        <w:rPr>
          <w:rFonts w:ascii="Times New Roman" w:hAnsi="Times New Roman"/>
          <w:bCs/>
          <w:sz w:val="20"/>
          <w:szCs w:val="20"/>
        </w:rPr>
        <w:t>. Fig</w:t>
      </w:r>
      <w:r w:rsidR="008A400E">
        <w:rPr>
          <w:rFonts w:ascii="Times New Roman" w:hAnsi="Times New Roman"/>
          <w:bCs/>
          <w:sz w:val="20"/>
          <w:szCs w:val="20"/>
        </w:rPr>
        <w:t>.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</w:t>
      </w:r>
      <w:r w:rsidR="008A7EC0">
        <w:rPr>
          <w:rFonts w:ascii="Times New Roman" w:hAnsi="Times New Roman"/>
          <w:bCs/>
          <w:sz w:val="20"/>
          <w:szCs w:val="20"/>
        </w:rPr>
        <w:t>2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shows a chromatogram of a standard solution containing </w:t>
      </w:r>
      <w:r w:rsidR="008A7EC0">
        <w:rPr>
          <w:rFonts w:ascii="Times New Roman" w:hAnsi="Times New Roman"/>
          <w:bCs/>
          <w:sz w:val="20"/>
          <w:szCs w:val="20"/>
        </w:rPr>
        <w:t>Hg</w:t>
      </w:r>
      <w:r w:rsidR="008A7EC0">
        <w:rPr>
          <w:rFonts w:ascii="Times New Roman" w:hAnsi="Times New Roman"/>
          <w:bCs/>
          <w:sz w:val="20"/>
          <w:szCs w:val="20"/>
          <w:vertAlign w:val="superscript"/>
        </w:rPr>
        <w:t>2+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and </w:t>
      </w:r>
      <w:proofErr w:type="spellStart"/>
      <w:r w:rsidR="008A7EC0">
        <w:rPr>
          <w:rFonts w:ascii="Times New Roman" w:hAnsi="Times New Roman"/>
          <w:bCs/>
          <w:sz w:val="20"/>
          <w:szCs w:val="20"/>
        </w:rPr>
        <w:t>MeHg</w:t>
      </w:r>
      <w:proofErr w:type="spellEnd"/>
      <w:r w:rsidR="00202DC7">
        <w:rPr>
          <w:rFonts w:ascii="Times New Roman" w:hAnsi="Times New Roman"/>
          <w:bCs/>
          <w:sz w:val="20"/>
          <w:szCs w:val="20"/>
          <w:vertAlign w:val="superscript"/>
        </w:rPr>
        <w:t>+</w:t>
      </w:r>
      <w:r w:rsidR="00FE0017" w:rsidRPr="001A7428">
        <w:rPr>
          <w:rFonts w:ascii="Times New Roman" w:hAnsi="Times New Roman"/>
          <w:bCs/>
          <w:sz w:val="20"/>
          <w:szCs w:val="20"/>
        </w:rPr>
        <w:t xml:space="preserve"> under optimized conditions.</w:t>
      </w:r>
      <w:r w:rsidR="00FE0017" w:rsidRPr="001A7428">
        <w:rPr>
          <w:rFonts w:ascii="Times New Roman" w:hAnsi="Times New Roman"/>
          <w:sz w:val="20"/>
          <w:szCs w:val="20"/>
        </w:rPr>
        <w:t xml:space="preserve"> </w:t>
      </w:r>
      <w:r w:rsidR="00FE0017" w:rsidRPr="00460AB8">
        <w:rPr>
          <w:rFonts w:ascii="Times New Roman" w:hAnsi="Times New Roman"/>
          <w:sz w:val="20"/>
          <w:szCs w:val="20"/>
        </w:rPr>
        <w:t xml:space="preserve">The calibration curves of the </w:t>
      </w:r>
      <w:r w:rsidR="00460AB8" w:rsidRPr="00460AB8">
        <w:rPr>
          <w:rFonts w:ascii="Times New Roman" w:hAnsi="Times New Roman"/>
          <w:sz w:val="20"/>
          <w:szCs w:val="20"/>
        </w:rPr>
        <w:t>mercury species</w:t>
      </w:r>
      <w:r w:rsidR="00FE0017" w:rsidRPr="00460AB8">
        <w:rPr>
          <w:rFonts w:ascii="Times New Roman" w:hAnsi="Times New Roman"/>
          <w:sz w:val="20"/>
          <w:szCs w:val="20"/>
        </w:rPr>
        <w:t xml:space="preserve"> under optimized experimental conditions were </w:t>
      </w:r>
      <w:r w:rsidR="00460AB8" w:rsidRPr="00460AB8">
        <w:rPr>
          <w:rFonts w:ascii="Times New Roman" w:hAnsi="Times New Roman"/>
          <w:sz w:val="20"/>
          <w:szCs w:val="20"/>
        </w:rPr>
        <w:t>drawn within the range of 1.0 µL</w:t>
      </w:r>
      <w:r w:rsidR="00FE0017" w:rsidRPr="00460AB8"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proofErr w:type="gramStart"/>
      <w:r w:rsidR="00FE0017" w:rsidRPr="00460AB8">
        <w:rPr>
          <w:rFonts w:ascii="Times New Roman" w:hAnsi="Times New Roman"/>
          <w:sz w:val="20"/>
          <w:szCs w:val="20"/>
        </w:rPr>
        <w:t xml:space="preserve">- </w:t>
      </w:r>
      <w:r w:rsidR="00467973">
        <w:rPr>
          <w:rFonts w:ascii="Times New Roman" w:hAnsi="Times New Roman"/>
          <w:sz w:val="20"/>
          <w:szCs w:val="20"/>
        </w:rPr>
        <w:t xml:space="preserve"> </w:t>
      </w:r>
      <w:r w:rsidR="00FE0017" w:rsidRPr="00460AB8">
        <w:rPr>
          <w:rFonts w:ascii="Times New Roman" w:hAnsi="Times New Roman"/>
          <w:sz w:val="20"/>
          <w:szCs w:val="20"/>
        </w:rPr>
        <w:t>2.</w:t>
      </w:r>
      <w:r w:rsidR="00460AB8" w:rsidRPr="00460AB8">
        <w:rPr>
          <w:rFonts w:ascii="Times New Roman" w:hAnsi="Times New Roman"/>
          <w:sz w:val="20"/>
          <w:szCs w:val="20"/>
        </w:rPr>
        <w:t>8</w:t>
      </w:r>
      <w:proofErr w:type="gramEnd"/>
      <w:r w:rsidR="00FE0017" w:rsidRPr="00460AB8">
        <w:rPr>
          <w:rFonts w:ascii="Times New Roman" w:hAnsi="Times New Roman"/>
          <w:sz w:val="20"/>
          <w:szCs w:val="20"/>
        </w:rPr>
        <w:t xml:space="preserve"> µg</w:t>
      </w:r>
      <w:r w:rsidR="00460AB8" w:rsidRPr="00460AB8">
        <w:rPr>
          <w:rFonts w:ascii="Times New Roman" w:hAnsi="Times New Roman"/>
          <w:sz w:val="20"/>
          <w:szCs w:val="20"/>
        </w:rPr>
        <w:t>L</w:t>
      </w:r>
      <w:r w:rsidR="00FE0017" w:rsidRPr="00460AB8">
        <w:rPr>
          <w:rFonts w:ascii="Times New Roman" w:hAnsi="Times New Roman"/>
          <w:sz w:val="20"/>
          <w:szCs w:val="20"/>
          <w:vertAlign w:val="superscript"/>
        </w:rPr>
        <w:t>-1</w:t>
      </w:r>
      <w:r w:rsidR="00FE0017" w:rsidRPr="00460AB8">
        <w:rPr>
          <w:rFonts w:ascii="Times New Roman" w:hAnsi="Times New Roman"/>
          <w:sz w:val="20"/>
          <w:szCs w:val="20"/>
        </w:rPr>
        <w:t xml:space="preserve">. </w:t>
      </w:r>
    </w:p>
    <w:p w:rsidR="00460AB8" w:rsidRDefault="00460AB8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72C8A" w:rsidRDefault="00972C8A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72C8A" w:rsidRDefault="00972C8A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72C8A" w:rsidRDefault="00972C8A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4E85" w:rsidRDefault="00AF4E85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72C8A" w:rsidRDefault="00972C8A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8A400E" w:rsidRPr="00D858E0" w:rsidRDefault="008A400E" w:rsidP="008A400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D858E0">
        <w:rPr>
          <w:rFonts w:ascii="Times New Roman" w:hAnsi="Times New Roman"/>
          <w:b/>
          <w:bCs/>
          <w:sz w:val="18"/>
          <w:szCs w:val="18"/>
        </w:rPr>
        <w:lastRenderedPageBreak/>
        <w:t xml:space="preserve">Table </w:t>
      </w:r>
      <w:r w:rsidR="009B29D3">
        <w:rPr>
          <w:rFonts w:ascii="Times New Roman" w:hAnsi="Times New Roman"/>
          <w:b/>
          <w:bCs/>
          <w:sz w:val="18"/>
          <w:szCs w:val="18"/>
        </w:rPr>
        <w:t>4</w:t>
      </w:r>
    </w:p>
    <w:p w:rsidR="008A400E" w:rsidRPr="00D858E0" w:rsidRDefault="008A400E" w:rsidP="008A400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D858E0">
        <w:rPr>
          <w:rFonts w:ascii="Times New Roman" w:hAnsi="Times New Roman"/>
          <w:b/>
          <w:bCs/>
          <w:sz w:val="18"/>
          <w:szCs w:val="18"/>
        </w:rPr>
        <w:t xml:space="preserve">Study of the linearity range and detection limits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2063"/>
        <w:gridCol w:w="2251"/>
        <w:gridCol w:w="1188"/>
        <w:gridCol w:w="1475"/>
      </w:tblGrid>
      <w:tr w:rsidR="008A400E" w:rsidRPr="00D858E0" w:rsidTr="00442D8F">
        <w:trPr>
          <w:trHeight w:val="242"/>
        </w:trPr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0E" w:rsidRPr="00D858E0" w:rsidRDefault="009B29D3" w:rsidP="009B29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Mercury</w:t>
            </w:r>
            <w:r w:rsidR="008A400E"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species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42D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>Linearity range</w:t>
            </w:r>
          </w:p>
          <w:p w:rsidR="008A400E" w:rsidRPr="00D858E0" w:rsidRDefault="008A400E" w:rsidP="004533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>(µg</w:t>
            </w:r>
            <w:r w:rsidR="004533B4"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D858E0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42D8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  <w:r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D858E0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42D8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>Retention time (min)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533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/>
                <w:bCs/>
                <w:sz w:val="18"/>
                <w:szCs w:val="18"/>
              </w:rPr>
              <w:t>Instrumental LOD</w:t>
            </w:r>
          </w:p>
        </w:tc>
      </w:tr>
      <w:tr w:rsidR="008A400E" w:rsidRPr="00D858E0" w:rsidTr="00442D8F"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00E" w:rsidRPr="00D858E0" w:rsidRDefault="008A400E" w:rsidP="008A400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Hg</w:t>
            </w:r>
            <w:r w:rsidRPr="00D858E0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00E" w:rsidRPr="00D858E0" w:rsidRDefault="008A400E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1-</w:t>
            </w:r>
            <w:r w:rsidR="004533B4" w:rsidRPr="00D858E0">
              <w:rPr>
                <w:rFonts w:ascii="Times New Roman" w:hAnsi="Times New Roman"/>
                <w:bCs/>
                <w:sz w:val="18"/>
                <w:szCs w:val="18"/>
              </w:rPr>
              <w:t>2.5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00E" w:rsidRPr="00D858E0" w:rsidRDefault="008A400E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0.99</w:t>
            </w:r>
            <w:r w:rsidR="004533B4" w:rsidRPr="00D858E0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00E" w:rsidRPr="00D858E0" w:rsidRDefault="004533B4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2.17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00E" w:rsidRPr="009B29D3" w:rsidRDefault="009B29D3" w:rsidP="009B29D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 xml:space="preserve">1.0 </w:t>
            </w:r>
            <w:r w:rsidRPr="00D858E0">
              <w:rPr>
                <w:rFonts w:ascii="Times New Roman" w:hAnsi="Times New Roman"/>
                <w:sz w:val="18"/>
                <w:szCs w:val="18"/>
              </w:rPr>
              <w:t>ngL</w:t>
            </w:r>
            <w:r w:rsidRPr="00D858E0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</w:tc>
      </w:tr>
      <w:tr w:rsidR="008A400E" w:rsidRPr="00D858E0" w:rsidTr="00442D8F"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00E" w:rsidRPr="00D858E0" w:rsidRDefault="004533B4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proofErr w:type="spellStart"/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MeHg</w:t>
            </w:r>
            <w:proofErr w:type="spellEnd"/>
            <w:r w:rsidR="00AE1D0F" w:rsidRPr="00D858E0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42D8F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1-</w:t>
            </w:r>
            <w:r w:rsidR="004533B4" w:rsidRPr="00D858E0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0.9</w:t>
            </w:r>
            <w:r w:rsidR="004533B4" w:rsidRPr="00D858E0">
              <w:rPr>
                <w:rFonts w:ascii="Times New Roman" w:hAnsi="Times New Roman"/>
                <w:bCs/>
                <w:sz w:val="18"/>
                <w:szCs w:val="18"/>
              </w:rPr>
              <w:t>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00E" w:rsidRPr="00D858E0" w:rsidRDefault="008A400E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  <w:r w:rsidR="004533B4" w:rsidRPr="00D858E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D3" w:rsidRPr="00D858E0" w:rsidRDefault="009B29D3" w:rsidP="004533B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858E0">
              <w:rPr>
                <w:rFonts w:ascii="Times New Roman" w:hAnsi="Times New Roman"/>
                <w:bCs/>
                <w:sz w:val="18"/>
                <w:szCs w:val="18"/>
              </w:rPr>
              <w:t xml:space="preserve">1.5 </w:t>
            </w:r>
            <w:r w:rsidRPr="00D858E0">
              <w:rPr>
                <w:rFonts w:ascii="Times New Roman" w:hAnsi="Times New Roman"/>
                <w:sz w:val="18"/>
                <w:szCs w:val="18"/>
              </w:rPr>
              <w:t>µgL</w:t>
            </w:r>
            <w:r w:rsidRPr="00D858E0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</w:tc>
      </w:tr>
    </w:tbl>
    <w:p w:rsidR="00202DC7" w:rsidRPr="00460AB8" w:rsidRDefault="00202DC7" w:rsidP="00FE001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60AB8" w:rsidRPr="004640F2" w:rsidRDefault="00460AB8" w:rsidP="00972C8A">
      <w:pPr>
        <w:spacing w:after="0" w:line="240" w:lineRule="auto"/>
        <w:contextualSpacing/>
        <w:rPr>
          <w:rFonts w:ascii="Times New Roman" w:eastAsia="Arial Unicode MS" w:hAnsi="Times New Roman" w:cs="Times New Roman"/>
          <w:sz w:val="18"/>
          <w:szCs w:val="18"/>
        </w:rPr>
      </w:pPr>
    </w:p>
    <w:p w:rsidR="00460AB8" w:rsidRPr="00DE606E" w:rsidRDefault="001F6F1C" w:rsidP="00460AB8">
      <w:pPr>
        <w:spacing w:after="0" w:line="240" w:lineRule="auto"/>
        <w:contextualSpacing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29" type="#_x0000_t32" style="position:absolute;left:0;text-align:left;margin-left:353.25pt;margin-top:42.85pt;width:12.75pt;height:4.5pt;z-index:251663360" o:connectortype="straight">
            <v:stroke endarrow="block"/>
          </v:shape>
        </w:pict>
      </w:r>
      <w:r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28" type="#_x0000_t32" style="position:absolute;left:0;text-align:left;margin-left:219.75pt;margin-top:30.1pt;width:23.25pt;height:3pt;flip:x y;z-index:251662336" o:connectortype="straight">
            <v:stroke endarrow="block"/>
          </v:shape>
        </w:pict>
      </w:r>
      <w:r w:rsidR="00460AB8" w:rsidRPr="00DE606E">
        <w:rPr>
          <w:rFonts w:ascii="Arial Unicode MS" w:eastAsia="Arial Unicode MS" w:hAnsi="Arial Unicode MS" w:cs="Arial Unicode MS"/>
          <w:noProof/>
          <w:sz w:val="20"/>
          <w:szCs w:val="20"/>
        </w:rPr>
        <w:drawing>
          <wp:inline distT="0" distB="0" distL="0" distR="0">
            <wp:extent cx="5943600" cy="1209675"/>
            <wp:effectExtent l="19050" t="19050" r="19050" b="2857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8A" w:rsidRDefault="00972C8A" w:rsidP="00972C8A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4640F2">
        <w:rPr>
          <w:rFonts w:ascii="Times New Roman" w:eastAsia="Arial Unicode MS" w:hAnsi="Times New Roman" w:cs="Times New Roman"/>
          <w:sz w:val="18"/>
          <w:szCs w:val="18"/>
        </w:rPr>
        <w:t>Fig</w:t>
      </w:r>
      <w:r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4640F2">
        <w:rPr>
          <w:rFonts w:ascii="Times New Roman" w:eastAsia="Arial Unicode MS" w:hAnsi="Times New Roman" w:cs="Times New Roman"/>
          <w:sz w:val="18"/>
          <w:szCs w:val="18"/>
        </w:rPr>
        <w:t xml:space="preserve"> 2: HPLC-ICP-MS </w:t>
      </w:r>
      <w:r>
        <w:rPr>
          <w:rFonts w:ascii="Times New Roman" w:eastAsia="Arial Unicode MS" w:hAnsi="Times New Roman" w:cs="Times New Roman"/>
          <w:sz w:val="18"/>
          <w:szCs w:val="18"/>
        </w:rPr>
        <w:t>of two mixed</w:t>
      </w:r>
      <w:r w:rsidRPr="004640F2">
        <w:rPr>
          <w:rFonts w:ascii="Times New Roman" w:eastAsia="Arial Unicode MS" w:hAnsi="Times New Roman" w:cs="Times New Roman"/>
          <w:sz w:val="18"/>
          <w:szCs w:val="18"/>
        </w:rPr>
        <w:t xml:space="preserve"> Hg species standard</w:t>
      </w:r>
      <w:r>
        <w:rPr>
          <w:rFonts w:ascii="Times New Roman" w:eastAsia="Arial Unicode MS" w:hAnsi="Times New Roman" w:cs="Times New Roman"/>
          <w:sz w:val="18"/>
          <w:szCs w:val="18"/>
        </w:rPr>
        <w:t>s</w:t>
      </w:r>
      <w:r w:rsidRPr="004640F2">
        <w:rPr>
          <w:rFonts w:ascii="Times New Roman" w:eastAsia="Arial Unicode MS" w:hAnsi="Times New Roman" w:cs="Times New Roman"/>
          <w:sz w:val="18"/>
          <w:szCs w:val="18"/>
        </w:rPr>
        <w:t xml:space="preserve"> in pure water</w:t>
      </w:r>
      <w:r>
        <w:rPr>
          <w:rFonts w:ascii="Times New Roman" w:eastAsia="Arial Unicode MS" w:hAnsi="Times New Roman" w:cs="Times New Roman"/>
          <w:sz w:val="18"/>
          <w:szCs w:val="18"/>
        </w:rPr>
        <w:t>: Hg</w:t>
      </w:r>
      <w:r>
        <w:rPr>
          <w:rFonts w:ascii="Times New Roman" w:eastAsia="Arial Unicode MS" w:hAnsi="Times New Roman" w:cs="Times New Roman"/>
          <w:sz w:val="18"/>
          <w:szCs w:val="18"/>
          <w:vertAlign w:val="superscript"/>
        </w:rPr>
        <w:t>2+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2.17min, </w:t>
      </w:r>
      <w:proofErr w:type="spellStart"/>
      <w:r>
        <w:rPr>
          <w:rFonts w:ascii="Times New Roman" w:eastAsia="Arial Unicode MS" w:hAnsi="Times New Roman" w:cs="Times New Roman"/>
          <w:sz w:val="18"/>
          <w:szCs w:val="18"/>
        </w:rPr>
        <w:t>MeHg</w:t>
      </w:r>
      <w:proofErr w:type="spellEnd"/>
      <w:r>
        <w:rPr>
          <w:rFonts w:ascii="Times New Roman" w:eastAsia="Arial Unicode MS" w:hAnsi="Times New Roman" w:cs="Times New Roman"/>
          <w:sz w:val="18"/>
          <w:szCs w:val="18"/>
          <w:vertAlign w:val="superscript"/>
        </w:rPr>
        <w:t>+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4.20min</w:t>
      </w:r>
    </w:p>
    <w:p w:rsidR="00460AB8" w:rsidRPr="004640F2" w:rsidRDefault="00460AB8" w:rsidP="00460AB8">
      <w:pPr>
        <w:pStyle w:val="ListParagraph"/>
        <w:spacing w:after="0" w:line="240" w:lineRule="auto"/>
        <w:ind w:left="0"/>
        <w:rPr>
          <w:rFonts w:ascii="Times New Roman" w:eastAsia="Arial Unicode MS" w:hAnsi="Times New Roman" w:cs="Times New Roman"/>
          <w:sz w:val="20"/>
          <w:szCs w:val="20"/>
        </w:rPr>
      </w:pPr>
    </w:p>
    <w:p w:rsidR="00460AB8" w:rsidRDefault="00460AB8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011075" w:rsidRPr="003A3750" w:rsidRDefault="00011075" w:rsidP="000110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3750">
        <w:rPr>
          <w:rFonts w:ascii="Times New Roman" w:hAnsi="Times New Roman"/>
          <w:sz w:val="20"/>
          <w:szCs w:val="20"/>
        </w:rPr>
        <w:t xml:space="preserve">Possible matrix effects on the calibration were estimated by spiking </w:t>
      </w:r>
      <w:proofErr w:type="gramStart"/>
      <w:r w:rsidRPr="003A3750">
        <w:rPr>
          <w:rFonts w:ascii="Times New Roman" w:hAnsi="Times New Roman"/>
          <w:sz w:val="20"/>
          <w:szCs w:val="20"/>
        </w:rPr>
        <w:t>representatives</w:t>
      </w:r>
      <w:proofErr w:type="gramEnd"/>
      <w:r w:rsidRPr="003A3750">
        <w:rPr>
          <w:rFonts w:ascii="Times New Roman" w:hAnsi="Times New Roman"/>
          <w:sz w:val="20"/>
          <w:szCs w:val="20"/>
        </w:rPr>
        <w:t xml:space="preserve"> real river water samples. These samples were collected at various locations in order to have different matrix contents, e.g. high suspended solids. Samples collected were spiked with a standard mixture of </w:t>
      </w:r>
      <w:r>
        <w:rPr>
          <w:rFonts w:ascii="Times New Roman" w:hAnsi="Times New Roman"/>
          <w:sz w:val="20"/>
          <w:szCs w:val="20"/>
        </w:rPr>
        <w:t>mercury</w:t>
      </w:r>
      <w:r w:rsidRPr="003A3750">
        <w:rPr>
          <w:rFonts w:ascii="Times New Roman" w:hAnsi="Times New Roman"/>
          <w:sz w:val="20"/>
          <w:szCs w:val="20"/>
        </w:rPr>
        <w:t xml:space="preserve"> species giving an added </w:t>
      </w:r>
      <w:r>
        <w:rPr>
          <w:rFonts w:ascii="Times New Roman" w:hAnsi="Times New Roman"/>
          <w:sz w:val="20"/>
          <w:szCs w:val="20"/>
        </w:rPr>
        <w:t>mercury</w:t>
      </w:r>
      <w:r w:rsidRPr="003A3750">
        <w:rPr>
          <w:rFonts w:ascii="Times New Roman" w:hAnsi="Times New Roman"/>
          <w:sz w:val="20"/>
          <w:szCs w:val="20"/>
        </w:rPr>
        <w:t xml:space="preserve"> concentration of </w:t>
      </w:r>
      <w:r>
        <w:rPr>
          <w:rFonts w:ascii="Times New Roman" w:hAnsi="Times New Roman"/>
          <w:sz w:val="20"/>
          <w:szCs w:val="20"/>
        </w:rPr>
        <w:t>10</w:t>
      </w:r>
      <w:r w:rsidRPr="003A3750">
        <w:rPr>
          <w:rFonts w:ascii="Times New Roman" w:hAnsi="Times New Roman"/>
          <w:sz w:val="20"/>
          <w:szCs w:val="20"/>
        </w:rPr>
        <w:t xml:space="preserve"> µg</w:t>
      </w:r>
      <w:r>
        <w:rPr>
          <w:rFonts w:ascii="Times New Roman" w:hAnsi="Times New Roman"/>
          <w:sz w:val="20"/>
          <w:szCs w:val="20"/>
        </w:rPr>
        <w:t>L</w:t>
      </w:r>
      <w:r w:rsidRPr="003A3750">
        <w:rPr>
          <w:rFonts w:ascii="Times New Roman" w:eastAsia="MTSY" w:hAnsi="Times New Roman"/>
          <w:sz w:val="20"/>
          <w:szCs w:val="20"/>
          <w:vertAlign w:val="superscript"/>
        </w:rPr>
        <w:t>−</w:t>
      </w:r>
      <w:r w:rsidRPr="003A3750">
        <w:rPr>
          <w:rFonts w:ascii="Times New Roman" w:hAnsi="Times New Roman"/>
          <w:sz w:val="20"/>
          <w:szCs w:val="20"/>
          <w:vertAlign w:val="superscript"/>
        </w:rPr>
        <w:t>1</w:t>
      </w:r>
      <w:r w:rsidRPr="003A3750">
        <w:rPr>
          <w:rFonts w:ascii="Times New Roman" w:hAnsi="Times New Roman"/>
          <w:sz w:val="20"/>
          <w:szCs w:val="20"/>
        </w:rPr>
        <w:t xml:space="preserve"> each. When the LC-ICP-MS procedure was applied to the analysis of </w:t>
      </w:r>
      <w:r>
        <w:rPr>
          <w:rFonts w:ascii="Times New Roman" w:hAnsi="Times New Roman"/>
          <w:sz w:val="20"/>
          <w:szCs w:val="20"/>
        </w:rPr>
        <w:t>six</w:t>
      </w:r>
      <w:r w:rsidRPr="003A3750">
        <w:rPr>
          <w:rFonts w:ascii="Times New Roman" w:hAnsi="Times New Roman"/>
          <w:sz w:val="20"/>
          <w:szCs w:val="20"/>
        </w:rPr>
        <w:t xml:space="preserve"> spiked real river water samples, recoveries were satisfactorily with values ranging from </w:t>
      </w:r>
      <w:r>
        <w:rPr>
          <w:rFonts w:ascii="Times New Roman" w:hAnsi="Times New Roman"/>
          <w:sz w:val="20"/>
          <w:szCs w:val="20"/>
        </w:rPr>
        <w:t>85</w:t>
      </w:r>
      <w:r w:rsidRPr="003A3750">
        <w:rPr>
          <w:rFonts w:ascii="Times New Roman" w:hAnsi="Times New Roman"/>
          <w:sz w:val="20"/>
          <w:szCs w:val="20"/>
        </w:rPr>
        <w:t>% to 11</w:t>
      </w:r>
      <w:r>
        <w:rPr>
          <w:rFonts w:ascii="Times New Roman" w:hAnsi="Times New Roman"/>
          <w:sz w:val="20"/>
          <w:szCs w:val="20"/>
        </w:rPr>
        <w:t>5</w:t>
      </w:r>
      <w:r w:rsidRPr="003A3750">
        <w:rPr>
          <w:rFonts w:ascii="Times New Roman" w:hAnsi="Times New Roman"/>
          <w:sz w:val="20"/>
          <w:szCs w:val="20"/>
        </w:rPr>
        <w:t xml:space="preserve">%. </w:t>
      </w:r>
    </w:p>
    <w:p w:rsidR="00F33FCF" w:rsidRDefault="00F33FCF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F33FCF" w:rsidRDefault="00F33FCF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>Analysis of samples</w:t>
      </w:r>
    </w:p>
    <w:p w:rsidR="00F33FCF" w:rsidRDefault="00F33FCF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383AC3" w:rsidRPr="00D858E0" w:rsidRDefault="00383AC3" w:rsidP="00383A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858E0">
        <w:rPr>
          <w:rFonts w:ascii="Times New Roman" w:hAnsi="Times New Roman" w:cs="Times New Roman"/>
          <w:b/>
          <w:sz w:val="18"/>
          <w:szCs w:val="18"/>
        </w:rPr>
        <w:t xml:space="preserve">Table </w:t>
      </w:r>
      <w:r w:rsidR="00AD76C3">
        <w:rPr>
          <w:rFonts w:ascii="Times New Roman" w:hAnsi="Times New Roman" w:cs="Times New Roman"/>
          <w:b/>
          <w:sz w:val="18"/>
          <w:szCs w:val="18"/>
        </w:rPr>
        <w:t>5</w:t>
      </w:r>
    </w:p>
    <w:p w:rsidR="00383AC3" w:rsidRPr="00D858E0" w:rsidRDefault="00E116F6" w:rsidP="00383A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858E0">
        <w:rPr>
          <w:rFonts w:ascii="Times New Roman" w:hAnsi="Times New Roman" w:cs="Times New Roman"/>
          <w:b/>
          <w:sz w:val="18"/>
          <w:szCs w:val="18"/>
        </w:rPr>
        <w:t xml:space="preserve">Analysis of mercury species in Sungai Kinta </w:t>
      </w:r>
      <w:r w:rsidR="007A7E4C" w:rsidRPr="00D858E0">
        <w:rPr>
          <w:rFonts w:ascii="Times New Roman" w:hAnsi="Times New Roman" w:cs="Times New Roman"/>
          <w:b/>
          <w:sz w:val="18"/>
          <w:szCs w:val="18"/>
        </w:rPr>
        <w:t>(µgL</w:t>
      </w:r>
      <w:r w:rsidR="007A7E4C" w:rsidRPr="00D858E0">
        <w:rPr>
          <w:rFonts w:ascii="Times New Roman" w:hAnsi="Times New Roman" w:cs="Times New Roman"/>
          <w:b/>
          <w:sz w:val="18"/>
          <w:szCs w:val="18"/>
          <w:vertAlign w:val="superscript"/>
        </w:rPr>
        <w:t>-1</w:t>
      </w:r>
      <w:r w:rsidR="007A7E4C" w:rsidRPr="00D858E0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7A7E4C">
        <w:rPr>
          <w:rFonts w:ascii="Times New Roman" w:hAnsi="Times New Roman" w:cs="Times New Roman"/>
          <w:b/>
          <w:sz w:val="18"/>
          <w:szCs w:val="18"/>
        </w:rPr>
        <w:t xml:space="preserve">and the pH value </w:t>
      </w:r>
    </w:p>
    <w:p w:rsidR="00383AC3" w:rsidRPr="00D858E0" w:rsidRDefault="00383AC3" w:rsidP="00383A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9918" w:type="dxa"/>
        <w:tblLook w:val="04A0"/>
      </w:tblPr>
      <w:tblGrid>
        <w:gridCol w:w="1915"/>
        <w:gridCol w:w="2063"/>
        <w:gridCol w:w="1800"/>
        <w:gridCol w:w="2070"/>
        <w:gridCol w:w="2070"/>
      </w:tblGrid>
      <w:tr w:rsidR="007A7E4C" w:rsidRPr="00D858E0" w:rsidTr="007A7E4C">
        <w:tc>
          <w:tcPr>
            <w:tcW w:w="1915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b/>
                <w:sz w:val="18"/>
                <w:szCs w:val="18"/>
              </w:rPr>
              <w:t>Sampling Time</w:t>
            </w:r>
          </w:p>
        </w:tc>
        <w:tc>
          <w:tcPr>
            <w:tcW w:w="2063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b/>
                <w:sz w:val="18"/>
                <w:szCs w:val="18"/>
              </w:rPr>
              <w:t>Station</w:t>
            </w:r>
          </w:p>
        </w:tc>
        <w:tc>
          <w:tcPr>
            <w:tcW w:w="1800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D858E0">
              <w:rPr>
                <w:rFonts w:ascii="Times New Roman" w:hAnsi="Times New Roman" w:cs="Times New Roman"/>
                <w:b/>
                <w:sz w:val="18"/>
                <w:szCs w:val="18"/>
              </w:rPr>
              <w:t>Hg</w:t>
            </w:r>
            <w:r w:rsidRPr="00D858E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2070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proofErr w:type="spellStart"/>
            <w:r w:rsidRPr="00D858E0">
              <w:rPr>
                <w:rFonts w:ascii="Times New Roman" w:hAnsi="Times New Roman" w:cs="Times New Roman"/>
                <w:b/>
                <w:sz w:val="18"/>
                <w:szCs w:val="18"/>
              </w:rPr>
              <w:t>MeHg</w:t>
            </w:r>
            <w:proofErr w:type="spellEnd"/>
            <w:r w:rsidRPr="00D858E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2070" w:type="dxa"/>
          </w:tcPr>
          <w:p w:rsidR="007A7E4C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</w:t>
            </w:r>
          </w:p>
        </w:tc>
      </w:tr>
      <w:tr w:rsidR="007A7E4C" w:rsidRPr="00D858E0" w:rsidTr="007A7E4C">
        <w:tc>
          <w:tcPr>
            <w:tcW w:w="1915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Feb</w:t>
            </w:r>
            <w:r w:rsidR="00AF4E85">
              <w:rPr>
                <w:rFonts w:ascii="Times New Roman" w:hAnsi="Times New Roman" w:cs="Times New Roman"/>
                <w:sz w:val="18"/>
                <w:szCs w:val="18"/>
              </w:rPr>
              <w:t>ruary 2011</w:t>
            </w:r>
          </w:p>
        </w:tc>
        <w:tc>
          <w:tcPr>
            <w:tcW w:w="2063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SP1 (upstream)</w:t>
            </w:r>
          </w:p>
        </w:tc>
        <w:tc>
          <w:tcPr>
            <w:tcW w:w="1800" w:type="dxa"/>
          </w:tcPr>
          <w:p w:rsidR="007A7E4C" w:rsidRPr="00D858E0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2070" w:type="dxa"/>
          </w:tcPr>
          <w:p w:rsidR="007A7E4C" w:rsidRPr="00D858E0" w:rsidRDefault="00AB4178" w:rsidP="00AB4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7A7E4C" w:rsidRPr="00CA053F" w:rsidRDefault="007A7E4C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3F">
              <w:rPr>
                <w:rFonts w:ascii="Times New Roman" w:hAnsi="Times New Roman"/>
                <w:sz w:val="20"/>
                <w:szCs w:val="20"/>
              </w:rPr>
              <w:t>6.68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SP1 (upstream)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3F">
              <w:rPr>
                <w:rFonts w:ascii="Times New Roman" w:hAnsi="Times New Roman"/>
                <w:sz w:val="20"/>
                <w:szCs w:val="20"/>
              </w:rPr>
              <w:t>6.95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SP2 (</w:t>
            </w:r>
            <w:proofErr w:type="spellStart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middlestream</w:t>
            </w:r>
            <w:proofErr w:type="spellEnd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3F">
              <w:rPr>
                <w:rFonts w:ascii="Times New Roman" w:hAnsi="Times New Roman"/>
                <w:sz w:val="20"/>
                <w:szCs w:val="20"/>
              </w:rPr>
              <w:t>7.06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SP2 (</w:t>
            </w:r>
            <w:proofErr w:type="spellStart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middlestream</w:t>
            </w:r>
            <w:proofErr w:type="spellEnd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3F">
              <w:rPr>
                <w:rFonts w:ascii="Times New Roman" w:hAnsi="Times New Roman"/>
                <w:sz w:val="20"/>
                <w:szCs w:val="20"/>
              </w:rPr>
              <w:t>6.87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SP3 (downstream)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3F">
              <w:rPr>
                <w:rFonts w:ascii="Times New Roman" w:hAnsi="Times New Roman"/>
                <w:sz w:val="20"/>
                <w:szCs w:val="20"/>
              </w:rPr>
              <w:t>6.93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SP3 (downstream)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53F">
              <w:rPr>
                <w:rFonts w:ascii="Times New Roman" w:hAnsi="Times New Roman"/>
                <w:sz w:val="20"/>
                <w:szCs w:val="20"/>
              </w:rPr>
              <w:t>6.62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</w:t>
            </w: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SP1 (upstream)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6.73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SP1 (upstream)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6.74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SP2 (</w:t>
            </w:r>
            <w:proofErr w:type="spellStart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middlestream</w:t>
            </w:r>
            <w:proofErr w:type="spellEnd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7.41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SP2 (</w:t>
            </w:r>
            <w:proofErr w:type="spellStart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middlestream</w:t>
            </w:r>
            <w:proofErr w:type="spellEnd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6.72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SP3 (downstream)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6.92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SP3 (downstream)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6.89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</w:t>
            </w: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SP1 (upstream)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6.62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SP1 (upstream)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6.62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SP2 (</w:t>
            </w:r>
            <w:proofErr w:type="spellStart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middlestream</w:t>
            </w:r>
            <w:proofErr w:type="spellEnd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7.31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SP2 (</w:t>
            </w:r>
            <w:proofErr w:type="spellStart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middlestream</w:t>
            </w:r>
            <w:proofErr w:type="spellEnd"/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6.82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SP3 (downstream)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6.63</w:t>
            </w:r>
          </w:p>
        </w:tc>
      </w:tr>
      <w:tr w:rsidR="00AB4178" w:rsidRPr="00D858E0" w:rsidTr="007A7E4C">
        <w:tc>
          <w:tcPr>
            <w:tcW w:w="1915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AB4178" w:rsidRPr="00D858E0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SP3 (downstream)</w:t>
            </w:r>
          </w:p>
        </w:tc>
        <w:tc>
          <w:tcPr>
            <w:tcW w:w="1800" w:type="dxa"/>
          </w:tcPr>
          <w:p w:rsidR="00AB4178" w:rsidRPr="00D858E0" w:rsidRDefault="00AB4178" w:rsidP="0044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E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AB4178" w:rsidRDefault="00AB4178" w:rsidP="00AB4178">
            <w:pPr>
              <w:jc w:val="center"/>
            </w:pPr>
            <w:r w:rsidRPr="0087143C">
              <w:rPr>
                <w:rFonts w:ascii="Times New Roman" w:hAnsi="Times New Roman" w:cs="Times New Roman"/>
                <w:sz w:val="18"/>
                <w:szCs w:val="18"/>
              </w:rPr>
              <w:t>&lt;1.5</w:t>
            </w:r>
          </w:p>
        </w:tc>
        <w:tc>
          <w:tcPr>
            <w:tcW w:w="2070" w:type="dxa"/>
          </w:tcPr>
          <w:p w:rsidR="00AB4178" w:rsidRPr="00CA053F" w:rsidRDefault="00AB4178" w:rsidP="00442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6.87</w:t>
            </w:r>
          </w:p>
        </w:tc>
      </w:tr>
    </w:tbl>
    <w:p w:rsidR="0073637F" w:rsidRPr="002E4D8D" w:rsidRDefault="00383AC3" w:rsidP="002E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75602">
        <w:rPr>
          <w:rFonts w:ascii="Times New Roman" w:hAnsi="Times New Roman"/>
          <w:sz w:val="20"/>
          <w:szCs w:val="20"/>
        </w:rPr>
        <w:t xml:space="preserve">Results correspond to mean values, n=2 (standard deviation for </w:t>
      </w:r>
      <w:r w:rsidR="00AE1D0F" w:rsidRPr="00075602">
        <w:rPr>
          <w:rFonts w:ascii="Times New Roman" w:hAnsi="Times New Roman"/>
          <w:sz w:val="20"/>
          <w:szCs w:val="20"/>
        </w:rPr>
        <w:t>Hg</w:t>
      </w:r>
      <w:r w:rsidR="00AE1D0F" w:rsidRPr="00075602">
        <w:rPr>
          <w:rFonts w:ascii="Times New Roman" w:hAnsi="Times New Roman"/>
          <w:sz w:val="20"/>
          <w:szCs w:val="20"/>
          <w:vertAlign w:val="superscript"/>
        </w:rPr>
        <w:t>2+</w:t>
      </w:r>
      <w:r w:rsidRPr="00075602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="00AE1D0F" w:rsidRPr="00075602">
        <w:rPr>
          <w:rFonts w:ascii="Times New Roman" w:hAnsi="Times New Roman"/>
          <w:sz w:val="20"/>
          <w:szCs w:val="20"/>
        </w:rPr>
        <w:t>MeHg</w:t>
      </w:r>
      <w:proofErr w:type="spellEnd"/>
      <w:r w:rsidR="00AE1D0F" w:rsidRPr="00075602">
        <w:rPr>
          <w:rFonts w:ascii="Times New Roman" w:hAnsi="Times New Roman"/>
          <w:sz w:val="20"/>
          <w:szCs w:val="20"/>
          <w:vertAlign w:val="superscript"/>
        </w:rPr>
        <w:t>+</w:t>
      </w:r>
      <w:r w:rsidR="00AE1D0F" w:rsidRPr="00075602">
        <w:rPr>
          <w:rFonts w:ascii="Times New Roman" w:hAnsi="Times New Roman"/>
          <w:sz w:val="20"/>
          <w:szCs w:val="20"/>
        </w:rPr>
        <w:t xml:space="preserve"> </w:t>
      </w:r>
      <w:r w:rsidRPr="00075602">
        <w:rPr>
          <w:rFonts w:ascii="Times New Roman" w:hAnsi="Times New Roman"/>
          <w:sz w:val="20"/>
          <w:szCs w:val="20"/>
        </w:rPr>
        <w:t>are 0.</w:t>
      </w:r>
      <w:r w:rsidR="00AE1D0F" w:rsidRPr="00075602">
        <w:rPr>
          <w:rFonts w:ascii="Times New Roman" w:hAnsi="Times New Roman"/>
          <w:sz w:val="20"/>
          <w:szCs w:val="20"/>
        </w:rPr>
        <w:t>01</w:t>
      </w:r>
      <w:r w:rsidRPr="00075602">
        <w:rPr>
          <w:rFonts w:ascii="Times New Roman" w:hAnsi="Times New Roman"/>
          <w:sz w:val="20"/>
          <w:szCs w:val="20"/>
        </w:rPr>
        <w:t xml:space="preserve"> and 0.</w:t>
      </w:r>
      <w:r w:rsidR="00AE1D0F" w:rsidRPr="00075602">
        <w:rPr>
          <w:rFonts w:ascii="Times New Roman" w:hAnsi="Times New Roman"/>
          <w:sz w:val="20"/>
          <w:szCs w:val="20"/>
        </w:rPr>
        <w:t>08</w:t>
      </w:r>
      <w:r w:rsidRPr="00075602">
        <w:rPr>
          <w:rFonts w:ascii="Times New Roman" w:hAnsi="Times New Roman"/>
          <w:sz w:val="20"/>
          <w:szCs w:val="20"/>
        </w:rPr>
        <w:t>, respectively)</w:t>
      </w:r>
    </w:p>
    <w:p w:rsidR="00460AB8" w:rsidRPr="005B7452" w:rsidRDefault="00F93FC5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lastRenderedPageBreak/>
        <w:t xml:space="preserve">For mercury in natural waters, the main species to be identified and determined are 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>Hg</w:t>
      </w:r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2+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and </w:t>
      </w:r>
      <w:proofErr w:type="spellStart"/>
      <w:r w:rsidR="0073637F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proofErr w:type="gramStart"/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213EC8">
        <w:rPr>
          <w:rFonts w:ascii="Times New Roman" w:eastAsia="Arial Unicode MS" w:hAnsi="Times New Roman" w:cs="Times New Roman"/>
          <w:sz w:val="20"/>
          <w:szCs w:val="20"/>
        </w:rPr>
        <w:t>.</w:t>
      </w:r>
      <w:proofErr w:type="gramEnd"/>
      <w:r w:rsidR="00213EC8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52798E" w:rsidRPr="0052798E">
        <w:rPr>
          <w:rFonts w:ascii="Times New Roman" w:eastAsia="Arial Unicode MS" w:hAnsi="Times New Roman" w:cs="Times New Roman"/>
          <w:sz w:val="20"/>
          <w:szCs w:val="20"/>
        </w:rPr>
        <w:t>The results are shown in</w:t>
      </w:r>
      <w:r w:rsidR="0052798E">
        <w:rPr>
          <w:rFonts w:ascii="Times New Roman" w:eastAsia="Arial Unicode MS" w:hAnsi="Times New Roman" w:cs="Times New Roman"/>
          <w:sz w:val="20"/>
          <w:szCs w:val="20"/>
        </w:rPr>
        <w:t xml:space="preserve"> Table </w:t>
      </w:r>
      <w:r w:rsidR="00AD76C3">
        <w:rPr>
          <w:rFonts w:ascii="Times New Roman" w:eastAsia="Arial Unicode MS" w:hAnsi="Times New Roman" w:cs="Times New Roman"/>
          <w:sz w:val="20"/>
          <w:szCs w:val="20"/>
        </w:rPr>
        <w:t>5</w:t>
      </w:r>
      <w:r w:rsidR="0052798E">
        <w:rPr>
          <w:rFonts w:ascii="Times New Roman" w:eastAsia="Arial Unicode MS" w:hAnsi="Times New Roman" w:cs="Times New Roman"/>
          <w:sz w:val="20"/>
          <w:szCs w:val="20"/>
        </w:rPr>
        <w:t>.</w:t>
      </w:r>
      <w:r w:rsidR="006E2139">
        <w:rPr>
          <w:rFonts w:ascii="Times New Roman" w:eastAsia="Arial Unicode MS" w:hAnsi="Times New Roman" w:cs="Times New Roman"/>
          <w:sz w:val="20"/>
          <w:szCs w:val="20"/>
        </w:rPr>
        <w:t xml:space="preserve"> It was observed that the Hg</w:t>
      </w:r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</w:t>
      </w:r>
      <w:r w:rsidR="006E2139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 w:rsidR="006E2139">
        <w:rPr>
          <w:rFonts w:ascii="Times New Roman" w:eastAsia="Arial Unicode MS" w:hAnsi="Times New Roman" w:cs="Times New Roman"/>
          <w:sz w:val="20"/>
          <w:szCs w:val="20"/>
        </w:rPr>
        <w:t xml:space="preserve"> was dominating the Sungai Kinta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, the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was not detected</w:t>
      </w:r>
      <w:r w:rsidR="00AB4178">
        <w:rPr>
          <w:rFonts w:ascii="Times New Roman" w:eastAsia="Arial Unicode MS" w:hAnsi="Times New Roman" w:cs="Times New Roman"/>
          <w:sz w:val="20"/>
          <w:szCs w:val="20"/>
        </w:rPr>
        <w:t xml:space="preserve"> or below the instrumental limit of detection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="008A6981">
        <w:rPr>
          <w:rFonts w:ascii="Times New Roman" w:eastAsia="Arial Unicode MS" w:hAnsi="Times New Roman" w:cs="Times New Roman"/>
          <w:sz w:val="20"/>
          <w:szCs w:val="20"/>
        </w:rPr>
        <w:t xml:space="preserve">Therefore, it could not be considered as an important source of </w:t>
      </w:r>
      <w:proofErr w:type="spellStart"/>
      <w:r w:rsidR="008A6981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 w:rsidR="008A6981">
        <w:rPr>
          <w:rFonts w:ascii="Times New Roman" w:eastAsia="Arial Unicode MS" w:hAnsi="Times New Roman" w:cs="Times New Roman"/>
          <w:sz w:val="20"/>
          <w:szCs w:val="20"/>
        </w:rPr>
        <w:t xml:space="preserve"> to downstream waters. </w:t>
      </w:r>
      <w:proofErr w:type="spellStart"/>
      <w:r w:rsidR="008A6981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 w:rsidR="008A6981">
        <w:rPr>
          <w:rFonts w:ascii="Times New Roman" w:eastAsia="Arial Unicode MS" w:hAnsi="Times New Roman" w:cs="Times New Roman"/>
          <w:sz w:val="20"/>
          <w:szCs w:val="20"/>
        </w:rPr>
        <w:t xml:space="preserve"> concentration is independent of total Hg levels provided that some H</w:t>
      </w:r>
      <w:r w:rsidR="00EC6F09">
        <w:rPr>
          <w:rFonts w:ascii="Times New Roman" w:eastAsia="Arial Unicode MS" w:hAnsi="Times New Roman" w:cs="Times New Roman"/>
          <w:sz w:val="20"/>
          <w:szCs w:val="20"/>
        </w:rPr>
        <w:t xml:space="preserve">g is available for </w:t>
      </w:r>
      <w:proofErr w:type="spellStart"/>
      <w:r w:rsidR="00EC6F09">
        <w:rPr>
          <w:rFonts w:ascii="Times New Roman" w:eastAsia="Arial Unicode MS" w:hAnsi="Times New Roman" w:cs="Times New Roman"/>
          <w:sz w:val="20"/>
          <w:szCs w:val="20"/>
        </w:rPr>
        <w:t>methylation</w:t>
      </w:r>
      <w:proofErr w:type="spellEnd"/>
      <w:r w:rsidR="00EC6F09">
        <w:rPr>
          <w:rFonts w:ascii="Times New Roman" w:eastAsia="Arial Unicode MS" w:hAnsi="Times New Roman" w:cs="Times New Roman"/>
          <w:sz w:val="20"/>
          <w:szCs w:val="20"/>
        </w:rPr>
        <w:t xml:space="preserve"> [24]</w:t>
      </w:r>
      <w:r w:rsidR="008A6981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proofErr w:type="spellStart"/>
      <w:r w:rsidR="00E23B61" w:rsidRPr="008A6981">
        <w:rPr>
          <w:rFonts w:ascii="Times New Roman" w:hAnsi="Times New Roman" w:cs="Times New Roman"/>
          <w:sz w:val="20"/>
          <w:szCs w:val="20"/>
        </w:rPr>
        <w:t>Methylmercury</w:t>
      </w:r>
      <w:proofErr w:type="spellEnd"/>
      <w:r w:rsidR="00E23B61" w:rsidRPr="008A6981">
        <w:rPr>
          <w:rFonts w:ascii="Times New Roman" w:hAnsi="Times New Roman" w:cs="Times New Roman"/>
          <w:sz w:val="20"/>
          <w:szCs w:val="20"/>
        </w:rPr>
        <w:t xml:space="preserve"> is formed from inorganic mercury by the action of </w:t>
      </w:r>
      <w:hyperlink r:id="rId8" w:tooltip="Anaerobic organism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anaerobic organisms</w:t>
        </w:r>
      </w:hyperlink>
      <w:r w:rsidR="00E23B61" w:rsidRPr="008A6981">
        <w:rPr>
          <w:rFonts w:ascii="Times New Roman" w:hAnsi="Times New Roman" w:cs="Times New Roman"/>
          <w:sz w:val="20"/>
          <w:szCs w:val="20"/>
        </w:rPr>
        <w:t xml:space="preserve"> that live in aquatic systems including </w:t>
      </w:r>
      <w:hyperlink r:id="rId9" w:tooltip="Lake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lakes</w:t>
        </w:r>
      </w:hyperlink>
      <w:r w:rsidR="00E23B61" w:rsidRPr="008A6981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tooltip="River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rivers</w:t>
        </w:r>
      </w:hyperlink>
      <w:r w:rsidR="00E23B61" w:rsidRPr="008A6981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 w:tooltip="Wetland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wetlands</w:t>
        </w:r>
      </w:hyperlink>
      <w:r w:rsidR="00E23B61" w:rsidRPr="008A6981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tooltip="Sediment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sediments</w:t>
        </w:r>
      </w:hyperlink>
      <w:r w:rsidR="00E23B61" w:rsidRPr="008A6981">
        <w:rPr>
          <w:rFonts w:ascii="Times New Roman" w:hAnsi="Times New Roman" w:cs="Times New Roman"/>
          <w:sz w:val="20"/>
          <w:szCs w:val="20"/>
        </w:rPr>
        <w:t xml:space="preserve">, </w:t>
      </w:r>
      <w:hyperlink r:id="rId13" w:tooltip="Soil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soils</w:t>
        </w:r>
      </w:hyperlink>
      <w:r w:rsidR="00E23B61" w:rsidRPr="008A6981">
        <w:rPr>
          <w:rFonts w:ascii="Times New Roman" w:hAnsi="Times New Roman" w:cs="Times New Roman"/>
          <w:sz w:val="20"/>
          <w:szCs w:val="20"/>
        </w:rPr>
        <w:t xml:space="preserve"> and the open </w:t>
      </w:r>
      <w:hyperlink r:id="rId14" w:tooltip="Ocean" w:history="1">
        <w:r w:rsidR="00E23B61" w:rsidRPr="008A69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ocean</w:t>
        </w:r>
      </w:hyperlink>
      <w:r w:rsidR="008A6981">
        <w:rPr>
          <w:rFonts w:ascii="Times New Roman" w:hAnsi="Times New Roman" w:cs="Times New Roman"/>
          <w:sz w:val="20"/>
          <w:szCs w:val="20"/>
        </w:rPr>
        <w:t xml:space="preserve"> [23].</w:t>
      </w:r>
      <w:r w:rsidR="00E23B61" w:rsidRPr="008A6981">
        <w:rPr>
          <w:rFonts w:ascii="Times New Roman" w:hAnsi="Times New Roman" w:cs="Times New Roman"/>
          <w:sz w:val="20"/>
          <w:szCs w:val="20"/>
        </w:rPr>
        <w:t xml:space="preserve"> This </w:t>
      </w:r>
      <w:proofErr w:type="spellStart"/>
      <w:r w:rsidR="00E23B61" w:rsidRPr="008A6981">
        <w:rPr>
          <w:rFonts w:ascii="Times New Roman" w:hAnsi="Times New Roman" w:cs="Times New Roman"/>
          <w:sz w:val="20"/>
          <w:szCs w:val="20"/>
        </w:rPr>
        <w:t>methylation</w:t>
      </w:r>
      <w:proofErr w:type="spellEnd"/>
      <w:r w:rsidR="00E23B61" w:rsidRPr="008A6981">
        <w:rPr>
          <w:rFonts w:ascii="Times New Roman" w:hAnsi="Times New Roman" w:cs="Times New Roman"/>
          <w:sz w:val="20"/>
          <w:szCs w:val="20"/>
        </w:rPr>
        <w:t xml:space="preserve"> process converts inorganic mercury to </w:t>
      </w:r>
      <w:proofErr w:type="spellStart"/>
      <w:r w:rsidR="00E23B61" w:rsidRPr="008A6981">
        <w:rPr>
          <w:rFonts w:ascii="Times New Roman" w:hAnsi="Times New Roman" w:cs="Times New Roman"/>
          <w:sz w:val="20"/>
          <w:szCs w:val="20"/>
        </w:rPr>
        <w:t>methylmercury</w:t>
      </w:r>
      <w:proofErr w:type="spellEnd"/>
      <w:r w:rsidR="00E23B61" w:rsidRPr="008A6981">
        <w:rPr>
          <w:rFonts w:ascii="Times New Roman" w:hAnsi="Times New Roman" w:cs="Times New Roman"/>
          <w:sz w:val="20"/>
          <w:szCs w:val="20"/>
        </w:rPr>
        <w:t xml:space="preserve"> in the natural environment</w:t>
      </w:r>
      <w:r w:rsidR="00E23B61">
        <w:t>.</w:t>
      </w:r>
      <w:r w:rsidR="008A6981">
        <w:t xml:space="preserve"> </w:t>
      </w:r>
      <w:r w:rsidR="0059236F" w:rsidRPr="0059236F">
        <w:rPr>
          <w:rFonts w:ascii="Times New Roman" w:hAnsi="Times New Roman" w:cs="Times New Roman"/>
          <w:sz w:val="20"/>
          <w:szCs w:val="20"/>
        </w:rPr>
        <w:t xml:space="preserve">It indicates that Hg </w:t>
      </w:r>
      <w:proofErr w:type="spellStart"/>
      <w:r w:rsidR="0059236F" w:rsidRPr="0059236F">
        <w:rPr>
          <w:rFonts w:ascii="Times New Roman" w:hAnsi="Times New Roman" w:cs="Times New Roman"/>
          <w:sz w:val="20"/>
          <w:szCs w:val="20"/>
        </w:rPr>
        <w:t>methylation</w:t>
      </w:r>
      <w:proofErr w:type="spellEnd"/>
      <w:r w:rsidR="0059236F" w:rsidRPr="0059236F">
        <w:rPr>
          <w:rFonts w:ascii="Times New Roman" w:hAnsi="Times New Roman" w:cs="Times New Roman"/>
          <w:sz w:val="20"/>
          <w:szCs w:val="20"/>
        </w:rPr>
        <w:t xml:space="preserve"> is a complex process and is aff</w:t>
      </w:r>
      <w:r w:rsidR="0059236F">
        <w:rPr>
          <w:rFonts w:ascii="Times New Roman" w:hAnsi="Times New Roman" w:cs="Times New Roman"/>
          <w:sz w:val="20"/>
          <w:szCs w:val="20"/>
        </w:rPr>
        <w:t>ec</w:t>
      </w:r>
      <w:r w:rsidR="0059236F" w:rsidRPr="0059236F">
        <w:rPr>
          <w:rFonts w:ascii="Times New Roman" w:hAnsi="Times New Roman" w:cs="Times New Roman"/>
          <w:sz w:val="20"/>
          <w:szCs w:val="20"/>
        </w:rPr>
        <w:t>ted by many factors</w:t>
      </w:r>
      <w:r w:rsidR="0059236F">
        <w:rPr>
          <w:rFonts w:ascii="Times New Roman" w:hAnsi="Times New Roman" w:cs="Times New Roman"/>
          <w:sz w:val="20"/>
          <w:szCs w:val="20"/>
        </w:rPr>
        <w:t xml:space="preserve"> </w:t>
      </w:r>
      <w:r w:rsidR="003B4437">
        <w:rPr>
          <w:rFonts w:ascii="Times New Roman" w:hAnsi="Times New Roman" w:cs="Times New Roman"/>
          <w:sz w:val="20"/>
          <w:szCs w:val="20"/>
        </w:rPr>
        <w:t>such as temperature, pH, dissol</w:t>
      </w:r>
      <w:r w:rsidR="0059236F">
        <w:rPr>
          <w:rFonts w:ascii="Times New Roman" w:hAnsi="Times New Roman" w:cs="Times New Roman"/>
          <w:sz w:val="20"/>
          <w:szCs w:val="20"/>
        </w:rPr>
        <w:t>v</w:t>
      </w:r>
      <w:r w:rsidR="003B4437">
        <w:rPr>
          <w:rFonts w:ascii="Times New Roman" w:hAnsi="Times New Roman" w:cs="Times New Roman"/>
          <w:sz w:val="20"/>
          <w:szCs w:val="20"/>
        </w:rPr>
        <w:t>e</w:t>
      </w:r>
      <w:r w:rsidR="0059236F">
        <w:rPr>
          <w:rFonts w:ascii="Times New Roman" w:hAnsi="Times New Roman" w:cs="Times New Roman"/>
          <w:sz w:val="20"/>
          <w:szCs w:val="20"/>
        </w:rPr>
        <w:t xml:space="preserve">d oxygen, organic matter, and so on [25]. 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It is noted that in natural waters </w:t>
      </w:r>
      <w:proofErr w:type="spellStart"/>
      <w:r w:rsidR="0073637F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levels are usually much lower than those of 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>Hg</w:t>
      </w:r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[</w:t>
      </w:r>
      <w:r w:rsidR="001E1E4D">
        <w:rPr>
          <w:rFonts w:ascii="Times New Roman" w:eastAsia="Arial Unicode MS" w:hAnsi="Times New Roman" w:cs="Times New Roman"/>
          <w:sz w:val="20"/>
          <w:szCs w:val="20"/>
        </w:rPr>
        <w:t>6</w:t>
      </w:r>
      <w:r>
        <w:rPr>
          <w:rFonts w:ascii="Times New Roman" w:eastAsia="Arial Unicode MS" w:hAnsi="Times New Roman" w:cs="Times New Roman"/>
          <w:sz w:val="20"/>
          <w:szCs w:val="20"/>
        </w:rPr>
        <w:t>].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 xml:space="preserve"> Recent report [5] estimate</w:t>
      </w:r>
      <w:r w:rsidR="00006612">
        <w:rPr>
          <w:rFonts w:ascii="Times New Roman" w:eastAsia="Arial Unicode MS" w:hAnsi="Times New Roman" w:cs="Times New Roman"/>
          <w:sz w:val="20"/>
          <w:szCs w:val="20"/>
        </w:rPr>
        <w:t>s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 xml:space="preserve"> a total mercury concentration in natural waters ranging from 0.2 to 100 ngL</w:t>
      </w:r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</w:t>
      </w:r>
      <w:proofErr w:type="gramStart"/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1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>,</w:t>
      </w:r>
      <w:proofErr w:type="gramEnd"/>
      <w:r w:rsidR="0073637F">
        <w:rPr>
          <w:rFonts w:ascii="Times New Roman" w:eastAsia="Arial Unicode MS" w:hAnsi="Times New Roman" w:cs="Times New Roman"/>
          <w:sz w:val="20"/>
          <w:szCs w:val="20"/>
        </w:rPr>
        <w:t xml:space="preserve"> while </w:t>
      </w:r>
      <w:proofErr w:type="spellStart"/>
      <w:r w:rsidR="0073637F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 xml:space="preserve"> levels are much lower i.e. 0.05 ngL</w:t>
      </w:r>
      <w:r w:rsidR="0073637F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r w:rsidR="0073637F">
        <w:rPr>
          <w:rFonts w:ascii="Times New Roman" w:eastAsia="Arial Unicode MS" w:hAnsi="Times New Roman" w:cs="Times New Roman"/>
          <w:sz w:val="20"/>
          <w:szCs w:val="20"/>
        </w:rPr>
        <w:t xml:space="preserve"> [6].</w:t>
      </w:r>
      <w:r w:rsidR="007A7E4C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DE3040" w:rsidRPr="005B7452">
        <w:rPr>
          <w:rFonts w:ascii="Times New Roman" w:eastAsia="Arial Unicode MS" w:hAnsi="Times New Roman" w:cs="Times New Roman"/>
          <w:sz w:val="20"/>
          <w:szCs w:val="20"/>
        </w:rPr>
        <w:t xml:space="preserve">According to the National Water Quality Standards </w:t>
      </w:r>
      <w:proofErr w:type="gramStart"/>
      <w:r w:rsidR="00DE3040" w:rsidRPr="005B7452">
        <w:rPr>
          <w:rFonts w:ascii="Times New Roman" w:eastAsia="Arial Unicode MS" w:hAnsi="Times New Roman" w:cs="Times New Roman"/>
          <w:sz w:val="20"/>
          <w:szCs w:val="20"/>
        </w:rPr>
        <w:t>For</w:t>
      </w:r>
      <w:proofErr w:type="gramEnd"/>
      <w:r w:rsidR="00DE3040" w:rsidRPr="005B7452">
        <w:rPr>
          <w:rFonts w:ascii="Times New Roman" w:eastAsia="Arial Unicode MS" w:hAnsi="Times New Roman" w:cs="Times New Roman"/>
          <w:sz w:val="20"/>
          <w:szCs w:val="20"/>
        </w:rPr>
        <w:t xml:space="preserve"> Malaysia</w:t>
      </w:r>
      <w:r w:rsidR="00DF4CA3" w:rsidRPr="005B7452">
        <w:rPr>
          <w:rFonts w:ascii="Times New Roman" w:eastAsia="Arial Unicode MS" w:hAnsi="Times New Roman" w:cs="Times New Roman"/>
          <w:sz w:val="20"/>
          <w:szCs w:val="20"/>
        </w:rPr>
        <w:t>,</w:t>
      </w:r>
      <w:r w:rsidR="00DE3040" w:rsidRPr="005B7452">
        <w:rPr>
          <w:rFonts w:ascii="Times New Roman" w:eastAsia="Arial Unicode MS" w:hAnsi="Times New Roman" w:cs="Times New Roman"/>
          <w:sz w:val="20"/>
          <w:szCs w:val="20"/>
        </w:rPr>
        <w:t xml:space="preserve"> the limit for total mercury </w:t>
      </w:r>
      <w:r w:rsidR="00FD5650">
        <w:rPr>
          <w:rFonts w:ascii="Times New Roman" w:eastAsia="Arial Unicode MS" w:hAnsi="Times New Roman" w:cs="Times New Roman"/>
          <w:sz w:val="20"/>
          <w:szCs w:val="20"/>
        </w:rPr>
        <w:t xml:space="preserve">is </w:t>
      </w:r>
      <w:r w:rsidR="00DE3040" w:rsidRPr="005B7452">
        <w:rPr>
          <w:rFonts w:ascii="Times New Roman" w:eastAsia="Arial Unicode MS" w:hAnsi="Times New Roman" w:cs="Times New Roman"/>
          <w:sz w:val="20"/>
          <w:szCs w:val="20"/>
        </w:rPr>
        <w:t xml:space="preserve">classified </w:t>
      </w:r>
      <w:r w:rsidR="00DF4CA3" w:rsidRPr="005B7452">
        <w:rPr>
          <w:rFonts w:ascii="Times New Roman" w:eastAsia="Arial Unicode MS" w:hAnsi="Times New Roman" w:cs="Times New Roman"/>
          <w:sz w:val="20"/>
          <w:szCs w:val="20"/>
        </w:rPr>
        <w:t xml:space="preserve">according to </w:t>
      </w:r>
      <w:r w:rsidR="00FD5650">
        <w:rPr>
          <w:rFonts w:ascii="Times New Roman" w:eastAsia="Arial Unicode MS" w:hAnsi="Times New Roman" w:cs="Times New Roman"/>
          <w:sz w:val="20"/>
          <w:szCs w:val="20"/>
        </w:rPr>
        <w:t xml:space="preserve">the </w:t>
      </w:r>
      <w:r w:rsidR="00DF4CA3" w:rsidRPr="005B7452">
        <w:rPr>
          <w:rFonts w:ascii="Times New Roman" w:eastAsia="Arial Unicode MS" w:hAnsi="Times New Roman" w:cs="Times New Roman"/>
          <w:sz w:val="20"/>
          <w:szCs w:val="20"/>
        </w:rPr>
        <w:t>classes: Class I is absent,</w:t>
      </w:r>
      <w:r w:rsidR="00550167" w:rsidRPr="005B7452">
        <w:rPr>
          <w:rFonts w:ascii="Times New Roman" w:eastAsia="Arial Unicode MS" w:hAnsi="Times New Roman" w:cs="Times New Roman"/>
          <w:sz w:val="20"/>
          <w:szCs w:val="20"/>
        </w:rPr>
        <w:t xml:space="preserve"> Class IIA/IIB is 0.001 mg/L, Class III is 0.0001 mg/L and Class </w:t>
      </w:r>
      <w:r w:rsidR="00DF4CA3" w:rsidRPr="005B7452">
        <w:rPr>
          <w:rFonts w:ascii="Times New Roman" w:eastAsia="Arial Unicode MS" w:hAnsi="Times New Roman" w:cs="Times New Roman"/>
          <w:sz w:val="20"/>
          <w:szCs w:val="20"/>
        </w:rPr>
        <w:t>I</w:t>
      </w:r>
      <w:r w:rsidR="00550167" w:rsidRPr="005B7452">
        <w:rPr>
          <w:rFonts w:ascii="Times New Roman" w:eastAsia="Arial Unicode MS" w:hAnsi="Times New Roman" w:cs="Times New Roman"/>
          <w:sz w:val="20"/>
          <w:szCs w:val="20"/>
        </w:rPr>
        <w:t>V is 0.002 mg/L</w:t>
      </w:r>
      <w:r w:rsidR="00DF4CA3" w:rsidRPr="005B7452">
        <w:rPr>
          <w:rFonts w:ascii="Times New Roman" w:eastAsia="Arial Unicode MS" w:hAnsi="Times New Roman" w:cs="Times New Roman"/>
          <w:sz w:val="20"/>
          <w:szCs w:val="20"/>
        </w:rPr>
        <w:t xml:space="preserve"> and Class V level above IV</w:t>
      </w:r>
      <w:r w:rsidR="00550167" w:rsidRPr="005B7452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52798E" w:rsidRDefault="0052798E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52798E" w:rsidRDefault="0052798E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006612" w:rsidRDefault="00006612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52798E" w:rsidRPr="00890263" w:rsidRDefault="0052798E" w:rsidP="00890263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890263">
        <w:rPr>
          <w:rFonts w:ascii="Times New Roman" w:eastAsia="Arial Unicode MS" w:hAnsi="Times New Roman" w:cs="Times New Roman"/>
          <w:b/>
          <w:sz w:val="20"/>
          <w:szCs w:val="20"/>
        </w:rPr>
        <w:t>Conclusion</w:t>
      </w:r>
    </w:p>
    <w:p w:rsidR="0052798E" w:rsidRPr="00E026C4" w:rsidRDefault="0052798E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HPLC-ICP-MS is appropriate for water samples analysis, even when the matrix in the water</w:t>
      </w:r>
      <w:r w:rsidR="00E026C4">
        <w:rPr>
          <w:rFonts w:ascii="Times New Roman" w:eastAsia="Arial Unicode MS" w:hAnsi="Times New Roman" w:cs="Times New Roman"/>
          <w:sz w:val="20"/>
          <w:szCs w:val="20"/>
        </w:rPr>
        <w:t xml:space="preserve"> sample is high. </w:t>
      </w:r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One of the advantages of the HPLC-ICP-MS system is the ability of the argon plasma to decompose and ionize an element, irrespective of the chemical structure of the </w:t>
      </w:r>
      <w:proofErr w:type="spellStart"/>
      <w:r w:rsidR="000D2F59">
        <w:rPr>
          <w:rFonts w:ascii="Times New Roman" w:eastAsia="Arial Unicode MS" w:hAnsi="Times New Roman" w:cs="Times New Roman"/>
          <w:sz w:val="20"/>
          <w:szCs w:val="20"/>
        </w:rPr>
        <w:t>species.</w:t>
      </w:r>
      <w:r w:rsidR="00E026C4">
        <w:rPr>
          <w:rFonts w:ascii="Times New Roman" w:eastAsia="Arial Unicode MS" w:hAnsi="Times New Roman" w:cs="Times New Roman"/>
          <w:sz w:val="20"/>
          <w:szCs w:val="20"/>
        </w:rPr>
        <w:t>The</w:t>
      </w:r>
      <w:proofErr w:type="spellEnd"/>
      <w:r w:rsidR="00E026C4">
        <w:rPr>
          <w:rFonts w:ascii="Times New Roman" w:eastAsia="Arial Unicode MS" w:hAnsi="Times New Roman" w:cs="Times New Roman"/>
          <w:sz w:val="20"/>
          <w:szCs w:val="20"/>
        </w:rPr>
        <w:t xml:space="preserve"> detection limits for </w:t>
      </w:r>
      <w:proofErr w:type="spellStart"/>
      <w:r w:rsidR="00E026C4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 w:rsidR="00E026C4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 w:rsidR="00E026C4">
        <w:rPr>
          <w:rFonts w:ascii="Times New Roman" w:eastAsia="Arial Unicode MS" w:hAnsi="Times New Roman" w:cs="Times New Roman"/>
          <w:sz w:val="20"/>
          <w:szCs w:val="20"/>
        </w:rPr>
        <w:t xml:space="preserve"> and Hg</w:t>
      </w:r>
      <w:r w:rsidR="00E026C4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2+</w:t>
      </w:r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 are better than 10</w:t>
      </w:r>
      <w:r w:rsidR="00E026C4">
        <w:rPr>
          <w:rFonts w:ascii="Times New Roman" w:eastAsia="Arial Unicode MS" w:hAnsi="Times New Roman" w:cs="Times New Roman"/>
          <w:sz w:val="20"/>
          <w:szCs w:val="20"/>
        </w:rPr>
        <w:t>ngL</w:t>
      </w:r>
      <w:r w:rsidR="00E026C4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r w:rsidR="00E026C4">
        <w:rPr>
          <w:rFonts w:ascii="Times New Roman" w:eastAsia="Arial Unicode MS" w:hAnsi="Times New Roman" w:cs="Times New Roman"/>
          <w:sz w:val="20"/>
          <w:szCs w:val="20"/>
        </w:rPr>
        <w:t xml:space="preserve"> and meet the </w:t>
      </w:r>
      <w:r w:rsidR="006E2139">
        <w:rPr>
          <w:rFonts w:ascii="Times New Roman" w:eastAsia="Arial Unicode MS" w:hAnsi="Times New Roman" w:cs="Times New Roman"/>
          <w:sz w:val="20"/>
          <w:szCs w:val="20"/>
        </w:rPr>
        <w:t>current regulatory requirements</w:t>
      </w:r>
      <w:r w:rsidR="006E2139" w:rsidRPr="000D2F59">
        <w:rPr>
          <w:rFonts w:ascii="Times New Roman" w:eastAsia="Arial Unicode MS" w:hAnsi="Times New Roman" w:cs="Times New Roman"/>
          <w:sz w:val="20"/>
          <w:szCs w:val="20"/>
        </w:rPr>
        <w:t>[</w:t>
      </w:r>
      <w:r w:rsidR="000D2F59" w:rsidRPr="000D2F59">
        <w:rPr>
          <w:rFonts w:ascii="Times New Roman" w:eastAsia="Arial Unicode MS" w:hAnsi="Times New Roman" w:cs="Times New Roman"/>
          <w:sz w:val="20"/>
          <w:szCs w:val="20"/>
        </w:rPr>
        <w:t>1</w:t>
      </w:r>
      <w:r w:rsidR="001E1E4D">
        <w:rPr>
          <w:rFonts w:ascii="Times New Roman" w:eastAsia="Arial Unicode MS" w:hAnsi="Times New Roman" w:cs="Times New Roman"/>
          <w:sz w:val="20"/>
          <w:szCs w:val="20"/>
        </w:rPr>
        <w:t>7</w:t>
      </w:r>
      <w:r w:rsidR="006E2139" w:rsidRPr="000D2F59">
        <w:rPr>
          <w:rFonts w:ascii="Times New Roman" w:eastAsia="Arial Unicode MS" w:hAnsi="Times New Roman" w:cs="Times New Roman"/>
          <w:sz w:val="20"/>
          <w:szCs w:val="20"/>
        </w:rPr>
        <w:t>].</w:t>
      </w:r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 The detection limits obtained for </w:t>
      </w:r>
      <w:proofErr w:type="spellStart"/>
      <w:r w:rsidR="000D2F59">
        <w:rPr>
          <w:rFonts w:ascii="Times New Roman" w:eastAsia="Arial Unicode MS" w:hAnsi="Times New Roman" w:cs="Times New Roman"/>
          <w:sz w:val="20"/>
          <w:szCs w:val="20"/>
        </w:rPr>
        <w:t>MeHg</w:t>
      </w:r>
      <w:proofErr w:type="spellEnd"/>
      <w:r w:rsidR="000D2F59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+</w:t>
      </w:r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 and Hg</w:t>
      </w:r>
      <w:r w:rsidR="000D2F59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2+</w:t>
      </w:r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 were </w:t>
      </w:r>
      <w:proofErr w:type="gramStart"/>
      <w:r w:rsidR="000D2F59">
        <w:rPr>
          <w:rFonts w:ascii="Times New Roman" w:eastAsia="Arial Unicode MS" w:hAnsi="Times New Roman" w:cs="Times New Roman"/>
          <w:sz w:val="20"/>
          <w:szCs w:val="20"/>
        </w:rPr>
        <w:t>1.5 µL</w:t>
      </w:r>
      <w:r w:rsidR="000D2F59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proofErr w:type="gramEnd"/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 and 1 ngL</w:t>
      </w:r>
      <w:r w:rsidR="000D2F59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-1</w:t>
      </w:r>
      <w:r w:rsidR="000D2F59">
        <w:rPr>
          <w:rFonts w:ascii="Times New Roman" w:eastAsia="Arial Unicode MS" w:hAnsi="Times New Roman" w:cs="Times New Roman"/>
          <w:sz w:val="20"/>
          <w:szCs w:val="20"/>
        </w:rPr>
        <w:t xml:space="preserve">, respectively. </w:t>
      </w:r>
    </w:p>
    <w:p w:rsidR="0052798E" w:rsidRDefault="0052798E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2E4D8D" w:rsidRDefault="002E4D8D" w:rsidP="001E1E4D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7A7E4C" w:rsidRPr="001E1E4D" w:rsidRDefault="007A7E4C" w:rsidP="001E1E4D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b/>
          <w:sz w:val="20"/>
          <w:szCs w:val="20"/>
        </w:rPr>
        <w:t>References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Lan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>-Fang C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Shiuh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>-Jen J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 xml:space="preserve">and </w:t>
      </w:r>
      <w:proofErr w:type="spellStart"/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Sahayam</w:t>
      </w:r>
      <w:proofErr w:type="spellEnd"/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A.C.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 xml:space="preserve"> (2007).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Speciation analysis of mercury and lead in fish samples using liquid chromatography–inductively coupled plasma mass spectrometry.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>Journal of Chromatography A.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4A1D77">
        <w:rPr>
          <w:rFonts w:ascii="Times New Roman" w:eastAsia="Arial Unicode MS" w:hAnsi="Times New Roman" w:cs="Times New Roman"/>
          <w:b/>
          <w:sz w:val="20"/>
          <w:szCs w:val="20"/>
        </w:rPr>
        <w:t>1176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143–148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Jianguo</w:t>
      </w:r>
      <w:proofErr w:type="spellEnd"/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Hengwu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Xianzhong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J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 xml:space="preserve"> and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Haiting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C.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 xml:space="preserve"> (2009).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Determination of ultra-trace amount methyl-, phenyl- and inorganic mercury in environmental and biological samples by liquid chromatography with inductively coupled plasma mass spectrometry after cloud point extraction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preconcentration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Pr="004A1D77">
        <w:rPr>
          <w:rFonts w:ascii="Times New Roman" w:eastAsia="Arial Unicode MS" w:hAnsi="Times New Roman" w:cs="Times New Roman"/>
          <w:b/>
          <w:sz w:val="20"/>
          <w:szCs w:val="20"/>
        </w:rPr>
        <w:t>77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1381–1387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0D2F59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sz w:val="20"/>
          <w:szCs w:val="20"/>
        </w:rPr>
        <w:t>Castillo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A.,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Roig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-Navarro 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A.F.,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and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Pozo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O.J.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(2006)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“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>Method optimization for the determination of four mercury species by micro-liquid chromatography–inductively coupled plasma mass spectrometry coupling in environmental water samples.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”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>Analytica</w:t>
      </w:r>
      <w:proofErr w:type="spellEnd"/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>Chimica</w:t>
      </w:r>
      <w:proofErr w:type="spellEnd"/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>Acta</w:t>
      </w:r>
      <w:proofErr w:type="spellEnd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="007A7E4C" w:rsidRPr="004A1D77">
        <w:rPr>
          <w:rFonts w:ascii="Times New Roman" w:eastAsia="Arial Unicode MS" w:hAnsi="Times New Roman" w:cs="Times New Roman"/>
          <w:b/>
          <w:sz w:val="20"/>
          <w:szCs w:val="20"/>
        </w:rPr>
        <w:t>577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.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18–25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0D2F59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Cairns</w:t>
      </w:r>
      <w:r w:rsidR="00B30407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W.R.L., </w:t>
      </w:r>
      <w:proofErr w:type="spellStart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Ranaldo</w:t>
      </w:r>
      <w:proofErr w:type="spellEnd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M., </w:t>
      </w:r>
      <w:proofErr w:type="spellStart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Hennebelle</w:t>
      </w:r>
      <w:proofErr w:type="spellEnd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R., </w:t>
      </w:r>
      <w:proofErr w:type="spellStart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Turetta</w:t>
      </w:r>
      <w:proofErr w:type="spellEnd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C., </w:t>
      </w:r>
      <w:proofErr w:type="spellStart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Capodaglio</w:t>
      </w:r>
      <w:proofErr w:type="spellEnd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G., </w:t>
      </w:r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Ferrari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C.F., </w:t>
      </w:r>
      <w:proofErr w:type="spellStart"/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Aur´elien</w:t>
      </w:r>
      <w:proofErr w:type="spellEnd"/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D</w:t>
      </w:r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.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Cescon</w:t>
      </w:r>
      <w:proofErr w:type="spellEnd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P., </w:t>
      </w:r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and </w:t>
      </w:r>
      <w:proofErr w:type="spellStart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Barbante</w:t>
      </w:r>
      <w:proofErr w:type="spellEnd"/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</w:t>
      </w:r>
      <w:r w:rsidR="007A7E4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C. 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(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2008 )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“</w:t>
      </w:r>
      <w:r w:rsidR="007A7E4C" w:rsidRPr="001E1E4D">
        <w:rPr>
          <w:rFonts w:ascii="Times New Roman" w:eastAsia="Arial Unicode MS" w:hAnsi="Times New Roman" w:cs="Times New Roman"/>
          <w:bCs/>
          <w:sz w:val="20"/>
          <w:szCs w:val="20"/>
        </w:rPr>
        <w:t>Speciation analysis of mercury in seawater from the lagoon of Venice by on-line pre-concentration HPLC–ICP-MS</w:t>
      </w:r>
      <w:r w:rsidR="007A7E4C" w:rsidRPr="001E1E4D">
        <w:rPr>
          <w:rFonts w:ascii="Times New Roman" w:eastAsia="Arial Unicode MS" w:hAnsi="Times New Roman" w:cs="Times New Roman"/>
          <w:bCs/>
          <w:i/>
          <w:sz w:val="20"/>
          <w:szCs w:val="20"/>
        </w:rPr>
        <w:t>.</w:t>
      </w:r>
      <w:r w:rsidR="004A1D77">
        <w:rPr>
          <w:rFonts w:ascii="Times New Roman" w:eastAsia="Arial Unicode MS" w:hAnsi="Times New Roman" w:cs="Times New Roman"/>
          <w:bCs/>
          <w:i/>
          <w:sz w:val="20"/>
          <w:szCs w:val="20"/>
        </w:rPr>
        <w:t>”</w:t>
      </w:r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>Analytica</w:t>
      </w:r>
      <w:proofErr w:type="spellEnd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>Chimica</w:t>
      </w:r>
      <w:proofErr w:type="spellEnd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>Acta</w:t>
      </w:r>
      <w:proofErr w:type="spellEnd"/>
      <w:r w:rsidR="004A1D77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="007A7E4C" w:rsidRPr="004A1D77">
        <w:rPr>
          <w:rFonts w:ascii="Times New Roman" w:eastAsia="Arial Unicode MS" w:hAnsi="Times New Roman" w:cs="Times New Roman"/>
          <w:b/>
          <w:sz w:val="20"/>
          <w:szCs w:val="20"/>
        </w:rPr>
        <w:t>622</w:t>
      </w:r>
      <w:r w:rsidR="004A1D77">
        <w:rPr>
          <w:rFonts w:ascii="Times New Roman" w:eastAsia="Arial Unicode MS" w:hAnsi="Times New Roman" w:cs="Times New Roman"/>
          <w:sz w:val="20"/>
          <w:szCs w:val="20"/>
        </w:rPr>
        <w:t>.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62–69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Susan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C.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Hight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and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John C. 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(2006). </w:t>
      </w:r>
      <w:r w:rsidR="007D6127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Determination of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methylmercury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and estimation of total mercury in seafood using high performance liquid chromatography (HPLC) and inductively coupled plasma-mass spectrometry (ICP-MS): Method development and validation.</w:t>
      </w:r>
      <w:r w:rsidR="007D6127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Analytica</w:t>
      </w:r>
      <w:proofErr w:type="spellEnd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Chimica</w:t>
      </w:r>
      <w:proofErr w:type="spellEnd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Acta</w:t>
      </w:r>
      <w:proofErr w:type="spellEnd"/>
      <w:r w:rsidR="007D6127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Pr="007D6127">
        <w:rPr>
          <w:rFonts w:ascii="Times New Roman" w:eastAsia="Arial Unicode MS" w:hAnsi="Times New Roman" w:cs="Times New Roman"/>
          <w:b/>
          <w:sz w:val="20"/>
          <w:szCs w:val="20"/>
        </w:rPr>
        <w:t>567</w:t>
      </w:r>
      <w:r w:rsidR="007D6127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160–172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sz w:val="20"/>
          <w:szCs w:val="20"/>
        </w:rPr>
        <w:t>Roberto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M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.B.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Margarita T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.V.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Jose E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S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U,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 xml:space="preserve"> and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Alfredo S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.M.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(2000)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.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Field sampling,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preconcentration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and determination of mercury species in river waters.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Analytica</w:t>
      </w:r>
      <w:proofErr w:type="spellEnd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Chimica</w:t>
      </w:r>
      <w:proofErr w:type="spellEnd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Acta</w:t>
      </w:r>
      <w:proofErr w:type="spellEnd"/>
      <w:r w:rsidR="00E3183D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Pr="00E3183D">
        <w:rPr>
          <w:rFonts w:ascii="Times New Roman" w:eastAsia="Arial Unicode MS" w:hAnsi="Times New Roman" w:cs="Times New Roman"/>
          <w:b/>
          <w:sz w:val="20"/>
          <w:szCs w:val="20"/>
        </w:rPr>
        <w:t>419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137–144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José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S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.D.S.,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Miguel de la G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Augustin</w:t>
      </w:r>
      <w:proofErr w:type="spellEnd"/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P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Maria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L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P</w:t>
      </w:r>
      <w:r w:rsidR="00B30407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D.S.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(2009).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 xml:space="preserve"> 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Determination of organic and inorganic mercury species in water and sediment samples by HPLC on-line coupled with ICP-MS.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E3183D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Pr="00E3183D">
        <w:rPr>
          <w:rFonts w:ascii="Times New Roman" w:eastAsia="Arial Unicode MS" w:hAnsi="Times New Roman" w:cs="Times New Roman"/>
          <w:b/>
          <w:sz w:val="20"/>
          <w:szCs w:val="20"/>
        </w:rPr>
        <w:t>80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207–211</w:t>
      </w:r>
      <w:r w:rsidR="00B30407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Wang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M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F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Weiyue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S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J, Zhang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F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Wang B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Zhu M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Li B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Z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Y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Chai</w:t>
      </w:r>
      <w:r w:rsidR="00460A40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Z</w:t>
      </w:r>
      <w:r w:rsidR="00E3183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r w:rsidR="00E3183D" w:rsidRPr="001E1E4D">
        <w:rPr>
          <w:rFonts w:ascii="Times New Roman" w:eastAsia="Arial Unicode MS" w:hAnsi="Times New Roman" w:cs="Times New Roman"/>
          <w:sz w:val="20"/>
          <w:szCs w:val="20"/>
        </w:rPr>
        <w:t>(2007).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E3183D">
        <w:rPr>
          <w:rFonts w:ascii="Times New Roman" w:eastAsia="Arial Unicode MS" w:hAnsi="Times New Roman" w:cs="Times New Roman"/>
          <w:color w:val="000000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Development of a mild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mercaptoethanol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extraction method for determination of mercury species in biological samples by HPLC–ICP-MS.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E3183D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Pr="00E3183D">
        <w:rPr>
          <w:rFonts w:ascii="Times New Roman" w:eastAsia="Arial Unicode MS" w:hAnsi="Times New Roman" w:cs="Times New Roman"/>
          <w:b/>
          <w:sz w:val="20"/>
          <w:szCs w:val="20"/>
        </w:rPr>
        <w:t>71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2034–2039</w:t>
      </w:r>
      <w:r w:rsidR="00460A40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F46949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Cattani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="007A7E4C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I.,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Spalla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="007A7E4C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S.,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Beone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="007A7E4C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G.M.,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Del Re., </w:t>
      </w:r>
      <w:r w:rsidR="007A7E4C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A.A.M.,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Boccelli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="007A7E4C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R.,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Trevisan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="007A7E4C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M.</w:t>
      </w:r>
      <w:r w:rsidR="00E3183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(2008).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="00E3183D">
        <w:rPr>
          <w:rFonts w:ascii="Times New Roman" w:eastAsia="Arial Unicode MS" w:hAnsi="Times New Roman" w:cs="Times New Roman"/>
          <w:i/>
          <w:sz w:val="20"/>
          <w:szCs w:val="20"/>
        </w:rPr>
        <w:t>“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>Characterization of mercury species in soils by HPLC–ICP-MS and measurement of fraction removed by diffusive gradient in thin films.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>”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="007A7E4C" w:rsidRPr="001E1E4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E3183D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="007A7E4C" w:rsidRPr="00E3183D">
        <w:rPr>
          <w:rFonts w:ascii="Times New Roman" w:eastAsia="Arial Unicode MS" w:hAnsi="Times New Roman" w:cs="Times New Roman"/>
          <w:b/>
          <w:sz w:val="20"/>
          <w:szCs w:val="20"/>
        </w:rPr>
        <w:t>74</w:t>
      </w:r>
      <w:r w:rsidR="00E3183D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="007A7E4C" w:rsidRPr="001E1E4D">
        <w:rPr>
          <w:rFonts w:ascii="Times New Roman" w:eastAsia="Arial Unicode MS" w:hAnsi="Times New Roman" w:cs="Times New Roman"/>
          <w:sz w:val="20"/>
          <w:szCs w:val="20"/>
        </w:rPr>
        <w:t>1520–1526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lastRenderedPageBreak/>
        <w:t>María</w:t>
      </w:r>
      <w:proofErr w:type="spellEnd"/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M</w:t>
      </w:r>
      <w:r w:rsidR="00F46949" w:rsidRPr="001E1E4D">
        <w:rPr>
          <w:rFonts w:ascii="Times New Roman" w:eastAsia="Arial Unicode MS" w:hAnsi="Times New Roman" w:cs="Times New Roman"/>
          <w:sz w:val="20"/>
          <w:szCs w:val="20"/>
        </w:rPr>
        <w:t>.S.,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Julio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 xml:space="preserve">.L. </w:t>
      </w:r>
      <w:r w:rsidR="00F46949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(2009).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Analytical speciation of mercury in fish tissues by reversed phase liquid chromatography–inductively coupled plasma mass spectrometry with Bi</w:t>
      </w:r>
      <w:r w:rsidRPr="001E1E4D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3+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as internal standard.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Talanta</w:t>
      </w:r>
      <w:proofErr w:type="spellEnd"/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79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706–711</w:t>
      </w:r>
      <w:r w:rsidR="00F46949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sz w:val="20"/>
          <w:szCs w:val="20"/>
        </w:rPr>
        <w:t>Isabel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L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Susana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Carmen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Yolanda M. 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(2010).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Approach for rapid extraction and speciation of mercury using a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microtip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ultrasonic probe followed by LC–ICP-MS.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5D5364" w:rsidRPr="001E1E4D">
        <w:rPr>
          <w:rFonts w:ascii="Times New Roman" w:eastAsia="Arial Unicode MS" w:hAnsi="Times New Roman" w:cs="Times New Roman"/>
          <w:i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82</w:t>
      </w:r>
      <w:r w:rsidR="0014198D">
        <w:rPr>
          <w:rFonts w:ascii="Times New Roman" w:eastAsia="Arial Unicode MS" w:hAnsi="Times New Roman" w:cs="Times New Roman"/>
          <w:b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594–599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Chwei-Sheng</w:t>
      </w:r>
      <w:proofErr w:type="spellEnd"/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Shiuh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>-Jen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J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Danadurai</w:t>
      </w:r>
      <w:proofErr w:type="spellEnd"/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K. S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.K.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(2001).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 xml:space="preserve"> 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Determination of mercury compounds in fish by microwave-assisted extraction and liquid chromatography-vapor generation-inductively coupled plasma mass spectrometry.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Spectrochimica</w:t>
      </w:r>
      <w:proofErr w:type="spellEnd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Acta</w:t>
      </w:r>
      <w:proofErr w:type="spellEnd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 xml:space="preserve"> Part B.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56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 1133-1142</w:t>
      </w:r>
      <w:r w:rsidR="005D536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Haiting</w:t>
      </w:r>
      <w:proofErr w:type="spellEnd"/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C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Jianguo</w:t>
      </w:r>
      <w:proofErr w:type="spellEnd"/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C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Xianzhong</w:t>
      </w:r>
      <w:proofErr w:type="spellEnd"/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J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Danyi</w:t>
      </w:r>
      <w:proofErr w:type="spellEnd"/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W. 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(2009).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Determination of trace mercury species by high performance liquid chromatography–inductively coupled plasma mass spectrometry after cloud point extraction.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Journal of Hazardous Material</w:t>
      </w:r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s.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172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1282–1287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Yong-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guang</w:t>
      </w:r>
      <w:proofErr w:type="spellEnd"/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Y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Ming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C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Jin-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feng</w:t>
      </w:r>
      <w:proofErr w:type="spellEnd"/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P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 Jing-fu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L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Gui</w:t>
      </w:r>
      <w:proofErr w:type="spellEnd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-bin</w:t>
      </w:r>
      <w:r w:rsidR="00442D8F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J</w:t>
      </w:r>
      <w:r w:rsidRPr="001E1E4D">
        <w:rPr>
          <w:rFonts w:ascii="Times New Roman" w:eastAsia="Arial Unicode MS" w:hAnsi="Times New Roman" w:cs="Times New Roman"/>
          <w:color w:val="000066"/>
          <w:sz w:val="20"/>
          <w:szCs w:val="20"/>
        </w:rPr>
        <w:t xml:space="preserve">. 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(2010).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Dithizone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>-functionalized solid phase extraction–displacement elution-high performance liquid chromatography–inductively coupled plasma mass spectrometry for mercury speciation in water samples.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81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1788–1792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Jairo</w:t>
      </w:r>
      <w:proofErr w:type="spellEnd"/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L. R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Samuel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S. de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S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Vanessa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C. de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O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S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Fernando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B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Jr. 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(2010).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Methylmercury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and inorganic mercury determination in blood by using liquid chromatography with inductively coupled plasma mass spectrometry and a fast sample preparation procedure.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Talanta</w:t>
      </w:r>
      <w:proofErr w:type="spellEnd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80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1158–1163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Xiaoyu</w:t>
      </w:r>
      <w:proofErr w:type="spellEnd"/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 J, Yi H</w:t>
      </w:r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Xinli</w:t>
      </w:r>
      <w:proofErr w:type="spellEnd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 L</w:t>
      </w:r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Taicheng</w:t>
      </w:r>
      <w:proofErr w:type="spellEnd"/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 D</w:t>
      </w:r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H</w:t>
      </w:r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Chen</w:t>
      </w:r>
      <w:proofErr w:type="spellEnd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. </w:t>
      </w:r>
      <w:r w:rsidR="00442D8F"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(2010). </w:t>
      </w:r>
      <w:r w:rsidR="0014198D">
        <w:rPr>
          <w:rFonts w:ascii="Times New Roman" w:eastAsia="Arial Unicode MS" w:hAnsi="Times New Roman" w:cs="Times New Roman"/>
          <w:color w:val="231F20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Speciation of mercury in water samples by dispersive liquid-liquid </w:t>
      </w:r>
      <w:proofErr w:type="spellStart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>microextraction</w:t>
      </w:r>
      <w:proofErr w:type="spellEnd"/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 combined with high performance liquid chromatography-inductively coupled plasma mass spectrometry.</w:t>
      </w:r>
      <w:r w:rsidR="0014198D">
        <w:rPr>
          <w:rFonts w:ascii="Times New Roman" w:eastAsia="Arial Unicode MS" w:hAnsi="Times New Roman" w:cs="Times New Roman"/>
          <w:color w:val="231F20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iCs/>
          <w:color w:val="231F20"/>
          <w:sz w:val="20"/>
          <w:szCs w:val="20"/>
        </w:rPr>
        <w:t>Spectrochimica</w:t>
      </w:r>
      <w:proofErr w:type="spellEnd"/>
      <w:r w:rsidRPr="001E1E4D">
        <w:rPr>
          <w:rFonts w:ascii="Times New Roman" w:eastAsia="Arial Unicode MS" w:hAnsi="Times New Roman" w:cs="Times New Roman"/>
          <w:i/>
          <w:iCs/>
          <w:color w:val="231F2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iCs/>
          <w:color w:val="231F20"/>
          <w:sz w:val="20"/>
          <w:szCs w:val="20"/>
        </w:rPr>
        <w:t>Acta</w:t>
      </w:r>
      <w:proofErr w:type="spellEnd"/>
      <w:r w:rsidRPr="001E1E4D">
        <w:rPr>
          <w:rFonts w:ascii="Times New Roman" w:eastAsia="Arial Unicode MS" w:hAnsi="Times New Roman" w:cs="Times New Roman"/>
          <w:i/>
          <w:iCs/>
          <w:color w:val="231F20"/>
          <w:sz w:val="20"/>
          <w:szCs w:val="20"/>
        </w:rPr>
        <w:t xml:space="preserve"> Part B: Atomic Spectroscopy</w:t>
      </w:r>
      <w:r w:rsidR="00442D8F" w:rsidRPr="001E1E4D">
        <w:rPr>
          <w:rFonts w:ascii="Times New Roman" w:eastAsia="Arial Unicode MS" w:hAnsi="Times New Roman" w:cs="Times New Roman"/>
          <w:i/>
          <w:iCs/>
          <w:color w:val="231F2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i/>
          <w:iCs/>
          <w:color w:val="231F20"/>
          <w:sz w:val="20"/>
          <w:szCs w:val="20"/>
        </w:rPr>
        <w:t xml:space="preserve"> 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Dengyun</w:t>
      </w:r>
      <w:proofErr w:type="spellEnd"/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C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Miao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J</w:t>
      </w:r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Xiaoru</w:t>
      </w:r>
      <w:proofErr w:type="spellEnd"/>
      <w:r w:rsidR="00442D8F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W.</w:t>
      </w:r>
      <w:r w:rsidR="00055B04" w:rsidRPr="001E1E4D">
        <w:rPr>
          <w:rFonts w:ascii="Times New Roman" w:eastAsia="Arial Unicode MS" w:hAnsi="Times New Roman" w:cs="Times New Roman"/>
          <w:sz w:val="20"/>
          <w:szCs w:val="20"/>
        </w:rPr>
        <w:t xml:space="preserve"> (2005).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Determination of Methyl Mercury in Water and Soil by HPLC-ICP-MS.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Agilent Technologies</w:t>
      </w:r>
      <w:r w:rsidR="00055B0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sz w:val="20"/>
          <w:szCs w:val="20"/>
        </w:rPr>
        <w:t>Martine</w:t>
      </w:r>
      <w:r w:rsidR="00055B0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L</w:t>
      </w:r>
      <w:r w:rsidR="00055B0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, Willy</w:t>
      </w:r>
      <w:r w:rsidR="00055B04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B</w:t>
      </w:r>
      <w:r w:rsidR="00055B04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P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Q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Milena</w:t>
      </w:r>
      <w:proofErr w:type="spellEnd"/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H. 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(2005).</w:t>
      </w:r>
      <w:r w:rsidR="003603D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Mercury in environmental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samples</w:t>
      </w:r>
      <w:proofErr w:type="gramStart"/>
      <w:r w:rsidRPr="001E1E4D">
        <w:rPr>
          <w:rFonts w:ascii="Times New Roman" w:eastAsia="Arial Unicode MS" w:hAnsi="Times New Roman" w:cs="Times New Roman"/>
          <w:sz w:val="20"/>
          <w:szCs w:val="20"/>
        </w:rPr>
        <w:t>:Speciation</w:t>
      </w:r>
      <w:proofErr w:type="spellEnd"/>
      <w:proofErr w:type="gramEnd"/>
      <w:r w:rsidRPr="001E1E4D">
        <w:rPr>
          <w:rFonts w:ascii="Times New Roman" w:eastAsia="Arial Unicode MS" w:hAnsi="Times New Roman" w:cs="Times New Roman"/>
          <w:sz w:val="20"/>
          <w:szCs w:val="20"/>
        </w:rPr>
        <w:t>, artifacts and validation.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Trends in Analytical Chemistry</w:t>
      </w:r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24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No. 5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sz w:val="20"/>
          <w:szCs w:val="20"/>
        </w:rPr>
        <w:t>Yao-Chin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W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and Chen-Wen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W. </w:t>
      </w:r>
      <w:r w:rsidR="003603D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(1993)</w:t>
      </w:r>
      <w:r w:rsidR="003603DC" w:rsidRPr="001E1E4D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High-performance liquid chromatography of inorganic mercury and </w:t>
      </w:r>
      <w:proofErr w:type="spellStart"/>
      <w:r w:rsidRPr="001E1E4D">
        <w:rPr>
          <w:rFonts w:ascii="Times New Roman" w:eastAsia="Arial Unicode MS" w:hAnsi="Times New Roman" w:cs="Times New Roman"/>
          <w:sz w:val="20"/>
          <w:szCs w:val="20"/>
        </w:rPr>
        <w:t>organomercury</w:t>
      </w:r>
      <w:proofErr w:type="spellEnd"/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with 2-mercaptobenzothiazole.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E1E4D">
        <w:rPr>
          <w:rFonts w:ascii="Times New Roman" w:eastAsia="Arial Unicode MS" w:hAnsi="Times New Roman" w:cs="Times New Roman"/>
          <w:bCs/>
          <w:i/>
          <w:iCs/>
          <w:sz w:val="20"/>
          <w:szCs w:val="20"/>
        </w:rPr>
        <w:t xml:space="preserve">Journal 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of Chromatography</w:t>
      </w:r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="003603D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="003603DC" w:rsidRPr="0014198D">
        <w:rPr>
          <w:rFonts w:ascii="Times New Roman" w:eastAsia="Arial Unicode MS" w:hAnsi="Times New Roman" w:cs="Times New Roman"/>
          <w:b/>
          <w:bCs/>
          <w:iCs/>
          <w:sz w:val="20"/>
          <w:szCs w:val="20"/>
        </w:rPr>
        <w:t>2</w:t>
      </w:r>
      <w:r w:rsidRPr="0014198D">
        <w:rPr>
          <w:rFonts w:ascii="Times New Roman" w:eastAsia="Arial Unicode MS" w:hAnsi="Times New Roman" w:cs="Times New Roman"/>
          <w:b/>
          <w:bCs/>
          <w:iCs/>
          <w:sz w:val="20"/>
          <w:szCs w:val="20"/>
        </w:rPr>
        <w:t>8</w:t>
      </w:r>
      <w:r w:rsidR="0014198D">
        <w:rPr>
          <w:rFonts w:ascii="Times New Roman" w:eastAsia="Arial Unicode MS" w:hAnsi="Times New Roman" w:cs="Times New Roman"/>
          <w:bCs/>
          <w:iCs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 133-137</w:t>
      </w:r>
      <w:r w:rsidR="003603DC" w:rsidRPr="001E1E4D">
        <w:rPr>
          <w:rFonts w:ascii="Times New Roman" w:eastAsia="Arial Unicode MS" w:hAnsi="Times New Roman" w:cs="Times New Roman"/>
          <w:bCs/>
          <w:iCs/>
          <w:sz w:val="20"/>
          <w:szCs w:val="20"/>
        </w:rPr>
        <w:t>.</w:t>
      </w:r>
    </w:p>
    <w:p w:rsidR="007A7E4C" w:rsidRPr="001E1E4D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Kerstin</w:t>
      </w:r>
      <w:r w:rsidR="00FE070D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L</w:t>
      </w:r>
      <w:r w:rsidR="00FE070D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d</w:t>
      </w:r>
      <w:proofErr w:type="spellEnd"/>
      <w:r w:rsidRPr="001E1E4D">
        <w:rPr>
          <w:rFonts w:ascii="Times New Roman" w:eastAsia="Arial Unicode MS" w:hAnsi="Times New Roman" w:cs="Times New Roman"/>
          <w:color w:val="000066"/>
          <w:sz w:val="20"/>
          <w:szCs w:val="20"/>
        </w:rPr>
        <w:t xml:space="preserve">,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Michael</w:t>
      </w:r>
      <w:r w:rsidR="00FE070D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F</w:t>
      </w:r>
      <w:r w:rsidR="00FE070D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color w:val="000066"/>
          <w:sz w:val="20"/>
          <w:szCs w:val="20"/>
        </w:rPr>
        <w:t xml:space="preserve">, 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Paul</w:t>
      </w:r>
      <w:r w:rsidR="00FE070D"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1E1E4D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W</w:t>
      </w:r>
      <w:r w:rsidRPr="001E1E4D">
        <w:rPr>
          <w:rFonts w:ascii="Times New Roman" w:eastAsia="Arial Unicode MS" w:hAnsi="Times New Roman" w:cs="Times New Roman"/>
          <w:color w:val="000066"/>
          <w:sz w:val="20"/>
          <w:szCs w:val="20"/>
        </w:rPr>
        <w:t xml:space="preserve">. </w:t>
      </w:r>
      <w:r w:rsidR="00FE070D" w:rsidRPr="001E1E4D">
        <w:rPr>
          <w:rFonts w:ascii="Times New Roman" w:eastAsia="Arial Unicode MS" w:hAnsi="Times New Roman" w:cs="Times New Roman"/>
          <w:sz w:val="20"/>
          <w:szCs w:val="20"/>
        </w:rPr>
        <w:t xml:space="preserve">(2010). 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“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>Methods for the determination and speciation of mercury in natural waters—A review.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Analytica</w:t>
      </w:r>
      <w:proofErr w:type="spellEnd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Chimica</w:t>
      </w:r>
      <w:proofErr w:type="spellEnd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proofErr w:type="spellStart"/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>Acta</w:t>
      </w:r>
      <w:proofErr w:type="spellEnd"/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Pr="0014198D">
        <w:rPr>
          <w:rFonts w:ascii="Times New Roman" w:eastAsia="Arial Unicode MS" w:hAnsi="Times New Roman" w:cs="Times New Roman"/>
          <w:b/>
          <w:sz w:val="20"/>
          <w:szCs w:val="20"/>
        </w:rPr>
        <w:t>663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E1E4D">
        <w:rPr>
          <w:rFonts w:ascii="Times New Roman" w:eastAsia="Arial Unicode MS" w:hAnsi="Times New Roman" w:cs="Times New Roman"/>
          <w:sz w:val="20"/>
          <w:szCs w:val="20"/>
        </w:rPr>
        <w:t xml:space="preserve"> 127–138</w:t>
      </w:r>
      <w:r w:rsidR="00FE070D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A7E4C" w:rsidRPr="001C7C4E" w:rsidRDefault="007A7E4C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1E1E4D">
        <w:rPr>
          <w:rFonts w:ascii="Times New Roman" w:eastAsia="Arial Unicode MS" w:hAnsi="Times New Roman" w:cs="Times New Roman"/>
          <w:sz w:val="20"/>
          <w:szCs w:val="20"/>
        </w:rPr>
        <w:t>L. –P. Yu.,</w:t>
      </w:r>
      <w:r w:rsidR="00D7540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X. –P. Yan (2003).</w:t>
      </w:r>
      <w:r w:rsidR="00D7540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“</w:t>
      </w:r>
      <w:r w:rsidR="00D7540C" w:rsidRPr="001E1E4D">
        <w:rPr>
          <w:rFonts w:ascii="Times New Roman" w:eastAsia="Arial Unicode MS" w:hAnsi="Times New Roman" w:cs="Times New Roman"/>
          <w:sz w:val="20"/>
          <w:szCs w:val="20"/>
        </w:rPr>
        <w:t xml:space="preserve">Factors affecting the stability of inorganic and </w:t>
      </w:r>
      <w:proofErr w:type="spellStart"/>
      <w:r w:rsidR="00D7540C" w:rsidRPr="001E1E4D">
        <w:rPr>
          <w:rFonts w:ascii="Times New Roman" w:eastAsia="Arial Unicode MS" w:hAnsi="Times New Roman" w:cs="Times New Roman"/>
          <w:sz w:val="20"/>
          <w:szCs w:val="20"/>
        </w:rPr>
        <w:t>methylmercury</w:t>
      </w:r>
      <w:proofErr w:type="spellEnd"/>
      <w:r w:rsidR="00D7540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during sample storage.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”</w:t>
      </w:r>
      <w:r w:rsidR="00D7540C" w:rsidRPr="001E1E4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D7540C" w:rsidRPr="001E1E4D">
        <w:rPr>
          <w:rFonts w:ascii="Times New Roman" w:eastAsia="Arial Unicode MS" w:hAnsi="Times New Roman" w:cs="Times New Roman"/>
          <w:i/>
          <w:sz w:val="20"/>
          <w:szCs w:val="20"/>
        </w:rPr>
        <w:t>Trends in Analytical Chemistry</w:t>
      </w:r>
      <w:r w:rsidR="0014198D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="00D7540C" w:rsidRPr="001E1E4D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  <w:r w:rsidR="00D7540C" w:rsidRPr="0014198D">
        <w:rPr>
          <w:rFonts w:ascii="Times New Roman" w:eastAsia="Arial Unicode MS" w:hAnsi="Times New Roman" w:cs="Times New Roman"/>
          <w:b/>
          <w:sz w:val="20"/>
          <w:szCs w:val="20"/>
        </w:rPr>
        <w:t>22</w:t>
      </w:r>
      <w:r w:rsidR="0014198D">
        <w:rPr>
          <w:rFonts w:ascii="Times New Roman" w:eastAsia="Arial Unicode MS" w:hAnsi="Times New Roman" w:cs="Times New Roman"/>
          <w:sz w:val="20"/>
          <w:szCs w:val="20"/>
        </w:rPr>
        <w:t>.</w:t>
      </w:r>
      <w:r w:rsidR="000D2F59" w:rsidRPr="001E1E4D">
        <w:rPr>
          <w:rFonts w:ascii="Times New Roman" w:eastAsia="Arial Unicode MS" w:hAnsi="Times New Roman" w:cs="Times New Roman"/>
          <w:sz w:val="20"/>
          <w:szCs w:val="20"/>
        </w:rPr>
        <w:t xml:space="preserve"> 245-253</w:t>
      </w:r>
      <w:r w:rsidR="00FE070D" w:rsidRPr="001E1E4D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9B4A00" w:rsidRDefault="001C7C4E" w:rsidP="009B4A0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Quarterly DOE Update on Environment, Development &amp; Sustainability, Issue 3/2006.</w:t>
      </w:r>
      <w:r w:rsidR="009B4A00">
        <w:rPr>
          <w:rFonts w:ascii="Times New Roman" w:eastAsia="Arial Unicode MS" w:hAnsi="Times New Roman" w:cs="Times New Roman"/>
          <w:sz w:val="20"/>
          <w:szCs w:val="20"/>
        </w:rPr>
        <w:t xml:space="preserve"> Available from </w:t>
      </w:r>
      <w:hyperlink r:id="rId15" w:history="1">
        <w:r w:rsidR="009B4A00" w:rsidRPr="00AB1F3B">
          <w:rPr>
            <w:rStyle w:val="Hyperlink"/>
            <w:rFonts w:ascii="Times New Roman" w:eastAsia="Arial Unicode MS" w:hAnsi="Times New Roman" w:cs="Times New Roman"/>
            <w:sz w:val="20"/>
            <w:szCs w:val="20"/>
          </w:rPr>
          <w:t>http://www.doe.gov.my</w:t>
        </w:r>
      </w:hyperlink>
      <w:r w:rsidR="009B4A00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8A6981" w:rsidRPr="009B4A00" w:rsidRDefault="008A6981" w:rsidP="009B4A0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citation"/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 w:rsidRPr="009B4A00">
        <w:rPr>
          <w:rStyle w:val="citation"/>
          <w:rFonts w:ascii="Times New Roman" w:hAnsi="Times New Roman" w:cs="Times New Roman"/>
          <w:sz w:val="20"/>
          <w:szCs w:val="20"/>
        </w:rPr>
        <w:t>Ullrich</w:t>
      </w:r>
      <w:proofErr w:type="spellEnd"/>
      <w:r w:rsidRPr="009B4A00">
        <w:rPr>
          <w:rStyle w:val="citation"/>
          <w:rFonts w:ascii="Times New Roman" w:hAnsi="Times New Roman" w:cs="Times New Roman"/>
          <w:sz w:val="20"/>
          <w:szCs w:val="20"/>
        </w:rPr>
        <w:t>, S</w:t>
      </w:r>
      <w:r w:rsidR="0014198D" w:rsidRPr="009B4A00">
        <w:rPr>
          <w:rStyle w:val="citation"/>
          <w:rFonts w:ascii="Times New Roman" w:hAnsi="Times New Roman" w:cs="Times New Roman"/>
          <w:sz w:val="20"/>
          <w:szCs w:val="20"/>
        </w:rPr>
        <w:t>.,</w:t>
      </w:r>
      <w:r w:rsidRPr="009B4A00">
        <w:rPr>
          <w:rStyle w:val="cit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A00">
        <w:rPr>
          <w:rStyle w:val="citation"/>
          <w:rFonts w:ascii="Times New Roman" w:hAnsi="Times New Roman" w:cs="Times New Roman"/>
          <w:sz w:val="20"/>
          <w:szCs w:val="20"/>
        </w:rPr>
        <w:t>Tanton</w:t>
      </w:r>
      <w:proofErr w:type="spellEnd"/>
      <w:r w:rsidRPr="009B4A00">
        <w:rPr>
          <w:rStyle w:val="citation"/>
          <w:rFonts w:ascii="Times New Roman" w:hAnsi="Times New Roman" w:cs="Times New Roman"/>
          <w:sz w:val="20"/>
          <w:szCs w:val="20"/>
        </w:rPr>
        <w:t>, T</w:t>
      </w:r>
      <w:r w:rsidR="0014198D" w:rsidRPr="009B4A00">
        <w:rPr>
          <w:rStyle w:val="citation"/>
          <w:rFonts w:ascii="Times New Roman" w:hAnsi="Times New Roman" w:cs="Times New Roman"/>
          <w:sz w:val="20"/>
          <w:szCs w:val="20"/>
        </w:rPr>
        <w:t>. and</w:t>
      </w:r>
      <w:r w:rsidRPr="009B4A00">
        <w:rPr>
          <w:rStyle w:val="cit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A00">
        <w:rPr>
          <w:rStyle w:val="citation"/>
          <w:rFonts w:ascii="Times New Roman" w:hAnsi="Times New Roman" w:cs="Times New Roman"/>
          <w:sz w:val="20"/>
          <w:szCs w:val="20"/>
        </w:rPr>
        <w:t>Abdrashitova</w:t>
      </w:r>
      <w:proofErr w:type="spellEnd"/>
      <w:r w:rsidRPr="009B4A00">
        <w:rPr>
          <w:rStyle w:val="citation"/>
          <w:rFonts w:ascii="Times New Roman" w:hAnsi="Times New Roman" w:cs="Times New Roman"/>
          <w:sz w:val="20"/>
          <w:szCs w:val="20"/>
        </w:rPr>
        <w:t>, S</w:t>
      </w:r>
      <w:r w:rsidR="0014198D" w:rsidRPr="009B4A00">
        <w:rPr>
          <w:rStyle w:val="citation"/>
          <w:rFonts w:ascii="Times New Roman" w:hAnsi="Times New Roman" w:cs="Times New Roman"/>
          <w:sz w:val="20"/>
          <w:szCs w:val="20"/>
        </w:rPr>
        <w:t>.</w:t>
      </w:r>
      <w:r w:rsidRPr="009B4A00">
        <w:rPr>
          <w:rStyle w:val="citation"/>
          <w:rFonts w:ascii="Times New Roman" w:hAnsi="Times New Roman" w:cs="Times New Roman"/>
          <w:sz w:val="20"/>
          <w:szCs w:val="20"/>
        </w:rPr>
        <w:t xml:space="preserve"> (2001). "Mercury in the Aquatic Environment: A Review of Factors Affecting </w:t>
      </w:r>
      <w:proofErr w:type="spellStart"/>
      <w:r w:rsidRPr="009B4A00">
        <w:rPr>
          <w:rStyle w:val="citation"/>
          <w:rFonts w:ascii="Times New Roman" w:hAnsi="Times New Roman" w:cs="Times New Roman"/>
          <w:sz w:val="20"/>
          <w:szCs w:val="20"/>
        </w:rPr>
        <w:t>Methylation</w:t>
      </w:r>
      <w:proofErr w:type="spellEnd"/>
      <w:r w:rsidRPr="009B4A00">
        <w:rPr>
          <w:rStyle w:val="citation"/>
          <w:rFonts w:ascii="Times New Roman" w:hAnsi="Times New Roman" w:cs="Times New Roman"/>
          <w:sz w:val="20"/>
          <w:szCs w:val="20"/>
        </w:rPr>
        <w:t xml:space="preserve">". </w:t>
      </w:r>
      <w:r w:rsidRPr="009B4A00">
        <w:rPr>
          <w:rStyle w:val="citation"/>
          <w:rFonts w:ascii="Times New Roman" w:hAnsi="Times New Roman" w:cs="Times New Roman"/>
          <w:i/>
          <w:iCs/>
          <w:sz w:val="20"/>
          <w:szCs w:val="20"/>
        </w:rPr>
        <w:t xml:space="preserve">Critical Reviews in Environmental Science and </w:t>
      </w:r>
      <w:proofErr w:type="spellStart"/>
      <w:r w:rsidRPr="009B4A00">
        <w:rPr>
          <w:rStyle w:val="citation"/>
          <w:rFonts w:ascii="Times New Roman" w:hAnsi="Times New Roman" w:cs="Times New Roman"/>
          <w:i/>
          <w:iCs/>
          <w:sz w:val="20"/>
          <w:szCs w:val="20"/>
        </w:rPr>
        <w:t>Technolog</w:t>
      </w:r>
      <w:r w:rsidR="0014198D" w:rsidRPr="009B4A00">
        <w:rPr>
          <w:rStyle w:val="citation"/>
          <w:rFonts w:ascii="Times New Roman" w:hAnsi="Times New Roman" w:cs="Times New Roman"/>
          <w:i/>
          <w:iCs/>
          <w:sz w:val="20"/>
          <w:szCs w:val="20"/>
        </w:rPr>
        <w:t>.</w:t>
      </w:r>
      <w:r w:rsidRPr="009B4A00">
        <w:rPr>
          <w:rStyle w:val="citation"/>
          <w:rFonts w:ascii="Times New Roman" w:hAnsi="Times New Roman" w:cs="Times New Roman"/>
          <w:i/>
          <w:iCs/>
          <w:sz w:val="20"/>
          <w:szCs w:val="20"/>
        </w:rPr>
        <w:t>y</w:t>
      </w:r>
      <w:proofErr w:type="spellEnd"/>
      <w:r w:rsidRPr="009B4A00">
        <w:rPr>
          <w:rStyle w:val="citation"/>
          <w:rFonts w:ascii="Times New Roman" w:hAnsi="Times New Roman" w:cs="Times New Roman"/>
          <w:sz w:val="20"/>
          <w:szCs w:val="20"/>
        </w:rPr>
        <w:t xml:space="preserve"> </w:t>
      </w:r>
      <w:r w:rsidRPr="009B4A00">
        <w:rPr>
          <w:rStyle w:val="citation"/>
          <w:rFonts w:ascii="Times New Roman" w:hAnsi="Times New Roman" w:cs="Times New Roman"/>
          <w:b/>
          <w:bCs/>
          <w:sz w:val="20"/>
          <w:szCs w:val="20"/>
        </w:rPr>
        <w:t>31</w:t>
      </w:r>
      <w:r w:rsidR="0014198D" w:rsidRPr="009B4A00">
        <w:rPr>
          <w:rStyle w:val="citation"/>
          <w:rFonts w:ascii="Times New Roman" w:hAnsi="Times New Roman" w:cs="Times New Roman"/>
          <w:b/>
          <w:bCs/>
          <w:sz w:val="20"/>
          <w:szCs w:val="20"/>
        </w:rPr>
        <w:t>.</w:t>
      </w:r>
      <w:r w:rsidRPr="009B4A00">
        <w:rPr>
          <w:rStyle w:val="citation"/>
          <w:rFonts w:ascii="Times New Roman" w:hAnsi="Times New Roman" w:cs="Times New Roman"/>
          <w:sz w:val="20"/>
          <w:szCs w:val="20"/>
        </w:rPr>
        <w:t xml:space="preserve"> (3): 241.</w:t>
      </w:r>
    </w:p>
    <w:p w:rsidR="00EC6F09" w:rsidRPr="0059236F" w:rsidRDefault="00EC6F09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citation"/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Style w:val="citation"/>
          <w:rFonts w:ascii="Times New Roman" w:hAnsi="Times New Roman" w:cs="Times New Roman"/>
          <w:sz w:val="20"/>
          <w:szCs w:val="20"/>
        </w:rPr>
        <w:t xml:space="preserve">Winch, S.,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Praharaj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, T., Fortin, D. and Lean, D.R.S. (2008). “Factors affecting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methylmercury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 distribution in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surficial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, acidic, base-metal mine tailings.” </w:t>
      </w:r>
      <w:r w:rsidRPr="00EC6F09">
        <w:rPr>
          <w:rStyle w:val="citation"/>
          <w:rFonts w:ascii="Times New Roman" w:hAnsi="Times New Roman" w:cs="Times New Roman"/>
          <w:i/>
          <w:sz w:val="20"/>
          <w:szCs w:val="20"/>
        </w:rPr>
        <w:t>Science of the Total Environment</w:t>
      </w:r>
      <w:r>
        <w:rPr>
          <w:rStyle w:val="citation"/>
          <w:rFonts w:ascii="Times New Roman" w:hAnsi="Times New Roman" w:cs="Times New Roman"/>
          <w:sz w:val="20"/>
          <w:szCs w:val="20"/>
        </w:rPr>
        <w:t xml:space="preserve">. </w:t>
      </w:r>
      <w:r w:rsidRPr="005B7452">
        <w:rPr>
          <w:rStyle w:val="citation"/>
          <w:rFonts w:ascii="Times New Roman" w:hAnsi="Times New Roman" w:cs="Times New Roman"/>
          <w:b/>
          <w:sz w:val="20"/>
          <w:szCs w:val="20"/>
        </w:rPr>
        <w:t>392</w:t>
      </w:r>
      <w:r>
        <w:rPr>
          <w:rStyle w:val="citation"/>
          <w:rFonts w:ascii="Times New Roman" w:hAnsi="Times New Roman" w:cs="Times New Roman"/>
          <w:sz w:val="20"/>
          <w:szCs w:val="20"/>
        </w:rPr>
        <w:t>. 242-251.</w:t>
      </w:r>
    </w:p>
    <w:p w:rsidR="0059236F" w:rsidRPr="0014198D" w:rsidRDefault="0059236F" w:rsidP="007A7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Ebinghaus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, R.,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Wilken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, R.D. and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Gisder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, P. (1994). “Investigations on the formation of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monomethylmercury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 (II) in the Elbe.”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Vom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citation"/>
          <w:rFonts w:ascii="Times New Roman" w:hAnsi="Times New Roman" w:cs="Times New Roman"/>
          <w:sz w:val="20"/>
          <w:szCs w:val="20"/>
        </w:rPr>
        <w:t>Wasser</w:t>
      </w:r>
      <w:proofErr w:type="spellEnd"/>
      <w:r>
        <w:rPr>
          <w:rStyle w:val="citation"/>
          <w:rFonts w:ascii="Times New Roman" w:hAnsi="Times New Roman" w:cs="Times New Roman"/>
          <w:sz w:val="20"/>
          <w:szCs w:val="20"/>
        </w:rPr>
        <w:t xml:space="preserve">. </w:t>
      </w:r>
      <w:r w:rsidRPr="0059236F">
        <w:rPr>
          <w:rStyle w:val="citation"/>
          <w:rFonts w:ascii="Times New Roman" w:hAnsi="Times New Roman" w:cs="Times New Roman"/>
          <w:b/>
          <w:sz w:val="20"/>
          <w:szCs w:val="20"/>
        </w:rPr>
        <w:t>82</w:t>
      </w:r>
      <w:r>
        <w:rPr>
          <w:rStyle w:val="citation"/>
          <w:rFonts w:ascii="Times New Roman" w:hAnsi="Times New Roman" w:cs="Times New Roman"/>
          <w:sz w:val="20"/>
          <w:szCs w:val="20"/>
        </w:rPr>
        <w:t>. 19-25.</w:t>
      </w:r>
    </w:p>
    <w:p w:rsidR="0052798E" w:rsidRPr="001E1E4D" w:rsidRDefault="0052798E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460AB8" w:rsidRPr="001E1E4D" w:rsidRDefault="00460AB8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460AB8" w:rsidRPr="001E1E4D" w:rsidRDefault="00460AB8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460AB8" w:rsidRPr="001E1E4D" w:rsidRDefault="00460AB8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460AB8" w:rsidRDefault="00460AB8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460AB8" w:rsidRDefault="00460AB8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137487" w:rsidRDefault="00137487" w:rsidP="004640F2">
      <w:pPr>
        <w:pStyle w:val="ListParagraph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B06020" w:rsidRPr="009C6ACD" w:rsidRDefault="00B06020">
      <w:pPr>
        <w:rPr>
          <w:rFonts w:ascii="Times New Roman" w:hAnsi="Times New Roman" w:cs="Times New Roman"/>
        </w:rPr>
      </w:pPr>
    </w:p>
    <w:sectPr w:rsidR="00B06020" w:rsidRPr="009C6ACD" w:rsidSect="00B06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0C5F"/>
    <w:multiLevelType w:val="hybridMultilevel"/>
    <w:tmpl w:val="77207E6C"/>
    <w:lvl w:ilvl="0" w:tplc="5EDA5890">
      <w:start w:val="1"/>
      <w:numFmt w:val="decimal"/>
      <w:lvlText w:val="(%1)"/>
      <w:lvlJc w:val="left"/>
      <w:pPr>
        <w:ind w:left="1080" w:hanging="72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84D3B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527908"/>
    <w:multiLevelType w:val="multilevel"/>
    <w:tmpl w:val="AA065CB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7EA301B6"/>
    <w:multiLevelType w:val="multilevel"/>
    <w:tmpl w:val="0409001F"/>
    <w:numStyleLink w:val="Style1"/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944"/>
    <w:rsid w:val="00006612"/>
    <w:rsid w:val="00006E4D"/>
    <w:rsid w:val="00011075"/>
    <w:rsid w:val="00055B04"/>
    <w:rsid w:val="00065ABC"/>
    <w:rsid w:val="00075602"/>
    <w:rsid w:val="000814EC"/>
    <w:rsid w:val="00095B8F"/>
    <w:rsid w:val="000D2F59"/>
    <w:rsid w:val="000D6B0B"/>
    <w:rsid w:val="00134F1D"/>
    <w:rsid w:val="00137487"/>
    <w:rsid w:val="0014198D"/>
    <w:rsid w:val="001C1E36"/>
    <w:rsid w:val="001C7C4E"/>
    <w:rsid w:val="001D4707"/>
    <w:rsid w:val="001E0064"/>
    <w:rsid w:val="001E1E4D"/>
    <w:rsid w:val="001F32A2"/>
    <w:rsid w:val="001F6F1C"/>
    <w:rsid w:val="00200254"/>
    <w:rsid w:val="00202DC7"/>
    <w:rsid w:val="00207767"/>
    <w:rsid w:val="00213EC8"/>
    <w:rsid w:val="0021763A"/>
    <w:rsid w:val="002742D6"/>
    <w:rsid w:val="002C4A0E"/>
    <w:rsid w:val="002E4D8D"/>
    <w:rsid w:val="003018F2"/>
    <w:rsid w:val="00337224"/>
    <w:rsid w:val="00347020"/>
    <w:rsid w:val="003603DC"/>
    <w:rsid w:val="00383AC3"/>
    <w:rsid w:val="00386006"/>
    <w:rsid w:val="003B4437"/>
    <w:rsid w:val="003F061D"/>
    <w:rsid w:val="0041716E"/>
    <w:rsid w:val="00420123"/>
    <w:rsid w:val="00442D8F"/>
    <w:rsid w:val="004533B4"/>
    <w:rsid w:val="00460A40"/>
    <w:rsid w:val="00460AB8"/>
    <w:rsid w:val="004640F2"/>
    <w:rsid w:val="00464CA6"/>
    <w:rsid w:val="00467973"/>
    <w:rsid w:val="004751BF"/>
    <w:rsid w:val="00475218"/>
    <w:rsid w:val="004A1D77"/>
    <w:rsid w:val="004F3B1A"/>
    <w:rsid w:val="005168C3"/>
    <w:rsid w:val="0052798E"/>
    <w:rsid w:val="005335AF"/>
    <w:rsid w:val="00550167"/>
    <w:rsid w:val="00553F39"/>
    <w:rsid w:val="0059236F"/>
    <w:rsid w:val="005978CC"/>
    <w:rsid w:val="005B7452"/>
    <w:rsid w:val="005D5364"/>
    <w:rsid w:val="00664E54"/>
    <w:rsid w:val="00686C30"/>
    <w:rsid w:val="006A5EF5"/>
    <w:rsid w:val="006B21A9"/>
    <w:rsid w:val="006D4944"/>
    <w:rsid w:val="006E2139"/>
    <w:rsid w:val="0071220B"/>
    <w:rsid w:val="0073637F"/>
    <w:rsid w:val="007572D1"/>
    <w:rsid w:val="00773B9F"/>
    <w:rsid w:val="007A7E4C"/>
    <w:rsid w:val="007C4037"/>
    <w:rsid w:val="007D6127"/>
    <w:rsid w:val="0081086E"/>
    <w:rsid w:val="00881F09"/>
    <w:rsid w:val="00890263"/>
    <w:rsid w:val="008A400E"/>
    <w:rsid w:val="008A6981"/>
    <w:rsid w:val="008A7E87"/>
    <w:rsid w:val="008A7EC0"/>
    <w:rsid w:val="008C2A7B"/>
    <w:rsid w:val="008D4317"/>
    <w:rsid w:val="008F78EE"/>
    <w:rsid w:val="00917193"/>
    <w:rsid w:val="0092618D"/>
    <w:rsid w:val="009365DD"/>
    <w:rsid w:val="00972C8A"/>
    <w:rsid w:val="00981583"/>
    <w:rsid w:val="009A7BFE"/>
    <w:rsid w:val="009B29D3"/>
    <w:rsid w:val="009B4A00"/>
    <w:rsid w:val="009C5BA0"/>
    <w:rsid w:val="009C6ACD"/>
    <w:rsid w:val="00A10CA0"/>
    <w:rsid w:val="00A14AD9"/>
    <w:rsid w:val="00A228DB"/>
    <w:rsid w:val="00A3184B"/>
    <w:rsid w:val="00A3728C"/>
    <w:rsid w:val="00A4566C"/>
    <w:rsid w:val="00AB4178"/>
    <w:rsid w:val="00AB4F26"/>
    <w:rsid w:val="00AC6BE2"/>
    <w:rsid w:val="00AD76C3"/>
    <w:rsid w:val="00AE1D0F"/>
    <w:rsid w:val="00AE5DE6"/>
    <w:rsid w:val="00AF423F"/>
    <w:rsid w:val="00AF4E85"/>
    <w:rsid w:val="00B06020"/>
    <w:rsid w:val="00B23BB2"/>
    <w:rsid w:val="00B30407"/>
    <w:rsid w:val="00B666D0"/>
    <w:rsid w:val="00BB68E5"/>
    <w:rsid w:val="00BF43CA"/>
    <w:rsid w:val="00C82599"/>
    <w:rsid w:val="00C856A6"/>
    <w:rsid w:val="00D01458"/>
    <w:rsid w:val="00D244A3"/>
    <w:rsid w:val="00D30E19"/>
    <w:rsid w:val="00D7540C"/>
    <w:rsid w:val="00D858E0"/>
    <w:rsid w:val="00D93480"/>
    <w:rsid w:val="00D976A2"/>
    <w:rsid w:val="00DB253B"/>
    <w:rsid w:val="00DE3040"/>
    <w:rsid w:val="00DF13A6"/>
    <w:rsid w:val="00DF4CA3"/>
    <w:rsid w:val="00E026C4"/>
    <w:rsid w:val="00E054FD"/>
    <w:rsid w:val="00E116F6"/>
    <w:rsid w:val="00E23B61"/>
    <w:rsid w:val="00E3183D"/>
    <w:rsid w:val="00E468BD"/>
    <w:rsid w:val="00E71308"/>
    <w:rsid w:val="00EC6F09"/>
    <w:rsid w:val="00F07F16"/>
    <w:rsid w:val="00F33FCF"/>
    <w:rsid w:val="00F45987"/>
    <w:rsid w:val="00F46949"/>
    <w:rsid w:val="00F93FC5"/>
    <w:rsid w:val="00FC27B5"/>
    <w:rsid w:val="00FC6556"/>
    <w:rsid w:val="00FD5650"/>
    <w:rsid w:val="00FE0017"/>
    <w:rsid w:val="00FE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8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1308"/>
    <w:pPr>
      <w:ind w:left="720"/>
      <w:contextualSpacing/>
    </w:pPr>
  </w:style>
  <w:style w:type="numbering" w:customStyle="1" w:styleId="Style1">
    <w:name w:val="Style1"/>
    <w:uiPriority w:val="99"/>
    <w:rsid w:val="00E71308"/>
    <w:pPr>
      <w:numPr>
        <w:numId w:val="2"/>
      </w:numPr>
    </w:pPr>
  </w:style>
  <w:style w:type="table" w:styleId="TableGrid">
    <w:name w:val="Table Grid"/>
    <w:basedOn w:val="TableNormal"/>
    <w:uiPriority w:val="59"/>
    <w:rsid w:val="008F7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A6"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DefaultParagraphFont"/>
    <w:rsid w:val="008A6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naerobic_organism" TargetMode="External"/><Relationship Id="rId13" Type="http://schemas.openxmlformats.org/officeDocument/2006/relationships/hyperlink" Target="http://en.wikipedia.org/wiki/So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n.wikipedia.org/wiki/Sedi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n.wikipedia.org/wiki/Wetlan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oe.gov.my" TargetMode="External"/><Relationship Id="rId10" Type="http://schemas.openxmlformats.org/officeDocument/2006/relationships/hyperlink" Target="http://en.wikipedia.org/wiki/Ri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ake" TargetMode="External"/><Relationship Id="rId14" Type="http://schemas.openxmlformats.org/officeDocument/2006/relationships/hyperlink" Target="http://en.wikipedia.org/wiki/Oc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sirimbhd</Company>
  <LinksUpToDate>false</LinksUpToDate>
  <CharactersWithSpaces>23220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NORSHIDAH BINTI BAHARUDDIN</dc:creator>
  <cp:lastModifiedBy>Prof Pauzi</cp:lastModifiedBy>
  <cp:revision>2</cp:revision>
  <cp:lastPrinted>2012-07-02T05:57:00Z</cp:lastPrinted>
  <dcterms:created xsi:type="dcterms:W3CDTF">2012-07-02T07:34:00Z</dcterms:created>
  <dcterms:modified xsi:type="dcterms:W3CDTF">2012-07-02T07:34:00Z</dcterms:modified>
</cp:coreProperties>
</file>