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A2" w:rsidRPr="00AF1161" w:rsidRDefault="004118A2" w:rsidP="004118A2">
      <w:pPr>
        <w:jc w:val="center"/>
        <w:rPr>
          <w:sz w:val="28"/>
        </w:rPr>
      </w:pPr>
      <w:r w:rsidRPr="00AF1161">
        <w:rPr>
          <w:sz w:val="28"/>
        </w:rPr>
        <w:t xml:space="preserve">STABILITY OF THE ABSORBED DOSE TO WATER CALIBRATION COEFFICIENT, </w:t>
      </w:r>
      <w:r w:rsidRPr="004118A2">
        <w:rPr>
          <w:i/>
          <w:sz w:val="28"/>
          <w:szCs w:val="28"/>
        </w:rPr>
        <w:t>N</w:t>
      </w:r>
      <w:r w:rsidRPr="004118A2">
        <w:rPr>
          <w:i/>
          <w:sz w:val="28"/>
          <w:szCs w:val="28"/>
          <w:vertAlign w:val="subscript"/>
        </w:rPr>
        <w:t>D,w</w:t>
      </w:r>
      <w:r w:rsidRPr="00AF1161">
        <w:rPr>
          <w:sz w:val="28"/>
        </w:rPr>
        <w:t xml:space="preserve"> FOR THERAPY</w:t>
      </w:r>
      <w:r>
        <w:rPr>
          <w:sz w:val="28"/>
        </w:rPr>
        <w:t xml:space="preserve"> </w:t>
      </w:r>
      <w:r w:rsidRPr="00AF1161">
        <w:rPr>
          <w:sz w:val="28"/>
        </w:rPr>
        <w:t>LEVEL IONIZATION CHAMBERS BELONGING TO LOCAL RADIOTHERAPY CENTRES: ANALYSIS OF RESULTS OBTAINED DURING 2004 -2010</w:t>
      </w:r>
    </w:p>
    <w:p w:rsidR="004118A2" w:rsidRDefault="004118A2" w:rsidP="004118A2">
      <w:pPr>
        <w:jc w:val="center"/>
      </w:pPr>
    </w:p>
    <w:p w:rsidR="004118A2" w:rsidRDefault="004118A2" w:rsidP="004118A2">
      <w:pPr>
        <w:jc w:val="center"/>
      </w:pPr>
      <w:r w:rsidRPr="00B968CA">
        <w:t xml:space="preserve">(Kestabilan Pekali Kalibrasi Dos Terserap Terhadap Air, </w:t>
      </w:r>
      <w:r w:rsidRPr="004118A2">
        <w:rPr>
          <w:i/>
        </w:rPr>
        <w:t>N</w:t>
      </w:r>
      <w:r w:rsidRPr="004118A2">
        <w:rPr>
          <w:i/>
          <w:vertAlign w:val="subscript"/>
        </w:rPr>
        <w:t>D,w</w:t>
      </w:r>
      <w:r w:rsidRPr="00AF1161">
        <w:rPr>
          <w:sz w:val="28"/>
        </w:rPr>
        <w:t xml:space="preserve"> </w:t>
      </w:r>
      <w:r w:rsidRPr="00B968CA">
        <w:t>Untuk Kebuk Pengionan Tahap Terapi Kepunyaan Pusat Radioterapi</w:t>
      </w:r>
      <w:r>
        <w:t xml:space="preserve"> Tempatan</w:t>
      </w:r>
      <w:r w:rsidRPr="00B968CA">
        <w:t xml:space="preserve">: Analisis Keputusan </w:t>
      </w:r>
    </w:p>
    <w:p w:rsidR="004118A2" w:rsidRPr="00B968CA" w:rsidRDefault="004118A2" w:rsidP="004118A2">
      <w:pPr>
        <w:jc w:val="center"/>
      </w:pPr>
      <w:r w:rsidRPr="00B968CA">
        <w:t>Yang Diperoleh Sepanjang 2004-2010)</w:t>
      </w:r>
    </w:p>
    <w:p w:rsidR="004118A2" w:rsidRPr="00B968CA" w:rsidRDefault="004118A2" w:rsidP="004118A2">
      <w:pPr>
        <w:jc w:val="center"/>
      </w:pPr>
    </w:p>
    <w:p w:rsidR="004118A2" w:rsidRPr="00AF1161" w:rsidRDefault="004118A2" w:rsidP="004118A2">
      <w:pPr>
        <w:jc w:val="center"/>
        <w:rPr>
          <w:sz w:val="20"/>
          <w:szCs w:val="22"/>
        </w:rPr>
      </w:pPr>
      <w:r w:rsidRPr="00AF1161">
        <w:rPr>
          <w:sz w:val="20"/>
          <w:szCs w:val="22"/>
        </w:rPr>
        <w:t>S. B. Samat</w:t>
      </w:r>
      <w:r w:rsidRPr="00AF1161">
        <w:rPr>
          <w:sz w:val="20"/>
          <w:szCs w:val="22"/>
          <w:vertAlign w:val="superscript"/>
        </w:rPr>
        <w:t>1</w:t>
      </w:r>
      <w:r w:rsidRPr="00AF1161">
        <w:rPr>
          <w:sz w:val="20"/>
          <w:szCs w:val="22"/>
        </w:rPr>
        <w:t>, W. Priharti</w:t>
      </w:r>
      <w:r w:rsidRPr="00AF1161">
        <w:rPr>
          <w:sz w:val="20"/>
          <w:szCs w:val="22"/>
          <w:vertAlign w:val="superscript"/>
        </w:rPr>
        <w:t>1</w:t>
      </w:r>
      <w:r w:rsidRPr="00AF1161">
        <w:rPr>
          <w:sz w:val="20"/>
          <w:szCs w:val="22"/>
        </w:rPr>
        <w:t>, S. S. Chong</w:t>
      </w:r>
      <w:r w:rsidRPr="00AF1161">
        <w:rPr>
          <w:sz w:val="20"/>
          <w:szCs w:val="22"/>
          <w:vertAlign w:val="superscript"/>
        </w:rPr>
        <w:t>1</w:t>
      </w:r>
      <w:r w:rsidRPr="00AF1161">
        <w:rPr>
          <w:sz w:val="20"/>
          <w:szCs w:val="22"/>
        </w:rPr>
        <w:t>, T. Kadni</w:t>
      </w:r>
      <w:r w:rsidRPr="00AF1161">
        <w:rPr>
          <w:sz w:val="20"/>
          <w:szCs w:val="22"/>
          <w:vertAlign w:val="superscript"/>
        </w:rPr>
        <w:t>2</w:t>
      </w:r>
      <w:r w:rsidRPr="00AF1161">
        <w:rPr>
          <w:sz w:val="20"/>
          <w:szCs w:val="22"/>
        </w:rPr>
        <w:t xml:space="preserve"> and M.T. Dolah</w:t>
      </w:r>
      <w:r w:rsidRPr="00AF1161">
        <w:rPr>
          <w:sz w:val="20"/>
          <w:szCs w:val="22"/>
          <w:vertAlign w:val="superscript"/>
        </w:rPr>
        <w:t>2</w:t>
      </w:r>
    </w:p>
    <w:p w:rsidR="004118A2" w:rsidRPr="00CD1021" w:rsidRDefault="004118A2" w:rsidP="004118A2">
      <w:pPr>
        <w:jc w:val="center"/>
        <w:rPr>
          <w:sz w:val="22"/>
          <w:szCs w:val="22"/>
          <w:vertAlign w:val="superscript"/>
        </w:rPr>
      </w:pPr>
    </w:p>
    <w:p w:rsidR="004118A2" w:rsidRPr="001156F7" w:rsidRDefault="004118A2" w:rsidP="004118A2">
      <w:pPr>
        <w:jc w:val="center"/>
        <w:rPr>
          <w:i/>
          <w:sz w:val="18"/>
          <w:szCs w:val="20"/>
        </w:rPr>
      </w:pPr>
      <w:r w:rsidRPr="001156F7">
        <w:rPr>
          <w:i/>
          <w:sz w:val="18"/>
          <w:szCs w:val="20"/>
          <w:vertAlign w:val="superscript"/>
        </w:rPr>
        <w:t>1</w:t>
      </w:r>
      <w:r w:rsidRPr="001156F7">
        <w:rPr>
          <w:i/>
          <w:sz w:val="18"/>
          <w:szCs w:val="20"/>
        </w:rPr>
        <w:t>School of Applied Physics</w:t>
      </w:r>
    </w:p>
    <w:p w:rsidR="004118A2" w:rsidRPr="001156F7" w:rsidRDefault="004118A2" w:rsidP="004118A2">
      <w:pPr>
        <w:jc w:val="center"/>
        <w:rPr>
          <w:i/>
          <w:sz w:val="18"/>
          <w:szCs w:val="20"/>
        </w:rPr>
      </w:pPr>
      <w:r w:rsidRPr="001156F7">
        <w:rPr>
          <w:i/>
          <w:sz w:val="18"/>
          <w:szCs w:val="20"/>
        </w:rPr>
        <w:t>Universiti Kebangsaan Malaysia (UKM)</w:t>
      </w:r>
    </w:p>
    <w:p w:rsidR="004118A2" w:rsidRPr="001156F7" w:rsidRDefault="004118A2" w:rsidP="004118A2">
      <w:pPr>
        <w:jc w:val="center"/>
        <w:rPr>
          <w:i/>
          <w:sz w:val="18"/>
          <w:szCs w:val="20"/>
        </w:rPr>
      </w:pPr>
      <w:r w:rsidRPr="001156F7">
        <w:rPr>
          <w:i/>
          <w:sz w:val="18"/>
          <w:szCs w:val="20"/>
        </w:rPr>
        <w:t>43600 UKM Bangi, Selangor</w:t>
      </w:r>
    </w:p>
    <w:p w:rsidR="004118A2" w:rsidRPr="001156F7" w:rsidRDefault="004118A2" w:rsidP="004118A2">
      <w:pPr>
        <w:jc w:val="center"/>
        <w:rPr>
          <w:i/>
          <w:sz w:val="18"/>
          <w:szCs w:val="20"/>
        </w:rPr>
      </w:pPr>
    </w:p>
    <w:p w:rsidR="004118A2" w:rsidRPr="001156F7" w:rsidRDefault="004118A2" w:rsidP="004118A2">
      <w:pPr>
        <w:jc w:val="center"/>
        <w:rPr>
          <w:i/>
          <w:sz w:val="18"/>
          <w:szCs w:val="20"/>
        </w:rPr>
      </w:pPr>
      <w:r w:rsidRPr="001156F7">
        <w:rPr>
          <w:i/>
          <w:sz w:val="18"/>
          <w:szCs w:val="20"/>
          <w:vertAlign w:val="superscript"/>
        </w:rPr>
        <w:t>2</w:t>
      </w:r>
      <w:r w:rsidRPr="001156F7">
        <w:rPr>
          <w:i/>
          <w:sz w:val="18"/>
          <w:szCs w:val="20"/>
        </w:rPr>
        <w:t>Secondary Standard Dosimetry Laboratory (SSDL)</w:t>
      </w:r>
    </w:p>
    <w:p w:rsidR="004118A2" w:rsidRPr="001156F7" w:rsidRDefault="004118A2" w:rsidP="004118A2">
      <w:pPr>
        <w:jc w:val="center"/>
        <w:rPr>
          <w:i/>
          <w:sz w:val="18"/>
          <w:szCs w:val="20"/>
        </w:rPr>
      </w:pPr>
      <w:r w:rsidRPr="001156F7">
        <w:rPr>
          <w:i/>
          <w:sz w:val="18"/>
          <w:szCs w:val="20"/>
        </w:rPr>
        <w:t xml:space="preserve">Malaysian Nuclear Agency (Nuclear Malaysia) </w:t>
      </w:r>
    </w:p>
    <w:p w:rsidR="004118A2" w:rsidRPr="001156F7" w:rsidRDefault="004118A2" w:rsidP="004118A2">
      <w:pPr>
        <w:jc w:val="center"/>
        <w:rPr>
          <w:sz w:val="18"/>
          <w:szCs w:val="20"/>
        </w:rPr>
      </w:pPr>
      <w:r w:rsidRPr="001156F7">
        <w:rPr>
          <w:i/>
          <w:sz w:val="18"/>
          <w:szCs w:val="20"/>
        </w:rPr>
        <w:t>43000 Kajang, Selangor</w:t>
      </w:r>
    </w:p>
    <w:p w:rsidR="004118A2" w:rsidRPr="00CD1021" w:rsidRDefault="004118A2" w:rsidP="004118A2">
      <w:pPr>
        <w:jc w:val="center"/>
        <w:rPr>
          <w:sz w:val="20"/>
          <w:szCs w:val="20"/>
        </w:rPr>
      </w:pPr>
    </w:p>
    <w:p w:rsidR="004118A2" w:rsidRPr="00AF1161" w:rsidRDefault="004118A2" w:rsidP="004118A2">
      <w:pPr>
        <w:jc w:val="center"/>
        <w:rPr>
          <w:i/>
          <w:sz w:val="18"/>
          <w:szCs w:val="18"/>
        </w:rPr>
      </w:pPr>
      <w:r w:rsidRPr="00AF1161">
        <w:rPr>
          <w:i/>
          <w:sz w:val="18"/>
          <w:szCs w:val="18"/>
        </w:rPr>
        <w:t xml:space="preserve">Corresponding author: </w:t>
      </w:r>
      <w:hyperlink r:id="rId7" w:history="1">
        <w:r w:rsidRPr="00AF1161">
          <w:rPr>
            <w:rStyle w:val="Hyperlink"/>
            <w:i/>
            <w:color w:val="auto"/>
            <w:sz w:val="18"/>
            <w:szCs w:val="18"/>
            <w:u w:val="none"/>
          </w:rPr>
          <w:t>sbsamat@ukm.my</w:t>
        </w:r>
      </w:hyperlink>
    </w:p>
    <w:p w:rsidR="004118A2" w:rsidRPr="009E0080" w:rsidRDefault="004118A2" w:rsidP="004118A2">
      <w:pPr>
        <w:jc w:val="center"/>
        <w:rPr>
          <w:sz w:val="18"/>
          <w:szCs w:val="18"/>
        </w:rPr>
      </w:pPr>
    </w:p>
    <w:p w:rsidR="004118A2" w:rsidRPr="009E0080" w:rsidRDefault="004118A2" w:rsidP="004118A2">
      <w:pPr>
        <w:jc w:val="center"/>
        <w:rPr>
          <w:sz w:val="18"/>
          <w:szCs w:val="18"/>
        </w:rPr>
      </w:pPr>
    </w:p>
    <w:p w:rsidR="004118A2" w:rsidRPr="009E0080" w:rsidRDefault="004118A2" w:rsidP="004118A2">
      <w:pPr>
        <w:rPr>
          <w:sz w:val="18"/>
          <w:szCs w:val="18"/>
        </w:rPr>
      </w:pPr>
    </w:p>
    <w:p w:rsidR="004118A2" w:rsidRPr="009E0080" w:rsidRDefault="004118A2" w:rsidP="004118A2">
      <w:pPr>
        <w:pStyle w:val="Heading1"/>
        <w:rPr>
          <w:sz w:val="18"/>
          <w:szCs w:val="18"/>
        </w:rPr>
      </w:pPr>
      <w:r w:rsidRPr="009E0080">
        <w:rPr>
          <w:sz w:val="18"/>
          <w:szCs w:val="18"/>
        </w:rPr>
        <w:t>Abstract</w:t>
      </w:r>
    </w:p>
    <w:p w:rsidR="004118A2" w:rsidRDefault="004118A2" w:rsidP="004118A2">
      <w:pPr>
        <w:jc w:val="both"/>
        <w:rPr>
          <w:sz w:val="18"/>
        </w:rPr>
      </w:pPr>
      <w:r w:rsidRPr="001156F7">
        <w:rPr>
          <w:sz w:val="18"/>
        </w:rPr>
        <w:t xml:space="preserve">According to the IAEA, the calibration of therapy level ionization chambers in terms of absorbed dose to water calibration coefficient, </w:t>
      </w:r>
      <w:r w:rsidRPr="002321B1">
        <w:rPr>
          <w:i/>
          <w:sz w:val="18"/>
        </w:rPr>
        <w:t>N</w:t>
      </w:r>
      <w:r w:rsidRPr="002321B1">
        <w:rPr>
          <w:i/>
          <w:sz w:val="18"/>
          <w:vertAlign w:val="subscript"/>
        </w:rPr>
        <w:t>D,w</w:t>
      </w:r>
      <w:r w:rsidRPr="001156F7">
        <w:rPr>
          <w:sz w:val="18"/>
        </w:rPr>
        <w:t xml:space="preserve"> must be within ±</w:t>
      </w:r>
      <w:r w:rsidR="0052565C">
        <w:rPr>
          <w:sz w:val="18"/>
        </w:rPr>
        <w:t xml:space="preserve"> </w:t>
      </w:r>
      <w:r w:rsidRPr="001156F7">
        <w:rPr>
          <w:sz w:val="18"/>
        </w:rPr>
        <w:t xml:space="preserve">1.5% acceptance limit. This is for the purpose of getting accurate absorbed dose </w:t>
      </w:r>
      <w:r w:rsidR="00C52BFB">
        <w:rPr>
          <w:sz w:val="18"/>
        </w:rPr>
        <w:t>for</w:t>
      </w:r>
      <w:r w:rsidRPr="001156F7">
        <w:rPr>
          <w:sz w:val="18"/>
        </w:rPr>
        <w:t xml:space="preserve"> the patient undergoing radiotherapy treatment. The objective of this work is to evaluate the deviation of </w:t>
      </w:r>
      <w:r w:rsidRPr="002321B1">
        <w:rPr>
          <w:i/>
          <w:iCs/>
          <w:sz w:val="18"/>
        </w:rPr>
        <w:t>N</w:t>
      </w:r>
      <w:r w:rsidRPr="002321B1">
        <w:rPr>
          <w:i/>
          <w:iCs/>
          <w:sz w:val="18"/>
          <w:vertAlign w:val="subscript"/>
        </w:rPr>
        <w:t>D,w</w:t>
      </w:r>
      <w:r w:rsidRPr="001156F7">
        <w:rPr>
          <w:sz w:val="18"/>
        </w:rPr>
        <w:t xml:space="preserve"> for 29 chambers belonging to 16 local radiotherapy centres. Eight types of chambers have been calibrated at the SSDL Laboratory of Malaysian Nuclear Agency for the period of seven years. </w:t>
      </w:r>
      <w:r w:rsidRPr="001156F7">
        <w:rPr>
          <w:iCs/>
          <w:sz w:val="18"/>
        </w:rPr>
        <w:t xml:space="preserve">The mean µ of the </w:t>
      </w:r>
      <w:r w:rsidRPr="002321B1">
        <w:rPr>
          <w:i/>
          <w:iCs/>
          <w:sz w:val="18"/>
        </w:rPr>
        <w:t>N</w:t>
      </w:r>
      <w:r w:rsidRPr="002321B1">
        <w:rPr>
          <w:i/>
          <w:iCs/>
          <w:sz w:val="18"/>
          <w:vertAlign w:val="subscript"/>
        </w:rPr>
        <w:t>D,w</w:t>
      </w:r>
      <w:r w:rsidRPr="001156F7">
        <w:rPr>
          <w:sz w:val="18"/>
        </w:rPr>
        <w:t xml:space="preserve"> </w:t>
      </w:r>
      <w:r w:rsidRPr="001156F7">
        <w:rPr>
          <w:iCs/>
          <w:sz w:val="18"/>
        </w:rPr>
        <w:t>deviation together with its standard error (SE) and standard deviation σ</w:t>
      </w:r>
      <w:r w:rsidRPr="001156F7">
        <w:rPr>
          <w:iCs/>
          <w:sz w:val="18"/>
          <w:vertAlign w:val="subscript"/>
        </w:rPr>
        <w:t>N-1</w:t>
      </w:r>
      <w:r w:rsidRPr="001156F7">
        <w:rPr>
          <w:iCs/>
          <w:sz w:val="18"/>
        </w:rPr>
        <w:t xml:space="preserve"> were calculated. It is found that o</w:t>
      </w:r>
      <w:r w:rsidRPr="001156F7">
        <w:rPr>
          <w:sz w:val="18"/>
        </w:rPr>
        <w:t xml:space="preserve">ut of </w:t>
      </w:r>
      <w:r w:rsidR="0052565C">
        <w:rPr>
          <w:iCs/>
          <w:sz w:val="18"/>
        </w:rPr>
        <w:t>29 chambers, 26</w:t>
      </w:r>
      <w:r w:rsidRPr="001156F7">
        <w:rPr>
          <w:iCs/>
          <w:sz w:val="18"/>
        </w:rPr>
        <w:t xml:space="preserve"> chambers yielded µ </w:t>
      </w:r>
      <w:r w:rsidRPr="001156F7">
        <w:rPr>
          <w:sz w:val="18"/>
        </w:rPr>
        <w:t>±</w:t>
      </w:r>
      <w:r w:rsidRPr="001156F7">
        <w:rPr>
          <w:iCs/>
          <w:sz w:val="18"/>
        </w:rPr>
        <w:t xml:space="preserve"> SE within the permitted value of </w:t>
      </w:r>
      <w:r w:rsidRPr="001156F7">
        <w:rPr>
          <w:sz w:val="18"/>
        </w:rPr>
        <w:t>±</w:t>
      </w:r>
      <w:r w:rsidR="0052565C">
        <w:rPr>
          <w:sz w:val="18"/>
        </w:rPr>
        <w:t xml:space="preserve"> </w:t>
      </w:r>
      <w:r w:rsidRPr="001156F7">
        <w:rPr>
          <w:sz w:val="18"/>
        </w:rPr>
        <w:t xml:space="preserve">1.5%. For the other three chambers, despite their values of </w:t>
      </w:r>
      <w:r w:rsidRPr="001156F7">
        <w:rPr>
          <w:iCs/>
          <w:sz w:val="18"/>
        </w:rPr>
        <w:t xml:space="preserve">µ </w:t>
      </w:r>
      <w:r w:rsidRPr="001156F7">
        <w:rPr>
          <w:sz w:val="18"/>
        </w:rPr>
        <w:t>±</w:t>
      </w:r>
      <w:r w:rsidRPr="001156F7">
        <w:rPr>
          <w:iCs/>
          <w:sz w:val="18"/>
        </w:rPr>
        <w:t xml:space="preserve"> SE lie slightly outside the range of </w:t>
      </w:r>
      <w:r w:rsidR="0052565C">
        <w:rPr>
          <w:iCs/>
          <w:sz w:val="18"/>
        </w:rPr>
        <w:t xml:space="preserve">         </w:t>
      </w:r>
      <w:r w:rsidRPr="001156F7">
        <w:rPr>
          <w:sz w:val="18"/>
        </w:rPr>
        <w:t>±</w:t>
      </w:r>
      <w:r w:rsidR="0052565C">
        <w:rPr>
          <w:sz w:val="18"/>
        </w:rPr>
        <w:t xml:space="preserve"> </w:t>
      </w:r>
      <w:r w:rsidRPr="001156F7">
        <w:rPr>
          <w:sz w:val="18"/>
        </w:rPr>
        <w:t xml:space="preserve">1.5%, they are still within the 95% confident interval of the ± 1.5%. It is concluded that the </w:t>
      </w:r>
      <w:r w:rsidRPr="002321B1">
        <w:rPr>
          <w:i/>
          <w:sz w:val="18"/>
        </w:rPr>
        <w:t>N</w:t>
      </w:r>
      <w:r w:rsidRPr="002321B1">
        <w:rPr>
          <w:i/>
          <w:sz w:val="18"/>
          <w:vertAlign w:val="subscript"/>
        </w:rPr>
        <w:t>D,</w:t>
      </w:r>
      <w:r w:rsidR="002321B1">
        <w:rPr>
          <w:i/>
          <w:sz w:val="18"/>
          <w:vertAlign w:val="subscript"/>
        </w:rPr>
        <w:t>w</w:t>
      </w:r>
      <w:r w:rsidRPr="001156F7">
        <w:rPr>
          <w:sz w:val="18"/>
        </w:rPr>
        <w:t xml:space="preserve"> of the chambers belonging to the local radiotherapy chambers are stable in their performance the dose to the patients measurement.</w:t>
      </w:r>
    </w:p>
    <w:p w:rsidR="004118A2" w:rsidRPr="009E0080" w:rsidRDefault="004118A2" w:rsidP="004118A2">
      <w:pPr>
        <w:jc w:val="both"/>
        <w:rPr>
          <w:sz w:val="18"/>
          <w:szCs w:val="18"/>
        </w:rPr>
      </w:pPr>
    </w:p>
    <w:p w:rsidR="004118A2" w:rsidRPr="009E0080" w:rsidRDefault="004118A2" w:rsidP="004118A2">
      <w:pPr>
        <w:jc w:val="center"/>
        <w:rPr>
          <w:sz w:val="18"/>
          <w:szCs w:val="18"/>
          <w:vertAlign w:val="subscript"/>
        </w:rPr>
      </w:pPr>
      <w:r w:rsidRPr="009E0080">
        <w:rPr>
          <w:b/>
          <w:bCs/>
          <w:sz w:val="18"/>
          <w:szCs w:val="18"/>
        </w:rPr>
        <w:t xml:space="preserve">Keywords: </w:t>
      </w:r>
      <w:r w:rsidRPr="009E0080">
        <w:rPr>
          <w:sz w:val="18"/>
          <w:szCs w:val="18"/>
        </w:rPr>
        <w:t xml:space="preserve">absorbed dose to water calibration coefficient </w:t>
      </w:r>
      <w:r w:rsidRPr="004118A2">
        <w:rPr>
          <w:i/>
          <w:sz w:val="18"/>
          <w:szCs w:val="18"/>
        </w:rPr>
        <w:t>N</w:t>
      </w:r>
      <w:r w:rsidRPr="004118A2">
        <w:rPr>
          <w:i/>
          <w:sz w:val="18"/>
          <w:szCs w:val="18"/>
          <w:vertAlign w:val="subscript"/>
        </w:rPr>
        <w:t>D,w</w:t>
      </w:r>
      <w:r w:rsidRPr="009E0080">
        <w:rPr>
          <w:sz w:val="18"/>
          <w:szCs w:val="18"/>
        </w:rPr>
        <w:t xml:space="preserve">, local radiotherapy centres, percentage deviation, SSDL Malaysia, stability of </w:t>
      </w:r>
      <w:r w:rsidRPr="004118A2">
        <w:rPr>
          <w:i/>
          <w:sz w:val="18"/>
          <w:szCs w:val="18"/>
        </w:rPr>
        <w:t>N</w:t>
      </w:r>
      <w:r w:rsidRPr="004118A2">
        <w:rPr>
          <w:i/>
          <w:sz w:val="18"/>
          <w:szCs w:val="18"/>
          <w:vertAlign w:val="subscript"/>
        </w:rPr>
        <w:t>D,w</w:t>
      </w:r>
    </w:p>
    <w:p w:rsidR="004118A2" w:rsidRPr="009E0080" w:rsidRDefault="004118A2" w:rsidP="004118A2">
      <w:pPr>
        <w:rPr>
          <w:b/>
          <w:bCs/>
          <w:sz w:val="18"/>
          <w:szCs w:val="18"/>
        </w:rPr>
      </w:pPr>
    </w:p>
    <w:p w:rsidR="004118A2" w:rsidRPr="001156F7" w:rsidRDefault="004118A2" w:rsidP="004118A2">
      <w:pPr>
        <w:pStyle w:val="Heading1"/>
        <w:rPr>
          <w:sz w:val="20"/>
        </w:rPr>
      </w:pPr>
      <w:r>
        <w:rPr>
          <w:sz w:val="20"/>
        </w:rPr>
        <w:t>Abstrak</w:t>
      </w:r>
    </w:p>
    <w:p w:rsidR="004118A2" w:rsidRPr="001156F7" w:rsidRDefault="002321B1" w:rsidP="004118A2">
      <w:pPr>
        <w:jc w:val="both"/>
        <w:rPr>
          <w:sz w:val="18"/>
        </w:rPr>
      </w:pPr>
      <w:r>
        <w:rPr>
          <w:sz w:val="18"/>
        </w:rPr>
        <w:t xml:space="preserve">Menurut IAEA, julat penerimaan pekali kalibrasi dos terserap terhadap air, </w:t>
      </w:r>
      <w:r w:rsidRPr="002321B1">
        <w:rPr>
          <w:i/>
          <w:iCs/>
          <w:sz w:val="18"/>
        </w:rPr>
        <w:t>N</w:t>
      </w:r>
      <w:r w:rsidRPr="002321B1">
        <w:rPr>
          <w:i/>
          <w:iCs/>
          <w:sz w:val="18"/>
          <w:vertAlign w:val="subscript"/>
        </w:rPr>
        <w:t>D,w</w:t>
      </w:r>
      <w:r w:rsidRPr="001156F7">
        <w:rPr>
          <w:sz w:val="18"/>
        </w:rPr>
        <w:t xml:space="preserve"> </w:t>
      </w:r>
      <w:r>
        <w:rPr>
          <w:sz w:val="18"/>
        </w:rPr>
        <w:t xml:space="preserve">untuk kebuk pengionan tahap terapi mesti berada antara </w:t>
      </w:r>
      <w:r w:rsidR="004118A2" w:rsidRPr="001156F7">
        <w:rPr>
          <w:sz w:val="18"/>
        </w:rPr>
        <w:t>±</w:t>
      </w:r>
      <w:r w:rsidR="0052565C">
        <w:rPr>
          <w:sz w:val="18"/>
        </w:rPr>
        <w:t xml:space="preserve"> </w:t>
      </w:r>
      <w:r w:rsidR="004118A2" w:rsidRPr="001156F7">
        <w:rPr>
          <w:sz w:val="18"/>
        </w:rPr>
        <w:t>1.5%</w:t>
      </w:r>
      <w:r>
        <w:rPr>
          <w:sz w:val="18"/>
        </w:rPr>
        <w:t>. Hal ini bertujuan untuk mendapatkan dos terserap</w:t>
      </w:r>
      <w:r w:rsidR="004118A2" w:rsidRPr="001156F7">
        <w:rPr>
          <w:sz w:val="18"/>
        </w:rPr>
        <w:t xml:space="preserve"> </w:t>
      </w:r>
      <w:r>
        <w:rPr>
          <w:sz w:val="18"/>
        </w:rPr>
        <w:t xml:space="preserve">yang tepat </w:t>
      </w:r>
      <w:r w:rsidR="00306800">
        <w:rPr>
          <w:sz w:val="18"/>
        </w:rPr>
        <w:t>bagi</w:t>
      </w:r>
      <w:r>
        <w:rPr>
          <w:sz w:val="18"/>
        </w:rPr>
        <w:t xml:space="preserve"> pesakit yang menjalani rawatan radioterapi</w:t>
      </w:r>
      <w:r w:rsidR="004118A2" w:rsidRPr="001156F7">
        <w:rPr>
          <w:sz w:val="18"/>
        </w:rPr>
        <w:t xml:space="preserve">. </w:t>
      </w:r>
      <w:r>
        <w:rPr>
          <w:sz w:val="18"/>
        </w:rPr>
        <w:t xml:space="preserve">Objektif kerja ini adalah untuk menilai sisihan </w:t>
      </w:r>
      <w:r w:rsidR="004118A2" w:rsidRPr="002321B1">
        <w:rPr>
          <w:i/>
          <w:iCs/>
          <w:sz w:val="18"/>
        </w:rPr>
        <w:t>N</w:t>
      </w:r>
      <w:r w:rsidR="004118A2" w:rsidRPr="002321B1">
        <w:rPr>
          <w:i/>
          <w:iCs/>
          <w:sz w:val="18"/>
          <w:vertAlign w:val="subscript"/>
        </w:rPr>
        <w:t>D,w</w:t>
      </w:r>
      <w:r w:rsidR="004118A2" w:rsidRPr="001156F7">
        <w:rPr>
          <w:sz w:val="18"/>
        </w:rPr>
        <w:t xml:space="preserve"> </w:t>
      </w:r>
      <w:r>
        <w:rPr>
          <w:sz w:val="18"/>
        </w:rPr>
        <w:t>bagi</w:t>
      </w:r>
      <w:r w:rsidR="004118A2" w:rsidRPr="001156F7">
        <w:rPr>
          <w:sz w:val="18"/>
        </w:rPr>
        <w:t xml:space="preserve"> 29 </w:t>
      </w:r>
      <w:r>
        <w:rPr>
          <w:sz w:val="18"/>
        </w:rPr>
        <w:t xml:space="preserve">kebuk pengionan kepunyaan </w:t>
      </w:r>
      <w:r w:rsidR="004118A2" w:rsidRPr="001156F7">
        <w:rPr>
          <w:sz w:val="18"/>
        </w:rPr>
        <w:t xml:space="preserve">16 </w:t>
      </w:r>
      <w:r>
        <w:rPr>
          <w:sz w:val="18"/>
        </w:rPr>
        <w:t>pusat radioterapi tempatan</w:t>
      </w:r>
      <w:r w:rsidR="004118A2" w:rsidRPr="001156F7">
        <w:rPr>
          <w:sz w:val="18"/>
        </w:rPr>
        <w:t xml:space="preserve">. </w:t>
      </w:r>
      <w:r>
        <w:rPr>
          <w:sz w:val="18"/>
        </w:rPr>
        <w:t xml:space="preserve">Lapan jenis kebuk telah dikalibrasi di makmal SSDL Agensi Nuklear </w:t>
      </w:r>
      <w:r w:rsidR="004118A2" w:rsidRPr="001156F7">
        <w:rPr>
          <w:sz w:val="18"/>
        </w:rPr>
        <w:t xml:space="preserve">Malaysia </w:t>
      </w:r>
      <w:r>
        <w:rPr>
          <w:sz w:val="18"/>
        </w:rPr>
        <w:t>dalam tempoh tujuh tahun</w:t>
      </w:r>
      <w:r w:rsidR="004118A2" w:rsidRPr="001156F7">
        <w:rPr>
          <w:sz w:val="18"/>
        </w:rPr>
        <w:t xml:space="preserve">. </w:t>
      </w:r>
      <w:r>
        <w:rPr>
          <w:sz w:val="18"/>
        </w:rPr>
        <w:t xml:space="preserve">Nilai purata </w:t>
      </w:r>
      <w:r w:rsidRPr="001156F7">
        <w:rPr>
          <w:iCs/>
          <w:sz w:val="18"/>
        </w:rPr>
        <w:t>µ</w:t>
      </w:r>
      <w:r>
        <w:rPr>
          <w:sz w:val="18"/>
        </w:rPr>
        <w:t xml:space="preserve"> untuk sisihan </w:t>
      </w:r>
      <w:r w:rsidR="004118A2" w:rsidRPr="00306800">
        <w:rPr>
          <w:i/>
          <w:iCs/>
          <w:sz w:val="18"/>
        </w:rPr>
        <w:t>N</w:t>
      </w:r>
      <w:r w:rsidR="004118A2" w:rsidRPr="00306800">
        <w:rPr>
          <w:i/>
          <w:iCs/>
          <w:sz w:val="18"/>
          <w:vertAlign w:val="subscript"/>
        </w:rPr>
        <w:t>D,w</w:t>
      </w:r>
      <w:r w:rsidR="004118A2" w:rsidRPr="001156F7">
        <w:rPr>
          <w:sz w:val="18"/>
        </w:rPr>
        <w:t xml:space="preserve"> </w:t>
      </w:r>
      <w:r>
        <w:rPr>
          <w:iCs/>
          <w:sz w:val="18"/>
        </w:rPr>
        <w:t>bersama dengan nilai ketidakpastian standard</w:t>
      </w:r>
      <w:r w:rsidR="004118A2" w:rsidRPr="001156F7">
        <w:rPr>
          <w:iCs/>
          <w:sz w:val="18"/>
        </w:rPr>
        <w:t xml:space="preserve"> (SE) </w:t>
      </w:r>
      <w:r>
        <w:rPr>
          <w:iCs/>
          <w:sz w:val="18"/>
        </w:rPr>
        <w:t>dan juga sisihan standard</w:t>
      </w:r>
      <w:r w:rsidR="004118A2" w:rsidRPr="001156F7">
        <w:rPr>
          <w:iCs/>
          <w:sz w:val="18"/>
        </w:rPr>
        <w:t xml:space="preserve"> σ</w:t>
      </w:r>
      <w:r w:rsidR="004118A2" w:rsidRPr="001156F7">
        <w:rPr>
          <w:iCs/>
          <w:sz w:val="18"/>
          <w:vertAlign w:val="subscript"/>
        </w:rPr>
        <w:t>N-1</w:t>
      </w:r>
      <w:r w:rsidR="004118A2" w:rsidRPr="001156F7">
        <w:rPr>
          <w:iCs/>
          <w:sz w:val="18"/>
        </w:rPr>
        <w:t xml:space="preserve"> </w:t>
      </w:r>
      <w:r>
        <w:rPr>
          <w:iCs/>
          <w:sz w:val="18"/>
        </w:rPr>
        <w:t>dikira</w:t>
      </w:r>
      <w:r w:rsidR="004118A2" w:rsidRPr="001156F7">
        <w:rPr>
          <w:iCs/>
          <w:sz w:val="18"/>
        </w:rPr>
        <w:t xml:space="preserve">. </w:t>
      </w:r>
      <w:r>
        <w:rPr>
          <w:iCs/>
          <w:sz w:val="18"/>
        </w:rPr>
        <w:t>Didapati bahawa 2</w:t>
      </w:r>
      <w:r w:rsidR="0052565C">
        <w:rPr>
          <w:iCs/>
          <w:sz w:val="18"/>
        </w:rPr>
        <w:t>6</w:t>
      </w:r>
      <w:r>
        <w:rPr>
          <w:iCs/>
          <w:sz w:val="18"/>
        </w:rPr>
        <w:t xml:space="preserve"> daripada</w:t>
      </w:r>
      <w:r w:rsidR="004118A2" w:rsidRPr="001156F7">
        <w:rPr>
          <w:sz w:val="18"/>
        </w:rPr>
        <w:t xml:space="preserve"> </w:t>
      </w:r>
      <w:r w:rsidR="004118A2" w:rsidRPr="001156F7">
        <w:rPr>
          <w:iCs/>
          <w:sz w:val="18"/>
        </w:rPr>
        <w:t xml:space="preserve">29 </w:t>
      </w:r>
      <w:r>
        <w:rPr>
          <w:iCs/>
          <w:sz w:val="18"/>
        </w:rPr>
        <w:t xml:space="preserve">kebuk menunjukkan nilai </w:t>
      </w:r>
      <w:r w:rsidR="004118A2" w:rsidRPr="001156F7">
        <w:rPr>
          <w:iCs/>
          <w:sz w:val="18"/>
        </w:rPr>
        <w:t xml:space="preserve">µ </w:t>
      </w:r>
      <w:r w:rsidR="004118A2" w:rsidRPr="001156F7">
        <w:rPr>
          <w:sz w:val="18"/>
        </w:rPr>
        <w:t>±</w:t>
      </w:r>
      <w:r w:rsidR="004118A2" w:rsidRPr="001156F7">
        <w:rPr>
          <w:iCs/>
          <w:sz w:val="18"/>
        </w:rPr>
        <w:t xml:space="preserve"> SE </w:t>
      </w:r>
      <w:r>
        <w:rPr>
          <w:iCs/>
          <w:sz w:val="18"/>
        </w:rPr>
        <w:t>berada dalam julat yang dibenarkan iaitu</w:t>
      </w:r>
      <w:r w:rsidR="004118A2" w:rsidRPr="001156F7">
        <w:rPr>
          <w:iCs/>
          <w:sz w:val="18"/>
        </w:rPr>
        <w:t xml:space="preserve"> </w:t>
      </w:r>
      <w:r w:rsidR="004118A2" w:rsidRPr="001156F7">
        <w:rPr>
          <w:sz w:val="18"/>
        </w:rPr>
        <w:t xml:space="preserve">± 1.5%. </w:t>
      </w:r>
      <w:r w:rsidR="0052565C">
        <w:rPr>
          <w:sz w:val="18"/>
        </w:rPr>
        <w:t xml:space="preserve">Walaupun nilai    </w:t>
      </w:r>
      <w:r w:rsidR="0052565C" w:rsidRPr="001156F7">
        <w:rPr>
          <w:iCs/>
          <w:sz w:val="18"/>
        </w:rPr>
        <w:t>µ</w:t>
      </w:r>
      <w:r w:rsidR="0052565C">
        <w:rPr>
          <w:iCs/>
          <w:sz w:val="18"/>
        </w:rPr>
        <w:t xml:space="preserve"> </w:t>
      </w:r>
      <w:r w:rsidR="0052565C" w:rsidRPr="001156F7">
        <w:rPr>
          <w:sz w:val="18"/>
        </w:rPr>
        <w:t>±</w:t>
      </w:r>
      <w:r w:rsidR="0052565C">
        <w:rPr>
          <w:sz w:val="18"/>
        </w:rPr>
        <w:t xml:space="preserve"> </w:t>
      </w:r>
      <w:r w:rsidR="0052565C" w:rsidRPr="001156F7">
        <w:rPr>
          <w:iCs/>
          <w:sz w:val="18"/>
        </w:rPr>
        <w:t xml:space="preserve">SE </w:t>
      </w:r>
      <w:r w:rsidR="0052565C">
        <w:rPr>
          <w:iCs/>
          <w:sz w:val="18"/>
        </w:rPr>
        <w:t xml:space="preserve">untuk tiga kebuk yang lain berada di luar julat </w:t>
      </w:r>
      <w:r w:rsidR="004118A2" w:rsidRPr="001156F7">
        <w:rPr>
          <w:sz w:val="18"/>
        </w:rPr>
        <w:t>±</w:t>
      </w:r>
      <w:r w:rsidR="0052565C">
        <w:rPr>
          <w:sz w:val="18"/>
        </w:rPr>
        <w:t xml:space="preserve"> </w:t>
      </w:r>
      <w:r w:rsidR="004118A2" w:rsidRPr="001156F7">
        <w:rPr>
          <w:sz w:val="18"/>
        </w:rPr>
        <w:t>1.5%,</w:t>
      </w:r>
      <w:r w:rsidR="0052565C">
        <w:rPr>
          <w:sz w:val="18"/>
        </w:rPr>
        <w:t xml:space="preserve"> namun ianya masih </w:t>
      </w:r>
      <w:r w:rsidR="004118A2" w:rsidRPr="001156F7">
        <w:rPr>
          <w:sz w:val="18"/>
        </w:rPr>
        <w:t xml:space="preserve"> </w:t>
      </w:r>
      <w:r w:rsidR="0052565C">
        <w:rPr>
          <w:sz w:val="18"/>
        </w:rPr>
        <w:t>berada dalam aras keyakinan</w:t>
      </w:r>
      <w:r w:rsidR="004118A2" w:rsidRPr="001156F7">
        <w:rPr>
          <w:sz w:val="18"/>
        </w:rPr>
        <w:t xml:space="preserve"> 95% </w:t>
      </w:r>
      <w:r w:rsidR="0052565C">
        <w:rPr>
          <w:sz w:val="18"/>
        </w:rPr>
        <w:t>daripada</w:t>
      </w:r>
      <w:r w:rsidR="004118A2" w:rsidRPr="001156F7">
        <w:rPr>
          <w:sz w:val="18"/>
        </w:rPr>
        <w:t xml:space="preserve"> ± 1.5%. </w:t>
      </w:r>
      <w:r w:rsidR="0052565C">
        <w:rPr>
          <w:sz w:val="18"/>
        </w:rPr>
        <w:t xml:space="preserve">Dapat disimpulkan bahawa nilai </w:t>
      </w:r>
      <w:r w:rsidR="004118A2" w:rsidRPr="002321B1">
        <w:rPr>
          <w:i/>
          <w:sz w:val="18"/>
        </w:rPr>
        <w:t>N</w:t>
      </w:r>
      <w:r w:rsidR="004118A2" w:rsidRPr="002321B1">
        <w:rPr>
          <w:i/>
          <w:sz w:val="18"/>
          <w:vertAlign w:val="subscript"/>
        </w:rPr>
        <w:t>D,</w:t>
      </w:r>
      <w:r>
        <w:rPr>
          <w:i/>
          <w:sz w:val="18"/>
          <w:vertAlign w:val="subscript"/>
        </w:rPr>
        <w:t>w</w:t>
      </w:r>
      <w:r w:rsidR="004118A2" w:rsidRPr="001156F7">
        <w:rPr>
          <w:sz w:val="18"/>
        </w:rPr>
        <w:t xml:space="preserve"> </w:t>
      </w:r>
      <w:r w:rsidR="0052565C">
        <w:rPr>
          <w:sz w:val="18"/>
        </w:rPr>
        <w:t>untuk kebuk pengionan kepunyaan pusat radioterapi tempatan adalah stabil bagi pengukuran dos kepada pesakit.</w:t>
      </w:r>
    </w:p>
    <w:p w:rsidR="004118A2" w:rsidRPr="009E0080" w:rsidRDefault="004118A2" w:rsidP="004118A2">
      <w:pPr>
        <w:rPr>
          <w:b/>
          <w:bCs/>
          <w:sz w:val="18"/>
          <w:szCs w:val="18"/>
        </w:rPr>
      </w:pPr>
    </w:p>
    <w:p w:rsidR="004118A2" w:rsidRPr="004118A2" w:rsidRDefault="004118A2" w:rsidP="004118A2">
      <w:pPr>
        <w:jc w:val="center"/>
        <w:rPr>
          <w:b/>
          <w:bCs/>
          <w:sz w:val="18"/>
          <w:szCs w:val="18"/>
        </w:rPr>
      </w:pPr>
      <w:r w:rsidRPr="009E0080">
        <w:rPr>
          <w:b/>
          <w:bCs/>
          <w:sz w:val="18"/>
          <w:szCs w:val="18"/>
        </w:rPr>
        <w:t xml:space="preserve">Kata kunci: </w:t>
      </w:r>
      <w:r w:rsidRPr="004118A2">
        <w:rPr>
          <w:bCs/>
          <w:sz w:val="18"/>
          <w:szCs w:val="18"/>
        </w:rPr>
        <w:t>Pekali kal</w:t>
      </w:r>
      <w:r w:rsidR="002321B1">
        <w:rPr>
          <w:bCs/>
          <w:sz w:val="18"/>
          <w:szCs w:val="18"/>
        </w:rPr>
        <w:t>i</w:t>
      </w:r>
      <w:r w:rsidRPr="004118A2">
        <w:rPr>
          <w:bCs/>
          <w:sz w:val="18"/>
          <w:szCs w:val="18"/>
        </w:rPr>
        <w:t xml:space="preserve">brasi dos terserap terhadap air, </w:t>
      </w:r>
      <w:r w:rsidRPr="004118A2">
        <w:rPr>
          <w:i/>
          <w:sz w:val="18"/>
          <w:szCs w:val="18"/>
        </w:rPr>
        <w:t>N</w:t>
      </w:r>
      <w:r w:rsidRPr="004118A2">
        <w:rPr>
          <w:i/>
          <w:sz w:val="18"/>
          <w:szCs w:val="18"/>
          <w:vertAlign w:val="subscript"/>
        </w:rPr>
        <w:t>D,w</w:t>
      </w:r>
      <w:r w:rsidRPr="004118A2">
        <w:rPr>
          <w:sz w:val="18"/>
          <w:szCs w:val="18"/>
          <w:vertAlign w:val="subscript"/>
        </w:rPr>
        <w:t xml:space="preserve">, </w:t>
      </w:r>
      <w:r w:rsidR="002321B1">
        <w:rPr>
          <w:sz w:val="18"/>
          <w:szCs w:val="18"/>
        </w:rPr>
        <w:t>p</w:t>
      </w:r>
      <w:r w:rsidRPr="004118A2">
        <w:rPr>
          <w:sz w:val="18"/>
          <w:szCs w:val="18"/>
        </w:rPr>
        <w:t>usat radioterapi tempatan, peratus sisihan, SSDL Malaysia, kestabilan</w:t>
      </w:r>
      <w:r w:rsidRPr="004118A2">
        <w:rPr>
          <w:bCs/>
          <w:sz w:val="18"/>
          <w:szCs w:val="18"/>
        </w:rPr>
        <w:t xml:space="preserve"> </w:t>
      </w:r>
      <w:r w:rsidRPr="004118A2">
        <w:rPr>
          <w:i/>
          <w:sz w:val="18"/>
          <w:szCs w:val="18"/>
        </w:rPr>
        <w:t>N</w:t>
      </w:r>
      <w:r w:rsidRPr="004118A2">
        <w:rPr>
          <w:i/>
          <w:sz w:val="18"/>
          <w:szCs w:val="18"/>
          <w:vertAlign w:val="subscript"/>
        </w:rPr>
        <w:t>D,w</w:t>
      </w:r>
    </w:p>
    <w:p w:rsidR="004118A2" w:rsidRDefault="004118A2" w:rsidP="004118A2">
      <w:pPr>
        <w:rPr>
          <w:b/>
          <w:bCs/>
          <w:sz w:val="20"/>
          <w:szCs w:val="20"/>
        </w:rPr>
      </w:pPr>
    </w:p>
    <w:p w:rsidR="004118A2" w:rsidRDefault="004118A2" w:rsidP="004118A2">
      <w:pPr>
        <w:jc w:val="both"/>
        <w:rPr>
          <w:sz w:val="20"/>
          <w:szCs w:val="20"/>
        </w:rPr>
        <w:sectPr w:rsidR="004118A2" w:rsidSect="004118A2">
          <w:footerReference w:type="even" r:id="rId8"/>
          <w:footerReference w:type="default" r:id="rId9"/>
          <w:pgSz w:w="12240" w:h="15840" w:code="1"/>
          <w:pgMar w:top="1985" w:right="1588" w:bottom="1440" w:left="1588" w:header="720" w:footer="686" w:gutter="0"/>
          <w:cols w:space="720"/>
          <w:docGrid w:linePitch="360"/>
        </w:sectPr>
      </w:pPr>
    </w:p>
    <w:p w:rsidR="004118A2" w:rsidRPr="00AF1161" w:rsidRDefault="004118A2" w:rsidP="004118A2">
      <w:pPr>
        <w:jc w:val="center"/>
        <w:rPr>
          <w:b/>
          <w:bCs/>
          <w:sz w:val="20"/>
          <w:szCs w:val="20"/>
        </w:rPr>
      </w:pPr>
      <w:r w:rsidRPr="00AF1161">
        <w:rPr>
          <w:b/>
          <w:bCs/>
          <w:sz w:val="20"/>
          <w:szCs w:val="20"/>
        </w:rPr>
        <w:lastRenderedPageBreak/>
        <w:t>Introduction</w:t>
      </w:r>
    </w:p>
    <w:p w:rsidR="004118A2" w:rsidRPr="001156F7" w:rsidRDefault="004118A2" w:rsidP="004118A2">
      <w:pPr>
        <w:jc w:val="both"/>
        <w:rPr>
          <w:sz w:val="20"/>
          <w:szCs w:val="20"/>
        </w:rPr>
      </w:pPr>
      <w:r w:rsidRPr="001156F7">
        <w:rPr>
          <w:sz w:val="20"/>
          <w:szCs w:val="20"/>
        </w:rPr>
        <w:t>It has been well documented that accuracy in the beam calibration of the radiotherapy machines would contribute to the accurate</w:t>
      </w:r>
      <w:r>
        <w:rPr>
          <w:sz w:val="20"/>
          <w:szCs w:val="20"/>
        </w:rPr>
        <w:t xml:space="preserve"> </w:t>
      </w:r>
      <w:r w:rsidR="00FF4580">
        <w:rPr>
          <w:sz w:val="20"/>
          <w:szCs w:val="20"/>
        </w:rPr>
        <w:t>dose delivery to the patients [1</w:t>
      </w:r>
      <w:r w:rsidR="002111AE">
        <w:rPr>
          <w:sz w:val="20"/>
          <w:szCs w:val="20"/>
        </w:rPr>
        <w:t>,</w:t>
      </w:r>
      <w:r w:rsidR="00FF4580">
        <w:rPr>
          <w:sz w:val="20"/>
          <w:szCs w:val="20"/>
        </w:rPr>
        <w:t>2</w:t>
      </w:r>
      <w:r>
        <w:rPr>
          <w:sz w:val="20"/>
          <w:szCs w:val="20"/>
        </w:rPr>
        <w:t xml:space="preserve">]. </w:t>
      </w:r>
      <w:r w:rsidRPr="001156F7">
        <w:rPr>
          <w:sz w:val="20"/>
          <w:szCs w:val="20"/>
        </w:rPr>
        <w:t>Therapy level ionization chamber (IC) is the important tool for the calibration, therefore its accurate absorbed dose to water</w:t>
      </w:r>
      <w:r w:rsidRPr="001156F7">
        <w:rPr>
          <w:b/>
          <w:sz w:val="20"/>
          <w:szCs w:val="20"/>
        </w:rPr>
        <w:t xml:space="preserve"> </w:t>
      </w:r>
      <w:r w:rsidRPr="001156F7">
        <w:rPr>
          <w:sz w:val="20"/>
          <w:szCs w:val="20"/>
        </w:rPr>
        <w:t xml:space="preserve">calibration coefficient, </w:t>
      </w:r>
      <w:r w:rsidRPr="00260D6C">
        <w:rPr>
          <w:i/>
          <w:sz w:val="20"/>
          <w:szCs w:val="20"/>
        </w:rPr>
        <w:t>N</w:t>
      </w:r>
      <w:r w:rsidRPr="00260D6C">
        <w:rPr>
          <w:i/>
          <w:sz w:val="20"/>
          <w:szCs w:val="20"/>
          <w:vertAlign w:val="subscript"/>
        </w:rPr>
        <w:t>D,w</w:t>
      </w:r>
      <w:r w:rsidRPr="001156F7">
        <w:rPr>
          <w:sz w:val="20"/>
          <w:szCs w:val="20"/>
        </w:rPr>
        <w:t xml:space="preserve"> certainly would contribute to the accurate dose delivery</w:t>
      </w:r>
      <w:r w:rsidR="00E2120B">
        <w:rPr>
          <w:sz w:val="20"/>
          <w:szCs w:val="20"/>
        </w:rPr>
        <w:t xml:space="preserve"> [</w:t>
      </w:r>
      <w:r w:rsidR="00FF4580">
        <w:rPr>
          <w:sz w:val="20"/>
          <w:szCs w:val="20"/>
        </w:rPr>
        <w:t>3</w:t>
      </w:r>
      <w:r w:rsidR="00E2120B">
        <w:rPr>
          <w:sz w:val="20"/>
          <w:szCs w:val="20"/>
        </w:rPr>
        <w:t>]</w:t>
      </w:r>
      <w:r w:rsidRPr="001156F7">
        <w:rPr>
          <w:sz w:val="20"/>
          <w:szCs w:val="20"/>
        </w:rPr>
        <w:t xml:space="preserve">. It is anticipated that the </w:t>
      </w:r>
      <w:r w:rsidRPr="00260D6C">
        <w:rPr>
          <w:i/>
          <w:sz w:val="20"/>
          <w:szCs w:val="20"/>
        </w:rPr>
        <w:t>N</w:t>
      </w:r>
      <w:r w:rsidRPr="00260D6C">
        <w:rPr>
          <w:i/>
          <w:sz w:val="20"/>
          <w:szCs w:val="20"/>
          <w:vertAlign w:val="subscript"/>
        </w:rPr>
        <w:t>D,w</w:t>
      </w:r>
      <w:r w:rsidRPr="001156F7">
        <w:rPr>
          <w:sz w:val="20"/>
          <w:szCs w:val="20"/>
        </w:rPr>
        <w:t xml:space="preserve"> of an IC would change with time, therefore the IAEA has recommended that an IC should be calibrated every year for its </w:t>
      </w:r>
      <w:r w:rsidRPr="00260D6C">
        <w:rPr>
          <w:i/>
          <w:sz w:val="20"/>
          <w:szCs w:val="20"/>
        </w:rPr>
        <w:t>N</w:t>
      </w:r>
      <w:r w:rsidRPr="00260D6C">
        <w:rPr>
          <w:i/>
          <w:sz w:val="20"/>
          <w:szCs w:val="20"/>
          <w:vertAlign w:val="subscript"/>
        </w:rPr>
        <w:t>D,w</w:t>
      </w:r>
      <w:r w:rsidR="00E2120B">
        <w:rPr>
          <w:i/>
          <w:sz w:val="20"/>
          <w:szCs w:val="20"/>
          <w:vertAlign w:val="subscript"/>
        </w:rPr>
        <w:t xml:space="preserve"> </w:t>
      </w:r>
      <w:r w:rsidR="00E2120B" w:rsidRPr="00E2120B">
        <w:rPr>
          <w:sz w:val="20"/>
          <w:szCs w:val="20"/>
        </w:rPr>
        <w:t>[</w:t>
      </w:r>
      <w:r w:rsidR="00FF4580">
        <w:rPr>
          <w:sz w:val="20"/>
          <w:szCs w:val="20"/>
        </w:rPr>
        <w:t>4</w:t>
      </w:r>
      <w:r w:rsidR="00E2120B" w:rsidRPr="00E2120B">
        <w:rPr>
          <w:sz w:val="20"/>
          <w:szCs w:val="20"/>
        </w:rPr>
        <w:t>]</w:t>
      </w:r>
      <w:r w:rsidRPr="001156F7">
        <w:rPr>
          <w:sz w:val="20"/>
          <w:szCs w:val="20"/>
        </w:rPr>
        <w:t xml:space="preserve">. </w:t>
      </w:r>
    </w:p>
    <w:p w:rsidR="004118A2" w:rsidRPr="001156F7" w:rsidRDefault="004118A2" w:rsidP="004118A2">
      <w:pPr>
        <w:jc w:val="both"/>
        <w:rPr>
          <w:sz w:val="20"/>
          <w:szCs w:val="20"/>
        </w:rPr>
      </w:pPr>
    </w:p>
    <w:p w:rsidR="004118A2" w:rsidRPr="001156F7" w:rsidRDefault="004118A2" w:rsidP="004118A2">
      <w:pPr>
        <w:jc w:val="both"/>
        <w:rPr>
          <w:sz w:val="20"/>
          <w:szCs w:val="20"/>
        </w:rPr>
      </w:pPr>
      <w:r w:rsidRPr="001156F7">
        <w:rPr>
          <w:sz w:val="20"/>
          <w:szCs w:val="20"/>
        </w:rPr>
        <w:t xml:space="preserve">For the determination of </w:t>
      </w:r>
      <w:r w:rsidRPr="00260D6C">
        <w:rPr>
          <w:i/>
          <w:sz w:val="20"/>
          <w:szCs w:val="20"/>
        </w:rPr>
        <w:t>N</w:t>
      </w:r>
      <w:r w:rsidRPr="00260D6C">
        <w:rPr>
          <w:i/>
          <w:sz w:val="20"/>
          <w:szCs w:val="20"/>
          <w:vertAlign w:val="subscript"/>
        </w:rPr>
        <w:t>D,w</w:t>
      </w:r>
      <w:r w:rsidRPr="001156F7">
        <w:rPr>
          <w:sz w:val="20"/>
          <w:szCs w:val="20"/>
        </w:rPr>
        <w:t>, SSDL Malaysia of Malaysian Nuclear Agency (Nuclear Malaysia) has participated in the postal</w:t>
      </w:r>
      <w:r>
        <w:rPr>
          <w:sz w:val="20"/>
          <w:szCs w:val="20"/>
        </w:rPr>
        <w:t xml:space="preserve"> IC intercomparison programmes [</w:t>
      </w:r>
      <w:r w:rsidR="00FF4580">
        <w:rPr>
          <w:sz w:val="20"/>
          <w:szCs w:val="20"/>
        </w:rPr>
        <w:t>5</w:t>
      </w:r>
      <w:r>
        <w:rPr>
          <w:sz w:val="20"/>
          <w:szCs w:val="20"/>
        </w:rPr>
        <w:t>]</w:t>
      </w:r>
      <w:r w:rsidRPr="001156F7">
        <w:rPr>
          <w:sz w:val="20"/>
          <w:szCs w:val="20"/>
        </w:rPr>
        <w:t xml:space="preserve">. Some of the results are shown in Table 1, which shows that the laboratory has provided therapy-level </w:t>
      </w:r>
      <w:r w:rsidRPr="00260D6C">
        <w:rPr>
          <w:i/>
          <w:sz w:val="20"/>
          <w:szCs w:val="20"/>
        </w:rPr>
        <w:t>N</w:t>
      </w:r>
      <w:r w:rsidRPr="00260D6C">
        <w:rPr>
          <w:i/>
          <w:sz w:val="20"/>
          <w:szCs w:val="20"/>
          <w:vertAlign w:val="subscript"/>
        </w:rPr>
        <w:t>D,w</w:t>
      </w:r>
      <w:r w:rsidRPr="001156F7">
        <w:rPr>
          <w:sz w:val="20"/>
          <w:szCs w:val="20"/>
        </w:rPr>
        <w:t xml:space="preserve"> values within the internationally accepted standards i.e. within the ± 1.5%. For this reason, Nuclear Malaysia is capable for providing the </w:t>
      </w:r>
      <w:r w:rsidRPr="00260D6C">
        <w:rPr>
          <w:i/>
          <w:sz w:val="20"/>
          <w:szCs w:val="20"/>
        </w:rPr>
        <w:t>N</w:t>
      </w:r>
      <w:r w:rsidRPr="00260D6C">
        <w:rPr>
          <w:i/>
          <w:sz w:val="20"/>
          <w:szCs w:val="20"/>
          <w:vertAlign w:val="subscript"/>
        </w:rPr>
        <w:t>D,w</w:t>
      </w:r>
      <w:r w:rsidRPr="001156F7">
        <w:rPr>
          <w:sz w:val="20"/>
          <w:szCs w:val="20"/>
        </w:rPr>
        <w:t xml:space="preserve"> values for IC belonging to the local radiotherapy centres (RC).</w:t>
      </w:r>
    </w:p>
    <w:p w:rsidR="004118A2" w:rsidRPr="001156F7" w:rsidRDefault="004118A2" w:rsidP="004118A2">
      <w:pPr>
        <w:jc w:val="both"/>
        <w:rPr>
          <w:sz w:val="20"/>
          <w:szCs w:val="20"/>
        </w:rPr>
      </w:pPr>
    </w:p>
    <w:p w:rsidR="004118A2" w:rsidRDefault="004118A2" w:rsidP="004118A2">
      <w:pPr>
        <w:jc w:val="both"/>
        <w:rPr>
          <w:sz w:val="20"/>
          <w:szCs w:val="20"/>
        </w:rPr>
      </w:pPr>
      <w:r w:rsidRPr="001156F7">
        <w:rPr>
          <w:sz w:val="20"/>
          <w:szCs w:val="20"/>
        </w:rPr>
        <w:t xml:space="preserve">The purpose of this work is to study the </w:t>
      </w:r>
      <w:r w:rsidRPr="00260D6C">
        <w:rPr>
          <w:i/>
          <w:sz w:val="20"/>
          <w:szCs w:val="20"/>
        </w:rPr>
        <w:t>N</w:t>
      </w:r>
      <w:r w:rsidRPr="00260D6C">
        <w:rPr>
          <w:i/>
          <w:sz w:val="20"/>
          <w:szCs w:val="20"/>
          <w:vertAlign w:val="subscript"/>
        </w:rPr>
        <w:t>D,w</w:t>
      </w:r>
      <w:r w:rsidRPr="001156F7">
        <w:rPr>
          <w:sz w:val="20"/>
          <w:szCs w:val="20"/>
        </w:rPr>
        <w:t xml:space="preserve"> values of 29 ICs belonging to the 16 RC, from the year 2004 to 2010. These </w:t>
      </w:r>
      <w:r w:rsidRPr="00260D6C">
        <w:rPr>
          <w:i/>
          <w:sz w:val="20"/>
          <w:szCs w:val="20"/>
        </w:rPr>
        <w:t>N</w:t>
      </w:r>
      <w:r w:rsidRPr="00260D6C">
        <w:rPr>
          <w:i/>
          <w:sz w:val="20"/>
          <w:szCs w:val="20"/>
          <w:vertAlign w:val="subscript"/>
        </w:rPr>
        <w:t>D,w</w:t>
      </w:r>
      <w:r w:rsidRPr="001156F7">
        <w:rPr>
          <w:sz w:val="20"/>
          <w:szCs w:val="20"/>
        </w:rPr>
        <w:t xml:space="preserve"> values were determined by Nuclear Malaysia. The objective is to find out how the </w:t>
      </w:r>
      <w:r w:rsidRPr="00260D6C">
        <w:rPr>
          <w:i/>
          <w:sz w:val="20"/>
          <w:szCs w:val="20"/>
        </w:rPr>
        <w:t>N</w:t>
      </w:r>
      <w:r w:rsidRPr="00260D6C">
        <w:rPr>
          <w:i/>
          <w:sz w:val="20"/>
          <w:szCs w:val="20"/>
          <w:vertAlign w:val="subscript"/>
        </w:rPr>
        <w:t>D,w</w:t>
      </w:r>
      <w:r w:rsidRPr="001156F7">
        <w:rPr>
          <w:sz w:val="20"/>
          <w:szCs w:val="20"/>
        </w:rPr>
        <w:t xml:space="preserve"> values vary with time i.e. its stability.</w:t>
      </w:r>
    </w:p>
    <w:p w:rsidR="004118A2" w:rsidRDefault="004118A2" w:rsidP="004118A2">
      <w:pPr>
        <w:jc w:val="both"/>
        <w:rPr>
          <w:sz w:val="20"/>
          <w:szCs w:val="20"/>
        </w:rPr>
      </w:pPr>
    </w:p>
    <w:p w:rsidR="004118A2" w:rsidRPr="00AF1161" w:rsidRDefault="004118A2" w:rsidP="004118A2">
      <w:pPr>
        <w:pStyle w:val="ListParagraph"/>
        <w:tabs>
          <w:tab w:val="left" w:pos="993"/>
        </w:tabs>
        <w:jc w:val="center"/>
        <w:rPr>
          <w:bCs/>
          <w:sz w:val="18"/>
          <w:szCs w:val="20"/>
        </w:rPr>
      </w:pPr>
      <w:r w:rsidRPr="00AF1161">
        <w:rPr>
          <w:bCs/>
          <w:sz w:val="18"/>
          <w:szCs w:val="20"/>
        </w:rPr>
        <w:t>Table 1</w:t>
      </w:r>
      <w:r w:rsidR="00E44D86">
        <w:rPr>
          <w:bCs/>
          <w:sz w:val="18"/>
          <w:szCs w:val="20"/>
        </w:rPr>
        <w:t>:</w:t>
      </w:r>
      <w:r w:rsidRPr="00AF1161">
        <w:rPr>
          <w:bCs/>
          <w:sz w:val="18"/>
          <w:szCs w:val="20"/>
        </w:rPr>
        <w:tab/>
        <w:t xml:space="preserve">The intercomparison results of </w:t>
      </w:r>
      <w:r w:rsidRPr="00AF1161">
        <w:rPr>
          <w:bCs/>
          <w:i/>
          <w:iCs/>
          <w:sz w:val="18"/>
          <w:szCs w:val="20"/>
        </w:rPr>
        <w:t>N</w:t>
      </w:r>
      <w:r w:rsidRPr="00AF1161">
        <w:rPr>
          <w:bCs/>
          <w:i/>
          <w:iCs/>
          <w:sz w:val="18"/>
          <w:szCs w:val="20"/>
          <w:vertAlign w:val="subscript"/>
        </w:rPr>
        <w:t>D,</w:t>
      </w:r>
      <w:r w:rsidR="00260D6C">
        <w:rPr>
          <w:bCs/>
          <w:i/>
          <w:iCs/>
          <w:sz w:val="18"/>
          <w:szCs w:val="20"/>
          <w:vertAlign w:val="subscript"/>
        </w:rPr>
        <w:t>w</w:t>
      </w:r>
      <w:r w:rsidRPr="00AF1161">
        <w:rPr>
          <w:bCs/>
          <w:sz w:val="18"/>
          <w:szCs w:val="20"/>
        </w:rPr>
        <w:t xml:space="preserve"> between</w:t>
      </w:r>
      <w:r>
        <w:rPr>
          <w:bCs/>
          <w:sz w:val="18"/>
          <w:szCs w:val="20"/>
        </w:rPr>
        <w:t xml:space="preserve"> Nuclear Malaysia (NM) and IAEA</w:t>
      </w:r>
    </w:p>
    <w:p w:rsidR="004118A2" w:rsidRDefault="004118A2" w:rsidP="004118A2">
      <w:pPr>
        <w:jc w:val="center"/>
        <w:rPr>
          <w:b/>
          <w:bCs/>
          <w:sz w:val="20"/>
          <w:szCs w:val="20"/>
        </w:rPr>
      </w:pPr>
    </w:p>
    <w:tbl>
      <w:tblPr>
        <w:tblpPr w:leftFromText="180" w:rightFromText="180" w:vertAnchor="text" w:horzAnchor="margin" w:tblpXSpec="center" w:tblpY="44"/>
        <w:tblW w:w="5559" w:type="dxa"/>
        <w:tblCellMar>
          <w:left w:w="0" w:type="dxa"/>
          <w:right w:w="0" w:type="dxa"/>
        </w:tblCellMar>
        <w:tblLook w:val="0000"/>
      </w:tblPr>
      <w:tblGrid>
        <w:gridCol w:w="1291"/>
        <w:gridCol w:w="1120"/>
        <w:gridCol w:w="1177"/>
        <w:gridCol w:w="851"/>
        <w:gridCol w:w="1120"/>
      </w:tblGrid>
      <w:tr w:rsidR="004118A2" w:rsidRPr="00F53CC2" w:rsidTr="002321B1">
        <w:trPr>
          <w:cantSplit/>
          <w:trHeight w:val="243"/>
        </w:trPr>
        <w:tc>
          <w:tcPr>
            <w:tcW w:w="1291" w:type="dxa"/>
            <w:vMerge w:val="restart"/>
            <w:tcBorders>
              <w:top w:val="single" w:sz="8" w:space="0" w:color="auto"/>
              <w:left w:val="nil"/>
              <w:right w:val="nil"/>
            </w:tcBorders>
            <w:noWrap/>
            <w:tcMar>
              <w:top w:w="15" w:type="dxa"/>
              <w:left w:w="15" w:type="dxa"/>
              <w:bottom w:w="0" w:type="dxa"/>
              <w:right w:w="15" w:type="dxa"/>
            </w:tcMar>
            <w:vAlign w:val="center"/>
          </w:tcPr>
          <w:p w:rsidR="004118A2" w:rsidRPr="00F53CC2" w:rsidRDefault="004118A2" w:rsidP="002321B1">
            <w:pPr>
              <w:pStyle w:val="Heading1"/>
              <w:rPr>
                <w:rFonts w:eastAsia="Arial Unicode MS"/>
                <w:b w:val="0"/>
                <w:sz w:val="18"/>
                <w:szCs w:val="20"/>
              </w:rPr>
            </w:pPr>
            <w:r w:rsidRPr="00F53CC2">
              <w:rPr>
                <w:b w:val="0"/>
                <w:sz w:val="18"/>
                <w:szCs w:val="20"/>
              </w:rPr>
              <w:t>Calibration Year</w:t>
            </w:r>
          </w:p>
        </w:tc>
        <w:tc>
          <w:tcPr>
            <w:tcW w:w="1120" w:type="dxa"/>
            <w:vMerge w:val="restart"/>
            <w:tcBorders>
              <w:top w:val="single" w:sz="8" w:space="0" w:color="auto"/>
              <w:left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bCs/>
                <w:sz w:val="18"/>
                <w:szCs w:val="20"/>
              </w:rPr>
            </w:pPr>
            <w:r w:rsidRPr="00F53CC2">
              <w:rPr>
                <w:bCs/>
                <w:sz w:val="18"/>
                <w:szCs w:val="20"/>
              </w:rPr>
              <w:t>IC Model</w:t>
            </w:r>
          </w:p>
        </w:tc>
        <w:tc>
          <w:tcPr>
            <w:tcW w:w="2028" w:type="dxa"/>
            <w:gridSpan w:val="2"/>
            <w:tcBorders>
              <w:top w:val="single" w:sz="8" w:space="0" w:color="auto"/>
              <w:left w:val="nil"/>
              <w:bottom w:val="single" w:sz="8" w:space="0" w:color="auto"/>
              <w:right w:val="nil"/>
            </w:tcBorders>
            <w:noWrap/>
            <w:tcMar>
              <w:top w:w="15" w:type="dxa"/>
              <w:left w:w="15" w:type="dxa"/>
              <w:bottom w:w="0" w:type="dxa"/>
              <w:right w:w="15" w:type="dxa"/>
            </w:tcMar>
            <w:vAlign w:val="center"/>
          </w:tcPr>
          <w:p w:rsidR="004118A2" w:rsidRPr="00F53CC2" w:rsidRDefault="004118A2" w:rsidP="00260D6C">
            <w:pPr>
              <w:jc w:val="center"/>
              <w:rPr>
                <w:rFonts w:eastAsia="Arial Unicode MS"/>
                <w:bCs/>
                <w:sz w:val="18"/>
                <w:szCs w:val="20"/>
              </w:rPr>
            </w:pPr>
            <w:r w:rsidRPr="00F53CC2">
              <w:rPr>
                <w:bCs/>
                <w:i/>
                <w:iCs/>
                <w:sz w:val="18"/>
                <w:szCs w:val="20"/>
              </w:rPr>
              <w:t>N</w:t>
            </w:r>
            <w:r w:rsidRPr="00F53CC2">
              <w:rPr>
                <w:bCs/>
                <w:i/>
                <w:iCs/>
                <w:sz w:val="18"/>
                <w:szCs w:val="20"/>
                <w:vertAlign w:val="subscript"/>
              </w:rPr>
              <w:t>D,</w:t>
            </w:r>
            <w:r w:rsidR="00260D6C">
              <w:rPr>
                <w:bCs/>
                <w:i/>
                <w:iCs/>
                <w:sz w:val="18"/>
                <w:szCs w:val="20"/>
                <w:vertAlign w:val="subscript"/>
              </w:rPr>
              <w:t>w</w:t>
            </w:r>
            <w:r w:rsidRPr="00F53CC2">
              <w:rPr>
                <w:bCs/>
                <w:sz w:val="18"/>
                <w:szCs w:val="20"/>
              </w:rPr>
              <w:t xml:space="preserve"> (mGy/nC)</w:t>
            </w:r>
          </w:p>
        </w:tc>
        <w:tc>
          <w:tcPr>
            <w:tcW w:w="1120" w:type="dxa"/>
            <w:vMerge w:val="restart"/>
            <w:tcBorders>
              <w:top w:val="single" w:sz="8" w:space="0" w:color="auto"/>
              <w:left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bCs/>
                <w:sz w:val="18"/>
                <w:szCs w:val="20"/>
              </w:rPr>
            </w:pPr>
            <w:r w:rsidRPr="00F53CC2">
              <w:rPr>
                <w:bCs/>
                <w:sz w:val="18"/>
                <w:szCs w:val="20"/>
              </w:rPr>
              <w:t xml:space="preserve">Deviation </w:t>
            </w:r>
          </w:p>
          <w:p w:rsidR="004118A2" w:rsidRPr="00F53CC2" w:rsidRDefault="004118A2" w:rsidP="002321B1">
            <w:pPr>
              <w:jc w:val="center"/>
              <w:rPr>
                <w:rFonts w:eastAsia="Arial Unicode MS"/>
                <w:b/>
                <w:bCs/>
                <w:sz w:val="18"/>
                <w:szCs w:val="20"/>
              </w:rPr>
            </w:pPr>
            <w:r w:rsidRPr="00F53CC2">
              <w:rPr>
                <w:bCs/>
                <w:sz w:val="18"/>
                <w:szCs w:val="20"/>
              </w:rPr>
              <w:t>(%)</w:t>
            </w:r>
          </w:p>
        </w:tc>
      </w:tr>
      <w:tr w:rsidR="004118A2" w:rsidRPr="00F53CC2" w:rsidTr="002321B1">
        <w:trPr>
          <w:cantSplit/>
          <w:trHeight w:val="285"/>
        </w:trPr>
        <w:tc>
          <w:tcPr>
            <w:tcW w:w="1291" w:type="dxa"/>
            <w:vMerge/>
            <w:tcBorders>
              <w:left w:val="nil"/>
              <w:bottom w:val="single" w:sz="8" w:space="0" w:color="auto"/>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p>
        </w:tc>
        <w:tc>
          <w:tcPr>
            <w:tcW w:w="0" w:type="auto"/>
            <w:vMerge/>
            <w:tcBorders>
              <w:left w:val="nil"/>
              <w:bottom w:val="single" w:sz="8" w:space="0" w:color="auto"/>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p>
        </w:tc>
        <w:tc>
          <w:tcPr>
            <w:tcW w:w="1177" w:type="dxa"/>
            <w:tcBorders>
              <w:top w:val="nil"/>
              <w:left w:val="nil"/>
              <w:bottom w:val="single" w:sz="8" w:space="0" w:color="auto"/>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bCs/>
                <w:sz w:val="18"/>
                <w:szCs w:val="20"/>
              </w:rPr>
            </w:pPr>
            <w:r w:rsidRPr="00F53CC2">
              <w:rPr>
                <w:bCs/>
                <w:sz w:val="18"/>
                <w:szCs w:val="20"/>
              </w:rPr>
              <w:t>NM</w:t>
            </w:r>
          </w:p>
        </w:tc>
        <w:tc>
          <w:tcPr>
            <w:tcW w:w="851" w:type="dxa"/>
            <w:tcBorders>
              <w:top w:val="nil"/>
              <w:left w:val="nil"/>
              <w:bottom w:val="single" w:sz="8" w:space="0" w:color="auto"/>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bCs/>
                <w:sz w:val="18"/>
                <w:szCs w:val="20"/>
              </w:rPr>
            </w:pPr>
            <w:r w:rsidRPr="00F53CC2">
              <w:rPr>
                <w:bCs/>
                <w:sz w:val="18"/>
                <w:szCs w:val="20"/>
              </w:rPr>
              <w:t>IAEA</w:t>
            </w:r>
          </w:p>
        </w:tc>
        <w:tc>
          <w:tcPr>
            <w:tcW w:w="0" w:type="auto"/>
            <w:vMerge/>
            <w:tcBorders>
              <w:left w:val="nil"/>
              <w:bottom w:val="single" w:sz="8" w:space="0" w:color="auto"/>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p>
        </w:tc>
      </w:tr>
      <w:tr w:rsidR="004118A2" w:rsidRPr="00F53CC2" w:rsidTr="002321B1">
        <w:trPr>
          <w:trHeight w:val="300"/>
        </w:trPr>
        <w:tc>
          <w:tcPr>
            <w:tcW w:w="1291"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1995</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NE 2581</w:t>
            </w:r>
          </w:p>
        </w:tc>
        <w:tc>
          <w:tcPr>
            <w:tcW w:w="1177"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57.20</w:t>
            </w:r>
          </w:p>
        </w:tc>
        <w:tc>
          <w:tcPr>
            <w:tcW w:w="851"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56.79</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 xml:space="preserve">  0.72</w:t>
            </w:r>
          </w:p>
        </w:tc>
      </w:tr>
      <w:tr w:rsidR="004118A2" w:rsidRPr="00F53CC2" w:rsidTr="002321B1">
        <w:trPr>
          <w:trHeight w:val="300"/>
        </w:trPr>
        <w:tc>
          <w:tcPr>
            <w:tcW w:w="1291"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1997</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NE 2581</w:t>
            </w:r>
          </w:p>
        </w:tc>
        <w:tc>
          <w:tcPr>
            <w:tcW w:w="1177"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57.08</w:t>
            </w:r>
          </w:p>
        </w:tc>
        <w:tc>
          <w:tcPr>
            <w:tcW w:w="851"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57.07</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 xml:space="preserve">  0.02</w:t>
            </w:r>
          </w:p>
        </w:tc>
      </w:tr>
      <w:tr w:rsidR="004118A2" w:rsidRPr="00F53CC2" w:rsidTr="002321B1">
        <w:trPr>
          <w:trHeight w:val="300"/>
        </w:trPr>
        <w:tc>
          <w:tcPr>
            <w:tcW w:w="1291"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1998</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NE 2571</w:t>
            </w:r>
          </w:p>
        </w:tc>
        <w:tc>
          <w:tcPr>
            <w:tcW w:w="1177"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45.33</w:t>
            </w:r>
          </w:p>
        </w:tc>
        <w:tc>
          <w:tcPr>
            <w:tcW w:w="851"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45.39</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- 0.13</w:t>
            </w:r>
          </w:p>
        </w:tc>
      </w:tr>
      <w:tr w:rsidR="004118A2" w:rsidRPr="00F53CC2" w:rsidTr="002321B1">
        <w:trPr>
          <w:trHeight w:val="300"/>
        </w:trPr>
        <w:tc>
          <w:tcPr>
            <w:tcW w:w="1291"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2002</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M 30001</w:t>
            </w:r>
          </w:p>
        </w:tc>
        <w:tc>
          <w:tcPr>
            <w:tcW w:w="1177"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52.46</w:t>
            </w:r>
          </w:p>
        </w:tc>
        <w:tc>
          <w:tcPr>
            <w:tcW w:w="851"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52.35</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 xml:space="preserve">   0.21</w:t>
            </w:r>
          </w:p>
        </w:tc>
      </w:tr>
      <w:tr w:rsidR="004118A2" w:rsidRPr="00F53CC2" w:rsidTr="002321B1">
        <w:trPr>
          <w:trHeight w:val="300"/>
        </w:trPr>
        <w:tc>
          <w:tcPr>
            <w:tcW w:w="1291" w:type="dxa"/>
            <w:tcBorders>
              <w:top w:val="nil"/>
              <w:left w:val="nil"/>
              <w:bottom w:val="single" w:sz="4" w:space="0" w:color="auto"/>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2004</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M 30001</w:t>
            </w:r>
          </w:p>
        </w:tc>
        <w:tc>
          <w:tcPr>
            <w:tcW w:w="1177" w:type="dxa"/>
            <w:tcBorders>
              <w:top w:val="nil"/>
              <w:left w:val="nil"/>
              <w:bottom w:val="single" w:sz="4" w:space="0" w:color="auto"/>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52.52</w:t>
            </w:r>
          </w:p>
        </w:tc>
        <w:tc>
          <w:tcPr>
            <w:tcW w:w="851" w:type="dxa"/>
            <w:tcBorders>
              <w:top w:val="nil"/>
              <w:left w:val="nil"/>
              <w:bottom w:val="single" w:sz="4" w:space="0" w:color="auto"/>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52.35</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rsidR="004118A2" w:rsidRPr="00F53CC2" w:rsidRDefault="004118A2" w:rsidP="002321B1">
            <w:pPr>
              <w:jc w:val="center"/>
              <w:rPr>
                <w:rFonts w:eastAsia="Arial Unicode MS"/>
                <w:sz w:val="18"/>
                <w:szCs w:val="20"/>
              </w:rPr>
            </w:pPr>
            <w:r w:rsidRPr="00F53CC2">
              <w:rPr>
                <w:sz w:val="18"/>
                <w:szCs w:val="20"/>
              </w:rPr>
              <w:t xml:space="preserve">   0.32</w:t>
            </w:r>
          </w:p>
        </w:tc>
      </w:tr>
    </w:tbl>
    <w:p w:rsidR="004118A2" w:rsidRDefault="004118A2" w:rsidP="004118A2">
      <w:pPr>
        <w:jc w:val="center"/>
        <w:rPr>
          <w:b/>
          <w:bCs/>
          <w:sz w:val="20"/>
          <w:szCs w:val="20"/>
        </w:rPr>
      </w:pPr>
    </w:p>
    <w:p w:rsidR="004118A2" w:rsidRDefault="004118A2" w:rsidP="004118A2">
      <w:pPr>
        <w:jc w:val="center"/>
        <w:rPr>
          <w:b/>
          <w:bCs/>
          <w:sz w:val="20"/>
          <w:szCs w:val="20"/>
        </w:rPr>
      </w:pPr>
    </w:p>
    <w:p w:rsidR="004118A2" w:rsidRDefault="004118A2" w:rsidP="004118A2">
      <w:pPr>
        <w:jc w:val="center"/>
        <w:rPr>
          <w:b/>
          <w:bCs/>
          <w:sz w:val="20"/>
          <w:szCs w:val="20"/>
        </w:rPr>
      </w:pPr>
    </w:p>
    <w:p w:rsidR="004118A2" w:rsidRDefault="004118A2" w:rsidP="004118A2">
      <w:pPr>
        <w:jc w:val="center"/>
        <w:rPr>
          <w:b/>
          <w:bCs/>
          <w:sz w:val="20"/>
          <w:szCs w:val="20"/>
        </w:rPr>
      </w:pPr>
    </w:p>
    <w:p w:rsidR="004118A2" w:rsidRDefault="004118A2" w:rsidP="004118A2">
      <w:pPr>
        <w:jc w:val="center"/>
        <w:rPr>
          <w:b/>
          <w:bCs/>
          <w:sz w:val="20"/>
          <w:szCs w:val="20"/>
        </w:rPr>
      </w:pPr>
    </w:p>
    <w:p w:rsidR="004118A2" w:rsidRDefault="004118A2" w:rsidP="004118A2">
      <w:pPr>
        <w:jc w:val="center"/>
        <w:rPr>
          <w:b/>
          <w:bCs/>
          <w:sz w:val="20"/>
          <w:szCs w:val="20"/>
        </w:rPr>
      </w:pPr>
    </w:p>
    <w:p w:rsidR="004118A2" w:rsidRDefault="004118A2" w:rsidP="004118A2">
      <w:pPr>
        <w:jc w:val="center"/>
        <w:rPr>
          <w:b/>
          <w:bCs/>
          <w:sz w:val="20"/>
          <w:szCs w:val="20"/>
        </w:rPr>
      </w:pPr>
    </w:p>
    <w:p w:rsidR="004118A2" w:rsidRDefault="004118A2" w:rsidP="004118A2">
      <w:pPr>
        <w:jc w:val="center"/>
        <w:rPr>
          <w:b/>
          <w:bCs/>
          <w:sz w:val="20"/>
          <w:szCs w:val="20"/>
        </w:rPr>
      </w:pPr>
    </w:p>
    <w:p w:rsidR="004118A2" w:rsidRDefault="004118A2" w:rsidP="004118A2">
      <w:pPr>
        <w:jc w:val="center"/>
        <w:rPr>
          <w:b/>
          <w:bCs/>
          <w:sz w:val="20"/>
          <w:szCs w:val="20"/>
        </w:rPr>
      </w:pPr>
    </w:p>
    <w:p w:rsidR="004118A2" w:rsidRPr="001156F7" w:rsidRDefault="004118A2" w:rsidP="004118A2">
      <w:pPr>
        <w:jc w:val="both"/>
        <w:rPr>
          <w:sz w:val="20"/>
          <w:szCs w:val="20"/>
        </w:rPr>
      </w:pPr>
    </w:p>
    <w:p w:rsidR="004118A2" w:rsidRDefault="004118A2" w:rsidP="004118A2">
      <w:pPr>
        <w:jc w:val="center"/>
        <w:rPr>
          <w:b/>
          <w:bCs/>
          <w:sz w:val="20"/>
          <w:szCs w:val="20"/>
        </w:rPr>
      </w:pPr>
    </w:p>
    <w:p w:rsidR="004118A2" w:rsidRPr="00BF76A2" w:rsidRDefault="004118A2" w:rsidP="004118A2">
      <w:pPr>
        <w:jc w:val="center"/>
        <w:rPr>
          <w:b/>
          <w:bCs/>
          <w:sz w:val="20"/>
          <w:szCs w:val="20"/>
        </w:rPr>
      </w:pPr>
      <w:r>
        <w:rPr>
          <w:b/>
          <w:bCs/>
          <w:sz w:val="20"/>
          <w:szCs w:val="20"/>
        </w:rPr>
        <w:t>Experimental</w:t>
      </w:r>
    </w:p>
    <w:p w:rsidR="004118A2" w:rsidRDefault="004118A2" w:rsidP="004118A2">
      <w:pPr>
        <w:jc w:val="both"/>
        <w:rPr>
          <w:sz w:val="20"/>
          <w:szCs w:val="20"/>
        </w:rPr>
      </w:pPr>
    </w:p>
    <w:p w:rsidR="004118A2" w:rsidRDefault="00FF4580" w:rsidP="004118A2">
      <w:pPr>
        <w:jc w:val="center"/>
        <w:rPr>
          <w:sz w:val="20"/>
          <w:szCs w:val="20"/>
        </w:rPr>
      </w:pPr>
      <w:r>
        <w:rPr>
          <w:noProof/>
          <w:sz w:val="20"/>
          <w:szCs w:val="20"/>
        </w:rPr>
        <w:drawing>
          <wp:inline distT="0" distB="0" distL="0" distR="0">
            <wp:extent cx="5157216" cy="3236802"/>
            <wp:effectExtent l="0" t="0" r="5715" b="1905"/>
            <wp:docPr id="4" name="Picture 4" descr="C:\Users\ASUS\Pictures\sk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skam1.jpg"/>
                    <pic:cNvPicPr>
                      <a:picLocks noChangeAspect="1" noChangeArrowheads="1"/>
                    </pic:cNvPicPr>
                  </pic:nvPicPr>
                  <pic:blipFill>
                    <a:blip r:embed="rId10"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56694" cy="3236474"/>
                    </a:xfrm>
                    <a:prstGeom prst="rect">
                      <a:avLst/>
                    </a:prstGeom>
                    <a:noFill/>
                    <a:ln>
                      <a:noFill/>
                    </a:ln>
                  </pic:spPr>
                </pic:pic>
              </a:graphicData>
            </a:graphic>
          </wp:inline>
        </w:drawing>
      </w:r>
    </w:p>
    <w:p w:rsidR="004118A2" w:rsidRDefault="004118A2" w:rsidP="004118A2">
      <w:pPr>
        <w:jc w:val="both"/>
        <w:rPr>
          <w:sz w:val="20"/>
          <w:szCs w:val="20"/>
        </w:rPr>
      </w:pPr>
    </w:p>
    <w:p w:rsidR="004118A2" w:rsidRPr="00A52486" w:rsidRDefault="004118A2" w:rsidP="004118A2">
      <w:pPr>
        <w:jc w:val="center"/>
        <w:rPr>
          <w:b/>
          <w:bCs/>
          <w:sz w:val="20"/>
          <w:szCs w:val="20"/>
        </w:rPr>
        <w:sectPr w:rsidR="004118A2" w:rsidRPr="00A52486" w:rsidSect="00306800">
          <w:pgSz w:w="12240" w:h="15840" w:code="1"/>
          <w:pgMar w:top="1134" w:right="1588" w:bottom="1440" w:left="1588" w:header="720" w:footer="686" w:gutter="0"/>
          <w:cols w:space="720"/>
          <w:docGrid w:linePitch="360"/>
        </w:sectPr>
      </w:pPr>
      <w:r w:rsidRPr="009E0080">
        <w:rPr>
          <w:bCs/>
          <w:sz w:val="18"/>
          <w:szCs w:val="20"/>
        </w:rPr>
        <w:t>Fig</w:t>
      </w:r>
      <w:r>
        <w:rPr>
          <w:bCs/>
          <w:sz w:val="18"/>
          <w:szCs w:val="20"/>
        </w:rPr>
        <w:t>ure</w:t>
      </w:r>
      <w:r w:rsidRPr="009E0080">
        <w:rPr>
          <w:bCs/>
          <w:sz w:val="18"/>
          <w:szCs w:val="20"/>
        </w:rPr>
        <w:t xml:space="preserve"> 1</w:t>
      </w:r>
      <w:r w:rsidR="00E44D86">
        <w:rPr>
          <w:bCs/>
          <w:sz w:val="18"/>
          <w:szCs w:val="20"/>
        </w:rPr>
        <w:t>:</w:t>
      </w:r>
      <w:r w:rsidRPr="009E0080">
        <w:rPr>
          <w:bCs/>
          <w:sz w:val="18"/>
          <w:szCs w:val="20"/>
        </w:rPr>
        <w:tab/>
        <w:t xml:space="preserve">Experimental setup of </w:t>
      </w:r>
      <w:r w:rsidRPr="009E0080">
        <w:rPr>
          <w:bCs/>
          <w:i/>
          <w:iCs/>
          <w:sz w:val="18"/>
          <w:szCs w:val="20"/>
        </w:rPr>
        <w:t>N</w:t>
      </w:r>
      <w:r w:rsidRPr="009E0080">
        <w:rPr>
          <w:bCs/>
          <w:i/>
          <w:iCs/>
          <w:sz w:val="18"/>
          <w:szCs w:val="20"/>
          <w:vertAlign w:val="subscript"/>
        </w:rPr>
        <w:t>D,w</w:t>
      </w:r>
      <w:r w:rsidRPr="009E0080">
        <w:rPr>
          <w:bCs/>
          <w:sz w:val="18"/>
          <w:szCs w:val="20"/>
        </w:rPr>
        <w:t xml:space="preserve"> calibration</w:t>
      </w:r>
    </w:p>
    <w:p w:rsidR="004118A2" w:rsidRDefault="004118A2" w:rsidP="004118A2">
      <w:pPr>
        <w:jc w:val="both"/>
        <w:rPr>
          <w:sz w:val="20"/>
          <w:szCs w:val="20"/>
        </w:rPr>
      </w:pPr>
      <w:r w:rsidRPr="001156F7">
        <w:rPr>
          <w:bCs/>
          <w:sz w:val="20"/>
          <w:szCs w:val="20"/>
        </w:rPr>
        <w:lastRenderedPageBreak/>
        <w:t>Fig</w:t>
      </w:r>
      <w:r w:rsidR="003C5736">
        <w:rPr>
          <w:bCs/>
          <w:sz w:val="20"/>
          <w:szCs w:val="20"/>
        </w:rPr>
        <w:t>ure</w:t>
      </w:r>
      <w:r w:rsidRPr="001156F7">
        <w:rPr>
          <w:bCs/>
          <w:sz w:val="20"/>
          <w:szCs w:val="20"/>
        </w:rPr>
        <w:t xml:space="preserve"> 1 shows the experimental set</w:t>
      </w:r>
      <w:r w:rsidR="003C5736">
        <w:rPr>
          <w:bCs/>
          <w:sz w:val="20"/>
          <w:szCs w:val="20"/>
        </w:rPr>
        <w:t xml:space="preserve">-up for the determination of </w:t>
      </w:r>
      <w:r w:rsidRPr="001156F7">
        <w:rPr>
          <w:bCs/>
          <w:sz w:val="20"/>
          <w:szCs w:val="20"/>
        </w:rPr>
        <w:t xml:space="preserve"> </w:t>
      </w:r>
      <w:r w:rsidRPr="00260D6C">
        <w:rPr>
          <w:i/>
          <w:sz w:val="20"/>
          <w:szCs w:val="20"/>
        </w:rPr>
        <w:t>N</w:t>
      </w:r>
      <w:r w:rsidRPr="00260D6C">
        <w:rPr>
          <w:i/>
          <w:sz w:val="20"/>
          <w:szCs w:val="20"/>
          <w:vertAlign w:val="subscript"/>
        </w:rPr>
        <w:t>D,</w:t>
      </w:r>
      <w:r w:rsidR="00260D6C">
        <w:rPr>
          <w:i/>
          <w:sz w:val="20"/>
          <w:szCs w:val="20"/>
          <w:vertAlign w:val="subscript"/>
        </w:rPr>
        <w:t>w</w:t>
      </w:r>
      <w:r w:rsidRPr="001156F7">
        <w:rPr>
          <w:sz w:val="20"/>
          <w:szCs w:val="20"/>
        </w:rPr>
        <w:t>. The method follows the procedures of substitution method recommended by the IAEA</w:t>
      </w:r>
      <w:r w:rsidR="00FF4580">
        <w:rPr>
          <w:sz w:val="20"/>
          <w:szCs w:val="20"/>
        </w:rPr>
        <w:t xml:space="preserve"> [6</w:t>
      </w:r>
      <w:r w:rsidR="002111AE">
        <w:rPr>
          <w:sz w:val="20"/>
          <w:szCs w:val="20"/>
        </w:rPr>
        <w:t>]</w:t>
      </w:r>
      <w:r w:rsidRPr="001156F7">
        <w:rPr>
          <w:sz w:val="20"/>
          <w:szCs w:val="20"/>
        </w:rPr>
        <w:t>. The PMMA water phantom is of size 30 cm × 30 cm × 30 cm. A waterproof sleeve is used to place the IC at its reference point at a depth 5 g/cm</w:t>
      </w:r>
      <w:r w:rsidRPr="001156F7">
        <w:rPr>
          <w:sz w:val="20"/>
          <w:szCs w:val="20"/>
          <w:vertAlign w:val="superscript"/>
        </w:rPr>
        <w:t>2</w:t>
      </w:r>
      <w:r w:rsidRPr="001156F7">
        <w:rPr>
          <w:sz w:val="20"/>
          <w:szCs w:val="20"/>
        </w:rPr>
        <w:t xml:space="preserve"> in the water phantom. In this work a reference standard chamber of 0.6 cm</w:t>
      </w:r>
      <w:r w:rsidRPr="001156F7">
        <w:rPr>
          <w:sz w:val="20"/>
          <w:szCs w:val="20"/>
          <w:vertAlign w:val="superscript"/>
        </w:rPr>
        <w:t xml:space="preserve">3 </w:t>
      </w:r>
      <w:r w:rsidR="00C52BFB">
        <w:rPr>
          <w:sz w:val="20"/>
          <w:szCs w:val="20"/>
        </w:rPr>
        <w:t>NE2571</w:t>
      </w:r>
      <w:r w:rsidRPr="001156F7">
        <w:rPr>
          <w:sz w:val="20"/>
          <w:szCs w:val="20"/>
        </w:rPr>
        <w:t>(#</w:t>
      </w:r>
      <w:r w:rsidR="00C52BFB">
        <w:rPr>
          <w:sz w:val="20"/>
          <w:szCs w:val="20"/>
        </w:rPr>
        <w:t>1028</w:t>
      </w:r>
      <w:r w:rsidRPr="001156F7">
        <w:rPr>
          <w:sz w:val="20"/>
          <w:szCs w:val="20"/>
        </w:rPr>
        <w:t xml:space="preserve">) is used. </w:t>
      </w:r>
    </w:p>
    <w:p w:rsidR="00E44D86" w:rsidRDefault="00E44D86" w:rsidP="004118A2">
      <w:pPr>
        <w:jc w:val="both"/>
        <w:rPr>
          <w:sz w:val="20"/>
          <w:szCs w:val="20"/>
        </w:rPr>
      </w:pPr>
    </w:p>
    <w:p w:rsidR="00E44D86" w:rsidRPr="001156F7" w:rsidRDefault="00E44D86" w:rsidP="00E44D86">
      <w:pPr>
        <w:jc w:val="both"/>
        <w:rPr>
          <w:sz w:val="20"/>
          <w:szCs w:val="20"/>
        </w:rPr>
      </w:pPr>
      <w:r w:rsidRPr="001156F7">
        <w:rPr>
          <w:sz w:val="20"/>
          <w:szCs w:val="20"/>
        </w:rPr>
        <w:t xml:space="preserve">Table 2 </w:t>
      </w:r>
      <w:r w:rsidR="00EE43D1">
        <w:rPr>
          <w:sz w:val="20"/>
          <w:szCs w:val="20"/>
        </w:rPr>
        <w:t>lists</w:t>
      </w:r>
      <w:r w:rsidRPr="001156F7">
        <w:rPr>
          <w:sz w:val="20"/>
          <w:szCs w:val="20"/>
        </w:rPr>
        <w:t xml:space="preserve"> the type of the 29 ICs belonging to the 16 RCs. The table also shows the </w:t>
      </w:r>
      <w:r w:rsidRPr="00260D6C">
        <w:rPr>
          <w:i/>
          <w:sz w:val="20"/>
          <w:szCs w:val="20"/>
        </w:rPr>
        <w:t>N</w:t>
      </w:r>
      <w:r w:rsidR="00260D6C">
        <w:rPr>
          <w:i/>
          <w:sz w:val="20"/>
          <w:szCs w:val="20"/>
          <w:vertAlign w:val="subscript"/>
        </w:rPr>
        <w:t>D,w</w:t>
      </w:r>
      <w:r w:rsidRPr="001156F7">
        <w:rPr>
          <w:sz w:val="20"/>
          <w:szCs w:val="20"/>
        </w:rPr>
        <w:t xml:space="preserve"> calibration frequency for a period of seven years from the year 2004 to 2010. The IAEA requires each IC to be calibrated every year for purpose of getting the most recent value of </w:t>
      </w:r>
      <w:r w:rsidRPr="00260D6C">
        <w:rPr>
          <w:i/>
          <w:sz w:val="20"/>
          <w:szCs w:val="20"/>
        </w:rPr>
        <w:t>N</w:t>
      </w:r>
      <w:r w:rsidRPr="00260D6C">
        <w:rPr>
          <w:i/>
          <w:sz w:val="20"/>
          <w:szCs w:val="20"/>
          <w:vertAlign w:val="subscript"/>
        </w:rPr>
        <w:t>D,w</w:t>
      </w:r>
      <w:r w:rsidRPr="001156F7">
        <w:rPr>
          <w:sz w:val="20"/>
          <w:szCs w:val="20"/>
        </w:rPr>
        <w:t xml:space="preserve">. However in this work, the determination of RC’s </w:t>
      </w:r>
      <w:r w:rsidRPr="00260D6C">
        <w:rPr>
          <w:i/>
          <w:sz w:val="20"/>
          <w:szCs w:val="20"/>
        </w:rPr>
        <w:t>N</w:t>
      </w:r>
      <w:r w:rsidRPr="00260D6C">
        <w:rPr>
          <w:i/>
          <w:sz w:val="20"/>
          <w:szCs w:val="20"/>
          <w:vertAlign w:val="subscript"/>
        </w:rPr>
        <w:t>D,</w:t>
      </w:r>
      <w:r w:rsidR="00260D6C">
        <w:rPr>
          <w:i/>
          <w:sz w:val="20"/>
          <w:szCs w:val="20"/>
          <w:vertAlign w:val="subscript"/>
        </w:rPr>
        <w:t>w</w:t>
      </w:r>
      <w:r w:rsidRPr="001156F7">
        <w:rPr>
          <w:sz w:val="20"/>
          <w:szCs w:val="20"/>
        </w:rPr>
        <w:t xml:space="preserve"> is based on </w:t>
      </w:r>
      <w:r w:rsidR="00EE43D1">
        <w:rPr>
          <w:sz w:val="20"/>
          <w:szCs w:val="20"/>
        </w:rPr>
        <w:t xml:space="preserve">the </w:t>
      </w:r>
      <w:bookmarkStart w:id="0" w:name="_GoBack"/>
      <w:bookmarkEnd w:id="0"/>
      <w:r w:rsidRPr="001156F7">
        <w:rPr>
          <w:sz w:val="20"/>
          <w:szCs w:val="20"/>
        </w:rPr>
        <w:t xml:space="preserve">request by the RC themselves not </w:t>
      </w:r>
      <w:r w:rsidR="00B939F4">
        <w:rPr>
          <w:sz w:val="20"/>
          <w:szCs w:val="20"/>
        </w:rPr>
        <w:t>t</w:t>
      </w:r>
      <w:r w:rsidRPr="001156F7">
        <w:rPr>
          <w:sz w:val="20"/>
          <w:szCs w:val="20"/>
        </w:rPr>
        <w:t xml:space="preserve">he request </w:t>
      </w:r>
      <w:r w:rsidR="00EE43D1">
        <w:rPr>
          <w:sz w:val="20"/>
          <w:szCs w:val="20"/>
        </w:rPr>
        <w:t>by the</w:t>
      </w:r>
      <w:r w:rsidRPr="001156F7">
        <w:rPr>
          <w:sz w:val="20"/>
          <w:szCs w:val="20"/>
        </w:rPr>
        <w:t xml:space="preserve"> SSDL Malaysia. </w:t>
      </w:r>
      <w:r w:rsidR="00B939F4">
        <w:rPr>
          <w:sz w:val="20"/>
          <w:szCs w:val="20"/>
        </w:rPr>
        <w:t>W</w:t>
      </w:r>
      <w:r w:rsidRPr="001156F7">
        <w:rPr>
          <w:sz w:val="20"/>
          <w:szCs w:val="20"/>
        </w:rPr>
        <w:t xml:space="preserve">henever SSDL Malaysia receives the IC, the calibration work will be done </w:t>
      </w:r>
      <w:r w:rsidR="00B939F4">
        <w:rPr>
          <w:sz w:val="20"/>
          <w:szCs w:val="20"/>
        </w:rPr>
        <w:t>immediately</w:t>
      </w:r>
      <w:r w:rsidRPr="001156F7">
        <w:rPr>
          <w:sz w:val="20"/>
          <w:szCs w:val="20"/>
        </w:rPr>
        <w:t>. In other words, the frequency of each IC calibration</w:t>
      </w:r>
      <w:r w:rsidR="00B939F4">
        <w:rPr>
          <w:sz w:val="20"/>
          <w:szCs w:val="20"/>
        </w:rPr>
        <w:t xml:space="preserve"> </w:t>
      </w:r>
      <w:r w:rsidRPr="001156F7">
        <w:rPr>
          <w:sz w:val="20"/>
          <w:szCs w:val="20"/>
        </w:rPr>
        <w:t xml:space="preserve">is determined by the radiotherapy centres themselves. </w:t>
      </w:r>
    </w:p>
    <w:p w:rsidR="004118A2" w:rsidRPr="001156F7" w:rsidRDefault="004118A2" w:rsidP="004118A2">
      <w:pPr>
        <w:ind w:left="360"/>
        <w:rPr>
          <w:b/>
          <w:bCs/>
          <w:sz w:val="20"/>
          <w:szCs w:val="20"/>
        </w:rPr>
      </w:pPr>
    </w:p>
    <w:p w:rsidR="004118A2" w:rsidRPr="009E0080" w:rsidRDefault="004118A2" w:rsidP="004118A2">
      <w:pPr>
        <w:ind w:left="993" w:hanging="993"/>
        <w:jc w:val="center"/>
        <w:rPr>
          <w:bCs/>
          <w:sz w:val="18"/>
          <w:szCs w:val="20"/>
        </w:rPr>
      </w:pPr>
      <w:r w:rsidRPr="009E0080">
        <w:rPr>
          <w:bCs/>
          <w:sz w:val="18"/>
          <w:szCs w:val="20"/>
        </w:rPr>
        <w:t>Table 2</w:t>
      </w:r>
      <w:r w:rsidR="00E44D86">
        <w:rPr>
          <w:bCs/>
          <w:sz w:val="18"/>
          <w:szCs w:val="20"/>
        </w:rPr>
        <w:t>:</w:t>
      </w:r>
      <w:r w:rsidRPr="009E0080">
        <w:rPr>
          <w:bCs/>
          <w:sz w:val="18"/>
          <w:szCs w:val="20"/>
        </w:rPr>
        <w:t xml:space="preserve">    </w:t>
      </w:r>
      <w:r w:rsidRPr="009E0080">
        <w:rPr>
          <w:bCs/>
          <w:i/>
          <w:iCs/>
          <w:sz w:val="18"/>
          <w:szCs w:val="20"/>
        </w:rPr>
        <w:t>N</w:t>
      </w:r>
      <w:r w:rsidRPr="009E0080">
        <w:rPr>
          <w:bCs/>
          <w:i/>
          <w:iCs/>
          <w:sz w:val="18"/>
          <w:szCs w:val="20"/>
          <w:vertAlign w:val="subscript"/>
        </w:rPr>
        <w:t>D,w</w:t>
      </w:r>
      <w:r w:rsidRPr="009E0080">
        <w:rPr>
          <w:bCs/>
          <w:sz w:val="18"/>
          <w:szCs w:val="20"/>
        </w:rPr>
        <w:t xml:space="preserve"> calibration frequency for chambers belonging to local radiotherapy centres</w:t>
      </w:r>
    </w:p>
    <w:p w:rsidR="004118A2" w:rsidRPr="001156F7" w:rsidRDefault="004118A2" w:rsidP="004118A2">
      <w:pPr>
        <w:rPr>
          <w:sz w:val="20"/>
          <w:szCs w:val="20"/>
        </w:rPr>
      </w:pPr>
    </w:p>
    <w:tbl>
      <w:tblPr>
        <w:tblW w:w="8634" w:type="dxa"/>
        <w:tblInd w:w="108" w:type="dxa"/>
        <w:tblLook w:val="04A0"/>
      </w:tblPr>
      <w:tblGrid>
        <w:gridCol w:w="1644"/>
        <w:gridCol w:w="724"/>
        <w:gridCol w:w="805"/>
        <w:gridCol w:w="709"/>
        <w:gridCol w:w="696"/>
        <w:gridCol w:w="696"/>
        <w:gridCol w:w="696"/>
        <w:gridCol w:w="696"/>
        <w:gridCol w:w="696"/>
        <w:gridCol w:w="576"/>
        <w:gridCol w:w="696"/>
      </w:tblGrid>
      <w:tr w:rsidR="004118A2" w:rsidRPr="00F53CC2" w:rsidTr="00E44D86">
        <w:trPr>
          <w:trHeight w:val="250"/>
        </w:trPr>
        <w:tc>
          <w:tcPr>
            <w:tcW w:w="1644" w:type="dxa"/>
            <w:vMerge w:val="restart"/>
            <w:tcBorders>
              <w:top w:val="single" w:sz="4" w:space="0" w:color="auto"/>
              <w:left w:val="nil"/>
              <w:right w:val="nil"/>
            </w:tcBorders>
            <w:vAlign w:val="center"/>
          </w:tcPr>
          <w:p w:rsidR="004118A2" w:rsidRPr="00F53CC2" w:rsidRDefault="004118A2" w:rsidP="00E44D86">
            <w:pPr>
              <w:jc w:val="center"/>
              <w:rPr>
                <w:color w:val="000000"/>
                <w:sz w:val="18"/>
                <w:szCs w:val="18"/>
              </w:rPr>
            </w:pPr>
            <w:r w:rsidRPr="00F53CC2">
              <w:rPr>
                <w:color w:val="000000"/>
                <w:sz w:val="18"/>
                <w:szCs w:val="18"/>
              </w:rPr>
              <w:t>IC Model</w:t>
            </w:r>
          </w:p>
        </w:tc>
        <w:tc>
          <w:tcPr>
            <w:tcW w:w="724" w:type="dxa"/>
            <w:vMerge w:val="restart"/>
            <w:tcBorders>
              <w:top w:val="single" w:sz="4" w:space="0" w:color="auto"/>
              <w:left w:val="nil"/>
              <w:bottom w:val="single" w:sz="4" w:space="0" w:color="000000"/>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IC No</w:t>
            </w:r>
          </w:p>
        </w:tc>
        <w:tc>
          <w:tcPr>
            <w:tcW w:w="805" w:type="dxa"/>
            <w:vMerge w:val="restart"/>
            <w:tcBorders>
              <w:top w:val="single" w:sz="4" w:space="0" w:color="auto"/>
              <w:left w:val="nil"/>
              <w:bottom w:val="single" w:sz="4" w:space="0" w:color="000000"/>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RC No</w:t>
            </w:r>
          </w:p>
        </w:tc>
        <w:tc>
          <w:tcPr>
            <w:tcW w:w="709" w:type="dxa"/>
            <w:vMerge w:val="restart"/>
            <w:tcBorders>
              <w:top w:val="single" w:sz="4" w:space="0" w:color="auto"/>
              <w:left w:val="nil"/>
              <w:bottom w:val="single" w:sz="4" w:space="0" w:color="000000"/>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F</w:t>
            </w:r>
            <w:r w:rsidR="00E44D86">
              <w:rPr>
                <w:color w:val="000000"/>
                <w:sz w:val="18"/>
                <w:szCs w:val="18"/>
              </w:rPr>
              <w:t>req.</w:t>
            </w:r>
          </w:p>
        </w:tc>
        <w:tc>
          <w:tcPr>
            <w:tcW w:w="4752" w:type="dxa"/>
            <w:gridSpan w:val="7"/>
            <w:tcBorders>
              <w:top w:val="single" w:sz="4" w:space="0" w:color="auto"/>
              <w:left w:val="nil"/>
              <w:bottom w:val="single" w:sz="4" w:space="0" w:color="auto"/>
              <w:right w:val="nil"/>
            </w:tcBorders>
            <w:shd w:val="clear" w:color="auto" w:fill="auto"/>
            <w:noWrap/>
            <w:vAlign w:val="center"/>
            <w:hideMark/>
          </w:tcPr>
          <w:p w:rsidR="004118A2" w:rsidRPr="00F53CC2" w:rsidRDefault="004118A2" w:rsidP="00E44D86">
            <w:pPr>
              <w:jc w:val="center"/>
              <w:rPr>
                <w:i/>
                <w:iCs/>
                <w:color w:val="000000"/>
                <w:sz w:val="18"/>
                <w:szCs w:val="18"/>
              </w:rPr>
            </w:pPr>
            <w:r w:rsidRPr="00F53CC2">
              <w:rPr>
                <w:i/>
                <w:iCs/>
                <w:color w:val="000000"/>
                <w:sz w:val="18"/>
                <w:szCs w:val="18"/>
              </w:rPr>
              <w:t>N</w:t>
            </w:r>
            <w:r w:rsidRPr="00F53CC2">
              <w:rPr>
                <w:i/>
                <w:iCs/>
                <w:color w:val="000000"/>
                <w:sz w:val="18"/>
                <w:szCs w:val="18"/>
                <w:vertAlign w:val="subscript"/>
              </w:rPr>
              <w:t>D,w</w:t>
            </w:r>
            <w:r w:rsidRPr="00F53CC2">
              <w:rPr>
                <w:color w:val="000000"/>
                <w:sz w:val="18"/>
                <w:szCs w:val="18"/>
              </w:rPr>
              <w:t xml:space="preserve"> calibration frequency </w:t>
            </w:r>
          </w:p>
        </w:tc>
      </w:tr>
      <w:tr w:rsidR="004118A2" w:rsidRPr="00F53CC2" w:rsidTr="00E44D86">
        <w:trPr>
          <w:trHeight w:val="282"/>
        </w:trPr>
        <w:tc>
          <w:tcPr>
            <w:tcW w:w="1644" w:type="dxa"/>
            <w:vMerge/>
            <w:tcBorders>
              <w:left w:val="nil"/>
              <w:bottom w:val="single" w:sz="4" w:space="0" w:color="000000"/>
              <w:right w:val="nil"/>
            </w:tcBorders>
          </w:tcPr>
          <w:p w:rsidR="004118A2" w:rsidRPr="00F53CC2" w:rsidRDefault="004118A2" w:rsidP="00E44D86">
            <w:pPr>
              <w:rPr>
                <w:color w:val="000000"/>
                <w:sz w:val="18"/>
                <w:szCs w:val="18"/>
              </w:rPr>
            </w:pPr>
          </w:p>
        </w:tc>
        <w:tc>
          <w:tcPr>
            <w:tcW w:w="724" w:type="dxa"/>
            <w:vMerge/>
            <w:tcBorders>
              <w:top w:val="single" w:sz="4" w:space="0" w:color="auto"/>
              <w:left w:val="nil"/>
              <w:bottom w:val="single" w:sz="4" w:space="0" w:color="000000"/>
              <w:right w:val="nil"/>
            </w:tcBorders>
            <w:vAlign w:val="center"/>
            <w:hideMark/>
          </w:tcPr>
          <w:p w:rsidR="004118A2" w:rsidRPr="00F53CC2" w:rsidRDefault="004118A2" w:rsidP="00E44D86">
            <w:pPr>
              <w:rPr>
                <w:color w:val="000000"/>
                <w:sz w:val="18"/>
                <w:szCs w:val="18"/>
              </w:rPr>
            </w:pPr>
          </w:p>
        </w:tc>
        <w:tc>
          <w:tcPr>
            <w:tcW w:w="805" w:type="dxa"/>
            <w:vMerge/>
            <w:tcBorders>
              <w:top w:val="single" w:sz="4" w:space="0" w:color="auto"/>
              <w:left w:val="nil"/>
              <w:bottom w:val="single" w:sz="4" w:space="0" w:color="000000"/>
              <w:right w:val="nil"/>
            </w:tcBorders>
            <w:vAlign w:val="center"/>
            <w:hideMark/>
          </w:tcPr>
          <w:p w:rsidR="004118A2" w:rsidRPr="00F53CC2" w:rsidRDefault="004118A2" w:rsidP="00E44D86">
            <w:pPr>
              <w:rPr>
                <w:color w:val="000000"/>
                <w:sz w:val="18"/>
                <w:szCs w:val="18"/>
              </w:rPr>
            </w:pPr>
          </w:p>
        </w:tc>
        <w:tc>
          <w:tcPr>
            <w:tcW w:w="709" w:type="dxa"/>
            <w:vMerge/>
            <w:tcBorders>
              <w:top w:val="single" w:sz="4" w:space="0" w:color="auto"/>
              <w:left w:val="nil"/>
              <w:bottom w:val="single" w:sz="4" w:space="0" w:color="000000"/>
              <w:right w:val="nil"/>
            </w:tcBorders>
            <w:vAlign w:val="center"/>
            <w:hideMark/>
          </w:tcPr>
          <w:p w:rsidR="004118A2" w:rsidRPr="00F53CC2" w:rsidRDefault="004118A2" w:rsidP="00E44D86">
            <w:pPr>
              <w:rPr>
                <w:color w:val="000000"/>
                <w:sz w:val="18"/>
                <w:szCs w:val="18"/>
              </w:rPr>
            </w:pPr>
          </w:p>
        </w:tc>
        <w:tc>
          <w:tcPr>
            <w:tcW w:w="696"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2004</w:t>
            </w:r>
          </w:p>
        </w:tc>
        <w:tc>
          <w:tcPr>
            <w:tcW w:w="696"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2005</w:t>
            </w:r>
          </w:p>
        </w:tc>
        <w:tc>
          <w:tcPr>
            <w:tcW w:w="696"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2006</w:t>
            </w:r>
          </w:p>
        </w:tc>
        <w:tc>
          <w:tcPr>
            <w:tcW w:w="696"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2007</w:t>
            </w:r>
          </w:p>
        </w:tc>
        <w:tc>
          <w:tcPr>
            <w:tcW w:w="696"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2008</w:t>
            </w:r>
          </w:p>
        </w:tc>
        <w:tc>
          <w:tcPr>
            <w:tcW w:w="576"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2009</w:t>
            </w:r>
          </w:p>
        </w:tc>
        <w:tc>
          <w:tcPr>
            <w:tcW w:w="696"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2010</w:t>
            </w:r>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CC 13#7063</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1</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4</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3</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FC 65-G#1328</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3</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3</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FC 65-G#1371</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3</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5</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4</w:t>
            </w: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57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bottom"/>
          </w:tcPr>
          <w:p w:rsidR="004118A2" w:rsidRPr="00F53CC2" w:rsidRDefault="004118A2" w:rsidP="00E44D86">
            <w:pPr>
              <w:rPr>
                <w:color w:val="000000"/>
                <w:sz w:val="18"/>
                <w:szCs w:val="18"/>
              </w:rPr>
            </w:pPr>
            <w:r w:rsidRPr="00F53CC2">
              <w:rPr>
                <w:color w:val="000000"/>
                <w:sz w:val="18"/>
                <w:szCs w:val="18"/>
              </w:rPr>
              <w:t>FC 65-G#367</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4</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7</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7</w:t>
            </w: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r>
      <w:tr w:rsidR="004118A2" w:rsidRPr="00F53CC2" w:rsidTr="00E44D86">
        <w:trPr>
          <w:trHeight w:val="315"/>
        </w:trPr>
        <w:tc>
          <w:tcPr>
            <w:tcW w:w="1644" w:type="dxa"/>
            <w:tcBorders>
              <w:top w:val="nil"/>
              <w:left w:val="nil"/>
              <w:bottom w:val="nil"/>
              <w:right w:val="nil"/>
            </w:tcBorders>
            <w:vAlign w:val="bottom"/>
          </w:tcPr>
          <w:p w:rsidR="004118A2" w:rsidRPr="00F53CC2" w:rsidRDefault="004118A2" w:rsidP="00E44D86">
            <w:pPr>
              <w:rPr>
                <w:color w:val="000000"/>
                <w:sz w:val="18"/>
                <w:szCs w:val="18"/>
              </w:rPr>
            </w:pPr>
            <w:r w:rsidRPr="00F53CC2">
              <w:rPr>
                <w:color w:val="000000"/>
                <w:sz w:val="18"/>
                <w:szCs w:val="18"/>
              </w:rPr>
              <w:t>FC 65-G#368</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5</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4</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6</w:t>
            </w: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r>
      <w:tr w:rsidR="004118A2" w:rsidRPr="00F53CC2" w:rsidTr="00E44D86">
        <w:trPr>
          <w:trHeight w:val="315"/>
        </w:trPr>
        <w:tc>
          <w:tcPr>
            <w:tcW w:w="1644" w:type="dxa"/>
            <w:tcBorders>
              <w:top w:val="nil"/>
              <w:left w:val="nil"/>
              <w:bottom w:val="nil"/>
              <w:right w:val="nil"/>
            </w:tcBorders>
            <w:vAlign w:val="bottom"/>
          </w:tcPr>
          <w:p w:rsidR="004118A2" w:rsidRPr="00F53CC2" w:rsidRDefault="004118A2" w:rsidP="00E44D86">
            <w:pPr>
              <w:rPr>
                <w:color w:val="000000"/>
                <w:sz w:val="18"/>
                <w:szCs w:val="18"/>
              </w:rPr>
            </w:pPr>
            <w:r w:rsidRPr="00F53CC2">
              <w:rPr>
                <w:color w:val="000000"/>
                <w:sz w:val="18"/>
                <w:szCs w:val="18"/>
              </w:rPr>
              <w:t>FC 65-G#369</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6</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4</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4</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FC 65-G#371</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7</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5</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3</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FC 65-G#744</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8</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14</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6</w:t>
            </w: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r>
      <w:tr w:rsidR="004118A2" w:rsidRPr="00F53CC2" w:rsidTr="00E44D86">
        <w:trPr>
          <w:trHeight w:val="315"/>
        </w:trPr>
        <w:tc>
          <w:tcPr>
            <w:tcW w:w="1644" w:type="dxa"/>
            <w:tcBorders>
              <w:top w:val="nil"/>
              <w:left w:val="nil"/>
              <w:bottom w:val="nil"/>
              <w:right w:val="nil"/>
            </w:tcBorders>
            <w:vAlign w:val="bottom"/>
          </w:tcPr>
          <w:p w:rsidR="004118A2" w:rsidRPr="00F53CC2" w:rsidRDefault="004118A2" w:rsidP="00E44D86">
            <w:pPr>
              <w:rPr>
                <w:color w:val="000000"/>
                <w:sz w:val="18"/>
                <w:szCs w:val="18"/>
              </w:rPr>
            </w:pPr>
            <w:r w:rsidRPr="00F53CC2">
              <w:rPr>
                <w:color w:val="000000"/>
                <w:sz w:val="18"/>
                <w:szCs w:val="18"/>
              </w:rPr>
              <w:t>FC 65-G#WD 362</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9</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11</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3</w:t>
            </w: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57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bottom"/>
          </w:tcPr>
          <w:p w:rsidR="004118A2" w:rsidRPr="00F53CC2" w:rsidRDefault="004118A2" w:rsidP="00E44D86">
            <w:pPr>
              <w:rPr>
                <w:color w:val="000000"/>
                <w:sz w:val="18"/>
                <w:szCs w:val="18"/>
              </w:rPr>
            </w:pPr>
            <w:r w:rsidRPr="00F53CC2">
              <w:rPr>
                <w:color w:val="000000"/>
                <w:sz w:val="18"/>
                <w:szCs w:val="18"/>
              </w:rPr>
              <w:t>FC 65-G#WD 445</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10</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13</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6</w:t>
            </w: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bottom"/>
          </w:tcPr>
          <w:p w:rsidR="004118A2" w:rsidRPr="00F53CC2" w:rsidRDefault="004118A2" w:rsidP="00E44D86">
            <w:pPr>
              <w:rPr>
                <w:color w:val="000000"/>
                <w:sz w:val="18"/>
                <w:szCs w:val="18"/>
              </w:rPr>
            </w:pPr>
            <w:r w:rsidRPr="00F53CC2">
              <w:rPr>
                <w:color w:val="000000"/>
                <w:sz w:val="18"/>
                <w:szCs w:val="18"/>
              </w:rPr>
              <w:t>FC 65-G#WD 878</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11</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11</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5</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bottom"/>
          </w:tcPr>
          <w:p w:rsidR="004118A2" w:rsidRPr="00F53CC2" w:rsidRDefault="004118A2" w:rsidP="00E44D86">
            <w:pPr>
              <w:rPr>
                <w:color w:val="000000"/>
                <w:sz w:val="18"/>
                <w:szCs w:val="18"/>
              </w:rPr>
            </w:pPr>
            <w:r w:rsidRPr="00F53CC2">
              <w:rPr>
                <w:color w:val="000000"/>
                <w:sz w:val="18"/>
                <w:szCs w:val="18"/>
              </w:rPr>
              <w:t>FC 65-G#WD1219</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12</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6</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5</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FC 65-P#1437</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13</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8</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3</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FC 65-P#742</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14</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14</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5</w:t>
            </w: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NE 2571#2257</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15</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8</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4</w:t>
            </w: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p>
        </w:tc>
        <w:tc>
          <w:tcPr>
            <w:tcW w:w="57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NE 2571#2798</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16</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15</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5</w:t>
            </w: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NE 2581#1180</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17</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12</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6</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r>
      <w:tr w:rsidR="004118A2" w:rsidRPr="00F53CC2" w:rsidTr="00E44D86">
        <w:trPr>
          <w:trHeight w:val="315"/>
        </w:trPr>
        <w:tc>
          <w:tcPr>
            <w:tcW w:w="1644" w:type="dxa"/>
            <w:tcBorders>
              <w:top w:val="nil"/>
              <w:left w:val="nil"/>
              <w:bottom w:val="nil"/>
              <w:right w:val="nil"/>
            </w:tcBorders>
            <w:vAlign w:val="bottom"/>
          </w:tcPr>
          <w:p w:rsidR="004118A2" w:rsidRPr="00F53CC2" w:rsidRDefault="004118A2" w:rsidP="00E44D86">
            <w:pPr>
              <w:rPr>
                <w:color w:val="000000"/>
                <w:sz w:val="18"/>
                <w:szCs w:val="18"/>
              </w:rPr>
            </w:pPr>
            <w:r w:rsidRPr="00F53CC2">
              <w:rPr>
                <w:color w:val="000000"/>
                <w:sz w:val="18"/>
                <w:szCs w:val="18"/>
              </w:rPr>
              <w:t>NE 2581#621</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18</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3</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7</w:t>
            </w: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r>
      <w:tr w:rsidR="004118A2" w:rsidRPr="00F53CC2" w:rsidTr="00E44D86">
        <w:trPr>
          <w:trHeight w:val="315"/>
        </w:trPr>
        <w:tc>
          <w:tcPr>
            <w:tcW w:w="1644" w:type="dxa"/>
            <w:tcBorders>
              <w:top w:val="nil"/>
              <w:left w:val="nil"/>
              <w:bottom w:val="nil"/>
              <w:right w:val="nil"/>
            </w:tcBorders>
            <w:vAlign w:val="bottom"/>
          </w:tcPr>
          <w:p w:rsidR="004118A2" w:rsidRPr="00F53CC2" w:rsidRDefault="004118A2" w:rsidP="00E44D86">
            <w:pPr>
              <w:rPr>
                <w:color w:val="000000"/>
                <w:sz w:val="18"/>
                <w:szCs w:val="18"/>
              </w:rPr>
            </w:pPr>
            <w:r w:rsidRPr="00F53CC2">
              <w:rPr>
                <w:color w:val="000000"/>
                <w:sz w:val="18"/>
                <w:szCs w:val="18"/>
              </w:rPr>
              <w:t>PPC 40#310</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19</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13</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4</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bottom"/>
          </w:tcPr>
          <w:p w:rsidR="004118A2" w:rsidRPr="00F53CC2" w:rsidRDefault="004118A2" w:rsidP="00E44D86">
            <w:pPr>
              <w:rPr>
                <w:color w:val="000000"/>
                <w:sz w:val="18"/>
                <w:szCs w:val="18"/>
              </w:rPr>
            </w:pPr>
            <w:r w:rsidRPr="00F53CC2">
              <w:rPr>
                <w:color w:val="000000"/>
                <w:sz w:val="18"/>
                <w:szCs w:val="18"/>
              </w:rPr>
              <w:t>PPC 40#314</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20</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9</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3</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TM 30013#1745</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21</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10</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4</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TM 31010#0426</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22</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5</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4</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TW 30001#2120</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23</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15</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5</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TW 30013#1646</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24</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4</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TW 30013#1681</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25</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16</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5</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TW 30013#2139</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26</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16</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4</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TW 31010#1005</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27</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16</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4</w:t>
            </w: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nil"/>
              <w:right w:val="nil"/>
            </w:tcBorders>
            <w:vAlign w:val="center"/>
          </w:tcPr>
          <w:p w:rsidR="004118A2" w:rsidRPr="00F53CC2" w:rsidRDefault="004118A2" w:rsidP="00E44D86">
            <w:pPr>
              <w:rPr>
                <w:color w:val="000000"/>
                <w:sz w:val="18"/>
                <w:szCs w:val="18"/>
              </w:rPr>
            </w:pPr>
            <w:r w:rsidRPr="00F53CC2">
              <w:rPr>
                <w:color w:val="000000"/>
                <w:sz w:val="18"/>
                <w:szCs w:val="18"/>
              </w:rPr>
              <w:t>W 30001#1210</w:t>
            </w:r>
          </w:p>
        </w:tc>
        <w:tc>
          <w:tcPr>
            <w:tcW w:w="724"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28</w:t>
            </w:r>
          </w:p>
        </w:tc>
        <w:tc>
          <w:tcPr>
            <w:tcW w:w="805"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15</w:t>
            </w:r>
          </w:p>
        </w:tc>
        <w:tc>
          <w:tcPr>
            <w:tcW w:w="709" w:type="dxa"/>
            <w:tcBorders>
              <w:top w:val="nil"/>
              <w:left w:val="nil"/>
              <w:bottom w:val="nil"/>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5</w:t>
            </w: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nil"/>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nil"/>
              <w:right w:val="nil"/>
            </w:tcBorders>
            <w:shd w:val="clear" w:color="auto" w:fill="auto"/>
            <w:noWrap/>
            <w:vAlign w:val="bottom"/>
            <w:hideMark/>
          </w:tcPr>
          <w:p w:rsidR="004118A2" w:rsidRPr="00F53CC2" w:rsidRDefault="004118A2" w:rsidP="00E44D86">
            <w:pPr>
              <w:rPr>
                <w:color w:val="000000"/>
                <w:sz w:val="18"/>
                <w:szCs w:val="18"/>
              </w:rPr>
            </w:pPr>
          </w:p>
        </w:tc>
      </w:tr>
      <w:tr w:rsidR="004118A2" w:rsidRPr="00F53CC2" w:rsidTr="00E44D86">
        <w:trPr>
          <w:trHeight w:val="315"/>
        </w:trPr>
        <w:tc>
          <w:tcPr>
            <w:tcW w:w="1644" w:type="dxa"/>
            <w:tcBorders>
              <w:top w:val="nil"/>
              <w:left w:val="nil"/>
              <w:bottom w:val="single" w:sz="4" w:space="0" w:color="auto"/>
              <w:right w:val="nil"/>
            </w:tcBorders>
            <w:vAlign w:val="bottom"/>
          </w:tcPr>
          <w:p w:rsidR="004118A2" w:rsidRPr="00F53CC2" w:rsidRDefault="004118A2" w:rsidP="00E44D86">
            <w:pPr>
              <w:rPr>
                <w:color w:val="000000"/>
                <w:sz w:val="18"/>
                <w:szCs w:val="18"/>
              </w:rPr>
            </w:pPr>
            <w:r w:rsidRPr="00F53CC2">
              <w:rPr>
                <w:color w:val="000000"/>
                <w:sz w:val="18"/>
                <w:szCs w:val="18"/>
              </w:rPr>
              <w:t>WDIC 70#062</w:t>
            </w:r>
          </w:p>
        </w:tc>
        <w:tc>
          <w:tcPr>
            <w:tcW w:w="724"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w:r w:rsidRPr="00F53CC2">
              <w:rPr>
                <w:color w:val="000000"/>
                <w:sz w:val="18"/>
                <w:szCs w:val="18"/>
              </w:rPr>
              <w:t>29</w:t>
            </w:r>
          </w:p>
        </w:tc>
        <w:tc>
          <w:tcPr>
            <w:tcW w:w="805" w:type="dxa"/>
            <w:tcBorders>
              <w:top w:val="nil"/>
              <w:left w:val="nil"/>
              <w:bottom w:val="single" w:sz="4" w:space="0" w:color="auto"/>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2</w:t>
            </w:r>
          </w:p>
        </w:tc>
        <w:tc>
          <w:tcPr>
            <w:tcW w:w="709" w:type="dxa"/>
            <w:tcBorders>
              <w:top w:val="nil"/>
              <w:left w:val="nil"/>
              <w:bottom w:val="single" w:sz="4" w:space="0" w:color="auto"/>
              <w:right w:val="nil"/>
            </w:tcBorders>
            <w:shd w:val="clear" w:color="auto" w:fill="auto"/>
            <w:noWrap/>
            <w:vAlign w:val="bottom"/>
            <w:hideMark/>
          </w:tcPr>
          <w:p w:rsidR="004118A2" w:rsidRPr="00F53CC2" w:rsidRDefault="004118A2" w:rsidP="00E44D86">
            <w:pPr>
              <w:jc w:val="center"/>
              <w:rPr>
                <w:color w:val="000000"/>
                <w:sz w:val="18"/>
                <w:szCs w:val="18"/>
              </w:rPr>
            </w:pPr>
            <w:r w:rsidRPr="00F53CC2">
              <w:rPr>
                <w:color w:val="000000"/>
                <w:sz w:val="18"/>
                <w:szCs w:val="18"/>
              </w:rPr>
              <w:t>5</w:t>
            </w:r>
          </w:p>
        </w:tc>
        <w:tc>
          <w:tcPr>
            <w:tcW w:w="696"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single" w:sz="4" w:space="0" w:color="auto"/>
              <w:right w:val="nil"/>
            </w:tcBorders>
            <w:shd w:val="clear" w:color="auto" w:fill="auto"/>
            <w:noWrap/>
            <w:vAlign w:val="bottom"/>
            <w:hideMark/>
          </w:tcPr>
          <w:p w:rsidR="004118A2" w:rsidRPr="00F53CC2" w:rsidRDefault="004118A2" w:rsidP="00E44D86">
            <w:pPr>
              <w:rPr>
                <w:color w:val="000000"/>
                <w:sz w:val="18"/>
                <w:szCs w:val="18"/>
              </w:rPr>
            </w:pPr>
            <w:r w:rsidRPr="00F53CC2">
              <w:rPr>
                <w:color w:val="000000"/>
                <w:sz w:val="18"/>
                <w:szCs w:val="18"/>
              </w:rPr>
              <w:t> </w:t>
            </w:r>
          </w:p>
        </w:tc>
        <w:tc>
          <w:tcPr>
            <w:tcW w:w="696"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576" w:type="dxa"/>
            <w:tcBorders>
              <w:top w:val="nil"/>
              <w:left w:val="nil"/>
              <w:bottom w:val="single" w:sz="4" w:space="0" w:color="auto"/>
              <w:right w:val="nil"/>
            </w:tcBorders>
            <w:shd w:val="clear" w:color="auto" w:fill="auto"/>
            <w:noWrap/>
            <w:vAlign w:val="center"/>
            <w:hideMark/>
          </w:tcPr>
          <w:p w:rsidR="004118A2" w:rsidRPr="00F53CC2" w:rsidRDefault="004118A2" w:rsidP="00E44D86">
            <w:pPr>
              <w:jc w:val="center"/>
              <w:rPr>
                <w:color w:val="000000"/>
                <w:sz w:val="18"/>
                <w:szCs w:val="18"/>
              </w:rPr>
            </w:pPr>
            <m:oMathPara>
              <m:oMath>
                <m:r>
                  <w:rPr>
                    <w:rFonts w:ascii="Cambria Math" w:hAnsi="Cambria Math"/>
                    <w:color w:val="000000"/>
                    <w:sz w:val="18"/>
                    <w:szCs w:val="18"/>
                  </w:rPr>
                  <m:t>√</m:t>
                </m:r>
              </m:oMath>
            </m:oMathPara>
          </w:p>
        </w:tc>
        <w:tc>
          <w:tcPr>
            <w:tcW w:w="696" w:type="dxa"/>
            <w:tcBorders>
              <w:top w:val="nil"/>
              <w:left w:val="nil"/>
              <w:bottom w:val="single" w:sz="4" w:space="0" w:color="auto"/>
              <w:right w:val="nil"/>
            </w:tcBorders>
            <w:shd w:val="clear" w:color="auto" w:fill="auto"/>
            <w:noWrap/>
            <w:vAlign w:val="bottom"/>
            <w:hideMark/>
          </w:tcPr>
          <w:p w:rsidR="004118A2" w:rsidRPr="00F53CC2" w:rsidRDefault="004118A2" w:rsidP="00E44D86">
            <w:pPr>
              <w:rPr>
                <w:color w:val="000000"/>
                <w:sz w:val="18"/>
                <w:szCs w:val="18"/>
              </w:rPr>
            </w:pPr>
            <w:r w:rsidRPr="00F53CC2">
              <w:rPr>
                <w:color w:val="000000"/>
                <w:sz w:val="18"/>
                <w:szCs w:val="18"/>
              </w:rPr>
              <w:t> </w:t>
            </w:r>
          </w:p>
        </w:tc>
      </w:tr>
    </w:tbl>
    <w:p w:rsidR="00E44D86" w:rsidRPr="001156F7" w:rsidRDefault="00E44D86" w:rsidP="00E44D86">
      <w:pPr>
        <w:jc w:val="both"/>
        <w:rPr>
          <w:iCs/>
          <w:sz w:val="20"/>
          <w:szCs w:val="20"/>
        </w:rPr>
      </w:pPr>
      <w:r w:rsidRPr="001156F7">
        <w:rPr>
          <w:sz w:val="20"/>
          <w:szCs w:val="20"/>
        </w:rPr>
        <w:lastRenderedPageBreak/>
        <w:t xml:space="preserve">Table 3 shows an example of </w:t>
      </w:r>
      <w:r w:rsidRPr="00260D6C">
        <w:rPr>
          <w:i/>
          <w:sz w:val="20"/>
          <w:szCs w:val="20"/>
        </w:rPr>
        <w:t>N</w:t>
      </w:r>
      <w:r w:rsidRPr="00260D6C">
        <w:rPr>
          <w:i/>
          <w:sz w:val="20"/>
          <w:szCs w:val="20"/>
          <w:vertAlign w:val="subscript"/>
        </w:rPr>
        <w:t>D,w</w:t>
      </w:r>
      <w:r w:rsidRPr="001156F7">
        <w:rPr>
          <w:sz w:val="20"/>
          <w:szCs w:val="20"/>
        </w:rPr>
        <w:t xml:space="preserve"> calibration results for IC=4 and RC=7. Since there are seven values of </w:t>
      </w:r>
      <w:r w:rsidRPr="00260D6C">
        <w:rPr>
          <w:i/>
          <w:sz w:val="20"/>
          <w:szCs w:val="20"/>
        </w:rPr>
        <w:t>N</w:t>
      </w:r>
      <w:r w:rsidRPr="00260D6C">
        <w:rPr>
          <w:i/>
          <w:sz w:val="20"/>
          <w:szCs w:val="20"/>
          <w:vertAlign w:val="subscript"/>
        </w:rPr>
        <w:t>D,w</w:t>
      </w:r>
      <w:r w:rsidRPr="001156F7">
        <w:rPr>
          <w:sz w:val="20"/>
          <w:szCs w:val="20"/>
        </w:rPr>
        <w:t xml:space="preserve">, there are only six deviations </w:t>
      </w:r>
      <w:r w:rsidRPr="001156F7">
        <w:rPr>
          <w:sz w:val="20"/>
          <w:szCs w:val="20"/>
        </w:rPr>
        <w:sym w:font="Symbol" w:char="F044"/>
      </w:r>
      <w:r w:rsidRPr="001156F7">
        <w:rPr>
          <w:sz w:val="20"/>
          <w:szCs w:val="20"/>
        </w:rPr>
        <w:t xml:space="preserve">(%) that can be calculated, as the first </w:t>
      </w:r>
      <w:r w:rsidRPr="00260D6C">
        <w:rPr>
          <w:i/>
          <w:sz w:val="20"/>
          <w:szCs w:val="20"/>
        </w:rPr>
        <w:t>N</w:t>
      </w:r>
      <w:r w:rsidRPr="00260D6C">
        <w:rPr>
          <w:i/>
          <w:sz w:val="20"/>
          <w:szCs w:val="20"/>
          <w:vertAlign w:val="subscript"/>
        </w:rPr>
        <w:t>D,w</w:t>
      </w:r>
      <w:r w:rsidRPr="001156F7">
        <w:rPr>
          <w:sz w:val="20"/>
          <w:szCs w:val="20"/>
        </w:rPr>
        <w:t xml:space="preserve"> was taken as the standard. These six deviations were then used to get the </w:t>
      </w:r>
      <w:r w:rsidRPr="001156F7">
        <w:rPr>
          <w:iCs/>
          <w:sz w:val="20"/>
          <w:szCs w:val="20"/>
        </w:rPr>
        <w:t>mean µ, standard error SE and standard deviation σ</w:t>
      </w:r>
      <w:r w:rsidRPr="001156F7">
        <w:rPr>
          <w:iCs/>
          <w:sz w:val="20"/>
          <w:szCs w:val="20"/>
          <w:vertAlign w:val="subscript"/>
        </w:rPr>
        <w:t>N-1</w:t>
      </w:r>
      <w:r w:rsidRPr="001156F7">
        <w:rPr>
          <w:iCs/>
          <w:sz w:val="20"/>
          <w:szCs w:val="20"/>
        </w:rPr>
        <w:t>.</w:t>
      </w:r>
      <w:r w:rsidRPr="001156F7">
        <w:rPr>
          <w:sz w:val="20"/>
          <w:szCs w:val="20"/>
        </w:rPr>
        <w:t xml:space="preserve"> </w:t>
      </w:r>
      <w:r w:rsidRPr="001156F7">
        <w:rPr>
          <w:iCs/>
          <w:sz w:val="20"/>
          <w:szCs w:val="20"/>
        </w:rPr>
        <w:t>The SE and σ</w:t>
      </w:r>
      <w:r w:rsidRPr="001156F7">
        <w:rPr>
          <w:iCs/>
          <w:sz w:val="20"/>
          <w:szCs w:val="20"/>
          <w:vertAlign w:val="subscript"/>
        </w:rPr>
        <w:t>N-1</w:t>
      </w:r>
      <w:r w:rsidRPr="001156F7">
        <w:rPr>
          <w:iCs/>
          <w:sz w:val="20"/>
          <w:szCs w:val="20"/>
        </w:rPr>
        <w:t xml:space="preserve"> are calculated at 68.26% confident interval (CI). </w:t>
      </w:r>
      <w:r w:rsidRPr="001156F7">
        <w:rPr>
          <w:sz w:val="20"/>
          <w:szCs w:val="20"/>
        </w:rPr>
        <w:t xml:space="preserve">The same calculation was repeated for the other ICs. </w:t>
      </w:r>
    </w:p>
    <w:p w:rsidR="00E44D86" w:rsidRPr="001156F7" w:rsidRDefault="00E44D86" w:rsidP="00E44D86">
      <w:pPr>
        <w:jc w:val="both"/>
        <w:rPr>
          <w:iCs/>
          <w:sz w:val="20"/>
          <w:szCs w:val="20"/>
        </w:rPr>
      </w:pPr>
    </w:p>
    <w:p w:rsidR="00E44D86" w:rsidRPr="001156F7" w:rsidRDefault="00E44D86" w:rsidP="00E44D86">
      <w:pPr>
        <w:jc w:val="both"/>
        <w:rPr>
          <w:b/>
          <w:bCs/>
          <w:sz w:val="20"/>
          <w:szCs w:val="20"/>
        </w:rPr>
      </w:pPr>
      <w:r w:rsidRPr="001156F7">
        <w:rPr>
          <w:iCs/>
          <w:sz w:val="20"/>
          <w:szCs w:val="20"/>
        </w:rPr>
        <w:t xml:space="preserve">In this work, the results of µ </w:t>
      </w:r>
      <w:r w:rsidRPr="001156F7">
        <w:rPr>
          <w:sz w:val="20"/>
          <w:szCs w:val="20"/>
        </w:rPr>
        <w:t>±</w:t>
      </w:r>
      <w:r w:rsidRPr="001156F7">
        <w:rPr>
          <w:iCs/>
          <w:sz w:val="20"/>
          <w:szCs w:val="20"/>
        </w:rPr>
        <w:t xml:space="preserve"> SE and µ</w:t>
      </w:r>
      <w:r w:rsidRPr="001156F7">
        <w:rPr>
          <w:sz w:val="20"/>
          <w:szCs w:val="20"/>
        </w:rPr>
        <w:t xml:space="preserve"> ± </w:t>
      </w:r>
      <w:r w:rsidRPr="001156F7">
        <w:rPr>
          <w:iCs/>
          <w:sz w:val="20"/>
          <w:szCs w:val="20"/>
        </w:rPr>
        <w:t>σ</w:t>
      </w:r>
      <w:r w:rsidRPr="001156F7">
        <w:rPr>
          <w:iCs/>
          <w:sz w:val="20"/>
          <w:szCs w:val="20"/>
          <w:vertAlign w:val="subscript"/>
        </w:rPr>
        <w:t>N-1</w:t>
      </w:r>
      <w:r w:rsidRPr="001156F7">
        <w:rPr>
          <w:iCs/>
          <w:sz w:val="20"/>
          <w:szCs w:val="20"/>
        </w:rPr>
        <w:t xml:space="preserve"> were compared with the deviation limit of </w:t>
      </w:r>
      <w:r w:rsidRPr="001156F7">
        <w:rPr>
          <w:sz w:val="20"/>
          <w:szCs w:val="20"/>
        </w:rPr>
        <w:t xml:space="preserve">± 1.5% </w:t>
      </w:r>
      <w:r w:rsidRPr="001156F7">
        <w:rPr>
          <w:iCs/>
          <w:sz w:val="20"/>
          <w:szCs w:val="20"/>
        </w:rPr>
        <w:t>accepted by the IAEA</w:t>
      </w:r>
      <w:r w:rsidR="00FF4580">
        <w:rPr>
          <w:iCs/>
          <w:sz w:val="20"/>
          <w:szCs w:val="20"/>
        </w:rPr>
        <w:t xml:space="preserve"> [7</w:t>
      </w:r>
      <w:r w:rsidR="002D388D">
        <w:rPr>
          <w:iCs/>
          <w:sz w:val="20"/>
          <w:szCs w:val="20"/>
        </w:rPr>
        <w:t>]</w:t>
      </w:r>
      <w:r w:rsidRPr="001156F7">
        <w:rPr>
          <w:iCs/>
          <w:sz w:val="20"/>
          <w:szCs w:val="20"/>
        </w:rPr>
        <w:t xml:space="preserve">. If µ </w:t>
      </w:r>
      <w:r w:rsidRPr="001156F7">
        <w:rPr>
          <w:sz w:val="20"/>
          <w:szCs w:val="20"/>
        </w:rPr>
        <w:t>±</w:t>
      </w:r>
      <w:r w:rsidRPr="001156F7">
        <w:rPr>
          <w:iCs/>
          <w:sz w:val="20"/>
          <w:szCs w:val="20"/>
        </w:rPr>
        <w:t xml:space="preserve"> SE is within the limit, it is said that the chamber is stable in maintaining its </w:t>
      </w:r>
      <w:r w:rsidRPr="00260D6C">
        <w:rPr>
          <w:i/>
          <w:sz w:val="20"/>
          <w:szCs w:val="20"/>
        </w:rPr>
        <w:t>N</w:t>
      </w:r>
      <w:r w:rsidRPr="00260D6C">
        <w:rPr>
          <w:i/>
          <w:sz w:val="20"/>
          <w:szCs w:val="20"/>
          <w:vertAlign w:val="subscript"/>
        </w:rPr>
        <w:t>D,w</w:t>
      </w:r>
      <w:r w:rsidRPr="001156F7">
        <w:rPr>
          <w:sz w:val="20"/>
          <w:szCs w:val="20"/>
        </w:rPr>
        <w:t>.</w:t>
      </w:r>
    </w:p>
    <w:p w:rsidR="00E44D86" w:rsidRDefault="00E44D86" w:rsidP="004118A2">
      <w:pPr>
        <w:tabs>
          <w:tab w:val="left" w:pos="993"/>
        </w:tabs>
        <w:ind w:left="993" w:hanging="993"/>
        <w:jc w:val="center"/>
        <w:rPr>
          <w:bCs/>
          <w:sz w:val="18"/>
          <w:szCs w:val="18"/>
        </w:rPr>
      </w:pPr>
    </w:p>
    <w:p w:rsidR="004118A2" w:rsidRPr="009E0080" w:rsidRDefault="004118A2" w:rsidP="004118A2">
      <w:pPr>
        <w:tabs>
          <w:tab w:val="left" w:pos="993"/>
        </w:tabs>
        <w:ind w:left="993" w:hanging="993"/>
        <w:jc w:val="center"/>
        <w:rPr>
          <w:bCs/>
          <w:sz w:val="18"/>
          <w:szCs w:val="18"/>
        </w:rPr>
      </w:pPr>
      <w:r w:rsidRPr="009E0080">
        <w:rPr>
          <w:bCs/>
          <w:sz w:val="18"/>
          <w:szCs w:val="18"/>
        </w:rPr>
        <w:t>Table 3</w:t>
      </w:r>
      <w:r w:rsidR="00E44D86">
        <w:rPr>
          <w:bCs/>
          <w:sz w:val="18"/>
          <w:szCs w:val="18"/>
        </w:rPr>
        <w:t>:</w:t>
      </w:r>
      <w:r w:rsidRPr="009E0080">
        <w:rPr>
          <w:sz w:val="18"/>
          <w:szCs w:val="18"/>
        </w:rPr>
        <w:t xml:space="preserve"> </w:t>
      </w:r>
      <w:r w:rsidRPr="009E0080">
        <w:rPr>
          <w:sz w:val="18"/>
          <w:szCs w:val="18"/>
        </w:rPr>
        <w:tab/>
      </w:r>
      <w:r w:rsidRPr="009E0080">
        <w:rPr>
          <w:bCs/>
          <w:sz w:val="18"/>
          <w:szCs w:val="18"/>
        </w:rPr>
        <w:t xml:space="preserve">The results of </w:t>
      </w:r>
      <w:r w:rsidRPr="00260D6C">
        <w:rPr>
          <w:bCs/>
          <w:i/>
          <w:iCs/>
          <w:sz w:val="18"/>
          <w:szCs w:val="18"/>
        </w:rPr>
        <w:t>N</w:t>
      </w:r>
      <w:r w:rsidRPr="00260D6C">
        <w:rPr>
          <w:bCs/>
          <w:i/>
          <w:iCs/>
          <w:sz w:val="18"/>
          <w:szCs w:val="18"/>
          <w:vertAlign w:val="subscript"/>
        </w:rPr>
        <w:t>D,</w:t>
      </w:r>
      <w:r w:rsidR="00260D6C">
        <w:rPr>
          <w:bCs/>
          <w:i/>
          <w:iCs/>
          <w:sz w:val="18"/>
          <w:szCs w:val="18"/>
          <w:vertAlign w:val="subscript"/>
        </w:rPr>
        <w:t>w</w:t>
      </w:r>
      <w:r w:rsidRPr="009E0080">
        <w:rPr>
          <w:bCs/>
          <w:sz w:val="18"/>
          <w:szCs w:val="18"/>
        </w:rPr>
        <w:t xml:space="preserve"> for chamber </w:t>
      </w:r>
      <w:r w:rsidRPr="009E0080">
        <w:rPr>
          <w:color w:val="000000"/>
          <w:sz w:val="18"/>
          <w:szCs w:val="18"/>
        </w:rPr>
        <w:t>FC 65-G#367</w:t>
      </w:r>
      <w:r w:rsidRPr="009E0080">
        <w:rPr>
          <w:bCs/>
          <w:sz w:val="18"/>
          <w:szCs w:val="18"/>
        </w:rPr>
        <w:t xml:space="preserve"> cali</w:t>
      </w:r>
      <w:r>
        <w:rPr>
          <w:bCs/>
          <w:sz w:val="18"/>
          <w:szCs w:val="18"/>
        </w:rPr>
        <w:t>brated each year from 2004-2010</w:t>
      </w:r>
    </w:p>
    <w:tbl>
      <w:tblPr>
        <w:tblpPr w:leftFromText="180" w:rightFromText="180" w:vertAnchor="text" w:horzAnchor="page" w:tblpXSpec="center" w:tblpY="159"/>
        <w:tblW w:w="7601" w:type="dxa"/>
        <w:tblInd w:w="-15" w:type="dxa"/>
        <w:tblCellMar>
          <w:left w:w="0" w:type="dxa"/>
          <w:right w:w="0" w:type="dxa"/>
        </w:tblCellMar>
        <w:tblLook w:val="0000"/>
      </w:tblPr>
      <w:tblGrid>
        <w:gridCol w:w="1120"/>
        <w:gridCol w:w="1120"/>
        <w:gridCol w:w="1120"/>
        <w:gridCol w:w="1617"/>
        <w:gridCol w:w="1504"/>
        <w:gridCol w:w="1120"/>
      </w:tblGrid>
      <w:tr w:rsidR="004118A2" w:rsidRPr="00F53CC2" w:rsidTr="00E44D86">
        <w:trPr>
          <w:cantSplit/>
          <w:trHeight w:val="102"/>
        </w:trPr>
        <w:tc>
          <w:tcPr>
            <w:tcW w:w="1120" w:type="dxa"/>
            <w:vMerge w:val="restart"/>
            <w:tcBorders>
              <w:top w:val="single" w:sz="8" w:space="0" w:color="auto"/>
              <w:left w:val="nil"/>
              <w:right w:val="nil"/>
            </w:tcBorders>
            <w:vAlign w:val="center"/>
          </w:tcPr>
          <w:p w:rsidR="004118A2" w:rsidRPr="00F53CC2" w:rsidRDefault="004118A2" w:rsidP="00E44D86">
            <w:pPr>
              <w:pStyle w:val="Heading1"/>
              <w:rPr>
                <w:b w:val="0"/>
                <w:sz w:val="18"/>
                <w:szCs w:val="18"/>
              </w:rPr>
            </w:pPr>
            <w:r w:rsidRPr="00F53CC2">
              <w:rPr>
                <w:b w:val="0"/>
                <w:sz w:val="18"/>
                <w:szCs w:val="18"/>
              </w:rPr>
              <w:t>IC No</w:t>
            </w:r>
          </w:p>
        </w:tc>
        <w:tc>
          <w:tcPr>
            <w:tcW w:w="1120" w:type="dxa"/>
            <w:vMerge w:val="restart"/>
            <w:tcBorders>
              <w:top w:val="single" w:sz="8" w:space="0" w:color="auto"/>
              <w:left w:val="nil"/>
              <w:right w:val="nil"/>
            </w:tcBorders>
            <w:noWrap/>
            <w:tcMar>
              <w:top w:w="15" w:type="dxa"/>
              <w:left w:w="15" w:type="dxa"/>
              <w:bottom w:w="0" w:type="dxa"/>
              <w:right w:w="15" w:type="dxa"/>
            </w:tcMar>
            <w:vAlign w:val="center"/>
          </w:tcPr>
          <w:p w:rsidR="004118A2" w:rsidRPr="00F53CC2" w:rsidRDefault="004118A2" w:rsidP="00E44D86">
            <w:pPr>
              <w:pStyle w:val="Heading1"/>
              <w:rPr>
                <w:rFonts w:eastAsia="Arial Unicode MS"/>
                <w:b w:val="0"/>
                <w:sz w:val="18"/>
                <w:szCs w:val="18"/>
              </w:rPr>
            </w:pPr>
            <w:r w:rsidRPr="00F53CC2">
              <w:rPr>
                <w:b w:val="0"/>
                <w:color w:val="000000"/>
                <w:kern w:val="24"/>
                <w:sz w:val="18"/>
                <w:szCs w:val="18"/>
                <w:lang w:val="en-MY" w:eastAsia="en-MY"/>
              </w:rPr>
              <w:t>RC No</w:t>
            </w:r>
            <w:r w:rsidRPr="00F53CC2">
              <w:rPr>
                <w:b w:val="0"/>
                <w:sz w:val="18"/>
                <w:szCs w:val="18"/>
              </w:rPr>
              <w:t xml:space="preserve"> </w:t>
            </w:r>
          </w:p>
        </w:tc>
        <w:tc>
          <w:tcPr>
            <w:tcW w:w="1120" w:type="dxa"/>
            <w:vMerge w:val="restart"/>
            <w:tcBorders>
              <w:top w:val="single" w:sz="8" w:space="0" w:color="auto"/>
              <w:left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bCs/>
                <w:sz w:val="18"/>
                <w:szCs w:val="18"/>
              </w:rPr>
            </w:pPr>
            <w:r w:rsidRPr="00F53CC2">
              <w:rPr>
                <w:color w:val="000000"/>
                <w:kern w:val="24"/>
                <w:sz w:val="18"/>
                <w:szCs w:val="18"/>
                <w:lang w:val="en-MY" w:eastAsia="en-MY"/>
              </w:rPr>
              <w:t>Calibration Year</w:t>
            </w:r>
          </w:p>
        </w:tc>
        <w:tc>
          <w:tcPr>
            <w:tcW w:w="3121" w:type="dxa"/>
            <w:gridSpan w:val="2"/>
            <w:tcBorders>
              <w:top w:val="single" w:sz="8" w:space="0" w:color="auto"/>
              <w:left w:val="nil"/>
              <w:bottom w:val="single" w:sz="8" w:space="0" w:color="auto"/>
              <w:right w:val="nil"/>
            </w:tcBorders>
            <w:noWrap/>
            <w:tcMar>
              <w:top w:w="15" w:type="dxa"/>
              <w:left w:w="15" w:type="dxa"/>
              <w:bottom w:w="0" w:type="dxa"/>
              <w:right w:w="15" w:type="dxa"/>
            </w:tcMar>
            <w:vAlign w:val="center"/>
          </w:tcPr>
          <w:p w:rsidR="004118A2" w:rsidRPr="00F53CC2" w:rsidRDefault="004118A2" w:rsidP="00260D6C">
            <w:pPr>
              <w:jc w:val="center"/>
              <w:rPr>
                <w:rFonts w:eastAsia="Arial Unicode MS"/>
                <w:bCs/>
                <w:sz w:val="18"/>
                <w:szCs w:val="18"/>
              </w:rPr>
            </w:pPr>
            <w:r w:rsidRPr="00F53CC2">
              <w:rPr>
                <w:bCs/>
                <w:i/>
                <w:iCs/>
                <w:sz w:val="18"/>
                <w:szCs w:val="18"/>
              </w:rPr>
              <w:t>N</w:t>
            </w:r>
            <w:r w:rsidRPr="00F53CC2">
              <w:rPr>
                <w:bCs/>
                <w:i/>
                <w:iCs/>
                <w:sz w:val="18"/>
                <w:szCs w:val="18"/>
                <w:vertAlign w:val="subscript"/>
              </w:rPr>
              <w:t>D,</w:t>
            </w:r>
            <w:r w:rsidR="00260D6C">
              <w:rPr>
                <w:bCs/>
                <w:i/>
                <w:iCs/>
                <w:sz w:val="18"/>
                <w:szCs w:val="18"/>
                <w:vertAlign w:val="subscript"/>
              </w:rPr>
              <w:t>w</w:t>
            </w:r>
            <w:r w:rsidRPr="00F53CC2">
              <w:rPr>
                <w:bCs/>
                <w:sz w:val="18"/>
                <w:szCs w:val="18"/>
              </w:rPr>
              <w:t xml:space="preserve"> (mGy/nC)</w:t>
            </w:r>
          </w:p>
        </w:tc>
        <w:tc>
          <w:tcPr>
            <w:tcW w:w="1120" w:type="dxa"/>
            <w:vMerge w:val="restart"/>
            <w:tcBorders>
              <w:top w:val="single" w:sz="8" w:space="0" w:color="auto"/>
              <w:left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bCs/>
                <w:sz w:val="18"/>
                <w:szCs w:val="18"/>
              </w:rPr>
            </w:pPr>
            <w:r w:rsidRPr="00F53CC2">
              <w:rPr>
                <w:bCs/>
                <w:sz w:val="18"/>
                <w:szCs w:val="18"/>
              </w:rPr>
              <w:t xml:space="preserve">Deviation </w:t>
            </w:r>
          </w:p>
          <w:p w:rsidR="004118A2" w:rsidRPr="00F53CC2" w:rsidRDefault="004118A2" w:rsidP="00E44D86">
            <w:pPr>
              <w:jc w:val="center"/>
              <w:rPr>
                <w:rFonts w:eastAsia="Arial Unicode MS"/>
                <w:b/>
                <w:bCs/>
                <w:sz w:val="18"/>
                <w:szCs w:val="18"/>
              </w:rPr>
            </w:pPr>
            <w:r w:rsidRPr="00F53CC2">
              <w:rPr>
                <w:bCs/>
                <w:sz w:val="18"/>
                <w:szCs w:val="18"/>
              </w:rPr>
              <w:t>(%)</w:t>
            </w:r>
          </w:p>
        </w:tc>
      </w:tr>
      <w:tr w:rsidR="004118A2" w:rsidRPr="00F53CC2" w:rsidTr="00E44D86">
        <w:trPr>
          <w:cantSplit/>
          <w:trHeight w:val="108"/>
        </w:trPr>
        <w:tc>
          <w:tcPr>
            <w:tcW w:w="0" w:type="auto"/>
            <w:vMerge/>
            <w:tcBorders>
              <w:left w:val="nil"/>
              <w:bottom w:val="single" w:sz="8" w:space="0" w:color="auto"/>
              <w:right w:val="nil"/>
            </w:tcBorders>
          </w:tcPr>
          <w:p w:rsidR="004118A2" w:rsidRPr="00F53CC2" w:rsidRDefault="004118A2" w:rsidP="00E44D86">
            <w:pPr>
              <w:jc w:val="center"/>
              <w:rPr>
                <w:rFonts w:eastAsia="Arial Unicode MS"/>
                <w:sz w:val="18"/>
                <w:szCs w:val="18"/>
              </w:rPr>
            </w:pPr>
          </w:p>
        </w:tc>
        <w:tc>
          <w:tcPr>
            <w:tcW w:w="0" w:type="auto"/>
            <w:vMerge/>
            <w:tcBorders>
              <w:left w:val="nil"/>
              <w:bottom w:val="single" w:sz="8" w:space="0" w:color="auto"/>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c>
          <w:tcPr>
            <w:tcW w:w="0" w:type="auto"/>
            <w:vMerge/>
            <w:tcBorders>
              <w:left w:val="nil"/>
              <w:bottom w:val="single" w:sz="8" w:space="0" w:color="auto"/>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c>
          <w:tcPr>
            <w:tcW w:w="1617" w:type="dxa"/>
            <w:tcBorders>
              <w:top w:val="nil"/>
              <w:left w:val="nil"/>
              <w:bottom w:val="single" w:sz="8" w:space="0" w:color="auto"/>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b/>
                <w:bCs/>
                <w:sz w:val="18"/>
                <w:szCs w:val="18"/>
              </w:rPr>
            </w:pPr>
            <w:r w:rsidRPr="00F53CC2">
              <w:rPr>
                <w:bCs/>
                <w:sz w:val="18"/>
                <w:szCs w:val="18"/>
              </w:rPr>
              <w:t>First</w:t>
            </w:r>
          </w:p>
        </w:tc>
        <w:tc>
          <w:tcPr>
            <w:tcW w:w="0" w:type="auto"/>
            <w:tcBorders>
              <w:top w:val="nil"/>
              <w:left w:val="nil"/>
              <w:bottom w:val="single" w:sz="8" w:space="0" w:color="auto"/>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b/>
                <w:bCs/>
                <w:sz w:val="18"/>
                <w:szCs w:val="18"/>
              </w:rPr>
            </w:pPr>
            <w:r w:rsidRPr="00F53CC2">
              <w:rPr>
                <w:bCs/>
                <w:sz w:val="18"/>
                <w:szCs w:val="18"/>
              </w:rPr>
              <w:t>Consequent</w:t>
            </w:r>
          </w:p>
        </w:tc>
        <w:tc>
          <w:tcPr>
            <w:tcW w:w="0" w:type="auto"/>
            <w:vMerge/>
            <w:tcBorders>
              <w:left w:val="nil"/>
              <w:bottom w:val="single" w:sz="8" w:space="0" w:color="auto"/>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r>
      <w:tr w:rsidR="004118A2" w:rsidRPr="00F53CC2" w:rsidTr="002321B1">
        <w:trPr>
          <w:trHeight w:val="300"/>
        </w:trPr>
        <w:tc>
          <w:tcPr>
            <w:tcW w:w="0" w:type="auto"/>
            <w:tcBorders>
              <w:top w:val="nil"/>
              <w:left w:val="nil"/>
              <w:bottom w:val="nil"/>
              <w:right w:val="nil"/>
            </w:tcBorders>
          </w:tcPr>
          <w:p w:rsidR="004118A2" w:rsidRPr="00F53CC2" w:rsidRDefault="004118A2" w:rsidP="00E44D86">
            <w:pPr>
              <w:jc w:val="center"/>
              <w:rPr>
                <w:sz w:val="18"/>
                <w:szCs w:val="18"/>
              </w:rPr>
            </w:pPr>
            <w:r w:rsidRPr="00F53CC2">
              <w:rPr>
                <w:sz w:val="18"/>
                <w:szCs w:val="18"/>
              </w:rPr>
              <w:t>4</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r w:rsidRPr="00F53CC2">
              <w:rPr>
                <w:rFonts w:eastAsia="Arial Unicode MS"/>
                <w:sz w:val="18"/>
                <w:szCs w:val="18"/>
              </w:rPr>
              <w:t>7</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2004</w:t>
            </w:r>
          </w:p>
        </w:tc>
        <w:tc>
          <w:tcPr>
            <w:tcW w:w="1617"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r w:rsidRPr="00F53CC2">
              <w:rPr>
                <w:color w:val="000000"/>
                <w:kern w:val="24"/>
                <w:sz w:val="18"/>
                <w:szCs w:val="18"/>
                <w:lang w:val="en-MY" w:eastAsia="en-MY"/>
              </w:rPr>
              <w:t>48.69</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r w:rsidRPr="00F53CC2">
              <w:rPr>
                <w:rFonts w:eastAsia="Arial Unicode MS"/>
                <w:sz w:val="18"/>
                <w:szCs w:val="18"/>
              </w:rPr>
              <w:t>-</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r>
      <w:tr w:rsidR="004118A2" w:rsidRPr="00F53CC2" w:rsidTr="002321B1">
        <w:trPr>
          <w:trHeight w:val="300"/>
        </w:trPr>
        <w:tc>
          <w:tcPr>
            <w:tcW w:w="0" w:type="auto"/>
            <w:tcBorders>
              <w:top w:val="nil"/>
              <w:left w:val="nil"/>
              <w:bottom w:val="nil"/>
              <w:right w:val="nil"/>
            </w:tcBorders>
          </w:tcPr>
          <w:p w:rsidR="004118A2" w:rsidRPr="00F53CC2" w:rsidRDefault="004118A2" w:rsidP="00E44D86">
            <w:pPr>
              <w:jc w:val="center"/>
              <w:rPr>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2005</w:t>
            </w:r>
          </w:p>
        </w:tc>
        <w:tc>
          <w:tcPr>
            <w:tcW w:w="1617"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r w:rsidRPr="00F53CC2">
              <w:rPr>
                <w:color w:val="000000"/>
                <w:kern w:val="24"/>
                <w:sz w:val="18"/>
                <w:szCs w:val="18"/>
                <w:lang w:val="en-MY" w:eastAsia="en-MY"/>
              </w:rPr>
              <w:t>47.87</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-1.68</w:t>
            </w:r>
          </w:p>
        </w:tc>
      </w:tr>
      <w:tr w:rsidR="004118A2" w:rsidRPr="00F53CC2" w:rsidTr="002321B1">
        <w:trPr>
          <w:trHeight w:val="300"/>
        </w:trPr>
        <w:tc>
          <w:tcPr>
            <w:tcW w:w="0" w:type="auto"/>
            <w:tcBorders>
              <w:top w:val="nil"/>
              <w:left w:val="nil"/>
              <w:bottom w:val="nil"/>
              <w:right w:val="nil"/>
            </w:tcBorders>
          </w:tcPr>
          <w:p w:rsidR="004118A2" w:rsidRPr="00F53CC2" w:rsidRDefault="004118A2" w:rsidP="00E44D86">
            <w:pPr>
              <w:jc w:val="center"/>
              <w:rPr>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2006</w:t>
            </w:r>
          </w:p>
        </w:tc>
        <w:tc>
          <w:tcPr>
            <w:tcW w:w="1617"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r w:rsidRPr="00F53CC2">
              <w:rPr>
                <w:color w:val="000000"/>
                <w:kern w:val="24"/>
                <w:sz w:val="18"/>
                <w:szCs w:val="18"/>
                <w:lang w:val="en-MY" w:eastAsia="en-MY"/>
              </w:rPr>
              <w:t>48.24</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-0.92</w:t>
            </w:r>
          </w:p>
        </w:tc>
      </w:tr>
      <w:tr w:rsidR="004118A2" w:rsidRPr="00F53CC2" w:rsidTr="002321B1">
        <w:trPr>
          <w:trHeight w:val="300"/>
        </w:trPr>
        <w:tc>
          <w:tcPr>
            <w:tcW w:w="0" w:type="auto"/>
            <w:tcBorders>
              <w:top w:val="nil"/>
              <w:left w:val="nil"/>
              <w:bottom w:val="nil"/>
              <w:right w:val="nil"/>
            </w:tcBorders>
          </w:tcPr>
          <w:p w:rsidR="004118A2" w:rsidRPr="00F53CC2" w:rsidRDefault="004118A2" w:rsidP="00E44D86">
            <w:pPr>
              <w:jc w:val="center"/>
              <w:rPr>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2007</w:t>
            </w:r>
          </w:p>
        </w:tc>
        <w:tc>
          <w:tcPr>
            <w:tcW w:w="1617"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r w:rsidRPr="00F53CC2">
              <w:rPr>
                <w:color w:val="000000"/>
                <w:kern w:val="24"/>
                <w:sz w:val="18"/>
                <w:szCs w:val="18"/>
                <w:lang w:val="en-MY" w:eastAsia="en-MY"/>
              </w:rPr>
              <w:t>47.81</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-1.81</w:t>
            </w:r>
          </w:p>
        </w:tc>
      </w:tr>
      <w:tr w:rsidR="004118A2" w:rsidRPr="00F53CC2" w:rsidTr="002321B1">
        <w:trPr>
          <w:trHeight w:val="300"/>
        </w:trPr>
        <w:tc>
          <w:tcPr>
            <w:tcW w:w="0" w:type="auto"/>
            <w:tcBorders>
              <w:top w:val="nil"/>
              <w:left w:val="nil"/>
              <w:bottom w:val="nil"/>
              <w:right w:val="nil"/>
            </w:tcBorders>
          </w:tcPr>
          <w:p w:rsidR="004118A2" w:rsidRPr="00F53CC2" w:rsidRDefault="004118A2" w:rsidP="00E44D86">
            <w:pPr>
              <w:jc w:val="center"/>
              <w:rPr>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2008</w:t>
            </w:r>
          </w:p>
        </w:tc>
        <w:tc>
          <w:tcPr>
            <w:tcW w:w="1617"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r w:rsidRPr="00F53CC2">
              <w:rPr>
                <w:color w:val="000000"/>
                <w:kern w:val="24"/>
                <w:sz w:val="18"/>
                <w:szCs w:val="18"/>
                <w:lang w:val="en-MY" w:eastAsia="en-MY"/>
              </w:rPr>
              <w:t>48.45</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-0.49</w:t>
            </w:r>
          </w:p>
        </w:tc>
      </w:tr>
      <w:tr w:rsidR="004118A2" w:rsidRPr="00F53CC2" w:rsidTr="002321B1">
        <w:trPr>
          <w:trHeight w:val="300"/>
        </w:trPr>
        <w:tc>
          <w:tcPr>
            <w:tcW w:w="0" w:type="auto"/>
            <w:tcBorders>
              <w:top w:val="nil"/>
              <w:left w:val="nil"/>
              <w:bottom w:val="nil"/>
              <w:right w:val="nil"/>
            </w:tcBorders>
          </w:tcPr>
          <w:p w:rsidR="004118A2" w:rsidRPr="00F53CC2" w:rsidRDefault="004118A2" w:rsidP="00E44D86">
            <w:pPr>
              <w:jc w:val="center"/>
              <w:rPr>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2009</w:t>
            </w:r>
          </w:p>
        </w:tc>
        <w:tc>
          <w:tcPr>
            <w:tcW w:w="1617" w:type="dxa"/>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sz w:val="18"/>
                <w:szCs w:val="18"/>
              </w:rPr>
            </w:pP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rPr>
                <w:sz w:val="18"/>
                <w:szCs w:val="18"/>
              </w:rPr>
            </w:pPr>
            <w:r w:rsidRPr="00F53CC2">
              <w:rPr>
                <w:color w:val="000000"/>
                <w:kern w:val="24"/>
                <w:sz w:val="18"/>
                <w:szCs w:val="18"/>
                <w:lang w:val="en-MY" w:eastAsia="en-MY"/>
              </w:rPr>
              <w:t>48.20</w:t>
            </w:r>
          </w:p>
        </w:tc>
        <w:tc>
          <w:tcPr>
            <w:tcW w:w="0" w:type="auto"/>
            <w:tcBorders>
              <w:top w:val="nil"/>
              <w:left w:val="nil"/>
              <w:bottom w:val="nil"/>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-1.01</w:t>
            </w:r>
          </w:p>
        </w:tc>
      </w:tr>
      <w:tr w:rsidR="004118A2" w:rsidRPr="00F53CC2" w:rsidTr="002321B1">
        <w:trPr>
          <w:trHeight w:val="300"/>
        </w:trPr>
        <w:tc>
          <w:tcPr>
            <w:tcW w:w="0" w:type="auto"/>
            <w:tcBorders>
              <w:top w:val="nil"/>
              <w:left w:val="nil"/>
              <w:bottom w:val="single" w:sz="4" w:space="0" w:color="auto"/>
              <w:right w:val="nil"/>
            </w:tcBorders>
          </w:tcPr>
          <w:p w:rsidR="004118A2" w:rsidRPr="00F53CC2" w:rsidRDefault="004118A2" w:rsidP="00E44D86">
            <w:pPr>
              <w:jc w:val="center"/>
              <w:rPr>
                <w:sz w:val="18"/>
                <w:szCs w:val="18"/>
              </w:rPr>
            </w:pPr>
          </w:p>
        </w:tc>
        <w:tc>
          <w:tcPr>
            <w:tcW w:w="0" w:type="auto"/>
            <w:tcBorders>
              <w:top w:val="nil"/>
              <w:left w:val="nil"/>
              <w:bottom w:val="single" w:sz="4" w:space="0" w:color="auto"/>
              <w:right w:val="nil"/>
            </w:tcBorders>
            <w:noWrap/>
            <w:tcMar>
              <w:top w:w="15" w:type="dxa"/>
              <w:left w:w="15" w:type="dxa"/>
              <w:bottom w:w="0" w:type="dxa"/>
              <w:right w:w="15" w:type="dxa"/>
            </w:tcMar>
            <w:vAlign w:val="center"/>
          </w:tcPr>
          <w:p w:rsidR="004118A2" w:rsidRPr="00F53CC2" w:rsidRDefault="004118A2" w:rsidP="00E44D86">
            <w:pPr>
              <w:jc w:val="center"/>
              <w:rPr>
                <w:rFonts w:eastAsia="Arial Unicode MS"/>
                <w:sz w:val="18"/>
                <w:szCs w:val="18"/>
              </w:rPr>
            </w:pPr>
          </w:p>
        </w:tc>
        <w:tc>
          <w:tcPr>
            <w:tcW w:w="0" w:type="auto"/>
            <w:tcBorders>
              <w:top w:val="nil"/>
              <w:left w:val="nil"/>
              <w:bottom w:val="single" w:sz="4" w:space="0" w:color="auto"/>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2010</w:t>
            </w:r>
          </w:p>
        </w:tc>
        <w:tc>
          <w:tcPr>
            <w:tcW w:w="1617" w:type="dxa"/>
            <w:tcBorders>
              <w:top w:val="nil"/>
              <w:left w:val="nil"/>
              <w:bottom w:val="single" w:sz="4" w:space="0" w:color="auto"/>
              <w:right w:val="nil"/>
            </w:tcBorders>
            <w:noWrap/>
            <w:tcMar>
              <w:top w:w="15" w:type="dxa"/>
              <w:left w:w="15" w:type="dxa"/>
              <w:bottom w:w="0" w:type="dxa"/>
              <w:right w:w="15" w:type="dxa"/>
            </w:tcMar>
            <w:vAlign w:val="center"/>
          </w:tcPr>
          <w:p w:rsidR="004118A2" w:rsidRPr="00F53CC2" w:rsidRDefault="004118A2" w:rsidP="00E44D86">
            <w:pPr>
              <w:jc w:val="center"/>
              <w:rPr>
                <w:sz w:val="18"/>
                <w:szCs w:val="18"/>
              </w:rPr>
            </w:pPr>
          </w:p>
        </w:tc>
        <w:tc>
          <w:tcPr>
            <w:tcW w:w="0" w:type="auto"/>
            <w:tcBorders>
              <w:top w:val="nil"/>
              <w:left w:val="nil"/>
              <w:bottom w:val="single" w:sz="4" w:space="0" w:color="auto"/>
              <w:right w:val="nil"/>
            </w:tcBorders>
            <w:noWrap/>
            <w:tcMar>
              <w:top w:w="15" w:type="dxa"/>
              <w:left w:w="15" w:type="dxa"/>
              <w:bottom w:w="0" w:type="dxa"/>
              <w:right w:w="15" w:type="dxa"/>
            </w:tcMar>
            <w:vAlign w:val="center"/>
          </w:tcPr>
          <w:p w:rsidR="004118A2" w:rsidRPr="00F53CC2" w:rsidRDefault="004118A2" w:rsidP="00E44D86">
            <w:pPr>
              <w:jc w:val="center"/>
              <w:rPr>
                <w:sz w:val="18"/>
                <w:szCs w:val="18"/>
              </w:rPr>
            </w:pPr>
            <w:r w:rsidRPr="00F53CC2">
              <w:rPr>
                <w:color w:val="000000"/>
                <w:kern w:val="24"/>
                <w:sz w:val="18"/>
                <w:szCs w:val="18"/>
                <w:lang w:val="en-MY" w:eastAsia="en-MY"/>
              </w:rPr>
              <w:t>48.33</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rsidR="004118A2" w:rsidRPr="00F53CC2" w:rsidRDefault="004118A2" w:rsidP="00E44D86">
            <w:pPr>
              <w:jc w:val="center"/>
              <w:textAlignment w:val="center"/>
              <w:rPr>
                <w:sz w:val="18"/>
                <w:szCs w:val="18"/>
                <w:lang w:val="en-MY" w:eastAsia="en-MY"/>
              </w:rPr>
            </w:pPr>
            <w:r w:rsidRPr="00F53CC2">
              <w:rPr>
                <w:color w:val="000000"/>
                <w:kern w:val="24"/>
                <w:sz w:val="18"/>
                <w:szCs w:val="18"/>
                <w:lang w:val="en-MY" w:eastAsia="en-MY"/>
              </w:rPr>
              <w:t>-0.74</w:t>
            </w:r>
          </w:p>
        </w:tc>
      </w:tr>
    </w:tbl>
    <w:p w:rsidR="004118A2" w:rsidRDefault="004118A2" w:rsidP="004118A2">
      <w:pPr>
        <w:ind w:left="426" w:hanging="426"/>
        <w:jc w:val="center"/>
        <w:rPr>
          <w:b/>
          <w:bCs/>
          <w:sz w:val="20"/>
          <w:szCs w:val="20"/>
        </w:rPr>
      </w:pPr>
    </w:p>
    <w:p w:rsidR="004118A2" w:rsidRPr="001156F7" w:rsidRDefault="004118A2" w:rsidP="004118A2">
      <w:pPr>
        <w:ind w:left="426" w:hanging="426"/>
        <w:jc w:val="center"/>
        <w:rPr>
          <w:sz w:val="20"/>
          <w:szCs w:val="20"/>
        </w:rPr>
      </w:pPr>
      <w:r w:rsidRPr="001156F7">
        <w:rPr>
          <w:b/>
          <w:bCs/>
          <w:sz w:val="20"/>
          <w:szCs w:val="20"/>
        </w:rPr>
        <w:t xml:space="preserve">Results and </w:t>
      </w:r>
      <w:r>
        <w:rPr>
          <w:b/>
          <w:bCs/>
          <w:sz w:val="20"/>
          <w:szCs w:val="20"/>
        </w:rPr>
        <w:t>D</w:t>
      </w:r>
      <w:r w:rsidRPr="001156F7">
        <w:rPr>
          <w:b/>
          <w:bCs/>
          <w:sz w:val="20"/>
          <w:szCs w:val="20"/>
        </w:rPr>
        <w:t>iscussion</w:t>
      </w:r>
    </w:p>
    <w:p w:rsidR="004118A2" w:rsidRPr="001156F7" w:rsidRDefault="004118A2" w:rsidP="004118A2">
      <w:pPr>
        <w:jc w:val="both"/>
        <w:rPr>
          <w:sz w:val="20"/>
          <w:szCs w:val="20"/>
        </w:rPr>
      </w:pPr>
      <w:r w:rsidRPr="001156F7">
        <w:rPr>
          <w:iCs/>
          <w:sz w:val="20"/>
          <w:szCs w:val="20"/>
        </w:rPr>
        <w:t xml:space="preserve">The results of µ </w:t>
      </w:r>
      <w:r w:rsidRPr="001156F7">
        <w:rPr>
          <w:sz w:val="20"/>
          <w:szCs w:val="20"/>
        </w:rPr>
        <w:t>±</w:t>
      </w:r>
      <w:r w:rsidRPr="001156F7">
        <w:rPr>
          <w:iCs/>
          <w:sz w:val="20"/>
          <w:szCs w:val="20"/>
        </w:rPr>
        <w:t xml:space="preserve"> SE and µ</w:t>
      </w:r>
      <w:r w:rsidRPr="001156F7">
        <w:rPr>
          <w:sz w:val="20"/>
          <w:szCs w:val="20"/>
        </w:rPr>
        <w:t xml:space="preserve"> ± </w:t>
      </w:r>
      <w:r w:rsidRPr="001156F7">
        <w:rPr>
          <w:iCs/>
          <w:sz w:val="20"/>
          <w:szCs w:val="20"/>
        </w:rPr>
        <w:t>σ</w:t>
      </w:r>
      <w:r w:rsidRPr="001156F7">
        <w:rPr>
          <w:iCs/>
          <w:sz w:val="20"/>
          <w:szCs w:val="20"/>
          <w:vertAlign w:val="subscript"/>
        </w:rPr>
        <w:t>N-1</w:t>
      </w:r>
      <w:r w:rsidRPr="001156F7">
        <w:rPr>
          <w:iCs/>
          <w:sz w:val="20"/>
          <w:szCs w:val="20"/>
        </w:rPr>
        <w:t xml:space="preserve"> for the </w:t>
      </w:r>
      <w:r w:rsidRPr="001156F7">
        <w:rPr>
          <w:sz w:val="20"/>
          <w:szCs w:val="20"/>
        </w:rPr>
        <w:sym w:font="Symbol" w:char="F044"/>
      </w:r>
      <w:r w:rsidRPr="001156F7">
        <w:rPr>
          <w:sz w:val="20"/>
          <w:szCs w:val="20"/>
        </w:rPr>
        <w:t>(%) are given in Fig</w:t>
      </w:r>
      <w:r w:rsidR="003C5736">
        <w:rPr>
          <w:sz w:val="20"/>
          <w:szCs w:val="20"/>
        </w:rPr>
        <w:t>ure</w:t>
      </w:r>
      <w:r w:rsidRPr="001156F7">
        <w:rPr>
          <w:sz w:val="20"/>
          <w:szCs w:val="20"/>
        </w:rPr>
        <w:t xml:space="preserve">s 2 and 3 respectively. In general it can be seen that (a) all </w:t>
      </w:r>
      <w:r w:rsidRPr="001156F7">
        <w:rPr>
          <w:iCs/>
          <w:sz w:val="20"/>
          <w:szCs w:val="20"/>
        </w:rPr>
        <w:t>µ</w:t>
      </w:r>
      <w:r w:rsidRPr="001156F7">
        <w:rPr>
          <w:sz w:val="20"/>
          <w:szCs w:val="20"/>
        </w:rPr>
        <w:t xml:space="preserve"> for the 29 ICs</w:t>
      </w:r>
      <w:r>
        <w:rPr>
          <w:sz w:val="20"/>
          <w:szCs w:val="20"/>
        </w:rPr>
        <w:t xml:space="preserve"> lie within the limit of ± 1.5%</w:t>
      </w:r>
      <w:r w:rsidRPr="001156F7">
        <w:rPr>
          <w:sz w:val="20"/>
          <w:szCs w:val="20"/>
        </w:rPr>
        <w:t xml:space="preserve">, which shows that the 29 ICs are stable in providing their </w:t>
      </w:r>
      <w:r w:rsidRPr="00260D6C">
        <w:rPr>
          <w:i/>
          <w:sz w:val="20"/>
          <w:szCs w:val="20"/>
        </w:rPr>
        <w:t>N</w:t>
      </w:r>
      <w:r w:rsidR="00260D6C">
        <w:rPr>
          <w:i/>
          <w:sz w:val="20"/>
          <w:szCs w:val="20"/>
          <w:vertAlign w:val="subscript"/>
        </w:rPr>
        <w:t>D,w</w:t>
      </w:r>
      <w:r w:rsidRPr="001156F7">
        <w:rPr>
          <w:sz w:val="20"/>
          <w:szCs w:val="20"/>
        </w:rPr>
        <w:t xml:space="preserve">, (b) the value of  </w:t>
      </w:r>
      <w:r w:rsidRPr="001156F7">
        <w:rPr>
          <w:iCs/>
          <w:sz w:val="20"/>
          <w:szCs w:val="20"/>
        </w:rPr>
        <w:t xml:space="preserve">µ </w:t>
      </w:r>
      <w:r w:rsidRPr="001156F7">
        <w:rPr>
          <w:sz w:val="20"/>
          <w:szCs w:val="20"/>
        </w:rPr>
        <w:t>±</w:t>
      </w:r>
      <w:r w:rsidRPr="001156F7">
        <w:rPr>
          <w:iCs/>
          <w:sz w:val="20"/>
          <w:szCs w:val="20"/>
        </w:rPr>
        <w:t xml:space="preserve"> SE  (Fig</w:t>
      </w:r>
      <w:r w:rsidR="003C5736">
        <w:rPr>
          <w:iCs/>
          <w:sz w:val="20"/>
          <w:szCs w:val="20"/>
        </w:rPr>
        <w:t>ure</w:t>
      </w:r>
      <w:r w:rsidRPr="001156F7">
        <w:rPr>
          <w:iCs/>
          <w:sz w:val="20"/>
          <w:szCs w:val="20"/>
        </w:rPr>
        <w:t xml:space="preserve"> 2) is smaller than µ</w:t>
      </w:r>
      <w:r w:rsidRPr="001156F7">
        <w:rPr>
          <w:sz w:val="20"/>
          <w:szCs w:val="20"/>
        </w:rPr>
        <w:t xml:space="preserve"> ± </w:t>
      </w:r>
      <w:r w:rsidRPr="001156F7">
        <w:rPr>
          <w:iCs/>
          <w:sz w:val="20"/>
          <w:szCs w:val="20"/>
        </w:rPr>
        <w:t>σ</w:t>
      </w:r>
      <w:r w:rsidRPr="001156F7">
        <w:rPr>
          <w:iCs/>
          <w:sz w:val="20"/>
          <w:szCs w:val="20"/>
          <w:vertAlign w:val="subscript"/>
        </w:rPr>
        <w:t xml:space="preserve">N-1 </w:t>
      </w:r>
      <w:r w:rsidRPr="001156F7">
        <w:rPr>
          <w:iCs/>
          <w:sz w:val="20"/>
          <w:szCs w:val="20"/>
        </w:rPr>
        <w:t>(Fig</w:t>
      </w:r>
      <w:r w:rsidR="003C5736">
        <w:rPr>
          <w:iCs/>
          <w:sz w:val="20"/>
          <w:szCs w:val="20"/>
        </w:rPr>
        <w:t>ure</w:t>
      </w:r>
      <w:r w:rsidRPr="001156F7">
        <w:rPr>
          <w:iCs/>
          <w:sz w:val="20"/>
          <w:szCs w:val="20"/>
        </w:rPr>
        <w:t xml:space="preserve"> 3) </w:t>
      </w:r>
      <w:r w:rsidRPr="001156F7">
        <w:rPr>
          <w:sz w:val="20"/>
          <w:szCs w:val="20"/>
        </w:rPr>
        <w:t xml:space="preserve">by a factor of square root of N, where N is the number of the deviations, as expected. </w:t>
      </w:r>
      <w:r w:rsidRPr="001156F7">
        <w:rPr>
          <w:iCs/>
          <w:sz w:val="20"/>
          <w:szCs w:val="20"/>
        </w:rPr>
        <w:t xml:space="preserve">For the </w:t>
      </w:r>
      <w:r w:rsidRPr="001156F7">
        <w:rPr>
          <w:sz w:val="20"/>
          <w:szCs w:val="20"/>
        </w:rPr>
        <w:t xml:space="preserve">results of IC=4 and RC=7 mentioned above, the </w:t>
      </w:r>
      <w:r w:rsidRPr="001156F7">
        <w:rPr>
          <w:iCs/>
          <w:sz w:val="20"/>
          <w:szCs w:val="20"/>
        </w:rPr>
        <w:t xml:space="preserve">µ </w:t>
      </w:r>
      <w:r w:rsidRPr="001156F7">
        <w:rPr>
          <w:sz w:val="20"/>
          <w:szCs w:val="20"/>
        </w:rPr>
        <w:t>±</w:t>
      </w:r>
      <w:r w:rsidRPr="001156F7">
        <w:rPr>
          <w:iCs/>
          <w:sz w:val="20"/>
          <w:szCs w:val="20"/>
        </w:rPr>
        <w:t xml:space="preserve"> SE and µ</w:t>
      </w:r>
      <w:r w:rsidRPr="001156F7">
        <w:rPr>
          <w:sz w:val="20"/>
          <w:szCs w:val="20"/>
        </w:rPr>
        <w:t xml:space="preserve"> ± </w:t>
      </w:r>
      <w:r w:rsidRPr="001156F7">
        <w:rPr>
          <w:iCs/>
          <w:sz w:val="20"/>
          <w:szCs w:val="20"/>
        </w:rPr>
        <w:t>σ</w:t>
      </w:r>
      <w:r w:rsidRPr="001156F7">
        <w:rPr>
          <w:iCs/>
          <w:sz w:val="20"/>
          <w:szCs w:val="20"/>
          <w:vertAlign w:val="subscript"/>
        </w:rPr>
        <w:t>N-1</w:t>
      </w:r>
      <w:r w:rsidRPr="001156F7">
        <w:rPr>
          <w:iCs/>
          <w:sz w:val="20"/>
          <w:szCs w:val="20"/>
        </w:rPr>
        <w:t xml:space="preserve"> are </w:t>
      </w:r>
      <w:r w:rsidRPr="001156F7">
        <w:rPr>
          <w:sz w:val="20"/>
          <w:szCs w:val="20"/>
        </w:rPr>
        <w:t>indicated by the arrows in the two figures.</w:t>
      </w:r>
    </w:p>
    <w:p w:rsidR="004118A2" w:rsidRPr="001156F7" w:rsidRDefault="004118A2" w:rsidP="004118A2">
      <w:pPr>
        <w:jc w:val="both"/>
        <w:rPr>
          <w:sz w:val="20"/>
          <w:szCs w:val="20"/>
        </w:rPr>
      </w:pPr>
    </w:p>
    <w:p w:rsidR="004118A2" w:rsidRDefault="004118A2" w:rsidP="004118A2">
      <w:pPr>
        <w:jc w:val="both"/>
        <w:rPr>
          <w:sz w:val="20"/>
          <w:szCs w:val="20"/>
        </w:rPr>
      </w:pPr>
      <w:r w:rsidRPr="001156F7">
        <w:rPr>
          <w:sz w:val="20"/>
          <w:szCs w:val="20"/>
        </w:rPr>
        <w:t xml:space="preserve">We shall now examined </w:t>
      </w:r>
      <w:r w:rsidRPr="001156F7">
        <w:rPr>
          <w:iCs/>
          <w:sz w:val="20"/>
          <w:szCs w:val="20"/>
        </w:rPr>
        <w:t xml:space="preserve">µ </w:t>
      </w:r>
      <w:r w:rsidRPr="001156F7">
        <w:rPr>
          <w:sz w:val="20"/>
          <w:szCs w:val="20"/>
        </w:rPr>
        <w:t>±</w:t>
      </w:r>
      <w:r w:rsidRPr="001156F7">
        <w:rPr>
          <w:iCs/>
          <w:sz w:val="20"/>
          <w:szCs w:val="20"/>
        </w:rPr>
        <w:t xml:space="preserve"> SE only (Fig</w:t>
      </w:r>
      <w:r w:rsidR="003C5736">
        <w:rPr>
          <w:iCs/>
          <w:sz w:val="20"/>
          <w:szCs w:val="20"/>
        </w:rPr>
        <w:t>ure</w:t>
      </w:r>
      <w:r w:rsidRPr="001156F7">
        <w:rPr>
          <w:iCs/>
          <w:sz w:val="20"/>
          <w:szCs w:val="20"/>
        </w:rPr>
        <w:t xml:space="preserve"> 2) for all the ICs as SE is in actual fact is the uncertainty in the mean. It can be seen that there are three ICs (IC no 7, 20 and 24) that give the values slightly higher than </w:t>
      </w:r>
      <w:r w:rsidRPr="001156F7">
        <w:rPr>
          <w:sz w:val="20"/>
          <w:szCs w:val="20"/>
        </w:rPr>
        <w:t>± 1.5%. If we examine carefully the values of the SE for three ICs that lie outside acceptable limit of ± 1.5%, we found that their values are acceptable as they are less than 95% confidence interval of the limit, i.e.  79.6% or 1.27 standard deviation (SD) for IC no. 7 (1.91=1.27</w:t>
      </w:r>
      <w:r w:rsidRPr="001156F7">
        <w:rPr>
          <w:sz w:val="20"/>
          <w:szCs w:val="20"/>
        </w:rPr>
        <w:sym w:font="Symbol" w:char="F0B4"/>
      </w:r>
      <w:r w:rsidR="003C5736">
        <w:rPr>
          <w:sz w:val="20"/>
          <w:szCs w:val="20"/>
        </w:rPr>
        <w:t>1.5),</w:t>
      </w:r>
      <w:r w:rsidRPr="001156F7">
        <w:rPr>
          <w:sz w:val="20"/>
          <w:szCs w:val="20"/>
        </w:rPr>
        <w:t xml:space="preserve"> 94.4% or 1.91 SD for IC no. 20 (2.86=1.91</w:t>
      </w:r>
      <w:r w:rsidRPr="001156F7">
        <w:rPr>
          <w:sz w:val="20"/>
          <w:szCs w:val="20"/>
        </w:rPr>
        <w:sym w:font="Symbol" w:char="F0B4"/>
      </w:r>
      <w:r w:rsidRPr="001156F7">
        <w:rPr>
          <w:sz w:val="20"/>
          <w:szCs w:val="20"/>
        </w:rPr>
        <w:t xml:space="preserve">1.5) and </w:t>
      </w:r>
      <w:r w:rsidR="00AB676F">
        <w:rPr>
          <w:sz w:val="20"/>
          <w:szCs w:val="20"/>
        </w:rPr>
        <w:t xml:space="preserve">75% or </w:t>
      </w:r>
      <w:r w:rsidRPr="001156F7">
        <w:rPr>
          <w:sz w:val="20"/>
          <w:szCs w:val="20"/>
        </w:rPr>
        <w:t>1.15 SD for IC no. 24 (1.72=1.15</w:t>
      </w:r>
      <w:r w:rsidRPr="001156F7">
        <w:rPr>
          <w:sz w:val="20"/>
          <w:szCs w:val="20"/>
        </w:rPr>
        <w:sym w:font="Symbol" w:char="F0B4"/>
      </w:r>
      <w:r w:rsidRPr="001156F7">
        <w:rPr>
          <w:sz w:val="20"/>
          <w:szCs w:val="20"/>
        </w:rPr>
        <w:t xml:space="preserve">1.5). </w:t>
      </w:r>
    </w:p>
    <w:p w:rsidR="00E44D86" w:rsidRPr="00260D6C" w:rsidRDefault="00E44D86" w:rsidP="004118A2">
      <w:pPr>
        <w:jc w:val="both"/>
        <w:rPr>
          <w:sz w:val="16"/>
          <w:szCs w:val="20"/>
        </w:rPr>
      </w:pPr>
    </w:p>
    <w:p w:rsidR="00E44D86" w:rsidRDefault="00E44D86" w:rsidP="00E44D86">
      <w:pPr>
        <w:jc w:val="center"/>
        <w:rPr>
          <w:sz w:val="20"/>
          <w:szCs w:val="20"/>
        </w:rPr>
      </w:pPr>
      <w:r>
        <w:rPr>
          <w:noProof/>
          <w:sz w:val="20"/>
          <w:szCs w:val="20"/>
        </w:rPr>
        <w:drawing>
          <wp:inline distT="0" distB="0" distL="0" distR="0">
            <wp:extent cx="5126400" cy="2790000"/>
            <wp:effectExtent l="0" t="0" r="0" b="0"/>
            <wp:docPr id="2" name="Picture 2" descr="D:\WP\1_PhD\Conference\2011\SKAM24\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1_PhD\Conference\2011\SKAM24\SE.jp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3114"/>
                    <a:stretch/>
                  </pic:blipFill>
                  <pic:spPr bwMode="auto">
                    <a:xfrm>
                      <a:off x="0" y="0"/>
                      <a:ext cx="5126400" cy="279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60D6C" w:rsidRPr="00260D6C" w:rsidRDefault="00260D6C" w:rsidP="004118A2">
      <w:pPr>
        <w:jc w:val="center"/>
        <w:rPr>
          <w:sz w:val="8"/>
          <w:szCs w:val="20"/>
        </w:rPr>
      </w:pPr>
    </w:p>
    <w:p w:rsidR="004118A2" w:rsidRDefault="004118A2" w:rsidP="004118A2">
      <w:pPr>
        <w:jc w:val="center"/>
        <w:rPr>
          <w:color w:val="000000" w:themeColor="dark1"/>
          <w:sz w:val="18"/>
          <w:szCs w:val="20"/>
        </w:rPr>
      </w:pPr>
      <w:r w:rsidRPr="009E0080">
        <w:rPr>
          <w:sz w:val="18"/>
          <w:szCs w:val="20"/>
        </w:rPr>
        <w:t>Fig</w:t>
      </w:r>
      <w:r>
        <w:rPr>
          <w:sz w:val="18"/>
          <w:szCs w:val="20"/>
        </w:rPr>
        <w:t>ure</w:t>
      </w:r>
      <w:r w:rsidRPr="009E0080">
        <w:rPr>
          <w:sz w:val="18"/>
          <w:szCs w:val="20"/>
        </w:rPr>
        <w:t xml:space="preserve"> 2</w:t>
      </w:r>
      <w:r w:rsidR="00E44D86">
        <w:rPr>
          <w:sz w:val="18"/>
          <w:szCs w:val="20"/>
        </w:rPr>
        <w:t>:</w:t>
      </w:r>
      <w:r w:rsidRPr="009E0080">
        <w:rPr>
          <w:sz w:val="18"/>
          <w:szCs w:val="20"/>
        </w:rPr>
        <w:tab/>
        <w:t xml:space="preserve">Deviation of </w:t>
      </w:r>
      <w:r w:rsidRPr="009E0080">
        <w:rPr>
          <w:color w:val="000000" w:themeColor="dark1"/>
          <w:sz w:val="18"/>
          <w:szCs w:val="20"/>
        </w:rPr>
        <w:t>µ ± SE</w:t>
      </w:r>
    </w:p>
    <w:p w:rsidR="00E44D86" w:rsidRDefault="00E44D86" w:rsidP="004118A2">
      <w:pPr>
        <w:spacing w:line="360" w:lineRule="auto"/>
        <w:jc w:val="center"/>
        <w:rPr>
          <w:sz w:val="18"/>
        </w:rPr>
      </w:pPr>
      <w:r>
        <w:rPr>
          <w:noProof/>
          <w:sz w:val="18"/>
        </w:rPr>
        <w:lastRenderedPageBreak/>
        <w:drawing>
          <wp:inline distT="0" distB="0" distL="0" distR="0">
            <wp:extent cx="5090771" cy="3001993"/>
            <wp:effectExtent l="0" t="0" r="0" b="8255"/>
            <wp:docPr id="3" name="Picture 3" descr="D:\WP\1_PhD\Conference\2011\SKAM24\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P\1_PhD\Conference\2011\SKAM24\SD.jpg"/>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794"/>
                    <a:stretch/>
                  </pic:blipFill>
                  <pic:spPr bwMode="auto">
                    <a:xfrm>
                      <a:off x="0" y="0"/>
                      <a:ext cx="5097600" cy="30060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118A2" w:rsidRPr="009E0080" w:rsidRDefault="004118A2" w:rsidP="004118A2">
      <w:pPr>
        <w:spacing w:line="360" w:lineRule="auto"/>
        <w:jc w:val="center"/>
        <w:rPr>
          <w:color w:val="000000" w:themeColor="dark1"/>
          <w:sz w:val="18"/>
        </w:rPr>
      </w:pPr>
      <w:r w:rsidRPr="009E0080">
        <w:rPr>
          <w:sz w:val="18"/>
        </w:rPr>
        <w:t>Fig</w:t>
      </w:r>
      <w:r w:rsidR="00E44D86">
        <w:rPr>
          <w:sz w:val="18"/>
        </w:rPr>
        <w:t>ure</w:t>
      </w:r>
      <w:r w:rsidRPr="009E0080">
        <w:rPr>
          <w:sz w:val="18"/>
        </w:rPr>
        <w:t xml:space="preserve"> 3</w:t>
      </w:r>
      <w:r w:rsidR="00E44D86">
        <w:rPr>
          <w:sz w:val="18"/>
        </w:rPr>
        <w:t>:</w:t>
      </w:r>
      <w:r w:rsidRPr="009E0080">
        <w:rPr>
          <w:sz w:val="18"/>
        </w:rPr>
        <w:tab/>
        <w:t xml:space="preserve">Deviation of </w:t>
      </w:r>
      <w:r w:rsidRPr="009E0080">
        <w:rPr>
          <w:color w:val="000000" w:themeColor="dark1"/>
          <w:sz w:val="18"/>
        </w:rPr>
        <w:t xml:space="preserve">µ ± </w:t>
      </w:r>
      <w:r w:rsidRPr="009E0080">
        <w:rPr>
          <w:color w:val="000000" w:themeColor="dark1"/>
          <w:sz w:val="18"/>
          <w:lang w:val="el-GR"/>
        </w:rPr>
        <w:t>σ</w:t>
      </w:r>
      <w:r w:rsidRPr="009E0080">
        <w:rPr>
          <w:color w:val="000000" w:themeColor="dark1"/>
          <w:sz w:val="18"/>
          <w:vertAlign w:val="subscript"/>
        </w:rPr>
        <w:t>N-1</w:t>
      </w:r>
    </w:p>
    <w:p w:rsidR="004118A2" w:rsidRDefault="004118A2" w:rsidP="004118A2">
      <w:pPr>
        <w:pStyle w:val="Heading2"/>
        <w:jc w:val="center"/>
        <w:rPr>
          <w:sz w:val="20"/>
          <w:szCs w:val="20"/>
        </w:rPr>
      </w:pPr>
    </w:p>
    <w:p w:rsidR="004118A2" w:rsidRPr="001156F7" w:rsidRDefault="004118A2" w:rsidP="004118A2">
      <w:pPr>
        <w:pStyle w:val="Heading2"/>
        <w:jc w:val="center"/>
        <w:rPr>
          <w:sz w:val="20"/>
          <w:szCs w:val="20"/>
        </w:rPr>
      </w:pPr>
      <w:r w:rsidRPr="001156F7">
        <w:rPr>
          <w:sz w:val="20"/>
          <w:szCs w:val="20"/>
        </w:rPr>
        <w:t>Conclusion</w:t>
      </w:r>
    </w:p>
    <w:p w:rsidR="004118A2" w:rsidRPr="001156F7" w:rsidRDefault="004118A2" w:rsidP="004118A2">
      <w:pPr>
        <w:jc w:val="both"/>
        <w:rPr>
          <w:sz w:val="20"/>
          <w:szCs w:val="20"/>
        </w:rPr>
      </w:pPr>
      <w:r w:rsidRPr="001156F7">
        <w:rPr>
          <w:sz w:val="20"/>
          <w:szCs w:val="20"/>
        </w:rPr>
        <w:t xml:space="preserve">As the </w:t>
      </w:r>
      <w:r w:rsidRPr="001156F7">
        <w:rPr>
          <w:i/>
          <w:sz w:val="20"/>
          <w:szCs w:val="20"/>
        </w:rPr>
        <w:t>N</w:t>
      </w:r>
      <w:r w:rsidRPr="001156F7">
        <w:rPr>
          <w:i/>
          <w:sz w:val="20"/>
          <w:szCs w:val="20"/>
          <w:vertAlign w:val="subscript"/>
        </w:rPr>
        <w:t>D,w</w:t>
      </w:r>
      <w:r w:rsidRPr="001156F7">
        <w:rPr>
          <w:sz w:val="20"/>
          <w:szCs w:val="20"/>
        </w:rPr>
        <w:t xml:space="preserve"> calibration coefficient are stable with time, it is concluded that the chambers being studied are in their good performance for the purpose patients dose measurement. </w:t>
      </w:r>
    </w:p>
    <w:p w:rsidR="004118A2" w:rsidRPr="001156F7" w:rsidRDefault="004118A2" w:rsidP="004118A2">
      <w:pPr>
        <w:jc w:val="both"/>
        <w:rPr>
          <w:b/>
          <w:bCs/>
          <w:sz w:val="20"/>
          <w:szCs w:val="20"/>
        </w:rPr>
      </w:pPr>
    </w:p>
    <w:p w:rsidR="004118A2" w:rsidRPr="00BF76A2" w:rsidRDefault="004118A2" w:rsidP="004118A2">
      <w:pPr>
        <w:jc w:val="center"/>
        <w:rPr>
          <w:b/>
          <w:bCs/>
          <w:sz w:val="20"/>
          <w:szCs w:val="20"/>
        </w:rPr>
      </w:pPr>
      <w:r w:rsidRPr="00BF76A2">
        <w:rPr>
          <w:b/>
          <w:bCs/>
          <w:sz w:val="20"/>
          <w:szCs w:val="20"/>
        </w:rPr>
        <w:t>Acknowledgement</w:t>
      </w:r>
    </w:p>
    <w:p w:rsidR="004118A2" w:rsidRPr="001156F7" w:rsidRDefault="004118A2" w:rsidP="004118A2">
      <w:pPr>
        <w:jc w:val="both"/>
        <w:rPr>
          <w:sz w:val="20"/>
          <w:szCs w:val="20"/>
        </w:rPr>
      </w:pPr>
      <w:r w:rsidRPr="001156F7">
        <w:rPr>
          <w:sz w:val="20"/>
          <w:szCs w:val="20"/>
        </w:rPr>
        <w:t>We gratefully acknowledge Universiti Kebangsaan Malaysia for a research grant, Project code UKM-ST-07-FRGS0154-2010.</w:t>
      </w:r>
    </w:p>
    <w:p w:rsidR="004118A2" w:rsidRPr="001156F7" w:rsidRDefault="004118A2" w:rsidP="004118A2">
      <w:pPr>
        <w:jc w:val="both"/>
        <w:rPr>
          <w:sz w:val="20"/>
          <w:szCs w:val="20"/>
        </w:rPr>
      </w:pPr>
    </w:p>
    <w:p w:rsidR="004118A2" w:rsidRPr="00BF76A2" w:rsidRDefault="004118A2" w:rsidP="004118A2">
      <w:pPr>
        <w:jc w:val="center"/>
        <w:rPr>
          <w:b/>
          <w:bCs/>
          <w:sz w:val="20"/>
          <w:szCs w:val="20"/>
        </w:rPr>
      </w:pPr>
      <w:r w:rsidRPr="00BF76A2">
        <w:rPr>
          <w:b/>
          <w:bCs/>
          <w:sz w:val="20"/>
          <w:szCs w:val="20"/>
        </w:rPr>
        <w:t>References</w:t>
      </w:r>
    </w:p>
    <w:p w:rsidR="004118A2" w:rsidRDefault="004118A2" w:rsidP="004118A2">
      <w:pPr>
        <w:pStyle w:val="ListParagraph"/>
        <w:numPr>
          <w:ilvl w:val="0"/>
          <w:numId w:val="1"/>
        </w:numPr>
        <w:ind w:left="284" w:hanging="284"/>
        <w:jc w:val="both"/>
        <w:rPr>
          <w:sz w:val="18"/>
          <w:szCs w:val="20"/>
        </w:rPr>
      </w:pPr>
      <w:r w:rsidRPr="009E0080">
        <w:rPr>
          <w:sz w:val="18"/>
          <w:szCs w:val="20"/>
        </w:rPr>
        <w:t>IAEA. 1998. Building a better future: Contributions of nuclear science and technology. Vienna.</w:t>
      </w:r>
    </w:p>
    <w:p w:rsidR="00921E5D" w:rsidRPr="00921E5D" w:rsidRDefault="00921E5D" w:rsidP="00921E5D">
      <w:pPr>
        <w:pStyle w:val="ListParagraph"/>
        <w:numPr>
          <w:ilvl w:val="0"/>
          <w:numId w:val="1"/>
        </w:numPr>
        <w:ind w:left="284" w:hanging="284"/>
        <w:jc w:val="both"/>
        <w:rPr>
          <w:sz w:val="18"/>
          <w:szCs w:val="20"/>
        </w:rPr>
      </w:pPr>
      <w:r w:rsidRPr="009E0080">
        <w:rPr>
          <w:sz w:val="18"/>
          <w:szCs w:val="20"/>
        </w:rPr>
        <w:t>IAEA. 2004. Radiation, people and the environment. Vienna.</w:t>
      </w:r>
    </w:p>
    <w:p w:rsidR="00921E5D" w:rsidRPr="00921E5D" w:rsidRDefault="00921E5D" w:rsidP="00921E5D">
      <w:pPr>
        <w:pStyle w:val="ListParagraph"/>
        <w:numPr>
          <w:ilvl w:val="0"/>
          <w:numId w:val="1"/>
        </w:numPr>
        <w:ind w:left="284" w:hanging="284"/>
        <w:jc w:val="both"/>
        <w:rPr>
          <w:sz w:val="18"/>
          <w:szCs w:val="20"/>
        </w:rPr>
      </w:pPr>
      <w:r w:rsidRPr="009E0080">
        <w:rPr>
          <w:sz w:val="18"/>
          <w:szCs w:val="20"/>
        </w:rPr>
        <w:t xml:space="preserve">Samat, S.B., Evans, C.J., Kadni, T. Ooi, A.S. </w:t>
      </w:r>
      <w:r>
        <w:rPr>
          <w:sz w:val="18"/>
          <w:szCs w:val="20"/>
        </w:rPr>
        <w:t>&amp; Dollah, M.T. 2003. The -10% an</w:t>
      </w:r>
      <w:r w:rsidRPr="009E0080">
        <w:rPr>
          <w:sz w:val="18"/>
          <w:szCs w:val="20"/>
        </w:rPr>
        <w:t xml:space="preserve">d 13% errors arising from mis-interpretation of the two IAEA protocols TRS-277 and TRS-398: Causes and prevention. </w:t>
      </w:r>
      <w:r w:rsidRPr="009E0080">
        <w:rPr>
          <w:i/>
          <w:sz w:val="18"/>
          <w:szCs w:val="20"/>
        </w:rPr>
        <w:t>SSDL Newsletter</w:t>
      </w:r>
      <w:r w:rsidRPr="009E0080">
        <w:rPr>
          <w:sz w:val="18"/>
          <w:szCs w:val="20"/>
        </w:rPr>
        <w:t xml:space="preserve"> 48: 16-18.</w:t>
      </w:r>
    </w:p>
    <w:p w:rsidR="00921E5D" w:rsidRDefault="00921E5D" w:rsidP="00921E5D">
      <w:pPr>
        <w:pStyle w:val="ListParagraph"/>
        <w:numPr>
          <w:ilvl w:val="0"/>
          <w:numId w:val="1"/>
        </w:numPr>
        <w:ind w:left="284" w:hanging="284"/>
        <w:jc w:val="both"/>
        <w:rPr>
          <w:sz w:val="18"/>
          <w:szCs w:val="20"/>
        </w:rPr>
      </w:pPr>
      <w:r w:rsidRPr="009E0080">
        <w:rPr>
          <w:sz w:val="18"/>
          <w:szCs w:val="20"/>
        </w:rPr>
        <w:t>IAEA. 2000. Absorbed Dose Determination in External Beam Radiotherapy: An International Code of Practice for Dosimetry Based on Standards of Absorbed Dose to Water, TRS 398, Vienna.</w:t>
      </w:r>
    </w:p>
    <w:p w:rsidR="00921E5D" w:rsidRPr="009E0080" w:rsidRDefault="00921E5D" w:rsidP="00921E5D">
      <w:pPr>
        <w:pStyle w:val="ListParagraph"/>
        <w:numPr>
          <w:ilvl w:val="0"/>
          <w:numId w:val="1"/>
        </w:numPr>
        <w:ind w:left="284" w:hanging="284"/>
        <w:jc w:val="both"/>
        <w:rPr>
          <w:sz w:val="18"/>
          <w:szCs w:val="20"/>
        </w:rPr>
      </w:pPr>
      <w:r w:rsidRPr="009E0080">
        <w:rPr>
          <w:sz w:val="18"/>
          <w:szCs w:val="20"/>
        </w:rPr>
        <w:t xml:space="preserve">Samat, S.B., Evans, C.J., Kadni, T. &amp; Dollah, M.T. 2009. Malaysian participation in the IAEA/WHO postal TLD and postal ionization chamber intercomparison programme: Analysis of results obtained during 1985-2008. </w:t>
      </w:r>
      <w:r w:rsidRPr="009E0080">
        <w:rPr>
          <w:i/>
          <w:sz w:val="18"/>
          <w:szCs w:val="20"/>
        </w:rPr>
        <w:t>Rad. Prot. Dos.</w:t>
      </w:r>
      <w:r w:rsidRPr="009E0080">
        <w:rPr>
          <w:sz w:val="18"/>
          <w:szCs w:val="20"/>
        </w:rPr>
        <w:t xml:space="preserve"> 133(3): 186-191.</w:t>
      </w:r>
    </w:p>
    <w:p w:rsidR="00921E5D" w:rsidRDefault="00921E5D" w:rsidP="00921E5D">
      <w:pPr>
        <w:pStyle w:val="ListParagraph"/>
        <w:numPr>
          <w:ilvl w:val="0"/>
          <w:numId w:val="1"/>
        </w:numPr>
        <w:ind w:left="284" w:hanging="284"/>
        <w:jc w:val="both"/>
        <w:rPr>
          <w:sz w:val="18"/>
          <w:szCs w:val="20"/>
        </w:rPr>
      </w:pPr>
      <w:r>
        <w:rPr>
          <w:sz w:val="18"/>
          <w:szCs w:val="20"/>
        </w:rPr>
        <w:t>IAEA. 1994. Calibration of dosimeters used in radiotherapy: A manual sponsored by the IAEA and WHO. TRS 374. Vienna</w:t>
      </w:r>
    </w:p>
    <w:p w:rsidR="00921E5D" w:rsidRPr="00921E5D" w:rsidRDefault="00921E5D" w:rsidP="00921E5D">
      <w:pPr>
        <w:pStyle w:val="ListParagraph"/>
        <w:numPr>
          <w:ilvl w:val="0"/>
          <w:numId w:val="1"/>
        </w:numPr>
        <w:ind w:left="284" w:hanging="284"/>
        <w:jc w:val="both"/>
        <w:rPr>
          <w:sz w:val="18"/>
          <w:szCs w:val="20"/>
        </w:rPr>
      </w:pPr>
      <w:r>
        <w:rPr>
          <w:sz w:val="18"/>
          <w:szCs w:val="20"/>
        </w:rPr>
        <w:t xml:space="preserve">IAEA. 2003. Results of comparison of therapy level ionization chamber calibration coefficient (Reference:MAL/02/01). IAEA/WHO Network of Secondary Standard Laboratories. </w:t>
      </w:r>
    </w:p>
    <w:p w:rsidR="004118A2" w:rsidRPr="001156F7" w:rsidRDefault="004118A2" w:rsidP="004118A2">
      <w:pPr>
        <w:rPr>
          <w:sz w:val="20"/>
          <w:szCs w:val="20"/>
        </w:rPr>
      </w:pPr>
    </w:p>
    <w:p w:rsidR="004118A2" w:rsidRPr="001156F7" w:rsidRDefault="004118A2" w:rsidP="004118A2">
      <w:pPr>
        <w:rPr>
          <w:sz w:val="20"/>
          <w:szCs w:val="20"/>
        </w:rPr>
      </w:pPr>
    </w:p>
    <w:p w:rsidR="00FF77ED" w:rsidRDefault="00FF77ED" w:rsidP="004118A2">
      <w:pPr>
        <w:ind w:right="-426"/>
      </w:pPr>
    </w:p>
    <w:sectPr w:rsidR="00FF77ED" w:rsidSect="004118A2">
      <w:pgSz w:w="12240" w:h="15840" w:code="1"/>
      <w:pgMar w:top="1134" w:right="1797" w:bottom="1440" w:left="1797" w:header="720" w:footer="68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97F" w:rsidRDefault="00DE697F">
      <w:r>
        <w:separator/>
      </w:r>
    </w:p>
  </w:endnote>
  <w:endnote w:type="continuationSeparator" w:id="1">
    <w:p w:rsidR="00DE697F" w:rsidRDefault="00DE6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1B1" w:rsidRDefault="004B20D5">
    <w:pPr>
      <w:pStyle w:val="Footer"/>
      <w:framePr w:wrap="around" w:vAnchor="text" w:hAnchor="margin" w:xAlign="right" w:y="1"/>
      <w:rPr>
        <w:rStyle w:val="PageNumber"/>
      </w:rPr>
    </w:pPr>
    <w:r>
      <w:rPr>
        <w:rStyle w:val="PageNumber"/>
      </w:rPr>
      <w:fldChar w:fldCharType="begin"/>
    </w:r>
    <w:r w:rsidR="002321B1">
      <w:rPr>
        <w:rStyle w:val="PageNumber"/>
      </w:rPr>
      <w:instrText xml:space="preserve">PAGE  </w:instrText>
    </w:r>
    <w:r>
      <w:rPr>
        <w:rStyle w:val="PageNumber"/>
      </w:rPr>
      <w:fldChar w:fldCharType="separate"/>
    </w:r>
    <w:r w:rsidR="0052565C">
      <w:rPr>
        <w:rStyle w:val="PageNumber"/>
        <w:noProof/>
      </w:rPr>
      <w:t>1</w:t>
    </w:r>
    <w:r>
      <w:rPr>
        <w:rStyle w:val="PageNumber"/>
      </w:rPr>
      <w:fldChar w:fldCharType="end"/>
    </w:r>
  </w:p>
  <w:p w:rsidR="002321B1" w:rsidRDefault="002321B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1B1" w:rsidRDefault="004B20D5">
    <w:pPr>
      <w:pStyle w:val="Footer"/>
      <w:framePr w:wrap="around" w:vAnchor="text" w:hAnchor="margin" w:xAlign="right" w:y="1"/>
      <w:rPr>
        <w:rStyle w:val="PageNumber"/>
      </w:rPr>
    </w:pPr>
    <w:r>
      <w:rPr>
        <w:rStyle w:val="PageNumber"/>
      </w:rPr>
      <w:fldChar w:fldCharType="begin"/>
    </w:r>
    <w:r w:rsidR="002321B1">
      <w:rPr>
        <w:rStyle w:val="PageNumber"/>
      </w:rPr>
      <w:instrText xml:space="preserve">PAGE  </w:instrText>
    </w:r>
    <w:r>
      <w:rPr>
        <w:rStyle w:val="PageNumber"/>
      </w:rPr>
      <w:fldChar w:fldCharType="separate"/>
    </w:r>
    <w:r w:rsidR="008350D6">
      <w:rPr>
        <w:rStyle w:val="PageNumber"/>
        <w:noProof/>
      </w:rPr>
      <w:t>3</w:t>
    </w:r>
    <w:r>
      <w:rPr>
        <w:rStyle w:val="PageNumber"/>
      </w:rPr>
      <w:fldChar w:fldCharType="end"/>
    </w:r>
  </w:p>
  <w:p w:rsidR="002321B1" w:rsidRDefault="002321B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97F" w:rsidRDefault="00DE697F">
      <w:r>
        <w:separator/>
      </w:r>
    </w:p>
  </w:footnote>
  <w:footnote w:type="continuationSeparator" w:id="1">
    <w:p w:rsidR="00DE697F" w:rsidRDefault="00DE69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41249"/>
    <w:multiLevelType w:val="hybridMultilevel"/>
    <w:tmpl w:val="ECC86C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118A2"/>
    <w:rsid w:val="002111AE"/>
    <w:rsid w:val="002321B1"/>
    <w:rsid w:val="0025428B"/>
    <w:rsid w:val="00260D6C"/>
    <w:rsid w:val="002D388D"/>
    <w:rsid w:val="00306800"/>
    <w:rsid w:val="00321A1A"/>
    <w:rsid w:val="00344CC7"/>
    <w:rsid w:val="003C5736"/>
    <w:rsid w:val="004118A2"/>
    <w:rsid w:val="004B20D5"/>
    <w:rsid w:val="0052565C"/>
    <w:rsid w:val="0057580D"/>
    <w:rsid w:val="007E0B09"/>
    <w:rsid w:val="008350D6"/>
    <w:rsid w:val="008556F2"/>
    <w:rsid w:val="00921E5D"/>
    <w:rsid w:val="00AB676F"/>
    <w:rsid w:val="00B939F4"/>
    <w:rsid w:val="00C52BFB"/>
    <w:rsid w:val="00DE697F"/>
    <w:rsid w:val="00E2120B"/>
    <w:rsid w:val="00E44D86"/>
    <w:rsid w:val="00EE43D1"/>
    <w:rsid w:val="00FF4580"/>
    <w:rsid w:val="00FF77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A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118A2"/>
    <w:pPr>
      <w:keepNext/>
      <w:jc w:val="center"/>
      <w:outlineLvl w:val="0"/>
    </w:pPr>
    <w:rPr>
      <w:b/>
      <w:bCs/>
    </w:rPr>
  </w:style>
  <w:style w:type="paragraph" w:styleId="Heading2">
    <w:name w:val="heading 2"/>
    <w:basedOn w:val="Normal"/>
    <w:next w:val="Normal"/>
    <w:link w:val="Heading2Char"/>
    <w:qFormat/>
    <w:rsid w:val="004118A2"/>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8A2"/>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4118A2"/>
    <w:rPr>
      <w:rFonts w:ascii="Times New Roman" w:eastAsia="Times New Roman" w:hAnsi="Times New Roman" w:cs="Times New Roman"/>
      <w:b/>
      <w:bCs/>
      <w:sz w:val="24"/>
      <w:szCs w:val="24"/>
      <w:lang w:val="en-US"/>
    </w:rPr>
  </w:style>
  <w:style w:type="paragraph" w:styleId="Title">
    <w:name w:val="Title"/>
    <w:basedOn w:val="Normal"/>
    <w:link w:val="TitleChar"/>
    <w:qFormat/>
    <w:rsid w:val="004118A2"/>
    <w:pPr>
      <w:jc w:val="center"/>
    </w:pPr>
    <w:rPr>
      <w:b/>
      <w:bCs/>
      <w:sz w:val="28"/>
    </w:rPr>
  </w:style>
  <w:style w:type="character" w:customStyle="1" w:styleId="TitleChar">
    <w:name w:val="Title Char"/>
    <w:basedOn w:val="DefaultParagraphFont"/>
    <w:link w:val="Title"/>
    <w:rsid w:val="004118A2"/>
    <w:rPr>
      <w:rFonts w:ascii="Times New Roman" w:eastAsia="Times New Roman" w:hAnsi="Times New Roman" w:cs="Times New Roman"/>
      <w:b/>
      <w:bCs/>
      <w:sz w:val="28"/>
      <w:szCs w:val="24"/>
      <w:lang w:val="en-US"/>
    </w:rPr>
  </w:style>
  <w:style w:type="paragraph" w:styleId="Footer">
    <w:name w:val="footer"/>
    <w:basedOn w:val="Normal"/>
    <w:link w:val="FooterChar"/>
    <w:rsid w:val="004118A2"/>
    <w:pPr>
      <w:tabs>
        <w:tab w:val="center" w:pos="4320"/>
        <w:tab w:val="right" w:pos="8640"/>
      </w:tabs>
    </w:pPr>
  </w:style>
  <w:style w:type="character" w:customStyle="1" w:styleId="FooterChar">
    <w:name w:val="Footer Char"/>
    <w:basedOn w:val="DefaultParagraphFont"/>
    <w:link w:val="Footer"/>
    <w:rsid w:val="004118A2"/>
    <w:rPr>
      <w:rFonts w:ascii="Times New Roman" w:eastAsia="Times New Roman" w:hAnsi="Times New Roman" w:cs="Times New Roman"/>
      <w:sz w:val="24"/>
      <w:szCs w:val="24"/>
      <w:lang w:val="en-US"/>
    </w:rPr>
  </w:style>
  <w:style w:type="character" w:styleId="PageNumber">
    <w:name w:val="page number"/>
    <w:basedOn w:val="DefaultParagraphFont"/>
    <w:rsid w:val="004118A2"/>
  </w:style>
  <w:style w:type="paragraph" w:styleId="NormalWeb">
    <w:name w:val="Normal (Web)"/>
    <w:basedOn w:val="Normal"/>
    <w:uiPriority w:val="99"/>
    <w:unhideWhenUsed/>
    <w:rsid w:val="004118A2"/>
    <w:pPr>
      <w:spacing w:before="100" w:beforeAutospacing="1" w:after="100" w:afterAutospacing="1"/>
    </w:pPr>
    <w:rPr>
      <w:rFonts w:eastAsiaTheme="minorEastAsia"/>
      <w:lang w:val="en-MY" w:eastAsia="en-MY"/>
    </w:rPr>
  </w:style>
  <w:style w:type="paragraph" w:styleId="ListParagraph">
    <w:name w:val="List Paragraph"/>
    <w:basedOn w:val="Normal"/>
    <w:uiPriority w:val="34"/>
    <w:qFormat/>
    <w:rsid w:val="004118A2"/>
    <w:pPr>
      <w:ind w:left="720"/>
      <w:contextualSpacing/>
    </w:pPr>
  </w:style>
  <w:style w:type="character" w:styleId="Hyperlink">
    <w:name w:val="Hyperlink"/>
    <w:basedOn w:val="DefaultParagraphFont"/>
    <w:uiPriority w:val="99"/>
    <w:unhideWhenUsed/>
    <w:rsid w:val="004118A2"/>
    <w:rPr>
      <w:color w:val="0000FF" w:themeColor="hyperlink"/>
      <w:u w:val="single"/>
    </w:rPr>
  </w:style>
  <w:style w:type="paragraph" w:styleId="BalloonText">
    <w:name w:val="Balloon Text"/>
    <w:basedOn w:val="Normal"/>
    <w:link w:val="BalloonTextChar"/>
    <w:uiPriority w:val="99"/>
    <w:semiHidden/>
    <w:unhideWhenUsed/>
    <w:rsid w:val="004118A2"/>
    <w:rPr>
      <w:rFonts w:ascii="Tahoma" w:hAnsi="Tahoma" w:cs="Tahoma"/>
      <w:sz w:val="16"/>
      <w:szCs w:val="16"/>
    </w:rPr>
  </w:style>
  <w:style w:type="character" w:customStyle="1" w:styleId="BalloonTextChar">
    <w:name w:val="Balloon Text Char"/>
    <w:basedOn w:val="DefaultParagraphFont"/>
    <w:link w:val="BalloonText"/>
    <w:uiPriority w:val="99"/>
    <w:semiHidden/>
    <w:rsid w:val="004118A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A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118A2"/>
    <w:pPr>
      <w:keepNext/>
      <w:jc w:val="center"/>
      <w:outlineLvl w:val="0"/>
    </w:pPr>
    <w:rPr>
      <w:b/>
      <w:bCs/>
    </w:rPr>
  </w:style>
  <w:style w:type="paragraph" w:styleId="Heading2">
    <w:name w:val="heading 2"/>
    <w:basedOn w:val="Normal"/>
    <w:next w:val="Normal"/>
    <w:link w:val="Heading2Char"/>
    <w:qFormat/>
    <w:rsid w:val="004118A2"/>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8A2"/>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4118A2"/>
    <w:rPr>
      <w:rFonts w:ascii="Times New Roman" w:eastAsia="Times New Roman" w:hAnsi="Times New Roman" w:cs="Times New Roman"/>
      <w:b/>
      <w:bCs/>
      <w:sz w:val="24"/>
      <w:szCs w:val="24"/>
      <w:lang w:val="en-US"/>
    </w:rPr>
  </w:style>
  <w:style w:type="paragraph" w:styleId="Title">
    <w:name w:val="Title"/>
    <w:basedOn w:val="Normal"/>
    <w:link w:val="TitleChar"/>
    <w:qFormat/>
    <w:rsid w:val="004118A2"/>
    <w:pPr>
      <w:jc w:val="center"/>
    </w:pPr>
    <w:rPr>
      <w:b/>
      <w:bCs/>
      <w:sz w:val="28"/>
    </w:rPr>
  </w:style>
  <w:style w:type="character" w:customStyle="1" w:styleId="TitleChar">
    <w:name w:val="Title Char"/>
    <w:basedOn w:val="DefaultParagraphFont"/>
    <w:link w:val="Title"/>
    <w:rsid w:val="004118A2"/>
    <w:rPr>
      <w:rFonts w:ascii="Times New Roman" w:eastAsia="Times New Roman" w:hAnsi="Times New Roman" w:cs="Times New Roman"/>
      <w:b/>
      <w:bCs/>
      <w:sz w:val="28"/>
      <w:szCs w:val="24"/>
      <w:lang w:val="en-US"/>
    </w:rPr>
  </w:style>
  <w:style w:type="paragraph" w:styleId="Footer">
    <w:name w:val="footer"/>
    <w:basedOn w:val="Normal"/>
    <w:link w:val="FooterChar"/>
    <w:rsid w:val="004118A2"/>
    <w:pPr>
      <w:tabs>
        <w:tab w:val="center" w:pos="4320"/>
        <w:tab w:val="right" w:pos="8640"/>
      </w:tabs>
    </w:pPr>
  </w:style>
  <w:style w:type="character" w:customStyle="1" w:styleId="FooterChar">
    <w:name w:val="Footer Char"/>
    <w:basedOn w:val="DefaultParagraphFont"/>
    <w:link w:val="Footer"/>
    <w:rsid w:val="004118A2"/>
    <w:rPr>
      <w:rFonts w:ascii="Times New Roman" w:eastAsia="Times New Roman" w:hAnsi="Times New Roman" w:cs="Times New Roman"/>
      <w:sz w:val="24"/>
      <w:szCs w:val="24"/>
      <w:lang w:val="en-US"/>
    </w:rPr>
  </w:style>
  <w:style w:type="character" w:styleId="PageNumber">
    <w:name w:val="page number"/>
    <w:basedOn w:val="DefaultParagraphFont"/>
    <w:rsid w:val="004118A2"/>
  </w:style>
  <w:style w:type="paragraph" w:styleId="NormalWeb">
    <w:name w:val="Normal (Web)"/>
    <w:basedOn w:val="Normal"/>
    <w:uiPriority w:val="99"/>
    <w:unhideWhenUsed/>
    <w:rsid w:val="004118A2"/>
    <w:pPr>
      <w:spacing w:before="100" w:beforeAutospacing="1" w:after="100" w:afterAutospacing="1"/>
    </w:pPr>
    <w:rPr>
      <w:rFonts w:eastAsiaTheme="minorEastAsia"/>
      <w:lang w:val="en-MY" w:eastAsia="en-MY"/>
    </w:rPr>
  </w:style>
  <w:style w:type="paragraph" w:styleId="ListParagraph">
    <w:name w:val="List Paragraph"/>
    <w:basedOn w:val="Normal"/>
    <w:uiPriority w:val="34"/>
    <w:qFormat/>
    <w:rsid w:val="004118A2"/>
    <w:pPr>
      <w:ind w:left="720"/>
      <w:contextualSpacing/>
    </w:pPr>
  </w:style>
  <w:style w:type="character" w:styleId="Hyperlink">
    <w:name w:val="Hyperlink"/>
    <w:basedOn w:val="DefaultParagraphFont"/>
    <w:uiPriority w:val="99"/>
    <w:unhideWhenUsed/>
    <w:rsid w:val="004118A2"/>
    <w:rPr>
      <w:color w:val="0000FF" w:themeColor="hyperlink"/>
      <w:u w:val="single"/>
    </w:rPr>
  </w:style>
  <w:style w:type="paragraph" w:styleId="BalloonText">
    <w:name w:val="Balloon Text"/>
    <w:basedOn w:val="Normal"/>
    <w:link w:val="BalloonTextChar"/>
    <w:uiPriority w:val="99"/>
    <w:semiHidden/>
    <w:unhideWhenUsed/>
    <w:rsid w:val="004118A2"/>
    <w:rPr>
      <w:rFonts w:ascii="Tahoma" w:hAnsi="Tahoma" w:cs="Tahoma"/>
      <w:sz w:val="16"/>
      <w:szCs w:val="16"/>
    </w:rPr>
  </w:style>
  <w:style w:type="character" w:customStyle="1" w:styleId="BalloonTextChar">
    <w:name w:val="Balloon Text Char"/>
    <w:basedOn w:val="DefaultParagraphFont"/>
    <w:link w:val="BalloonText"/>
    <w:uiPriority w:val="99"/>
    <w:semiHidden/>
    <w:rsid w:val="004118A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bsamat@ukm.my" TargetMode="External"/><Relationship Id="rId12" Type="http://schemas.microsoft.com/office/2007/relationships/hdphoto" Target="media/hdphoto1.wdp"/><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Prof Pauzi</cp:lastModifiedBy>
  <cp:revision>2</cp:revision>
  <dcterms:created xsi:type="dcterms:W3CDTF">2012-07-18T07:59:00Z</dcterms:created>
  <dcterms:modified xsi:type="dcterms:W3CDTF">2012-07-18T07:59:00Z</dcterms:modified>
</cp:coreProperties>
</file>