
<file path=[Content_Types].xml><?xml version="1.0" encoding="utf-8"?>
<Types xmlns="http://schemas.openxmlformats.org/package/2006/content-types">
  <Override PartName="/word/footnotes.xml" ContentType="application/vnd.openxmlformats-officedocument.wordprocessingml.footnotes+xml"/>
  <Override PartName="/word/drawings/drawing8.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48" w:rsidRPr="00BF00D2" w:rsidRDefault="00217A48" w:rsidP="004F1849">
      <w:pPr>
        <w:jc w:val="center"/>
        <w:rPr>
          <w:b/>
        </w:rPr>
      </w:pPr>
    </w:p>
    <w:p w:rsidR="00BE1A0A" w:rsidRPr="00BF00D2" w:rsidRDefault="004D37D3" w:rsidP="00217A48">
      <w:pPr>
        <w:jc w:val="center"/>
        <w:rPr>
          <w:b/>
          <w:sz w:val="28"/>
          <w:szCs w:val="28"/>
        </w:rPr>
      </w:pPr>
      <w:r w:rsidRPr="00BF00D2">
        <w:rPr>
          <w:b/>
          <w:sz w:val="28"/>
          <w:szCs w:val="28"/>
        </w:rPr>
        <w:t xml:space="preserve">SEDIMENTATION RATE AND </w:t>
      </w:r>
      <w:r w:rsidR="00093377" w:rsidRPr="00BF00D2">
        <w:rPr>
          <w:b/>
          <w:sz w:val="28"/>
          <w:szCs w:val="28"/>
        </w:rPr>
        <w:t xml:space="preserve">CHRONOLOGY OF </w:t>
      </w:r>
      <w:r w:rsidR="007831BF">
        <w:rPr>
          <w:b/>
          <w:sz w:val="28"/>
          <w:szCs w:val="28"/>
        </w:rPr>
        <w:t xml:space="preserve">As AND Zn IN </w:t>
      </w:r>
      <w:r w:rsidR="00093377" w:rsidRPr="00BF00D2">
        <w:rPr>
          <w:b/>
          <w:sz w:val="28"/>
          <w:szCs w:val="28"/>
        </w:rPr>
        <w:t xml:space="preserve">SEDIMENT </w:t>
      </w:r>
      <w:r w:rsidR="007831BF">
        <w:rPr>
          <w:b/>
          <w:sz w:val="28"/>
          <w:szCs w:val="28"/>
        </w:rPr>
        <w:t>OF</w:t>
      </w:r>
      <w:r w:rsidR="00093377" w:rsidRPr="00BF00D2">
        <w:rPr>
          <w:b/>
          <w:sz w:val="28"/>
          <w:szCs w:val="28"/>
        </w:rPr>
        <w:t xml:space="preserve"> A RECENT FORMER TI</w:t>
      </w:r>
      <w:r w:rsidRPr="00BF00D2">
        <w:rPr>
          <w:b/>
          <w:sz w:val="28"/>
          <w:szCs w:val="28"/>
        </w:rPr>
        <w:t>N MINING LAKE ESTIMATED USING Pb</w:t>
      </w:r>
      <w:r w:rsidR="00093377" w:rsidRPr="00BF00D2">
        <w:rPr>
          <w:b/>
          <w:sz w:val="28"/>
          <w:szCs w:val="28"/>
        </w:rPr>
        <w:t>-210 DATING TECHNIQUE</w:t>
      </w:r>
    </w:p>
    <w:p w:rsidR="007831BF" w:rsidRDefault="007831BF" w:rsidP="007831BF">
      <w:pPr>
        <w:jc w:val="center"/>
      </w:pPr>
    </w:p>
    <w:p w:rsidR="00C053E2" w:rsidRPr="00BF00D2" w:rsidRDefault="007831BF" w:rsidP="007831BF">
      <w:pPr>
        <w:jc w:val="center"/>
      </w:pPr>
      <w:r>
        <w:t>(Kadar Mendapan dan Kronologi As dan Zn dalam Sedimen Tasek Bekas Lombong Menggunakan Teknik Pentarikhan Pb-210)</w:t>
      </w:r>
    </w:p>
    <w:p w:rsidR="004F1849" w:rsidRPr="00BF00D2" w:rsidRDefault="004F1849" w:rsidP="007676DE">
      <w:pPr>
        <w:jc w:val="center"/>
      </w:pPr>
    </w:p>
    <w:p w:rsidR="007676DE" w:rsidRPr="00BF00D2" w:rsidRDefault="007676DE" w:rsidP="007676DE">
      <w:pPr>
        <w:jc w:val="center"/>
        <w:rPr>
          <w:sz w:val="20"/>
          <w:szCs w:val="20"/>
        </w:rPr>
      </w:pPr>
      <w:r w:rsidRPr="00BF00D2">
        <w:rPr>
          <w:sz w:val="20"/>
          <w:szCs w:val="20"/>
        </w:rPr>
        <w:t>Zaharidah Abu Bakar</w:t>
      </w:r>
      <w:r w:rsidRPr="00BF00D2">
        <w:rPr>
          <w:sz w:val="20"/>
          <w:szCs w:val="20"/>
          <w:vertAlign w:val="superscript"/>
        </w:rPr>
        <w:t>1</w:t>
      </w:r>
      <w:r w:rsidRPr="00BF00D2">
        <w:rPr>
          <w:sz w:val="20"/>
          <w:szCs w:val="20"/>
        </w:rPr>
        <w:t>,</w:t>
      </w:r>
      <w:r w:rsidRPr="00BF00D2">
        <w:rPr>
          <w:sz w:val="20"/>
          <w:szCs w:val="20"/>
          <w:vertAlign w:val="superscript"/>
        </w:rPr>
        <w:t xml:space="preserve"> </w:t>
      </w:r>
      <w:r w:rsidRPr="00BF00D2">
        <w:rPr>
          <w:sz w:val="20"/>
          <w:szCs w:val="20"/>
        </w:rPr>
        <w:t>Ahmad Saat</w:t>
      </w:r>
      <w:r w:rsidR="00AE0E08" w:rsidRPr="00BF00D2">
        <w:rPr>
          <w:sz w:val="20"/>
          <w:szCs w:val="20"/>
          <w:vertAlign w:val="superscript"/>
        </w:rPr>
        <w:t>2</w:t>
      </w:r>
      <w:r w:rsidR="00340080" w:rsidRPr="00BF00D2">
        <w:rPr>
          <w:sz w:val="20"/>
          <w:szCs w:val="20"/>
          <w:vertAlign w:val="superscript"/>
        </w:rPr>
        <w:t>*</w:t>
      </w:r>
      <w:r w:rsidRPr="00BF00D2">
        <w:rPr>
          <w:sz w:val="20"/>
          <w:szCs w:val="20"/>
        </w:rPr>
        <w:t>, Zaini Hamzah</w:t>
      </w:r>
      <w:r w:rsidRPr="00BF00D2">
        <w:rPr>
          <w:sz w:val="20"/>
          <w:szCs w:val="20"/>
          <w:vertAlign w:val="superscript"/>
        </w:rPr>
        <w:t>1</w:t>
      </w:r>
      <w:r w:rsidR="005C76FB" w:rsidRPr="00BF00D2">
        <w:rPr>
          <w:sz w:val="20"/>
          <w:szCs w:val="20"/>
        </w:rPr>
        <w:t>, Abdul Khalik Wood</w:t>
      </w:r>
      <w:r w:rsidR="005C76FB" w:rsidRPr="00BF00D2">
        <w:rPr>
          <w:sz w:val="20"/>
          <w:szCs w:val="20"/>
          <w:vertAlign w:val="superscript"/>
        </w:rPr>
        <w:t>3</w:t>
      </w:r>
      <w:r w:rsidR="00AE0E08" w:rsidRPr="00BF00D2">
        <w:rPr>
          <w:sz w:val="20"/>
          <w:szCs w:val="20"/>
          <w:vertAlign w:val="superscript"/>
        </w:rPr>
        <w:t xml:space="preserve"> </w:t>
      </w:r>
      <w:r w:rsidR="00D82823" w:rsidRPr="00BF00D2">
        <w:rPr>
          <w:sz w:val="20"/>
          <w:szCs w:val="20"/>
        </w:rPr>
        <w:t>and</w:t>
      </w:r>
      <w:r w:rsidRPr="00BF00D2">
        <w:rPr>
          <w:sz w:val="20"/>
          <w:szCs w:val="20"/>
        </w:rPr>
        <w:t xml:space="preserve"> Zaharuddin Ahmad</w:t>
      </w:r>
      <w:r w:rsidR="00AE0E08" w:rsidRPr="00BF00D2">
        <w:rPr>
          <w:sz w:val="20"/>
          <w:szCs w:val="20"/>
          <w:vertAlign w:val="superscript"/>
        </w:rPr>
        <w:t>3</w:t>
      </w:r>
      <w:r w:rsidRPr="00BF00D2">
        <w:rPr>
          <w:sz w:val="20"/>
          <w:szCs w:val="20"/>
        </w:rPr>
        <w:t xml:space="preserve">, </w:t>
      </w:r>
    </w:p>
    <w:p w:rsidR="00AE0E08" w:rsidRPr="00BF00D2" w:rsidRDefault="00AE0E08" w:rsidP="007676DE">
      <w:pPr>
        <w:jc w:val="center"/>
        <w:rPr>
          <w:sz w:val="20"/>
          <w:szCs w:val="20"/>
        </w:rPr>
      </w:pPr>
    </w:p>
    <w:p w:rsidR="00AE0E08" w:rsidRPr="00BF00D2" w:rsidRDefault="00AE0E08" w:rsidP="005039AF">
      <w:pPr>
        <w:ind w:left="720" w:firstLine="720"/>
        <w:rPr>
          <w:i/>
          <w:sz w:val="18"/>
          <w:szCs w:val="18"/>
        </w:rPr>
      </w:pPr>
      <w:r w:rsidRPr="00BF00D2">
        <w:rPr>
          <w:i/>
          <w:sz w:val="18"/>
          <w:szCs w:val="18"/>
          <w:vertAlign w:val="superscript"/>
        </w:rPr>
        <w:t>1</w:t>
      </w:r>
      <w:r w:rsidRPr="00BF00D2">
        <w:rPr>
          <w:i/>
          <w:sz w:val="18"/>
          <w:szCs w:val="18"/>
        </w:rPr>
        <w:t>Faculty of Applied Sciences, Universiti Teknologi MARA, Malaysia</w:t>
      </w:r>
      <w:r w:rsidR="005039AF" w:rsidRPr="00BF00D2">
        <w:rPr>
          <w:i/>
          <w:sz w:val="18"/>
          <w:szCs w:val="18"/>
        </w:rPr>
        <w:t xml:space="preserve"> </w:t>
      </w:r>
      <w:r w:rsidR="005C76FB" w:rsidRPr="00BF00D2">
        <w:rPr>
          <w:i/>
          <w:sz w:val="18"/>
          <w:szCs w:val="18"/>
        </w:rPr>
        <w:t>40450 Shah Alam</w:t>
      </w:r>
      <w:r w:rsidRPr="00BF00D2">
        <w:rPr>
          <w:i/>
          <w:sz w:val="18"/>
          <w:szCs w:val="18"/>
        </w:rPr>
        <w:t>, Malaysia.</w:t>
      </w:r>
    </w:p>
    <w:p w:rsidR="00AE0E08" w:rsidRPr="00BF00D2" w:rsidRDefault="00AE0E08" w:rsidP="005039AF">
      <w:pPr>
        <w:ind w:left="720" w:firstLine="720"/>
        <w:rPr>
          <w:i/>
          <w:sz w:val="18"/>
          <w:szCs w:val="18"/>
        </w:rPr>
      </w:pPr>
      <w:r w:rsidRPr="00BF00D2">
        <w:rPr>
          <w:i/>
          <w:sz w:val="18"/>
          <w:szCs w:val="18"/>
          <w:vertAlign w:val="superscript"/>
        </w:rPr>
        <w:t>2</w:t>
      </w:r>
      <w:r w:rsidR="005C76FB" w:rsidRPr="00BF00D2">
        <w:rPr>
          <w:i/>
          <w:sz w:val="18"/>
          <w:szCs w:val="18"/>
        </w:rPr>
        <w:t>Institute of Science</w:t>
      </w:r>
      <w:r w:rsidR="00F44649" w:rsidRPr="00BF00D2">
        <w:rPr>
          <w:i/>
          <w:sz w:val="18"/>
          <w:szCs w:val="18"/>
        </w:rPr>
        <w:t xml:space="preserve">, </w:t>
      </w:r>
      <w:r w:rsidRPr="00BF00D2">
        <w:rPr>
          <w:i/>
          <w:sz w:val="18"/>
          <w:szCs w:val="18"/>
        </w:rPr>
        <w:t>Universiti Teknologi MARA, Malaysia</w:t>
      </w:r>
      <w:r w:rsidR="005039AF" w:rsidRPr="00BF00D2">
        <w:rPr>
          <w:i/>
          <w:sz w:val="18"/>
          <w:szCs w:val="18"/>
        </w:rPr>
        <w:t xml:space="preserve">, </w:t>
      </w:r>
      <w:r w:rsidR="005C76FB" w:rsidRPr="00BF00D2">
        <w:rPr>
          <w:i/>
          <w:sz w:val="18"/>
          <w:szCs w:val="18"/>
        </w:rPr>
        <w:t>40450 Shah Alam</w:t>
      </w:r>
      <w:r w:rsidRPr="00BF00D2">
        <w:rPr>
          <w:i/>
          <w:sz w:val="18"/>
          <w:szCs w:val="18"/>
        </w:rPr>
        <w:t>, Malaysia</w:t>
      </w:r>
    </w:p>
    <w:p w:rsidR="00AE0E08" w:rsidRPr="00BF00D2" w:rsidRDefault="00D82823" w:rsidP="00217A48">
      <w:pPr>
        <w:jc w:val="center"/>
        <w:rPr>
          <w:i/>
          <w:sz w:val="18"/>
          <w:szCs w:val="18"/>
        </w:rPr>
      </w:pPr>
      <w:r w:rsidRPr="00BF00D2">
        <w:rPr>
          <w:i/>
          <w:sz w:val="18"/>
          <w:szCs w:val="18"/>
          <w:vertAlign w:val="superscript"/>
        </w:rPr>
        <w:t>3</w:t>
      </w:r>
      <w:r w:rsidR="00F44649" w:rsidRPr="00BF00D2">
        <w:rPr>
          <w:i/>
          <w:sz w:val="18"/>
          <w:szCs w:val="18"/>
        </w:rPr>
        <w:t>Malaysia</w:t>
      </w:r>
      <w:r w:rsidR="002B0B3A" w:rsidRPr="00BF00D2">
        <w:rPr>
          <w:i/>
          <w:sz w:val="18"/>
          <w:szCs w:val="18"/>
        </w:rPr>
        <w:t>n</w:t>
      </w:r>
      <w:r w:rsidR="00AC4266" w:rsidRPr="00BF00D2">
        <w:rPr>
          <w:i/>
          <w:sz w:val="18"/>
          <w:szCs w:val="18"/>
        </w:rPr>
        <w:t xml:space="preserve"> Nuclear Agency</w:t>
      </w:r>
      <w:r w:rsidR="00F44649" w:rsidRPr="00BF00D2">
        <w:rPr>
          <w:i/>
          <w:sz w:val="18"/>
          <w:szCs w:val="18"/>
        </w:rPr>
        <w:t xml:space="preserve">, </w:t>
      </w:r>
      <w:r w:rsidR="00217A48" w:rsidRPr="00BF00D2">
        <w:rPr>
          <w:i/>
          <w:sz w:val="18"/>
          <w:szCs w:val="18"/>
        </w:rPr>
        <w:t>430</w:t>
      </w:r>
      <w:r w:rsidR="00AE0E08" w:rsidRPr="00BF00D2">
        <w:rPr>
          <w:i/>
          <w:sz w:val="18"/>
          <w:szCs w:val="18"/>
        </w:rPr>
        <w:t>00 Bangi</w:t>
      </w:r>
      <w:r w:rsidR="005C76FB" w:rsidRPr="00BF00D2">
        <w:rPr>
          <w:i/>
          <w:sz w:val="18"/>
          <w:szCs w:val="18"/>
        </w:rPr>
        <w:t>,</w:t>
      </w:r>
      <w:r w:rsidR="00217A48" w:rsidRPr="00BF00D2">
        <w:rPr>
          <w:i/>
          <w:sz w:val="18"/>
          <w:szCs w:val="18"/>
        </w:rPr>
        <w:t xml:space="preserve"> </w:t>
      </w:r>
      <w:r w:rsidR="00AE0E08" w:rsidRPr="00BF00D2">
        <w:rPr>
          <w:i/>
          <w:sz w:val="18"/>
          <w:szCs w:val="18"/>
        </w:rPr>
        <w:t>Malaysia.</w:t>
      </w:r>
    </w:p>
    <w:p w:rsidR="005039AF" w:rsidRPr="00BF00D2" w:rsidRDefault="005039AF" w:rsidP="00217A48">
      <w:pPr>
        <w:jc w:val="center"/>
        <w:rPr>
          <w:sz w:val="18"/>
          <w:szCs w:val="18"/>
        </w:rPr>
      </w:pPr>
    </w:p>
    <w:p w:rsidR="005C76FB" w:rsidRPr="00BF00D2" w:rsidRDefault="00340080" w:rsidP="00AE0E08">
      <w:pPr>
        <w:jc w:val="center"/>
        <w:rPr>
          <w:sz w:val="18"/>
          <w:szCs w:val="18"/>
        </w:rPr>
      </w:pPr>
      <w:r w:rsidRPr="00BF00D2">
        <w:rPr>
          <w:sz w:val="18"/>
          <w:szCs w:val="18"/>
          <w:vertAlign w:val="superscript"/>
        </w:rPr>
        <w:t>*</w:t>
      </w:r>
      <w:r w:rsidR="005E1C3E" w:rsidRPr="00BF00D2">
        <w:rPr>
          <w:sz w:val="18"/>
          <w:szCs w:val="18"/>
        </w:rPr>
        <w:t>Correspondence</w:t>
      </w:r>
      <w:r w:rsidR="005039AF" w:rsidRPr="00BF00D2">
        <w:rPr>
          <w:sz w:val="18"/>
          <w:szCs w:val="18"/>
        </w:rPr>
        <w:t xml:space="preserve"> author</w:t>
      </w:r>
      <w:r w:rsidR="005C76FB" w:rsidRPr="00BF00D2">
        <w:rPr>
          <w:sz w:val="18"/>
          <w:szCs w:val="18"/>
        </w:rPr>
        <w:t xml:space="preserve">: </w:t>
      </w:r>
      <w:hyperlink r:id="rId7" w:history="1">
        <w:r w:rsidR="005C76FB" w:rsidRPr="00BF00D2">
          <w:rPr>
            <w:rStyle w:val="Hyperlink"/>
            <w:color w:val="auto"/>
            <w:sz w:val="18"/>
            <w:szCs w:val="18"/>
          </w:rPr>
          <w:t>ahmad183@salam.uitm.edu.my</w:t>
        </w:r>
      </w:hyperlink>
      <w:r w:rsidR="005039AF" w:rsidRPr="00BF00D2">
        <w:rPr>
          <w:sz w:val="18"/>
          <w:szCs w:val="18"/>
        </w:rPr>
        <w:t xml:space="preserve">; Fax: </w:t>
      </w:r>
      <w:r w:rsidR="005C76FB" w:rsidRPr="00BF00D2">
        <w:rPr>
          <w:sz w:val="18"/>
          <w:szCs w:val="18"/>
        </w:rPr>
        <w:t>+03 55</w:t>
      </w:r>
      <w:r w:rsidR="008B3FD5" w:rsidRPr="00BF00D2">
        <w:rPr>
          <w:sz w:val="18"/>
          <w:szCs w:val="18"/>
        </w:rPr>
        <w:t>227109</w:t>
      </w:r>
    </w:p>
    <w:p w:rsidR="005039AF" w:rsidRPr="00BF00D2" w:rsidRDefault="005039AF" w:rsidP="00AE0E08">
      <w:pPr>
        <w:jc w:val="center"/>
        <w:rPr>
          <w:sz w:val="20"/>
          <w:szCs w:val="20"/>
        </w:rPr>
      </w:pPr>
    </w:p>
    <w:p w:rsidR="005C76FB" w:rsidRPr="00BF00D2" w:rsidRDefault="005C76FB" w:rsidP="00AE0E08">
      <w:pPr>
        <w:jc w:val="center"/>
        <w:rPr>
          <w:sz w:val="20"/>
          <w:szCs w:val="20"/>
        </w:rPr>
      </w:pPr>
    </w:p>
    <w:p w:rsidR="005C76FB" w:rsidRPr="00BF00D2" w:rsidRDefault="005C76FB" w:rsidP="005039AF">
      <w:pPr>
        <w:jc w:val="center"/>
        <w:rPr>
          <w:b/>
          <w:sz w:val="18"/>
          <w:szCs w:val="18"/>
        </w:rPr>
      </w:pPr>
      <w:r w:rsidRPr="00BF00D2">
        <w:rPr>
          <w:b/>
          <w:sz w:val="18"/>
          <w:szCs w:val="18"/>
        </w:rPr>
        <w:t>Abstract</w:t>
      </w:r>
    </w:p>
    <w:p w:rsidR="00405307" w:rsidRPr="00BF00D2" w:rsidRDefault="00F44649" w:rsidP="005039AF">
      <w:pPr>
        <w:jc w:val="both"/>
        <w:rPr>
          <w:sz w:val="18"/>
          <w:szCs w:val="18"/>
        </w:rPr>
      </w:pPr>
      <w:r w:rsidRPr="00BF00D2">
        <w:rPr>
          <w:sz w:val="18"/>
          <w:szCs w:val="18"/>
        </w:rPr>
        <w:t xml:space="preserve">Sedimentation in lake occurred through run-off from the land surface and settles on the bottom lake. Past mining activities </w:t>
      </w:r>
      <w:r w:rsidR="00297A4A" w:rsidRPr="00BF00D2">
        <w:rPr>
          <w:sz w:val="18"/>
          <w:szCs w:val="18"/>
        </w:rPr>
        <w:t>might</w:t>
      </w:r>
      <w:r w:rsidR="00D82823" w:rsidRPr="00BF00D2">
        <w:rPr>
          <w:sz w:val="18"/>
          <w:szCs w:val="18"/>
        </w:rPr>
        <w:t xml:space="preserve"> </w:t>
      </w:r>
      <w:r w:rsidR="00297A4A" w:rsidRPr="00BF00D2">
        <w:rPr>
          <w:sz w:val="18"/>
          <w:szCs w:val="18"/>
        </w:rPr>
        <w:t>enhance</w:t>
      </w:r>
      <w:r w:rsidRPr="00BF00D2">
        <w:rPr>
          <w:sz w:val="18"/>
          <w:szCs w:val="18"/>
        </w:rPr>
        <w:t xml:space="preserve"> </w:t>
      </w:r>
      <w:r w:rsidR="008C786B" w:rsidRPr="00BF00D2">
        <w:rPr>
          <w:sz w:val="18"/>
          <w:szCs w:val="18"/>
        </w:rPr>
        <w:t>sediment</w:t>
      </w:r>
      <w:r w:rsidRPr="00BF00D2">
        <w:rPr>
          <w:sz w:val="18"/>
          <w:szCs w:val="18"/>
        </w:rPr>
        <w:t>ation</w:t>
      </w:r>
      <w:r w:rsidR="00D82823" w:rsidRPr="00BF00D2">
        <w:rPr>
          <w:sz w:val="18"/>
          <w:szCs w:val="18"/>
        </w:rPr>
        <w:t xml:space="preserve"> process</w:t>
      </w:r>
      <w:r w:rsidR="00B25D3A" w:rsidRPr="00BF00D2">
        <w:rPr>
          <w:sz w:val="18"/>
          <w:szCs w:val="18"/>
        </w:rPr>
        <w:t xml:space="preserve"> in </w:t>
      </w:r>
      <w:r w:rsidR="004F1849" w:rsidRPr="00BF00D2">
        <w:rPr>
          <w:sz w:val="18"/>
          <w:szCs w:val="18"/>
        </w:rPr>
        <w:t xml:space="preserve">the </w:t>
      </w:r>
      <w:r w:rsidR="00AE0E08" w:rsidRPr="00BF00D2">
        <w:rPr>
          <w:sz w:val="18"/>
          <w:szCs w:val="18"/>
        </w:rPr>
        <w:t>former</w:t>
      </w:r>
      <w:r w:rsidR="00B25D3A" w:rsidRPr="00BF00D2">
        <w:rPr>
          <w:sz w:val="18"/>
          <w:szCs w:val="18"/>
        </w:rPr>
        <w:t xml:space="preserve"> tin mining lakes</w:t>
      </w:r>
      <w:r w:rsidR="00A525AA" w:rsidRPr="00BF00D2">
        <w:rPr>
          <w:sz w:val="18"/>
          <w:szCs w:val="18"/>
        </w:rPr>
        <w:t xml:space="preserve"> either through natural or human activities</w:t>
      </w:r>
      <w:r w:rsidR="00CE0197" w:rsidRPr="00BF00D2">
        <w:rPr>
          <w:sz w:val="18"/>
          <w:szCs w:val="18"/>
        </w:rPr>
        <w:t>.</w:t>
      </w:r>
      <w:r w:rsidR="00E27D34" w:rsidRPr="00BF00D2">
        <w:rPr>
          <w:sz w:val="18"/>
          <w:szCs w:val="18"/>
        </w:rPr>
        <w:t xml:space="preserve"> </w:t>
      </w:r>
      <w:r w:rsidR="00D82823" w:rsidRPr="00BF00D2">
        <w:rPr>
          <w:sz w:val="18"/>
          <w:szCs w:val="18"/>
        </w:rPr>
        <w:t xml:space="preserve">Former </w:t>
      </w:r>
      <w:r w:rsidR="00AE0E08" w:rsidRPr="00BF00D2">
        <w:rPr>
          <w:sz w:val="18"/>
          <w:szCs w:val="18"/>
        </w:rPr>
        <w:t>tin</w:t>
      </w:r>
      <w:r w:rsidR="00087383" w:rsidRPr="00BF00D2">
        <w:rPr>
          <w:sz w:val="18"/>
          <w:szCs w:val="18"/>
        </w:rPr>
        <w:t xml:space="preserve"> mining lakes were suspected to have high sedimentation rate due </w:t>
      </w:r>
      <w:r w:rsidR="00AE0E08" w:rsidRPr="00BF00D2">
        <w:rPr>
          <w:sz w:val="18"/>
          <w:szCs w:val="18"/>
        </w:rPr>
        <w:t>undisturbed environment for almost 50 years</w:t>
      </w:r>
      <w:r w:rsidR="00087383" w:rsidRPr="00BF00D2">
        <w:rPr>
          <w:sz w:val="18"/>
          <w:szCs w:val="18"/>
        </w:rPr>
        <w:t>.</w:t>
      </w:r>
      <w:r w:rsidR="00E27D34" w:rsidRPr="00BF00D2">
        <w:rPr>
          <w:sz w:val="18"/>
          <w:szCs w:val="18"/>
        </w:rPr>
        <w:t xml:space="preserve"> </w:t>
      </w:r>
      <w:r w:rsidR="00AE0E08" w:rsidRPr="00BF00D2">
        <w:rPr>
          <w:sz w:val="18"/>
          <w:szCs w:val="18"/>
        </w:rPr>
        <w:t xml:space="preserve">To estimate sedimentation rate </w:t>
      </w:r>
      <w:r w:rsidR="00D82823" w:rsidRPr="00BF00D2">
        <w:rPr>
          <w:sz w:val="18"/>
          <w:szCs w:val="18"/>
        </w:rPr>
        <w:t xml:space="preserve">and metals contamination </w:t>
      </w:r>
      <w:r w:rsidR="00AE0E08" w:rsidRPr="00BF00D2">
        <w:rPr>
          <w:sz w:val="18"/>
          <w:szCs w:val="18"/>
        </w:rPr>
        <w:t xml:space="preserve">in this lake, </w:t>
      </w:r>
      <w:r w:rsidR="00B25D3A" w:rsidRPr="00BF00D2">
        <w:rPr>
          <w:sz w:val="18"/>
          <w:szCs w:val="18"/>
        </w:rPr>
        <w:t>Pb-210 dating technique</w:t>
      </w:r>
      <w:r w:rsidR="00D82823" w:rsidRPr="00BF00D2">
        <w:rPr>
          <w:sz w:val="18"/>
          <w:szCs w:val="18"/>
        </w:rPr>
        <w:t xml:space="preserve"> was</w:t>
      </w:r>
      <w:r w:rsidR="00AE0E08" w:rsidRPr="00BF00D2">
        <w:rPr>
          <w:sz w:val="18"/>
          <w:szCs w:val="18"/>
        </w:rPr>
        <w:t xml:space="preserve"> used</w:t>
      </w:r>
      <w:r w:rsidR="00937CCB" w:rsidRPr="00BF00D2">
        <w:rPr>
          <w:sz w:val="18"/>
          <w:szCs w:val="18"/>
        </w:rPr>
        <w:t xml:space="preserve">. </w:t>
      </w:r>
      <w:r w:rsidR="00AE0E08" w:rsidRPr="00BF00D2">
        <w:rPr>
          <w:sz w:val="18"/>
          <w:szCs w:val="18"/>
        </w:rPr>
        <w:t>T</w:t>
      </w:r>
      <w:r w:rsidR="005C76FB" w:rsidRPr="00BF00D2">
        <w:rPr>
          <w:sz w:val="18"/>
          <w:szCs w:val="18"/>
        </w:rPr>
        <w:t xml:space="preserve">wo </w:t>
      </w:r>
      <w:r w:rsidR="00F425B7" w:rsidRPr="00BF00D2">
        <w:rPr>
          <w:sz w:val="18"/>
          <w:szCs w:val="18"/>
        </w:rPr>
        <w:t>sediment</w:t>
      </w:r>
      <w:r w:rsidRPr="00BF00D2">
        <w:rPr>
          <w:sz w:val="18"/>
          <w:szCs w:val="18"/>
        </w:rPr>
        <w:t>s</w:t>
      </w:r>
      <w:r w:rsidR="005C76FB" w:rsidRPr="00BF00D2">
        <w:rPr>
          <w:sz w:val="18"/>
          <w:szCs w:val="18"/>
        </w:rPr>
        <w:t xml:space="preserve"> cores</w:t>
      </w:r>
      <w:r w:rsidR="00F425B7" w:rsidRPr="00BF00D2">
        <w:rPr>
          <w:sz w:val="18"/>
          <w:szCs w:val="18"/>
        </w:rPr>
        <w:t xml:space="preserve"> were sampled </w:t>
      </w:r>
      <w:r w:rsidR="00696950" w:rsidRPr="00BF00D2">
        <w:rPr>
          <w:sz w:val="18"/>
          <w:szCs w:val="18"/>
        </w:rPr>
        <w:t xml:space="preserve">using gravity corer </w:t>
      </w:r>
      <w:r w:rsidR="00F425B7" w:rsidRPr="00BF00D2">
        <w:rPr>
          <w:sz w:val="18"/>
          <w:szCs w:val="18"/>
        </w:rPr>
        <w:t xml:space="preserve">from </w:t>
      </w:r>
      <w:r w:rsidR="00473DA1" w:rsidRPr="00BF00D2">
        <w:rPr>
          <w:sz w:val="18"/>
          <w:szCs w:val="18"/>
        </w:rPr>
        <w:t xml:space="preserve">a </w:t>
      </w:r>
      <w:r w:rsidR="00696950" w:rsidRPr="00BF00D2">
        <w:rPr>
          <w:sz w:val="18"/>
          <w:szCs w:val="18"/>
        </w:rPr>
        <w:t>former tin mining lake</w:t>
      </w:r>
      <w:r w:rsidR="000247C6" w:rsidRPr="00BF00D2">
        <w:rPr>
          <w:sz w:val="18"/>
          <w:szCs w:val="18"/>
        </w:rPr>
        <w:t xml:space="preserve"> </w:t>
      </w:r>
      <w:r w:rsidR="00473DA1" w:rsidRPr="00BF00D2">
        <w:rPr>
          <w:sz w:val="18"/>
          <w:szCs w:val="18"/>
        </w:rPr>
        <w:t xml:space="preserve">then </w:t>
      </w:r>
      <w:r w:rsidR="00087383" w:rsidRPr="00BF00D2">
        <w:rPr>
          <w:sz w:val="18"/>
          <w:szCs w:val="18"/>
        </w:rPr>
        <w:t>analyzed using alpha-spectrometry</w:t>
      </w:r>
      <w:r w:rsidR="00D82823" w:rsidRPr="00BF00D2">
        <w:rPr>
          <w:sz w:val="18"/>
          <w:szCs w:val="18"/>
        </w:rPr>
        <w:t xml:space="preserve"> and Neutron Activation Analysis (NAA)</w:t>
      </w:r>
      <w:r w:rsidR="00E13D4D" w:rsidRPr="00BF00D2">
        <w:rPr>
          <w:sz w:val="18"/>
          <w:szCs w:val="18"/>
        </w:rPr>
        <w:t>.</w:t>
      </w:r>
      <w:r w:rsidR="00696950" w:rsidRPr="00BF00D2">
        <w:rPr>
          <w:sz w:val="18"/>
          <w:szCs w:val="18"/>
        </w:rPr>
        <w:t xml:space="preserve"> From</w:t>
      </w:r>
      <w:r w:rsidR="00E13D4D" w:rsidRPr="00BF00D2">
        <w:rPr>
          <w:sz w:val="18"/>
          <w:szCs w:val="18"/>
        </w:rPr>
        <w:t xml:space="preserve"> </w:t>
      </w:r>
      <w:r w:rsidR="00696950" w:rsidRPr="00BF00D2">
        <w:rPr>
          <w:sz w:val="18"/>
          <w:szCs w:val="18"/>
        </w:rPr>
        <w:t xml:space="preserve">this </w:t>
      </w:r>
      <w:r w:rsidR="00E13D4D" w:rsidRPr="00BF00D2">
        <w:rPr>
          <w:sz w:val="18"/>
          <w:szCs w:val="18"/>
        </w:rPr>
        <w:t>study</w:t>
      </w:r>
      <w:r w:rsidR="00696950" w:rsidRPr="00BF00D2">
        <w:rPr>
          <w:sz w:val="18"/>
          <w:szCs w:val="18"/>
        </w:rPr>
        <w:t>, the results</w:t>
      </w:r>
      <w:r w:rsidR="00E13D4D" w:rsidRPr="00BF00D2">
        <w:rPr>
          <w:sz w:val="18"/>
          <w:szCs w:val="18"/>
        </w:rPr>
        <w:t xml:space="preserve"> showed </w:t>
      </w:r>
      <w:r w:rsidR="00696950" w:rsidRPr="00BF00D2">
        <w:rPr>
          <w:sz w:val="18"/>
          <w:szCs w:val="18"/>
        </w:rPr>
        <w:t xml:space="preserve">the </w:t>
      </w:r>
      <w:r w:rsidR="00E13D4D" w:rsidRPr="00BF00D2">
        <w:rPr>
          <w:sz w:val="18"/>
          <w:szCs w:val="18"/>
        </w:rPr>
        <w:t xml:space="preserve">sedimentation </w:t>
      </w:r>
      <w:r w:rsidR="00696950" w:rsidRPr="00BF00D2">
        <w:rPr>
          <w:sz w:val="18"/>
          <w:szCs w:val="18"/>
        </w:rPr>
        <w:t xml:space="preserve">rate </w:t>
      </w:r>
      <w:r w:rsidR="00D82823" w:rsidRPr="00BF00D2">
        <w:rPr>
          <w:sz w:val="18"/>
          <w:szCs w:val="18"/>
        </w:rPr>
        <w:t xml:space="preserve">for </w:t>
      </w:r>
      <w:r w:rsidR="005C76FB" w:rsidRPr="00BF00D2">
        <w:rPr>
          <w:sz w:val="18"/>
          <w:szCs w:val="18"/>
        </w:rPr>
        <w:t>sediment</w:t>
      </w:r>
      <w:r w:rsidR="00D82823" w:rsidRPr="00BF00D2">
        <w:rPr>
          <w:sz w:val="18"/>
          <w:szCs w:val="18"/>
        </w:rPr>
        <w:t xml:space="preserve"> cores</w:t>
      </w:r>
      <w:r w:rsidR="005C76FB" w:rsidRPr="00BF00D2">
        <w:rPr>
          <w:sz w:val="18"/>
          <w:szCs w:val="18"/>
        </w:rPr>
        <w:t xml:space="preserve"> S1 and S2 </w:t>
      </w:r>
      <w:r w:rsidR="00696950" w:rsidRPr="00BF00D2">
        <w:rPr>
          <w:sz w:val="18"/>
          <w:szCs w:val="18"/>
        </w:rPr>
        <w:t xml:space="preserve">are </w:t>
      </w:r>
      <w:r w:rsidR="008C786B" w:rsidRPr="00BF00D2">
        <w:rPr>
          <w:sz w:val="18"/>
          <w:szCs w:val="18"/>
        </w:rPr>
        <w:t xml:space="preserve">0.26 </w:t>
      </w:r>
      <w:r w:rsidR="00E13D4D" w:rsidRPr="00BF00D2">
        <w:rPr>
          <w:sz w:val="18"/>
          <w:szCs w:val="18"/>
        </w:rPr>
        <w:t>cm</w:t>
      </w:r>
      <w:r w:rsidR="005E1C3E" w:rsidRPr="00BF00D2">
        <w:rPr>
          <w:sz w:val="18"/>
          <w:szCs w:val="18"/>
        </w:rPr>
        <w:t xml:space="preserve"> </w:t>
      </w:r>
      <w:r w:rsidR="00E13D4D" w:rsidRPr="00BF00D2">
        <w:rPr>
          <w:sz w:val="18"/>
          <w:szCs w:val="18"/>
        </w:rPr>
        <w:t>y</w:t>
      </w:r>
      <w:r w:rsidR="00E13D4D" w:rsidRPr="00BF00D2">
        <w:rPr>
          <w:sz w:val="18"/>
          <w:szCs w:val="18"/>
          <w:vertAlign w:val="superscript"/>
        </w:rPr>
        <w:t>-1</w:t>
      </w:r>
      <w:r w:rsidR="005C76FB" w:rsidRPr="00BF00D2">
        <w:rPr>
          <w:sz w:val="18"/>
          <w:szCs w:val="18"/>
        </w:rPr>
        <w:t xml:space="preserve"> and 0.23 cmy</w:t>
      </w:r>
      <w:r w:rsidR="005C76FB" w:rsidRPr="00BF00D2">
        <w:rPr>
          <w:sz w:val="18"/>
          <w:szCs w:val="18"/>
          <w:vertAlign w:val="superscript"/>
        </w:rPr>
        <w:t>-1</w:t>
      </w:r>
      <w:r w:rsidR="005C76FB" w:rsidRPr="00BF00D2">
        <w:rPr>
          <w:sz w:val="18"/>
          <w:szCs w:val="18"/>
        </w:rPr>
        <w:t xml:space="preserve"> respectively. </w:t>
      </w:r>
      <w:r w:rsidR="00405307" w:rsidRPr="00BF00D2">
        <w:rPr>
          <w:sz w:val="18"/>
          <w:szCs w:val="18"/>
        </w:rPr>
        <w:t xml:space="preserve">According to sediment chronological sequences, </w:t>
      </w:r>
      <w:r w:rsidR="004F1849" w:rsidRPr="00BF00D2">
        <w:rPr>
          <w:sz w:val="18"/>
          <w:szCs w:val="18"/>
        </w:rPr>
        <w:t>high concentration</w:t>
      </w:r>
      <w:r w:rsidR="00AC4266" w:rsidRPr="00BF00D2">
        <w:rPr>
          <w:sz w:val="18"/>
          <w:szCs w:val="18"/>
        </w:rPr>
        <w:t>s</w:t>
      </w:r>
      <w:r w:rsidR="004F1849" w:rsidRPr="00BF00D2">
        <w:rPr>
          <w:sz w:val="18"/>
          <w:szCs w:val="18"/>
        </w:rPr>
        <w:t xml:space="preserve"> of As and Zn in the upper layer </w:t>
      </w:r>
      <w:r w:rsidR="005C76FB" w:rsidRPr="00BF00D2">
        <w:rPr>
          <w:sz w:val="18"/>
          <w:szCs w:val="18"/>
        </w:rPr>
        <w:t xml:space="preserve">indicated that </w:t>
      </w:r>
      <w:r w:rsidR="00405307" w:rsidRPr="00BF00D2">
        <w:rPr>
          <w:sz w:val="18"/>
          <w:szCs w:val="18"/>
        </w:rPr>
        <w:t xml:space="preserve">human activities </w:t>
      </w:r>
      <w:r w:rsidR="00696950" w:rsidRPr="00BF00D2">
        <w:rPr>
          <w:sz w:val="18"/>
          <w:szCs w:val="18"/>
        </w:rPr>
        <w:t>contributed</w:t>
      </w:r>
      <w:r w:rsidR="00405307" w:rsidRPr="00BF00D2">
        <w:rPr>
          <w:sz w:val="18"/>
          <w:szCs w:val="18"/>
        </w:rPr>
        <w:t xml:space="preserve"> </w:t>
      </w:r>
      <w:r w:rsidR="005C76FB" w:rsidRPr="00BF00D2">
        <w:rPr>
          <w:sz w:val="18"/>
          <w:szCs w:val="18"/>
        </w:rPr>
        <w:t>to</w:t>
      </w:r>
      <w:r w:rsidR="004F1849" w:rsidRPr="00BF00D2">
        <w:rPr>
          <w:sz w:val="18"/>
          <w:szCs w:val="18"/>
        </w:rPr>
        <w:t xml:space="preserve"> these metals </w:t>
      </w:r>
      <w:r w:rsidR="005C76FB" w:rsidRPr="00BF00D2">
        <w:rPr>
          <w:sz w:val="18"/>
          <w:szCs w:val="18"/>
        </w:rPr>
        <w:t xml:space="preserve">contamination </w:t>
      </w:r>
      <w:r w:rsidR="00405307" w:rsidRPr="00BF00D2">
        <w:rPr>
          <w:sz w:val="18"/>
          <w:szCs w:val="18"/>
        </w:rPr>
        <w:t>in the lake</w:t>
      </w:r>
      <w:r w:rsidR="005C76FB" w:rsidRPr="00BF00D2">
        <w:rPr>
          <w:sz w:val="18"/>
          <w:szCs w:val="18"/>
        </w:rPr>
        <w:t xml:space="preserve"> sediment</w:t>
      </w:r>
      <w:r w:rsidR="00405307" w:rsidRPr="00BF00D2">
        <w:rPr>
          <w:sz w:val="18"/>
          <w:szCs w:val="18"/>
        </w:rPr>
        <w:t xml:space="preserve">. </w:t>
      </w:r>
      <w:r w:rsidR="00473DA1" w:rsidRPr="00BF00D2">
        <w:rPr>
          <w:sz w:val="18"/>
          <w:szCs w:val="18"/>
        </w:rPr>
        <w:t>S</w:t>
      </w:r>
      <w:r w:rsidR="00087383" w:rsidRPr="00BF00D2">
        <w:rPr>
          <w:sz w:val="18"/>
          <w:szCs w:val="18"/>
        </w:rPr>
        <w:t>edimentation rate</w:t>
      </w:r>
      <w:r w:rsidR="004F1849" w:rsidRPr="00BF00D2">
        <w:rPr>
          <w:sz w:val="18"/>
          <w:szCs w:val="18"/>
        </w:rPr>
        <w:t xml:space="preserve"> and metals contamination</w:t>
      </w:r>
      <w:r w:rsidR="00087383" w:rsidRPr="00BF00D2">
        <w:rPr>
          <w:sz w:val="18"/>
          <w:szCs w:val="18"/>
        </w:rPr>
        <w:t xml:space="preserve"> possibly due to </w:t>
      </w:r>
      <w:r w:rsidR="009E3EF3" w:rsidRPr="00BF00D2">
        <w:rPr>
          <w:sz w:val="18"/>
          <w:szCs w:val="18"/>
        </w:rPr>
        <w:t>recent anthropogenic</w:t>
      </w:r>
      <w:r w:rsidR="00217A48" w:rsidRPr="00BF00D2">
        <w:rPr>
          <w:sz w:val="18"/>
          <w:szCs w:val="18"/>
        </w:rPr>
        <w:t xml:space="preserve"> </w:t>
      </w:r>
      <w:r w:rsidR="00087383" w:rsidRPr="00BF00D2">
        <w:rPr>
          <w:sz w:val="18"/>
          <w:szCs w:val="18"/>
        </w:rPr>
        <w:t xml:space="preserve">activities </w:t>
      </w:r>
      <w:r w:rsidR="009E3EF3" w:rsidRPr="00BF00D2">
        <w:rPr>
          <w:sz w:val="18"/>
          <w:szCs w:val="18"/>
        </w:rPr>
        <w:t>around</w:t>
      </w:r>
      <w:r w:rsidR="00087383" w:rsidRPr="00BF00D2">
        <w:rPr>
          <w:sz w:val="18"/>
          <w:szCs w:val="18"/>
        </w:rPr>
        <w:t xml:space="preserve"> the lake</w:t>
      </w:r>
      <w:r w:rsidR="009E3EF3" w:rsidRPr="00BF00D2">
        <w:rPr>
          <w:sz w:val="18"/>
          <w:szCs w:val="18"/>
        </w:rPr>
        <w:t xml:space="preserve"> such as</w:t>
      </w:r>
      <w:r w:rsidR="00E370B4" w:rsidRPr="00BF00D2">
        <w:rPr>
          <w:sz w:val="18"/>
          <w:szCs w:val="18"/>
        </w:rPr>
        <w:t xml:space="preserve"> </w:t>
      </w:r>
      <w:r w:rsidR="004F1849" w:rsidRPr="00BF00D2">
        <w:rPr>
          <w:sz w:val="18"/>
          <w:szCs w:val="18"/>
        </w:rPr>
        <w:t xml:space="preserve">human settlement, </w:t>
      </w:r>
      <w:r w:rsidR="00955ED8" w:rsidRPr="00BF00D2">
        <w:rPr>
          <w:sz w:val="18"/>
          <w:szCs w:val="18"/>
        </w:rPr>
        <w:t>farming and</w:t>
      </w:r>
      <w:r w:rsidR="00E370B4" w:rsidRPr="00BF00D2">
        <w:rPr>
          <w:sz w:val="18"/>
          <w:szCs w:val="18"/>
        </w:rPr>
        <w:t xml:space="preserve"> agricultures </w:t>
      </w:r>
      <w:r w:rsidR="004F1849" w:rsidRPr="00BF00D2">
        <w:rPr>
          <w:sz w:val="18"/>
          <w:szCs w:val="18"/>
        </w:rPr>
        <w:t xml:space="preserve">activities </w:t>
      </w:r>
      <w:r w:rsidR="000247C6" w:rsidRPr="00BF00D2">
        <w:rPr>
          <w:sz w:val="18"/>
          <w:szCs w:val="18"/>
        </w:rPr>
        <w:t xml:space="preserve">since </w:t>
      </w:r>
      <w:r w:rsidR="00107D12" w:rsidRPr="00BF00D2">
        <w:rPr>
          <w:sz w:val="18"/>
          <w:szCs w:val="18"/>
        </w:rPr>
        <w:t xml:space="preserve">the </w:t>
      </w:r>
      <w:r w:rsidR="00AC4266" w:rsidRPr="00BF00D2">
        <w:rPr>
          <w:sz w:val="18"/>
          <w:szCs w:val="18"/>
        </w:rPr>
        <w:t>ceased</w:t>
      </w:r>
      <w:r w:rsidR="00107D12" w:rsidRPr="00BF00D2">
        <w:rPr>
          <w:sz w:val="18"/>
          <w:szCs w:val="18"/>
        </w:rPr>
        <w:t xml:space="preserve"> of mining activities a few decades ago. </w:t>
      </w:r>
    </w:p>
    <w:p w:rsidR="005039AF" w:rsidRPr="00BF00D2" w:rsidRDefault="005039AF" w:rsidP="005039AF">
      <w:pPr>
        <w:jc w:val="both"/>
        <w:rPr>
          <w:sz w:val="18"/>
          <w:szCs w:val="18"/>
        </w:rPr>
      </w:pPr>
    </w:p>
    <w:p w:rsidR="00656E67" w:rsidRPr="00BF00D2" w:rsidRDefault="00656E67" w:rsidP="00656E67">
      <w:pPr>
        <w:rPr>
          <w:sz w:val="18"/>
          <w:szCs w:val="18"/>
          <w:lang w:val="sv-SE"/>
        </w:rPr>
      </w:pPr>
      <w:r w:rsidRPr="00BF00D2">
        <w:rPr>
          <w:b/>
          <w:sz w:val="18"/>
          <w:szCs w:val="18"/>
        </w:rPr>
        <w:t>Keywords:</w:t>
      </w:r>
      <w:r w:rsidRPr="00BF00D2">
        <w:rPr>
          <w:sz w:val="18"/>
          <w:szCs w:val="18"/>
        </w:rPr>
        <w:t xml:space="preserve"> </w:t>
      </w:r>
      <w:r w:rsidRPr="00BF00D2">
        <w:rPr>
          <w:sz w:val="18"/>
          <w:szCs w:val="18"/>
          <w:lang w:val="sv-SE"/>
        </w:rPr>
        <w:t>Sedimentation, Pb-210, Former tin mining lake, Metals element</w:t>
      </w:r>
    </w:p>
    <w:p w:rsidR="00656E67" w:rsidRPr="00BF00D2" w:rsidRDefault="00656E67" w:rsidP="00656E67">
      <w:pPr>
        <w:rPr>
          <w:sz w:val="18"/>
          <w:szCs w:val="18"/>
        </w:rPr>
      </w:pPr>
    </w:p>
    <w:p w:rsidR="005039AF" w:rsidRPr="00BF00D2" w:rsidRDefault="005039AF" w:rsidP="005039AF">
      <w:pPr>
        <w:jc w:val="center"/>
        <w:rPr>
          <w:b/>
          <w:sz w:val="18"/>
          <w:szCs w:val="18"/>
        </w:rPr>
      </w:pPr>
      <w:r w:rsidRPr="00BF00D2">
        <w:rPr>
          <w:b/>
          <w:sz w:val="18"/>
          <w:szCs w:val="18"/>
        </w:rPr>
        <w:t>Abstrak</w:t>
      </w:r>
    </w:p>
    <w:p w:rsidR="00E15A1F" w:rsidRPr="00BF00D2" w:rsidRDefault="00AC4266" w:rsidP="005039AF">
      <w:pPr>
        <w:jc w:val="both"/>
        <w:rPr>
          <w:noProof/>
          <w:sz w:val="18"/>
          <w:szCs w:val="18"/>
          <w:lang w:val="sv-SE"/>
        </w:rPr>
      </w:pPr>
      <w:r w:rsidRPr="00BF00D2">
        <w:rPr>
          <w:noProof/>
          <w:sz w:val="18"/>
          <w:szCs w:val="18"/>
          <w:lang w:val="sv-SE"/>
        </w:rPr>
        <w:t>Pengenapan</w:t>
      </w:r>
      <w:r w:rsidR="00E15A1F" w:rsidRPr="00BF00D2">
        <w:rPr>
          <w:noProof/>
          <w:sz w:val="18"/>
          <w:szCs w:val="18"/>
          <w:lang w:val="sv-SE"/>
        </w:rPr>
        <w:t xml:space="preserve"> didalam tasik berlaku melalui aliran daripada permukaan tanah dan tenggelam ke </w:t>
      </w:r>
      <w:r w:rsidR="008E2422" w:rsidRPr="00BF00D2">
        <w:rPr>
          <w:noProof/>
          <w:sz w:val="18"/>
          <w:szCs w:val="18"/>
          <w:lang w:val="sv-SE"/>
        </w:rPr>
        <w:t>dalam dasar tasik. Aktiviti - ak</w:t>
      </w:r>
      <w:r w:rsidR="00E15A1F" w:rsidRPr="00BF00D2">
        <w:rPr>
          <w:noProof/>
          <w:sz w:val="18"/>
          <w:szCs w:val="18"/>
          <w:lang w:val="sv-SE"/>
        </w:rPr>
        <w:t xml:space="preserve">tiviti perlombongan yang lepas mugkin </w:t>
      </w:r>
      <w:r w:rsidR="001B44B2" w:rsidRPr="00BF00D2">
        <w:rPr>
          <w:noProof/>
          <w:sz w:val="18"/>
          <w:szCs w:val="18"/>
          <w:lang w:val="sv-SE"/>
        </w:rPr>
        <w:t>mempercepatkan proses pemgenapan</w:t>
      </w:r>
      <w:r w:rsidR="00E15A1F" w:rsidRPr="00BF00D2">
        <w:rPr>
          <w:noProof/>
          <w:sz w:val="18"/>
          <w:szCs w:val="18"/>
          <w:lang w:val="sv-SE"/>
        </w:rPr>
        <w:t xml:space="preserve"> di bekas tasik lombong bijih timah samada secara natural atau oleh aktiviti manusi</w:t>
      </w:r>
      <w:r w:rsidRPr="00BF00D2">
        <w:rPr>
          <w:noProof/>
          <w:sz w:val="18"/>
          <w:szCs w:val="18"/>
          <w:lang w:val="sv-SE"/>
        </w:rPr>
        <w:t>a. Bekas lombong bijih timah di</w:t>
      </w:r>
      <w:r w:rsidR="00E15A1F" w:rsidRPr="00BF00D2">
        <w:rPr>
          <w:noProof/>
          <w:sz w:val="18"/>
          <w:szCs w:val="18"/>
          <w:lang w:val="sv-SE"/>
        </w:rPr>
        <w:t>syaki mempuyai kadar p</w:t>
      </w:r>
      <w:r w:rsidR="001B44B2" w:rsidRPr="00BF00D2">
        <w:rPr>
          <w:noProof/>
          <w:sz w:val="18"/>
          <w:szCs w:val="18"/>
          <w:lang w:val="sv-SE"/>
        </w:rPr>
        <w:t>enenapan</w:t>
      </w:r>
      <w:r w:rsidR="00E15A1F" w:rsidRPr="00BF00D2">
        <w:rPr>
          <w:noProof/>
          <w:sz w:val="18"/>
          <w:szCs w:val="18"/>
          <w:lang w:val="sv-SE"/>
        </w:rPr>
        <w:t xml:space="preserve"> yang tinggi disebabkan persekitaran yang tidak terganggu untuk hampir selama 50 tahun. Untuk mengangar kadar </w:t>
      </w:r>
      <w:r w:rsidR="001B44B2" w:rsidRPr="00BF00D2">
        <w:rPr>
          <w:noProof/>
          <w:sz w:val="18"/>
          <w:szCs w:val="18"/>
          <w:lang w:val="sv-SE"/>
        </w:rPr>
        <w:t>pengenapan</w:t>
      </w:r>
      <w:r w:rsidR="00E15A1F" w:rsidRPr="00BF00D2">
        <w:rPr>
          <w:noProof/>
          <w:sz w:val="18"/>
          <w:szCs w:val="18"/>
          <w:lang w:val="sv-SE"/>
        </w:rPr>
        <w:t xml:space="preserve"> dan pencemaran logam di dalam tasik, kaedah pentarikhan Pb-210 telah digunakan. Kajian dilakukan di bekas tasik lombong bijih timah di daerah Kampung Gajah, Perak. Dua turus sediment diambil me</w:t>
      </w:r>
      <w:r w:rsidR="001B44B2" w:rsidRPr="00BF00D2">
        <w:rPr>
          <w:noProof/>
          <w:sz w:val="18"/>
          <w:szCs w:val="18"/>
          <w:lang w:val="sv-SE"/>
        </w:rPr>
        <w:t>nggunakan turus persa</w:t>
      </w:r>
      <w:r w:rsidR="00E15A1F" w:rsidRPr="00BF00D2">
        <w:rPr>
          <w:noProof/>
          <w:sz w:val="18"/>
          <w:szCs w:val="18"/>
          <w:lang w:val="sv-SE"/>
        </w:rPr>
        <w:t>mpelan graviti daripada tasik bekas lombong bijih timah dan di</w:t>
      </w:r>
      <w:r w:rsidR="00532E39" w:rsidRPr="00BF00D2">
        <w:rPr>
          <w:noProof/>
          <w:sz w:val="18"/>
          <w:szCs w:val="18"/>
          <w:lang w:val="sv-SE"/>
        </w:rPr>
        <w:t>analisa menggunakan spektrometri</w:t>
      </w:r>
      <w:r w:rsidR="00E15A1F" w:rsidRPr="00BF00D2">
        <w:rPr>
          <w:noProof/>
          <w:sz w:val="18"/>
          <w:szCs w:val="18"/>
          <w:lang w:val="sv-SE"/>
        </w:rPr>
        <w:t xml:space="preserve"> alpha dan Analisa Pengaktifan Neutron (NAA). Daripada kajian ini,</w:t>
      </w:r>
      <w:r w:rsidR="008E2422" w:rsidRPr="00BF00D2">
        <w:rPr>
          <w:noProof/>
          <w:sz w:val="18"/>
          <w:szCs w:val="18"/>
          <w:lang w:val="sv-SE"/>
        </w:rPr>
        <w:t xml:space="preserve"> keputusan menunjukkan kadar pengenapan</w:t>
      </w:r>
      <w:r w:rsidR="00E15A1F" w:rsidRPr="00BF00D2">
        <w:rPr>
          <w:noProof/>
          <w:sz w:val="18"/>
          <w:szCs w:val="18"/>
          <w:lang w:val="sv-SE"/>
        </w:rPr>
        <w:t xml:space="preserve"> untuk</w:t>
      </w:r>
      <w:r w:rsidR="008E2422" w:rsidRPr="00BF00D2">
        <w:rPr>
          <w:noProof/>
          <w:sz w:val="18"/>
          <w:szCs w:val="18"/>
          <w:lang w:val="sv-SE"/>
        </w:rPr>
        <w:t xml:space="preserve"> </w:t>
      </w:r>
      <w:r w:rsidR="00E15A1F" w:rsidRPr="00BF00D2">
        <w:rPr>
          <w:noProof/>
          <w:sz w:val="18"/>
          <w:szCs w:val="18"/>
          <w:lang w:val="sv-SE"/>
        </w:rPr>
        <w:t>turus</w:t>
      </w:r>
      <w:r w:rsidR="008E2422" w:rsidRPr="00BF00D2">
        <w:rPr>
          <w:noProof/>
          <w:sz w:val="18"/>
          <w:szCs w:val="18"/>
          <w:lang w:val="sv-SE"/>
        </w:rPr>
        <w:t xml:space="preserve"> sediment S1 dan S2 masing – masing adalah 0.26</w:t>
      </w:r>
      <w:r w:rsidR="00E15A1F" w:rsidRPr="00BF00D2">
        <w:rPr>
          <w:noProof/>
          <w:sz w:val="18"/>
          <w:szCs w:val="18"/>
          <w:lang w:val="sv-SE"/>
        </w:rPr>
        <w:t xml:space="preserve"> cm y</w:t>
      </w:r>
      <w:r w:rsidR="00E15A1F" w:rsidRPr="00BF00D2">
        <w:rPr>
          <w:noProof/>
          <w:sz w:val="18"/>
          <w:szCs w:val="18"/>
          <w:vertAlign w:val="superscript"/>
          <w:lang w:val="sv-SE"/>
        </w:rPr>
        <w:t>-1</w:t>
      </w:r>
      <w:r w:rsidR="008E2422" w:rsidRPr="00BF00D2">
        <w:rPr>
          <w:noProof/>
          <w:sz w:val="18"/>
          <w:szCs w:val="18"/>
          <w:lang w:val="sv-SE"/>
        </w:rPr>
        <w:t xml:space="preserve"> dan 0.23 cm y</w:t>
      </w:r>
      <w:r w:rsidR="008E2422" w:rsidRPr="00BF00D2">
        <w:rPr>
          <w:noProof/>
          <w:sz w:val="18"/>
          <w:szCs w:val="18"/>
          <w:vertAlign w:val="superscript"/>
          <w:lang w:val="sv-SE"/>
        </w:rPr>
        <w:t>-1</w:t>
      </w:r>
      <w:r w:rsidR="008E2422" w:rsidRPr="00BF00D2">
        <w:rPr>
          <w:noProof/>
          <w:sz w:val="18"/>
          <w:szCs w:val="18"/>
          <w:lang w:val="sv-SE"/>
        </w:rPr>
        <w:t>.</w:t>
      </w:r>
      <w:r w:rsidR="00E15A1F" w:rsidRPr="00BF00D2">
        <w:rPr>
          <w:noProof/>
          <w:sz w:val="18"/>
          <w:szCs w:val="18"/>
          <w:lang w:val="sv-SE"/>
        </w:rPr>
        <w:t xml:space="preserve"> Berdasarkan kepada turutan kronologi, kepekatan As dan Zn di lapisan atas sedimen menunjukkan aktiviti – aktiviti manusia menyumbangkan kepada pencemaran </w:t>
      </w:r>
      <w:r w:rsidR="008E2422" w:rsidRPr="00BF00D2">
        <w:rPr>
          <w:noProof/>
          <w:sz w:val="18"/>
          <w:szCs w:val="18"/>
          <w:lang w:val="sv-SE"/>
        </w:rPr>
        <w:t>oleh metal  ini didalam sedimen</w:t>
      </w:r>
      <w:r w:rsidR="00E15A1F" w:rsidRPr="00BF00D2">
        <w:rPr>
          <w:noProof/>
          <w:sz w:val="18"/>
          <w:szCs w:val="18"/>
          <w:lang w:val="sv-SE"/>
        </w:rPr>
        <w:t xml:space="preserve"> tasik. Kadar pe</w:t>
      </w:r>
      <w:r w:rsidRPr="00BF00D2">
        <w:rPr>
          <w:noProof/>
          <w:sz w:val="18"/>
          <w:szCs w:val="18"/>
          <w:lang w:val="sv-SE"/>
        </w:rPr>
        <w:t>mendapan dan pencemaran logam mu</w:t>
      </w:r>
      <w:r w:rsidR="00E15A1F" w:rsidRPr="00BF00D2">
        <w:rPr>
          <w:noProof/>
          <w:sz w:val="18"/>
          <w:szCs w:val="18"/>
          <w:lang w:val="sv-SE"/>
        </w:rPr>
        <w:t xml:space="preserve">ngkin disebabkan oleh aktiviti – aktiviti antropogenik di sekiling tasik seperti penempatan manusia, penternakan dan pertanian sejak ditinggalkan beberapa dekad yang lepas.   </w:t>
      </w:r>
    </w:p>
    <w:p w:rsidR="00E15A1F" w:rsidRPr="00BF00D2" w:rsidRDefault="00E15A1F" w:rsidP="00E15A1F">
      <w:pPr>
        <w:jc w:val="both"/>
        <w:rPr>
          <w:noProof/>
          <w:sz w:val="18"/>
          <w:szCs w:val="18"/>
          <w:lang w:val="sv-SE"/>
        </w:rPr>
      </w:pPr>
    </w:p>
    <w:p w:rsidR="00656E67" w:rsidRPr="00BF00D2" w:rsidRDefault="00656E67" w:rsidP="00656E67">
      <w:pPr>
        <w:rPr>
          <w:sz w:val="18"/>
          <w:szCs w:val="18"/>
          <w:lang w:val="sv-SE"/>
        </w:rPr>
      </w:pPr>
      <w:r w:rsidRPr="00BF00D2">
        <w:rPr>
          <w:b/>
          <w:sz w:val="18"/>
          <w:szCs w:val="18"/>
        </w:rPr>
        <w:t>Kata kunci:</w:t>
      </w:r>
      <w:r w:rsidRPr="00BF00D2">
        <w:rPr>
          <w:sz w:val="18"/>
          <w:szCs w:val="18"/>
        </w:rPr>
        <w:t xml:space="preserve"> </w:t>
      </w:r>
      <w:r w:rsidRPr="00BF00D2">
        <w:rPr>
          <w:sz w:val="18"/>
          <w:szCs w:val="18"/>
          <w:lang w:val="sv-SE"/>
        </w:rPr>
        <w:t>Mendapan, Pb-210, tasik lombong timah, unsur logam</w:t>
      </w:r>
    </w:p>
    <w:p w:rsidR="00E15A1F" w:rsidRPr="00BF00D2" w:rsidRDefault="00E15A1F" w:rsidP="00E15A1F">
      <w:pPr>
        <w:jc w:val="both"/>
        <w:rPr>
          <w:noProof/>
          <w:sz w:val="18"/>
          <w:szCs w:val="18"/>
          <w:lang w:val="sv-SE"/>
        </w:rPr>
      </w:pPr>
    </w:p>
    <w:p w:rsidR="00AA44CE" w:rsidRPr="00BF00D2" w:rsidRDefault="00427C6E" w:rsidP="00EF46E5">
      <w:pPr>
        <w:jc w:val="center"/>
        <w:rPr>
          <w:b/>
          <w:sz w:val="20"/>
          <w:szCs w:val="20"/>
        </w:rPr>
      </w:pPr>
      <w:r w:rsidRPr="00BF00D2">
        <w:rPr>
          <w:b/>
          <w:sz w:val="20"/>
          <w:szCs w:val="20"/>
        </w:rPr>
        <w:t>Introduction</w:t>
      </w:r>
    </w:p>
    <w:p w:rsidR="00D86038" w:rsidRPr="00BF00D2" w:rsidRDefault="001A67DF" w:rsidP="00EF46E5">
      <w:pPr>
        <w:jc w:val="both"/>
        <w:rPr>
          <w:sz w:val="20"/>
          <w:szCs w:val="20"/>
        </w:rPr>
      </w:pPr>
      <w:r w:rsidRPr="00BF00D2">
        <w:rPr>
          <w:sz w:val="20"/>
          <w:szCs w:val="20"/>
        </w:rPr>
        <w:t>Over t</w:t>
      </w:r>
      <w:r w:rsidR="003F04F0" w:rsidRPr="00BF00D2">
        <w:rPr>
          <w:sz w:val="20"/>
          <w:szCs w:val="20"/>
        </w:rPr>
        <w:t>he past three decades, there has been an impressive increase</w:t>
      </w:r>
      <w:r w:rsidRPr="00BF00D2">
        <w:rPr>
          <w:sz w:val="20"/>
          <w:szCs w:val="20"/>
        </w:rPr>
        <w:t xml:space="preserve"> in the volume and range of research on sedimentation. Accumulation of sediment in lakes facilitates us to obtain significant information to stu</w:t>
      </w:r>
      <w:r w:rsidR="00A107BF" w:rsidRPr="00BF00D2">
        <w:rPr>
          <w:sz w:val="20"/>
          <w:szCs w:val="20"/>
        </w:rPr>
        <w:t>dy</w:t>
      </w:r>
      <w:r w:rsidR="00612BD0" w:rsidRPr="00BF00D2">
        <w:rPr>
          <w:sz w:val="20"/>
          <w:szCs w:val="20"/>
        </w:rPr>
        <w:t xml:space="preserve"> about environmental changes [</w:t>
      </w:r>
      <w:r w:rsidR="00331ADF" w:rsidRPr="00BF00D2">
        <w:rPr>
          <w:sz w:val="20"/>
          <w:szCs w:val="20"/>
        </w:rPr>
        <w:t>1</w:t>
      </w:r>
      <w:r w:rsidR="00612BD0" w:rsidRPr="00BF00D2">
        <w:rPr>
          <w:sz w:val="20"/>
          <w:szCs w:val="20"/>
        </w:rPr>
        <w:t xml:space="preserve">, </w:t>
      </w:r>
      <w:r w:rsidR="00331ADF" w:rsidRPr="00BF00D2">
        <w:rPr>
          <w:sz w:val="20"/>
          <w:szCs w:val="20"/>
        </w:rPr>
        <w:t>2</w:t>
      </w:r>
      <w:r w:rsidR="00CE585C" w:rsidRPr="00BF00D2">
        <w:rPr>
          <w:sz w:val="20"/>
          <w:szCs w:val="20"/>
        </w:rPr>
        <w:t>]</w:t>
      </w:r>
      <w:r w:rsidRPr="00BF00D2">
        <w:rPr>
          <w:sz w:val="20"/>
          <w:szCs w:val="20"/>
        </w:rPr>
        <w:t>. In Malaysia, a</w:t>
      </w:r>
      <w:r w:rsidR="00427C6E" w:rsidRPr="00BF00D2">
        <w:rPr>
          <w:sz w:val="20"/>
          <w:szCs w:val="20"/>
        </w:rPr>
        <w:t xml:space="preserve"> large number of former tin mining lakes have been abandoned</w:t>
      </w:r>
      <w:r w:rsidR="00F53568" w:rsidRPr="00BF00D2">
        <w:rPr>
          <w:sz w:val="20"/>
          <w:szCs w:val="20"/>
        </w:rPr>
        <w:t xml:space="preserve"> for</w:t>
      </w:r>
      <w:r w:rsidR="00427C6E" w:rsidRPr="00BF00D2">
        <w:rPr>
          <w:sz w:val="20"/>
          <w:szCs w:val="20"/>
        </w:rPr>
        <w:t xml:space="preserve"> almost past 5</w:t>
      </w:r>
      <w:r w:rsidR="00D86038" w:rsidRPr="00BF00D2">
        <w:rPr>
          <w:sz w:val="20"/>
          <w:szCs w:val="20"/>
        </w:rPr>
        <w:t>0 years</w:t>
      </w:r>
      <w:r w:rsidR="00427C6E" w:rsidRPr="00BF00D2">
        <w:rPr>
          <w:sz w:val="20"/>
          <w:szCs w:val="20"/>
        </w:rPr>
        <w:t>.</w:t>
      </w:r>
      <w:r w:rsidR="00D86038" w:rsidRPr="00BF00D2">
        <w:rPr>
          <w:sz w:val="20"/>
          <w:szCs w:val="20"/>
        </w:rPr>
        <w:t xml:space="preserve"> </w:t>
      </w:r>
      <w:r w:rsidR="00D65793" w:rsidRPr="00BF00D2">
        <w:rPr>
          <w:sz w:val="20"/>
          <w:szCs w:val="20"/>
        </w:rPr>
        <w:t>Lack of vegetation i</w:t>
      </w:r>
      <w:r w:rsidR="00F53568" w:rsidRPr="00BF00D2">
        <w:rPr>
          <w:sz w:val="20"/>
          <w:szCs w:val="20"/>
        </w:rPr>
        <w:t>n abandoned mining lands render</w:t>
      </w:r>
      <w:r w:rsidR="00D65793" w:rsidRPr="00BF00D2">
        <w:rPr>
          <w:sz w:val="20"/>
          <w:szCs w:val="20"/>
        </w:rPr>
        <w:t xml:space="preserve"> surface areas were directly exposed to rainfall impact and surface runoff. </w:t>
      </w:r>
      <w:r w:rsidR="00D86038" w:rsidRPr="00BF00D2">
        <w:rPr>
          <w:sz w:val="20"/>
          <w:szCs w:val="20"/>
        </w:rPr>
        <w:t>The effect of uncontrolled m</w:t>
      </w:r>
      <w:r w:rsidR="00B1762D" w:rsidRPr="00BF00D2">
        <w:rPr>
          <w:sz w:val="20"/>
          <w:szCs w:val="20"/>
        </w:rPr>
        <w:t>ining activities</w:t>
      </w:r>
      <w:r w:rsidR="00D86038" w:rsidRPr="00BF00D2">
        <w:rPr>
          <w:sz w:val="20"/>
          <w:szCs w:val="20"/>
        </w:rPr>
        <w:t xml:space="preserve"> </w:t>
      </w:r>
      <w:r w:rsidR="00B1762D" w:rsidRPr="00BF00D2">
        <w:rPr>
          <w:sz w:val="20"/>
          <w:szCs w:val="20"/>
        </w:rPr>
        <w:t xml:space="preserve">caused </w:t>
      </w:r>
      <w:r w:rsidR="00D86038" w:rsidRPr="00BF00D2">
        <w:rPr>
          <w:sz w:val="20"/>
          <w:szCs w:val="20"/>
        </w:rPr>
        <w:t>environmental problem such as deforestation</w:t>
      </w:r>
      <w:r w:rsidR="00B1762D" w:rsidRPr="00BF00D2">
        <w:rPr>
          <w:sz w:val="20"/>
          <w:szCs w:val="20"/>
        </w:rPr>
        <w:t xml:space="preserve"> </w:t>
      </w:r>
      <w:r w:rsidR="00D86038" w:rsidRPr="00BF00D2">
        <w:rPr>
          <w:sz w:val="20"/>
          <w:szCs w:val="20"/>
        </w:rPr>
        <w:t>and soil erosion that</w:t>
      </w:r>
      <w:r w:rsidR="00B1762D" w:rsidRPr="00BF00D2">
        <w:rPr>
          <w:sz w:val="20"/>
          <w:szCs w:val="20"/>
        </w:rPr>
        <w:t xml:space="preserve"> continue increasing the </w:t>
      </w:r>
      <w:r w:rsidR="00D86038" w:rsidRPr="00BF00D2">
        <w:rPr>
          <w:sz w:val="20"/>
          <w:szCs w:val="20"/>
        </w:rPr>
        <w:t xml:space="preserve">sedimentation </w:t>
      </w:r>
      <w:r w:rsidR="00B1762D" w:rsidRPr="00BF00D2">
        <w:rPr>
          <w:sz w:val="20"/>
          <w:szCs w:val="20"/>
        </w:rPr>
        <w:t xml:space="preserve">rate </w:t>
      </w:r>
      <w:r w:rsidR="00383536" w:rsidRPr="00BF00D2">
        <w:rPr>
          <w:sz w:val="20"/>
          <w:szCs w:val="20"/>
        </w:rPr>
        <w:t>[</w:t>
      </w:r>
      <w:r w:rsidR="00331ADF" w:rsidRPr="00BF00D2">
        <w:rPr>
          <w:sz w:val="20"/>
          <w:szCs w:val="20"/>
        </w:rPr>
        <w:t>3</w:t>
      </w:r>
      <w:r w:rsidR="00A107BF" w:rsidRPr="00BF00D2">
        <w:rPr>
          <w:sz w:val="20"/>
          <w:szCs w:val="20"/>
        </w:rPr>
        <w:t>]</w:t>
      </w:r>
      <w:r w:rsidR="00D86038" w:rsidRPr="00BF00D2">
        <w:rPr>
          <w:sz w:val="20"/>
          <w:szCs w:val="20"/>
        </w:rPr>
        <w:t>.</w:t>
      </w:r>
      <w:r w:rsidR="00866BCC" w:rsidRPr="00BF00D2">
        <w:rPr>
          <w:sz w:val="20"/>
          <w:szCs w:val="20"/>
        </w:rPr>
        <w:t xml:space="preserve"> Sedimentation profile also provides past evidence and rates of heavy metals contaminant </w:t>
      </w:r>
      <w:r w:rsidR="00107D12" w:rsidRPr="00BF00D2">
        <w:rPr>
          <w:sz w:val="20"/>
          <w:szCs w:val="20"/>
        </w:rPr>
        <w:t xml:space="preserve">deposition </w:t>
      </w:r>
      <w:r w:rsidR="00853C06" w:rsidRPr="00BF00D2">
        <w:rPr>
          <w:sz w:val="20"/>
          <w:szCs w:val="20"/>
        </w:rPr>
        <w:t>[</w:t>
      </w:r>
      <w:r w:rsidR="00331ADF" w:rsidRPr="00BF00D2">
        <w:rPr>
          <w:sz w:val="20"/>
          <w:szCs w:val="20"/>
        </w:rPr>
        <w:t>4</w:t>
      </w:r>
      <w:r w:rsidR="00853C06" w:rsidRPr="00BF00D2">
        <w:rPr>
          <w:sz w:val="20"/>
          <w:szCs w:val="20"/>
        </w:rPr>
        <w:t>]</w:t>
      </w:r>
      <w:r w:rsidR="00866BCC" w:rsidRPr="00BF00D2">
        <w:rPr>
          <w:sz w:val="20"/>
          <w:szCs w:val="20"/>
        </w:rPr>
        <w:t xml:space="preserve">. </w:t>
      </w:r>
      <w:r w:rsidR="00D86038" w:rsidRPr="00BF00D2">
        <w:rPr>
          <w:sz w:val="20"/>
          <w:szCs w:val="20"/>
        </w:rPr>
        <w:t xml:space="preserve">  </w:t>
      </w:r>
    </w:p>
    <w:p w:rsidR="00331ADF" w:rsidRPr="00BF00D2" w:rsidRDefault="00331ADF" w:rsidP="00EF46E5">
      <w:pPr>
        <w:jc w:val="both"/>
        <w:rPr>
          <w:sz w:val="20"/>
          <w:szCs w:val="20"/>
        </w:rPr>
      </w:pPr>
    </w:p>
    <w:p w:rsidR="00427C6E" w:rsidRPr="00BF00D2" w:rsidRDefault="001A67DF" w:rsidP="00A107BF">
      <w:pPr>
        <w:jc w:val="both"/>
        <w:rPr>
          <w:sz w:val="20"/>
          <w:szCs w:val="20"/>
        </w:rPr>
      </w:pPr>
      <w:r w:rsidRPr="00BF00D2">
        <w:rPr>
          <w:sz w:val="20"/>
          <w:szCs w:val="20"/>
        </w:rPr>
        <w:t xml:space="preserve">Pb-210 </w:t>
      </w:r>
      <w:r w:rsidR="00D65793" w:rsidRPr="00BF00D2">
        <w:rPr>
          <w:sz w:val="20"/>
          <w:szCs w:val="20"/>
        </w:rPr>
        <w:t>r</w:t>
      </w:r>
      <w:r w:rsidR="00427C6E" w:rsidRPr="00BF00D2">
        <w:rPr>
          <w:sz w:val="20"/>
          <w:szCs w:val="20"/>
        </w:rPr>
        <w:t>adiometric dating techniques</w:t>
      </w:r>
      <w:r w:rsidR="00C3361B" w:rsidRPr="00BF00D2">
        <w:rPr>
          <w:sz w:val="20"/>
          <w:szCs w:val="20"/>
        </w:rPr>
        <w:t xml:space="preserve"> </w:t>
      </w:r>
      <w:r w:rsidRPr="00BF00D2">
        <w:rPr>
          <w:sz w:val="20"/>
          <w:szCs w:val="20"/>
        </w:rPr>
        <w:t xml:space="preserve">introduced by Goldberg (1963) and expended to lake by Krishnaswami </w:t>
      </w:r>
      <w:r w:rsidRPr="00BF00D2">
        <w:rPr>
          <w:i/>
          <w:sz w:val="20"/>
          <w:szCs w:val="20"/>
        </w:rPr>
        <w:t>et al</w:t>
      </w:r>
      <w:r w:rsidRPr="00BF00D2">
        <w:rPr>
          <w:sz w:val="20"/>
          <w:szCs w:val="20"/>
        </w:rPr>
        <w:t>. (1971)</w:t>
      </w:r>
      <w:r w:rsidR="00D62185" w:rsidRPr="00BF00D2">
        <w:rPr>
          <w:sz w:val="20"/>
          <w:szCs w:val="20"/>
        </w:rPr>
        <w:t xml:space="preserve"> has been used worldwide to reconstruct history of such recent sedimentation </w:t>
      </w:r>
      <w:r w:rsidR="00383536" w:rsidRPr="00BF00D2">
        <w:rPr>
          <w:sz w:val="20"/>
          <w:szCs w:val="20"/>
        </w:rPr>
        <w:t>[</w:t>
      </w:r>
      <w:r w:rsidR="00331ADF" w:rsidRPr="00BF00D2">
        <w:rPr>
          <w:sz w:val="20"/>
          <w:szCs w:val="20"/>
        </w:rPr>
        <w:t>5</w:t>
      </w:r>
      <w:r w:rsidR="00383536" w:rsidRPr="00BF00D2">
        <w:rPr>
          <w:sz w:val="20"/>
          <w:szCs w:val="20"/>
        </w:rPr>
        <w:t>]</w:t>
      </w:r>
      <w:r w:rsidR="00427C6E" w:rsidRPr="00BF00D2">
        <w:rPr>
          <w:sz w:val="20"/>
          <w:szCs w:val="20"/>
        </w:rPr>
        <w:t>.</w:t>
      </w:r>
      <w:r w:rsidR="00746B50" w:rsidRPr="00BF00D2">
        <w:rPr>
          <w:sz w:val="20"/>
          <w:szCs w:val="20"/>
        </w:rPr>
        <w:t xml:space="preserve"> </w:t>
      </w:r>
      <w:r w:rsidR="005A32AC" w:rsidRPr="00BF00D2">
        <w:rPr>
          <w:sz w:val="20"/>
          <w:szCs w:val="20"/>
        </w:rPr>
        <w:t>Pb-210 dating method has shown to be an ideal tracer for dating lake sediments deposited during the last 100 – 150 years which</w:t>
      </w:r>
      <w:r w:rsidR="00746B50" w:rsidRPr="00BF00D2">
        <w:rPr>
          <w:sz w:val="20"/>
          <w:szCs w:val="20"/>
        </w:rPr>
        <w:t xml:space="preserve"> coincidence with</w:t>
      </w:r>
      <w:r w:rsidR="005A32AC" w:rsidRPr="00BF00D2">
        <w:rPr>
          <w:sz w:val="20"/>
          <w:szCs w:val="20"/>
        </w:rPr>
        <w:t xml:space="preserve"> period of environmental changes due to industrialization</w:t>
      </w:r>
      <w:r w:rsidR="00D65793" w:rsidRPr="00BF00D2">
        <w:rPr>
          <w:sz w:val="20"/>
          <w:szCs w:val="20"/>
        </w:rPr>
        <w:t xml:space="preserve"> </w:t>
      </w:r>
      <w:r w:rsidR="00853C06" w:rsidRPr="00BF00D2">
        <w:rPr>
          <w:sz w:val="20"/>
          <w:szCs w:val="20"/>
        </w:rPr>
        <w:t>[</w:t>
      </w:r>
      <w:r w:rsidR="00331ADF" w:rsidRPr="00BF00D2">
        <w:rPr>
          <w:sz w:val="20"/>
          <w:szCs w:val="20"/>
        </w:rPr>
        <w:t>6</w:t>
      </w:r>
      <w:r w:rsidR="00D97428" w:rsidRPr="00BF00D2">
        <w:rPr>
          <w:sz w:val="20"/>
          <w:szCs w:val="20"/>
        </w:rPr>
        <w:t>]</w:t>
      </w:r>
      <w:r w:rsidR="005A32AC" w:rsidRPr="00BF00D2">
        <w:rPr>
          <w:sz w:val="20"/>
          <w:szCs w:val="20"/>
        </w:rPr>
        <w:t xml:space="preserve">. </w:t>
      </w:r>
      <w:r w:rsidR="009A2200" w:rsidRPr="00BF00D2">
        <w:rPr>
          <w:sz w:val="20"/>
          <w:szCs w:val="20"/>
        </w:rPr>
        <w:t xml:space="preserve">Conrad </w:t>
      </w:r>
      <w:r w:rsidR="009A2200" w:rsidRPr="00BF00D2">
        <w:rPr>
          <w:i/>
          <w:sz w:val="20"/>
          <w:szCs w:val="20"/>
        </w:rPr>
        <w:t>et al</w:t>
      </w:r>
      <w:r w:rsidR="009A2200" w:rsidRPr="00BF00D2">
        <w:rPr>
          <w:sz w:val="20"/>
          <w:szCs w:val="20"/>
        </w:rPr>
        <w:t>. (2007) recommended that Pb-210 dating method is</w:t>
      </w:r>
      <w:r w:rsidR="00107D12" w:rsidRPr="00BF00D2">
        <w:rPr>
          <w:sz w:val="20"/>
          <w:szCs w:val="20"/>
        </w:rPr>
        <w:t xml:space="preserve"> a</w:t>
      </w:r>
      <w:r w:rsidR="009A2200" w:rsidRPr="00BF00D2">
        <w:rPr>
          <w:sz w:val="20"/>
          <w:szCs w:val="20"/>
        </w:rPr>
        <w:t xml:space="preserve"> useful technique in investigation of changes in metals concentration on a decadal time scale. This is due to</w:t>
      </w:r>
      <w:r w:rsidR="00532E39" w:rsidRPr="00BF00D2">
        <w:rPr>
          <w:sz w:val="20"/>
          <w:szCs w:val="20"/>
        </w:rPr>
        <w:t xml:space="preserve"> the</w:t>
      </w:r>
      <w:r w:rsidR="00755F8B" w:rsidRPr="00BF00D2">
        <w:rPr>
          <w:sz w:val="20"/>
          <w:szCs w:val="20"/>
        </w:rPr>
        <w:t xml:space="preserve"> fact</w:t>
      </w:r>
      <w:r w:rsidR="00107D12" w:rsidRPr="00BF00D2">
        <w:rPr>
          <w:sz w:val="20"/>
          <w:szCs w:val="20"/>
        </w:rPr>
        <w:t xml:space="preserve"> that</w:t>
      </w:r>
      <w:r w:rsidR="009A2200" w:rsidRPr="00BF00D2">
        <w:rPr>
          <w:sz w:val="20"/>
          <w:szCs w:val="20"/>
        </w:rPr>
        <w:t xml:space="preserve"> association of pa</w:t>
      </w:r>
      <w:r w:rsidR="00532E39" w:rsidRPr="00BF00D2">
        <w:rPr>
          <w:sz w:val="20"/>
          <w:szCs w:val="20"/>
        </w:rPr>
        <w:t>rticles with Pb-210 making it a</w:t>
      </w:r>
      <w:r w:rsidR="009A2200" w:rsidRPr="00BF00D2">
        <w:rPr>
          <w:sz w:val="20"/>
          <w:szCs w:val="20"/>
        </w:rPr>
        <w:t xml:space="preserve"> useful tracer for the fate of particle reactive contaminants such as trace metals. </w:t>
      </w:r>
    </w:p>
    <w:p w:rsidR="00331ADF" w:rsidRPr="00BF00D2" w:rsidRDefault="00331ADF" w:rsidP="00A107BF">
      <w:pPr>
        <w:jc w:val="both"/>
        <w:rPr>
          <w:sz w:val="20"/>
          <w:szCs w:val="20"/>
        </w:rPr>
      </w:pPr>
    </w:p>
    <w:p w:rsidR="00AA44CE" w:rsidRPr="00BF00D2" w:rsidRDefault="00532E39" w:rsidP="00A107BF">
      <w:pPr>
        <w:autoSpaceDE w:val="0"/>
        <w:autoSpaceDN w:val="0"/>
        <w:adjustRightInd w:val="0"/>
        <w:jc w:val="both"/>
        <w:rPr>
          <w:sz w:val="20"/>
          <w:szCs w:val="20"/>
        </w:rPr>
      </w:pPr>
      <w:r w:rsidRPr="00BF00D2">
        <w:rPr>
          <w:sz w:val="20"/>
          <w:szCs w:val="20"/>
        </w:rPr>
        <w:t>Despite</w:t>
      </w:r>
      <w:r w:rsidR="00755F8B" w:rsidRPr="00BF00D2">
        <w:rPr>
          <w:sz w:val="20"/>
          <w:szCs w:val="20"/>
        </w:rPr>
        <w:t xml:space="preserve"> </w:t>
      </w:r>
      <w:r w:rsidR="009A2200" w:rsidRPr="00BF00D2">
        <w:rPr>
          <w:sz w:val="20"/>
          <w:szCs w:val="20"/>
        </w:rPr>
        <w:t xml:space="preserve">this </w:t>
      </w:r>
      <w:r w:rsidR="00755F8B" w:rsidRPr="00BF00D2">
        <w:rPr>
          <w:sz w:val="20"/>
          <w:szCs w:val="20"/>
        </w:rPr>
        <w:t xml:space="preserve">useful potential, </w:t>
      </w:r>
      <w:r w:rsidR="009A2200" w:rsidRPr="00BF00D2">
        <w:rPr>
          <w:sz w:val="20"/>
          <w:szCs w:val="20"/>
        </w:rPr>
        <w:t xml:space="preserve">lack of </w:t>
      </w:r>
      <w:r w:rsidR="00AB4028" w:rsidRPr="00BF00D2">
        <w:rPr>
          <w:sz w:val="20"/>
          <w:szCs w:val="20"/>
        </w:rPr>
        <w:t>Pb</w:t>
      </w:r>
      <w:r w:rsidR="009A2200" w:rsidRPr="00BF00D2">
        <w:rPr>
          <w:sz w:val="20"/>
          <w:szCs w:val="20"/>
        </w:rPr>
        <w:t xml:space="preserve">-210 </w:t>
      </w:r>
      <w:r w:rsidR="00AB4028" w:rsidRPr="00BF00D2">
        <w:rPr>
          <w:sz w:val="20"/>
          <w:szCs w:val="20"/>
        </w:rPr>
        <w:t>dating</w:t>
      </w:r>
      <w:r w:rsidR="009A2200" w:rsidRPr="00BF00D2">
        <w:rPr>
          <w:sz w:val="20"/>
          <w:szCs w:val="20"/>
        </w:rPr>
        <w:t xml:space="preserve"> method study </w:t>
      </w:r>
      <w:r w:rsidR="00AB4028" w:rsidRPr="00BF00D2">
        <w:rPr>
          <w:sz w:val="20"/>
          <w:szCs w:val="20"/>
        </w:rPr>
        <w:t>has been applied</w:t>
      </w:r>
      <w:r w:rsidR="00755F8B" w:rsidRPr="00BF00D2">
        <w:rPr>
          <w:sz w:val="20"/>
          <w:szCs w:val="20"/>
        </w:rPr>
        <w:t xml:space="preserve"> in</w:t>
      </w:r>
      <w:r w:rsidR="009A2200" w:rsidRPr="00BF00D2">
        <w:rPr>
          <w:sz w:val="20"/>
          <w:szCs w:val="20"/>
        </w:rPr>
        <w:t xml:space="preserve"> sediment </w:t>
      </w:r>
      <w:r w:rsidR="00107D12" w:rsidRPr="00BF00D2">
        <w:rPr>
          <w:sz w:val="20"/>
          <w:szCs w:val="20"/>
        </w:rPr>
        <w:t xml:space="preserve">of recent </w:t>
      </w:r>
      <w:r w:rsidR="009A2200" w:rsidRPr="00BF00D2">
        <w:rPr>
          <w:sz w:val="20"/>
          <w:szCs w:val="20"/>
        </w:rPr>
        <w:t>lakes</w:t>
      </w:r>
      <w:r w:rsidR="00AB4028" w:rsidRPr="00BF00D2">
        <w:rPr>
          <w:sz w:val="20"/>
          <w:szCs w:val="20"/>
        </w:rPr>
        <w:t xml:space="preserve"> in </w:t>
      </w:r>
      <w:r w:rsidR="009A2200" w:rsidRPr="00BF00D2">
        <w:rPr>
          <w:sz w:val="20"/>
          <w:szCs w:val="20"/>
        </w:rPr>
        <w:t>Malaysia.</w:t>
      </w:r>
      <w:r w:rsidR="00755F8B" w:rsidRPr="00BF00D2">
        <w:rPr>
          <w:sz w:val="20"/>
          <w:szCs w:val="20"/>
        </w:rPr>
        <w:t xml:space="preserve"> Thus this paper attempt</w:t>
      </w:r>
      <w:r w:rsidR="009A2200" w:rsidRPr="00BF00D2">
        <w:rPr>
          <w:sz w:val="20"/>
          <w:szCs w:val="20"/>
        </w:rPr>
        <w:t xml:space="preserve"> </w:t>
      </w:r>
      <w:r w:rsidR="00755F8B" w:rsidRPr="00BF00D2">
        <w:rPr>
          <w:sz w:val="20"/>
          <w:szCs w:val="20"/>
        </w:rPr>
        <w:t xml:space="preserve">to </w:t>
      </w:r>
      <w:r w:rsidR="009A2200" w:rsidRPr="00BF00D2">
        <w:rPr>
          <w:sz w:val="20"/>
          <w:szCs w:val="20"/>
        </w:rPr>
        <w:t xml:space="preserve">determined recent sedimentation rate, </w:t>
      </w:r>
      <w:r w:rsidR="00EB433D" w:rsidRPr="00BF00D2">
        <w:rPr>
          <w:sz w:val="20"/>
          <w:szCs w:val="20"/>
        </w:rPr>
        <w:t xml:space="preserve">to </w:t>
      </w:r>
      <w:r w:rsidR="009A2200" w:rsidRPr="00BF00D2">
        <w:rPr>
          <w:sz w:val="20"/>
          <w:szCs w:val="20"/>
        </w:rPr>
        <w:t>reconstruct the sedimen</w:t>
      </w:r>
      <w:r w:rsidR="0017189E" w:rsidRPr="00BF00D2">
        <w:rPr>
          <w:sz w:val="20"/>
          <w:szCs w:val="20"/>
        </w:rPr>
        <w:t>t age</w:t>
      </w:r>
      <w:r w:rsidR="00EB433D" w:rsidRPr="00BF00D2">
        <w:rPr>
          <w:sz w:val="20"/>
          <w:szCs w:val="20"/>
        </w:rPr>
        <w:t>s</w:t>
      </w:r>
      <w:r w:rsidR="0017189E" w:rsidRPr="00BF00D2">
        <w:rPr>
          <w:sz w:val="20"/>
          <w:szCs w:val="20"/>
        </w:rPr>
        <w:t xml:space="preserve"> and metals input history using Pb-210 dating method. </w:t>
      </w:r>
    </w:p>
    <w:p w:rsidR="00AA44CE" w:rsidRPr="00BF00D2" w:rsidRDefault="00AA44CE" w:rsidP="00F01117">
      <w:pPr>
        <w:jc w:val="both"/>
        <w:rPr>
          <w:sz w:val="20"/>
          <w:szCs w:val="20"/>
        </w:rPr>
      </w:pPr>
    </w:p>
    <w:p w:rsidR="00B65B41" w:rsidRPr="00BF00D2" w:rsidRDefault="00B65B41" w:rsidP="00F01117">
      <w:pPr>
        <w:jc w:val="center"/>
        <w:rPr>
          <w:b/>
          <w:sz w:val="20"/>
          <w:szCs w:val="20"/>
        </w:rPr>
      </w:pPr>
      <w:r w:rsidRPr="00BF00D2">
        <w:rPr>
          <w:b/>
          <w:sz w:val="20"/>
          <w:szCs w:val="20"/>
        </w:rPr>
        <w:t>M</w:t>
      </w:r>
      <w:r w:rsidR="00F01117" w:rsidRPr="00BF00D2">
        <w:rPr>
          <w:b/>
          <w:sz w:val="20"/>
          <w:szCs w:val="20"/>
        </w:rPr>
        <w:t>ethodology</w:t>
      </w:r>
    </w:p>
    <w:p w:rsidR="00F01117" w:rsidRPr="00BF00D2" w:rsidRDefault="00B65B41" w:rsidP="00F01117">
      <w:pPr>
        <w:jc w:val="both"/>
        <w:rPr>
          <w:i/>
          <w:sz w:val="20"/>
          <w:szCs w:val="20"/>
        </w:rPr>
      </w:pPr>
      <w:r w:rsidRPr="00BF00D2">
        <w:rPr>
          <w:i/>
          <w:sz w:val="20"/>
          <w:szCs w:val="20"/>
        </w:rPr>
        <w:t>Study area</w:t>
      </w:r>
    </w:p>
    <w:p w:rsidR="005425F3" w:rsidRPr="00BF00D2" w:rsidRDefault="00B65B41" w:rsidP="00F01117">
      <w:pPr>
        <w:jc w:val="both"/>
        <w:rPr>
          <w:i/>
          <w:sz w:val="20"/>
          <w:szCs w:val="20"/>
        </w:rPr>
      </w:pPr>
      <w:r w:rsidRPr="00BF00D2">
        <w:rPr>
          <w:sz w:val="20"/>
          <w:szCs w:val="20"/>
        </w:rPr>
        <w:t>This study cover</w:t>
      </w:r>
      <w:r w:rsidR="008B58EC" w:rsidRPr="00BF00D2">
        <w:rPr>
          <w:sz w:val="20"/>
          <w:szCs w:val="20"/>
        </w:rPr>
        <w:t>s</w:t>
      </w:r>
      <w:r w:rsidR="00A01BE8" w:rsidRPr="00BF00D2">
        <w:rPr>
          <w:sz w:val="20"/>
          <w:szCs w:val="20"/>
        </w:rPr>
        <w:t xml:space="preserve"> a former tin mining </w:t>
      </w:r>
      <w:r w:rsidRPr="00BF00D2">
        <w:rPr>
          <w:sz w:val="20"/>
          <w:szCs w:val="20"/>
        </w:rPr>
        <w:t xml:space="preserve">lake </w:t>
      </w:r>
      <w:r w:rsidR="00A01BE8" w:rsidRPr="00BF00D2">
        <w:rPr>
          <w:sz w:val="20"/>
          <w:szCs w:val="20"/>
        </w:rPr>
        <w:t>in</w:t>
      </w:r>
      <w:r w:rsidRPr="00BF00D2">
        <w:rPr>
          <w:sz w:val="20"/>
          <w:szCs w:val="20"/>
        </w:rPr>
        <w:t xml:space="preserve"> K</w:t>
      </w:r>
      <w:r w:rsidR="00107D12" w:rsidRPr="00BF00D2">
        <w:rPr>
          <w:sz w:val="20"/>
          <w:szCs w:val="20"/>
        </w:rPr>
        <w:t>ampung</w:t>
      </w:r>
      <w:r w:rsidRPr="00BF00D2">
        <w:rPr>
          <w:sz w:val="20"/>
          <w:szCs w:val="20"/>
        </w:rPr>
        <w:t xml:space="preserve"> Gajah</w:t>
      </w:r>
      <w:r w:rsidR="00A01BE8" w:rsidRPr="00BF00D2">
        <w:rPr>
          <w:sz w:val="20"/>
          <w:szCs w:val="20"/>
        </w:rPr>
        <w:t xml:space="preserve"> </w:t>
      </w:r>
      <w:r w:rsidRPr="00BF00D2">
        <w:rPr>
          <w:sz w:val="20"/>
          <w:szCs w:val="20"/>
        </w:rPr>
        <w:t>area</w:t>
      </w:r>
      <w:r w:rsidR="00212C50" w:rsidRPr="00BF00D2">
        <w:rPr>
          <w:sz w:val="20"/>
          <w:szCs w:val="20"/>
        </w:rPr>
        <w:t xml:space="preserve"> in the states of Perak, Malaysia</w:t>
      </w:r>
      <w:r w:rsidRPr="00BF00D2">
        <w:rPr>
          <w:sz w:val="20"/>
          <w:szCs w:val="20"/>
        </w:rPr>
        <w:t xml:space="preserve"> that has been abandoned </w:t>
      </w:r>
      <w:r w:rsidR="00212C50" w:rsidRPr="00BF00D2">
        <w:rPr>
          <w:sz w:val="20"/>
          <w:szCs w:val="20"/>
        </w:rPr>
        <w:t>for more than 50 years</w:t>
      </w:r>
      <w:r w:rsidRPr="00BF00D2">
        <w:rPr>
          <w:sz w:val="20"/>
          <w:szCs w:val="20"/>
        </w:rPr>
        <w:t xml:space="preserve">. The lake </w:t>
      </w:r>
      <w:r w:rsidR="0078006C" w:rsidRPr="00BF00D2">
        <w:rPr>
          <w:sz w:val="20"/>
          <w:szCs w:val="20"/>
        </w:rPr>
        <w:t xml:space="preserve">is </w:t>
      </w:r>
      <w:r w:rsidR="00D97428" w:rsidRPr="00BF00D2">
        <w:rPr>
          <w:sz w:val="20"/>
          <w:szCs w:val="20"/>
        </w:rPr>
        <w:t>bordered</w:t>
      </w:r>
      <w:r w:rsidR="00532E39" w:rsidRPr="00BF00D2">
        <w:rPr>
          <w:sz w:val="20"/>
          <w:szCs w:val="20"/>
        </w:rPr>
        <w:t xml:space="preserve"> </w:t>
      </w:r>
      <w:r w:rsidRPr="00BF00D2">
        <w:rPr>
          <w:sz w:val="20"/>
          <w:szCs w:val="20"/>
        </w:rPr>
        <w:t xml:space="preserve">within latitude </w:t>
      </w:r>
      <w:r w:rsidR="00532E39" w:rsidRPr="00BF00D2">
        <w:rPr>
          <w:sz w:val="20"/>
          <w:szCs w:val="20"/>
        </w:rPr>
        <w:t>04°14.816˝</w:t>
      </w:r>
      <w:r w:rsidRPr="00BF00D2">
        <w:rPr>
          <w:sz w:val="20"/>
          <w:szCs w:val="20"/>
        </w:rPr>
        <w:t xml:space="preserve"> N </w:t>
      </w:r>
      <w:r w:rsidR="00532E39" w:rsidRPr="00BF00D2">
        <w:rPr>
          <w:sz w:val="20"/>
          <w:szCs w:val="20"/>
        </w:rPr>
        <w:t xml:space="preserve">- 04°15.107˝ N and longitude 101°2.889˝ </w:t>
      </w:r>
      <w:r w:rsidRPr="00BF00D2">
        <w:rPr>
          <w:sz w:val="20"/>
          <w:szCs w:val="20"/>
        </w:rPr>
        <w:t>E</w:t>
      </w:r>
      <w:r w:rsidR="00532E39" w:rsidRPr="00BF00D2">
        <w:rPr>
          <w:sz w:val="20"/>
          <w:szCs w:val="20"/>
        </w:rPr>
        <w:t xml:space="preserve"> - 101°3.125˝ E.</w:t>
      </w:r>
      <w:r w:rsidRPr="00BF00D2">
        <w:rPr>
          <w:sz w:val="20"/>
          <w:szCs w:val="20"/>
        </w:rPr>
        <w:t xml:space="preserve"> The total area of this lake is approximately 2.5</w:t>
      </w:r>
      <w:r w:rsidR="00107D12" w:rsidRPr="00BF00D2">
        <w:rPr>
          <w:sz w:val="20"/>
          <w:szCs w:val="20"/>
        </w:rPr>
        <w:t xml:space="preserve"> </w:t>
      </w:r>
      <w:r w:rsidRPr="00BF00D2">
        <w:rPr>
          <w:sz w:val="20"/>
          <w:szCs w:val="20"/>
        </w:rPr>
        <w:t>x</w:t>
      </w:r>
      <w:r w:rsidR="00107D12" w:rsidRPr="00BF00D2">
        <w:rPr>
          <w:sz w:val="20"/>
          <w:szCs w:val="20"/>
        </w:rPr>
        <w:t xml:space="preserve"> </w:t>
      </w:r>
      <w:r w:rsidRPr="00BF00D2">
        <w:rPr>
          <w:sz w:val="20"/>
          <w:szCs w:val="20"/>
        </w:rPr>
        <w:t>10</w:t>
      </w:r>
      <w:r w:rsidRPr="00BF00D2">
        <w:rPr>
          <w:sz w:val="20"/>
          <w:szCs w:val="20"/>
          <w:vertAlign w:val="superscript"/>
        </w:rPr>
        <w:t>5</w:t>
      </w:r>
      <w:r w:rsidRPr="00BF00D2">
        <w:rPr>
          <w:sz w:val="20"/>
          <w:szCs w:val="20"/>
        </w:rPr>
        <w:t xml:space="preserve"> m</w:t>
      </w:r>
      <w:r w:rsidRPr="00BF00D2">
        <w:rPr>
          <w:sz w:val="20"/>
          <w:szCs w:val="20"/>
          <w:vertAlign w:val="superscript"/>
        </w:rPr>
        <w:t>2</w:t>
      </w:r>
      <w:r w:rsidRPr="00BF00D2">
        <w:rPr>
          <w:sz w:val="20"/>
          <w:szCs w:val="20"/>
        </w:rPr>
        <w:t xml:space="preserve"> and </w:t>
      </w:r>
      <w:r w:rsidR="00212C50" w:rsidRPr="00BF00D2">
        <w:rPr>
          <w:sz w:val="20"/>
          <w:szCs w:val="20"/>
        </w:rPr>
        <w:t xml:space="preserve">the </w:t>
      </w:r>
      <w:r w:rsidRPr="00BF00D2">
        <w:rPr>
          <w:sz w:val="20"/>
          <w:szCs w:val="20"/>
        </w:rPr>
        <w:t>volume of water is about 1</w:t>
      </w:r>
      <w:r w:rsidR="00107D12" w:rsidRPr="00BF00D2">
        <w:rPr>
          <w:sz w:val="20"/>
          <w:szCs w:val="20"/>
        </w:rPr>
        <w:t>.</w:t>
      </w:r>
      <w:r w:rsidRPr="00BF00D2">
        <w:rPr>
          <w:sz w:val="20"/>
          <w:szCs w:val="20"/>
        </w:rPr>
        <w:t>0</w:t>
      </w:r>
      <w:r w:rsidR="00107D12" w:rsidRPr="00BF00D2">
        <w:rPr>
          <w:sz w:val="20"/>
          <w:szCs w:val="20"/>
        </w:rPr>
        <w:t xml:space="preserve"> </w:t>
      </w:r>
      <w:r w:rsidRPr="00BF00D2">
        <w:rPr>
          <w:sz w:val="20"/>
          <w:szCs w:val="20"/>
        </w:rPr>
        <w:t>x</w:t>
      </w:r>
      <w:r w:rsidR="00107D12" w:rsidRPr="00BF00D2">
        <w:rPr>
          <w:sz w:val="20"/>
          <w:szCs w:val="20"/>
        </w:rPr>
        <w:t xml:space="preserve"> </w:t>
      </w:r>
      <w:r w:rsidRPr="00BF00D2">
        <w:rPr>
          <w:sz w:val="20"/>
          <w:szCs w:val="20"/>
        </w:rPr>
        <w:t>10</w:t>
      </w:r>
      <w:r w:rsidR="00107D12" w:rsidRPr="00BF00D2">
        <w:rPr>
          <w:sz w:val="20"/>
          <w:szCs w:val="20"/>
          <w:vertAlign w:val="superscript"/>
        </w:rPr>
        <w:t>7</w:t>
      </w:r>
      <w:r w:rsidRPr="00BF00D2">
        <w:rPr>
          <w:sz w:val="20"/>
          <w:szCs w:val="20"/>
        </w:rPr>
        <w:t xml:space="preserve"> m</w:t>
      </w:r>
      <w:r w:rsidRPr="00BF00D2">
        <w:rPr>
          <w:sz w:val="20"/>
          <w:szCs w:val="20"/>
          <w:vertAlign w:val="superscript"/>
        </w:rPr>
        <w:t>3</w:t>
      </w:r>
      <w:r w:rsidRPr="00BF00D2">
        <w:rPr>
          <w:sz w:val="20"/>
          <w:szCs w:val="20"/>
        </w:rPr>
        <w:t>. The deepest</w:t>
      </w:r>
      <w:r w:rsidR="00212C50" w:rsidRPr="00BF00D2">
        <w:rPr>
          <w:sz w:val="20"/>
          <w:szCs w:val="20"/>
        </w:rPr>
        <w:t xml:space="preserve"> part</w:t>
      </w:r>
      <w:r w:rsidRPr="00BF00D2">
        <w:rPr>
          <w:sz w:val="20"/>
          <w:szCs w:val="20"/>
        </w:rPr>
        <w:t xml:space="preserve"> of lake is about 10 m, receives seasonal water flow from </w:t>
      </w:r>
      <w:r w:rsidR="00107D12" w:rsidRPr="00BF00D2">
        <w:rPr>
          <w:sz w:val="20"/>
          <w:szCs w:val="20"/>
        </w:rPr>
        <w:t>an opening canal at the north-east</w:t>
      </w:r>
      <w:r w:rsidRPr="00BF00D2">
        <w:rPr>
          <w:sz w:val="20"/>
          <w:szCs w:val="20"/>
        </w:rPr>
        <w:t xml:space="preserve"> that </w:t>
      </w:r>
      <w:r w:rsidR="00107D12" w:rsidRPr="00BF00D2">
        <w:rPr>
          <w:sz w:val="20"/>
          <w:szCs w:val="20"/>
        </w:rPr>
        <w:t>is connected to</w:t>
      </w:r>
      <w:r w:rsidR="00212C50" w:rsidRPr="00BF00D2">
        <w:rPr>
          <w:sz w:val="20"/>
          <w:szCs w:val="20"/>
        </w:rPr>
        <w:t xml:space="preserve"> another lake used as</w:t>
      </w:r>
      <w:r w:rsidR="00107D12" w:rsidRPr="00BF00D2">
        <w:rPr>
          <w:sz w:val="20"/>
          <w:szCs w:val="20"/>
        </w:rPr>
        <w:t xml:space="preserve"> a duck farm</w:t>
      </w:r>
      <w:r w:rsidRPr="00BF00D2">
        <w:rPr>
          <w:sz w:val="20"/>
          <w:szCs w:val="20"/>
        </w:rPr>
        <w:t xml:space="preserve"> and flow out to the west of lake. Thus, </w:t>
      </w:r>
      <w:r w:rsidR="00A01BE8" w:rsidRPr="00BF00D2">
        <w:rPr>
          <w:sz w:val="20"/>
          <w:szCs w:val="20"/>
        </w:rPr>
        <w:t xml:space="preserve">there is a </w:t>
      </w:r>
      <w:r w:rsidRPr="00BF00D2">
        <w:rPr>
          <w:sz w:val="20"/>
          <w:szCs w:val="20"/>
        </w:rPr>
        <w:t xml:space="preserve">possibly </w:t>
      </w:r>
      <w:r w:rsidR="00A01BE8" w:rsidRPr="00BF00D2">
        <w:rPr>
          <w:sz w:val="20"/>
          <w:szCs w:val="20"/>
        </w:rPr>
        <w:t xml:space="preserve">of </w:t>
      </w:r>
      <w:r w:rsidRPr="00BF00D2">
        <w:rPr>
          <w:sz w:val="20"/>
          <w:szCs w:val="20"/>
        </w:rPr>
        <w:t>waste from other lake</w:t>
      </w:r>
      <w:r w:rsidR="00107D12" w:rsidRPr="00BF00D2">
        <w:rPr>
          <w:sz w:val="20"/>
          <w:szCs w:val="20"/>
        </w:rPr>
        <w:t>s</w:t>
      </w:r>
      <w:r w:rsidRPr="00BF00D2">
        <w:rPr>
          <w:sz w:val="20"/>
          <w:szCs w:val="20"/>
        </w:rPr>
        <w:t xml:space="preserve"> enter the study area lake and flow out </w:t>
      </w:r>
      <w:r w:rsidR="00A01BE8" w:rsidRPr="00BF00D2">
        <w:rPr>
          <w:sz w:val="20"/>
          <w:szCs w:val="20"/>
        </w:rPr>
        <w:t>through other lake</w:t>
      </w:r>
      <w:r w:rsidR="00107D12" w:rsidRPr="00BF00D2">
        <w:rPr>
          <w:sz w:val="20"/>
          <w:szCs w:val="20"/>
        </w:rPr>
        <w:t>s</w:t>
      </w:r>
      <w:r w:rsidR="00A01BE8" w:rsidRPr="00BF00D2">
        <w:rPr>
          <w:sz w:val="20"/>
          <w:szCs w:val="20"/>
        </w:rPr>
        <w:t xml:space="preserve"> to a </w:t>
      </w:r>
      <w:r w:rsidRPr="00BF00D2">
        <w:rPr>
          <w:sz w:val="20"/>
          <w:szCs w:val="20"/>
        </w:rPr>
        <w:t>nearest river. The study lake located 100 m from to the main road</w:t>
      </w:r>
      <w:r w:rsidR="00532E39" w:rsidRPr="00BF00D2">
        <w:rPr>
          <w:sz w:val="20"/>
          <w:szCs w:val="20"/>
        </w:rPr>
        <w:t xml:space="preserve"> and around 1 km</w:t>
      </w:r>
      <w:r w:rsidRPr="00BF00D2">
        <w:rPr>
          <w:sz w:val="20"/>
          <w:szCs w:val="20"/>
        </w:rPr>
        <w:t xml:space="preserve"> from residential areas. Although mining activities </w:t>
      </w:r>
      <w:r w:rsidR="00A01BE8" w:rsidRPr="00BF00D2">
        <w:rPr>
          <w:sz w:val="20"/>
          <w:szCs w:val="20"/>
        </w:rPr>
        <w:t>ceased</w:t>
      </w:r>
      <w:r w:rsidRPr="00BF00D2">
        <w:rPr>
          <w:sz w:val="20"/>
          <w:szCs w:val="20"/>
        </w:rPr>
        <w:t xml:space="preserve"> long time ago, local</w:t>
      </w:r>
      <w:r w:rsidR="005425F3" w:rsidRPr="00BF00D2">
        <w:rPr>
          <w:sz w:val="20"/>
          <w:szCs w:val="20"/>
        </w:rPr>
        <w:t xml:space="preserve"> peoples still used this area for</w:t>
      </w:r>
      <w:r w:rsidRPr="00BF00D2">
        <w:rPr>
          <w:sz w:val="20"/>
          <w:szCs w:val="20"/>
        </w:rPr>
        <w:t xml:space="preserve"> </w:t>
      </w:r>
      <w:r w:rsidR="005425F3" w:rsidRPr="00BF00D2">
        <w:rPr>
          <w:sz w:val="20"/>
          <w:szCs w:val="20"/>
        </w:rPr>
        <w:t>growing cow</w:t>
      </w:r>
      <w:r w:rsidR="00EF46E5" w:rsidRPr="00BF00D2">
        <w:rPr>
          <w:sz w:val="20"/>
          <w:szCs w:val="20"/>
        </w:rPr>
        <w:t>s</w:t>
      </w:r>
      <w:r w:rsidR="005425F3" w:rsidRPr="00BF00D2">
        <w:rPr>
          <w:sz w:val="20"/>
          <w:szCs w:val="20"/>
        </w:rPr>
        <w:t xml:space="preserve"> and</w:t>
      </w:r>
      <w:r w:rsidR="00107D12" w:rsidRPr="00BF00D2">
        <w:rPr>
          <w:sz w:val="20"/>
          <w:szCs w:val="20"/>
        </w:rPr>
        <w:t xml:space="preserve"> buffalo</w:t>
      </w:r>
      <w:r w:rsidR="00EF46E5" w:rsidRPr="00BF00D2">
        <w:rPr>
          <w:sz w:val="20"/>
          <w:szCs w:val="20"/>
        </w:rPr>
        <w:t>es</w:t>
      </w:r>
      <w:r w:rsidR="00107D12" w:rsidRPr="00BF00D2">
        <w:rPr>
          <w:sz w:val="20"/>
          <w:szCs w:val="20"/>
        </w:rPr>
        <w:t xml:space="preserve">, duck </w:t>
      </w:r>
      <w:r w:rsidR="005425F3" w:rsidRPr="00BF00D2">
        <w:rPr>
          <w:sz w:val="20"/>
          <w:szCs w:val="20"/>
        </w:rPr>
        <w:t xml:space="preserve">farming </w:t>
      </w:r>
      <w:r w:rsidR="00107D12" w:rsidRPr="00BF00D2">
        <w:rPr>
          <w:sz w:val="20"/>
          <w:szCs w:val="20"/>
        </w:rPr>
        <w:t>an</w:t>
      </w:r>
      <w:r w:rsidR="005425F3" w:rsidRPr="00BF00D2">
        <w:rPr>
          <w:sz w:val="20"/>
          <w:szCs w:val="20"/>
        </w:rPr>
        <w:t>d fishing</w:t>
      </w:r>
      <w:r w:rsidR="00A01BE8" w:rsidRPr="00BF00D2">
        <w:rPr>
          <w:sz w:val="20"/>
          <w:szCs w:val="20"/>
        </w:rPr>
        <w:t xml:space="preserve">. </w:t>
      </w:r>
      <w:r w:rsidRPr="00BF00D2">
        <w:rPr>
          <w:sz w:val="20"/>
          <w:szCs w:val="20"/>
        </w:rPr>
        <w:t>Some fishes such as Temoleh (</w:t>
      </w:r>
      <w:r w:rsidRPr="00BF00D2">
        <w:rPr>
          <w:i/>
          <w:iCs/>
          <w:sz w:val="20"/>
          <w:szCs w:val="20"/>
        </w:rPr>
        <w:t>Probarbus jullieni</w:t>
      </w:r>
      <w:r w:rsidRPr="00BF00D2">
        <w:rPr>
          <w:sz w:val="20"/>
          <w:szCs w:val="20"/>
        </w:rPr>
        <w:t>), Lampan (</w:t>
      </w:r>
      <w:r w:rsidRPr="00BF00D2">
        <w:rPr>
          <w:i/>
          <w:iCs/>
          <w:sz w:val="20"/>
          <w:szCs w:val="20"/>
        </w:rPr>
        <w:t>Puntius schwanenfeldii</w:t>
      </w:r>
      <w:r w:rsidRPr="00BF00D2">
        <w:rPr>
          <w:sz w:val="20"/>
          <w:szCs w:val="20"/>
        </w:rPr>
        <w:t>), Tilapia Merah (</w:t>
      </w:r>
      <w:r w:rsidRPr="00BF00D2">
        <w:rPr>
          <w:i/>
          <w:sz w:val="20"/>
          <w:szCs w:val="20"/>
        </w:rPr>
        <w:t>Oreochromis niloticus</w:t>
      </w:r>
      <w:r w:rsidRPr="00BF00D2">
        <w:rPr>
          <w:sz w:val="20"/>
          <w:szCs w:val="20"/>
        </w:rPr>
        <w:t>), Catfish and Patin (</w:t>
      </w:r>
      <w:r w:rsidRPr="00BF00D2">
        <w:rPr>
          <w:i/>
          <w:iCs/>
          <w:sz w:val="20"/>
          <w:szCs w:val="20"/>
        </w:rPr>
        <w:t>Pangasius sp</w:t>
      </w:r>
      <w:r w:rsidRPr="00BF00D2">
        <w:rPr>
          <w:sz w:val="20"/>
          <w:szCs w:val="20"/>
        </w:rPr>
        <w:t xml:space="preserve">) are the main sources that essential to the diets and </w:t>
      </w:r>
      <w:r w:rsidR="005425F3" w:rsidRPr="00BF00D2">
        <w:rPr>
          <w:sz w:val="20"/>
          <w:szCs w:val="20"/>
        </w:rPr>
        <w:t xml:space="preserve">generating </w:t>
      </w:r>
      <w:r w:rsidRPr="00BF00D2">
        <w:rPr>
          <w:sz w:val="20"/>
          <w:szCs w:val="20"/>
        </w:rPr>
        <w:t xml:space="preserve">economies especially to the local peoples. </w:t>
      </w:r>
    </w:p>
    <w:p w:rsidR="00CE585C" w:rsidRPr="00BF00D2" w:rsidRDefault="00CE585C" w:rsidP="00F01117">
      <w:pPr>
        <w:jc w:val="both"/>
        <w:rPr>
          <w:i/>
          <w:sz w:val="20"/>
          <w:szCs w:val="20"/>
        </w:rPr>
      </w:pPr>
    </w:p>
    <w:p w:rsidR="0078006C" w:rsidRPr="00BF00D2" w:rsidRDefault="005425F3" w:rsidP="00F01117">
      <w:pPr>
        <w:jc w:val="both"/>
        <w:rPr>
          <w:i/>
          <w:sz w:val="20"/>
          <w:szCs w:val="20"/>
        </w:rPr>
      </w:pPr>
      <w:r w:rsidRPr="00BF00D2">
        <w:rPr>
          <w:i/>
          <w:sz w:val="20"/>
          <w:szCs w:val="20"/>
        </w:rPr>
        <w:t>Sample</w:t>
      </w:r>
      <w:r w:rsidR="00EF46E5" w:rsidRPr="00BF00D2">
        <w:rPr>
          <w:i/>
          <w:sz w:val="20"/>
          <w:szCs w:val="20"/>
        </w:rPr>
        <w:t>s</w:t>
      </w:r>
      <w:r w:rsidRPr="00BF00D2">
        <w:rPr>
          <w:i/>
          <w:sz w:val="20"/>
          <w:szCs w:val="20"/>
        </w:rPr>
        <w:t xml:space="preserve"> collection</w:t>
      </w:r>
    </w:p>
    <w:p w:rsidR="006B251D" w:rsidRPr="00BF00D2" w:rsidRDefault="00164E29" w:rsidP="00F01117">
      <w:pPr>
        <w:jc w:val="both"/>
        <w:rPr>
          <w:i/>
          <w:sz w:val="20"/>
          <w:szCs w:val="20"/>
        </w:rPr>
      </w:pPr>
      <w:r w:rsidRPr="00BF00D2">
        <w:rPr>
          <w:sz w:val="20"/>
          <w:szCs w:val="20"/>
        </w:rPr>
        <w:t xml:space="preserve">There are two </w:t>
      </w:r>
      <w:r w:rsidR="00107D12" w:rsidRPr="00BF00D2">
        <w:rPr>
          <w:sz w:val="20"/>
          <w:szCs w:val="20"/>
        </w:rPr>
        <w:t>points</w:t>
      </w:r>
      <w:r w:rsidRPr="00BF00D2">
        <w:rPr>
          <w:sz w:val="20"/>
          <w:szCs w:val="20"/>
        </w:rPr>
        <w:t xml:space="preserve"> </w:t>
      </w:r>
      <w:r w:rsidR="00107D12" w:rsidRPr="00BF00D2">
        <w:rPr>
          <w:sz w:val="20"/>
          <w:szCs w:val="20"/>
        </w:rPr>
        <w:t xml:space="preserve">where </w:t>
      </w:r>
      <w:r w:rsidRPr="00BF00D2">
        <w:rPr>
          <w:sz w:val="20"/>
          <w:szCs w:val="20"/>
        </w:rPr>
        <w:t>sediment samples</w:t>
      </w:r>
      <w:r w:rsidR="00107D12" w:rsidRPr="00BF00D2">
        <w:rPr>
          <w:sz w:val="20"/>
          <w:szCs w:val="20"/>
        </w:rPr>
        <w:t xml:space="preserve"> were collected, one at </w:t>
      </w:r>
      <w:r w:rsidR="00EF46E5" w:rsidRPr="00BF00D2">
        <w:rPr>
          <w:sz w:val="20"/>
          <w:szCs w:val="20"/>
        </w:rPr>
        <w:t xml:space="preserve">the middle of lake </w:t>
      </w:r>
      <w:r w:rsidR="00B05220" w:rsidRPr="00BF00D2">
        <w:rPr>
          <w:sz w:val="20"/>
          <w:szCs w:val="20"/>
        </w:rPr>
        <w:t>(</w:t>
      </w:r>
      <w:r w:rsidR="00532E39" w:rsidRPr="00BF00D2">
        <w:rPr>
          <w:sz w:val="20"/>
          <w:szCs w:val="20"/>
        </w:rPr>
        <w:t>0</w:t>
      </w:r>
      <w:r w:rsidR="00D97428" w:rsidRPr="00BF00D2">
        <w:rPr>
          <w:sz w:val="20"/>
          <w:szCs w:val="20"/>
        </w:rPr>
        <w:t>4°14.928</w:t>
      </w:r>
      <w:r w:rsidR="00532E39" w:rsidRPr="00BF00D2">
        <w:rPr>
          <w:sz w:val="20"/>
          <w:szCs w:val="20"/>
        </w:rPr>
        <w:t>˝</w:t>
      </w:r>
      <w:r w:rsidR="00EF46E5" w:rsidRPr="00BF00D2">
        <w:rPr>
          <w:sz w:val="20"/>
          <w:szCs w:val="20"/>
        </w:rPr>
        <w:t xml:space="preserve"> N, 101°03.043˝</w:t>
      </w:r>
      <w:r w:rsidR="00D97428" w:rsidRPr="00BF00D2">
        <w:rPr>
          <w:sz w:val="20"/>
          <w:szCs w:val="20"/>
        </w:rPr>
        <w:t>E</w:t>
      </w:r>
      <w:r w:rsidR="00B05220" w:rsidRPr="00BF00D2">
        <w:rPr>
          <w:sz w:val="20"/>
          <w:szCs w:val="20"/>
        </w:rPr>
        <w:t>)</w:t>
      </w:r>
      <w:r w:rsidRPr="00BF00D2">
        <w:rPr>
          <w:sz w:val="20"/>
          <w:szCs w:val="20"/>
        </w:rPr>
        <w:t xml:space="preserve"> and the edge of lake </w:t>
      </w:r>
      <w:r w:rsidR="00B05220" w:rsidRPr="00BF00D2">
        <w:rPr>
          <w:sz w:val="20"/>
          <w:szCs w:val="20"/>
        </w:rPr>
        <w:t>(</w:t>
      </w:r>
      <w:r w:rsidR="00D97428" w:rsidRPr="00BF00D2">
        <w:rPr>
          <w:sz w:val="20"/>
          <w:szCs w:val="20"/>
        </w:rPr>
        <w:t xml:space="preserve">04°14.854˝ N, </w:t>
      </w:r>
      <w:r w:rsidR="00532E39" w:rsidRPr="00BF00D2">
        <w:rPr>
          <w:sz w:val="20"/>
          <w:szCs w:val="20"/>
        </w:rPr>
        <w:t>101°03.134˝</w:t>
      </w:r>
      <w:r w:rsidR="00D97428" w:rsidRPr="00BF00D2">
        <w:rPr>
          <w:sz w:val="20"/>
          <w:szCs w:val="20"/>
        </w:rPr>
        <w:t xml:space="preserve"> E</w:t>
      </w:r>
      <w:r w:rsidR="00532E39" w:rsidRPr="00BF00D2">
        <w:rPr>
          <w:sz w:val="20"/>
          <w:szCs w:val="20"/>
        </w:rPr>
        <w:t>)</w:t>
      </w:r>
      <w:r w:rsidR="00B05220" w:rsidRPr="00BF00D2">
        <w:rPr>
          <w:sz w:val="20"/>
          <w:szCs w:val="20"/>
        </w:rPr>
        <w:t xml:space="preserve">. </w:t>
      </w:r>
      <w:r w:rsidR="00B65B41" w:rsidRPr="00BF00D2">
        <w:rPr>
          <w:sz w:val="20"/>
          <w:szCs w:val="20"/>
        </w:rPr>
        <w:t>Sediment samples were collected using gravity corer sampling device (5 cm diameter, 40 cm long). Sediment cores were air dried for one week then sliced into 2 cm interval and oven drie</w:t>
      </w:r>
      <w:r w:rsidR="00EF46E5" w:rsidRPr="00BF00D2">
        <w:rPr>
          <w:sz w:val="20"/>
          <w:szCs w:val="20"/>
        </w:rPr>
        <w:t xml:space="preserve">d at 60 </w:t>
      </w:r>
      <w:r w:rsidR="00B65B41" w:rsidRPr="00BF00D2">
        <w:rPr>
          <w:sz w:val="20"/>
          <w:szCs w:val="20"/>
        </w:rPr>
        <w:t>°C until constant weight. The sediment cores showed light/dar</w:t>
      </w:r>
      <w:r w:rsidR="00107D12" w:rsidRPr="00BF00D2">
        <w:rPr>
          <w:sz w:val="20"/>
          <w:szCs w:val="20"/>
        </w:rPr>
        <w:t>k-grey colour appearance. Sliced</w:t>
      </w:r>
      <w:r w:rsidR="00B65B41" w:rsidRPr="00BF00D2">
        <w:rPr>
          <w:sz w:val="20"/>
          <w:szCs w:val="20"/>
        </w:rPr>
        <w:t xml:space="preserve"> samples were ground and sieved in 450</w:t>
      </w:r>
      <w:r w:rsidR="00107D12" w:rsidRPr="00BF00D2">
        <w:rPr>
          <w:sz w:val="20"/>
          <w:szCs w:val="20"/>
        </w:rPr>
        <w:t xml:space="preserve"> </w:t>
      </w:r>
      <w:r w:rsidR="00B65B41" w:rsidRPr="00BF00D2">
        <w:rPr>
          <w:sz w:val="20"/>
          <w:szCs w:val="20"/>
        </w:rPr>
        <w:t xml:space="preserve">μm stainless steel sieves to the ensure homogeneity. </w:t>
      </w:r>
    </w:p>
    <w:p w:rsidR="00CE585C" w:rsidRPr="00BF00D2" w:rsidRDefault="00CE585C" w:rsidP="00CE585C"/>
    <w:p w:rsidR="00F01117" w:rsidRPr="00BF00D2" w:rsidRDefault="00B40C2A" w:rsidP="00CE585C">
      <w:pPr>
        <w:rPr>
          <w:i/>
          <w:sz w:val="20"/>
          <w:szCs w:val="20"/>
        </w:rPr>
      </w:pPr>
      <w:r w:rsidRPr="00BF00D2">
        <w:rPr>
          <w:i/>
          <w:sz w:val="20"/>
          <w:szCs w:val="20"/>
        </w:rPr>
        <w:t>Pb-210 analysis</w:t>
      </w:r>
    </w:p>
    <w:p w:rsidR="006B251D" w:rsidRPr="00BF00D2" w:rsidRDefault="00774230" w:rsidP="00EF46E5">
      <w:pPr>
        <w:jc w:val="both"/>
        <w:rPr>
          <w:b/>
          <w:sz w:val="20"/>
          <w:szCs w:val="20"/>
        </w:rPr>
      </w:pPr>
      <w:r w:rsidRPr="00BF00D2">
        <w:rPr>
          <w:sz w:val="20"/>
          <w:szCs w:val="20"/>
        </w:rPr>
        <w:t xml:space="preserve">Total </w:t>
      </w:r>
      <w:r w:rsidR="006B251D" w:rsidRPr="00BF00D2">
        <w:rPr>
          <w:sz w:val="20"/>
          <w:szCs w:val="20"/>
        </w:rPr>
        <w:t>Pb-210</w:t>
      </w:r>
      <w:r w:rsidRPr="00BF00D2">
        <w:rPr>
          <w:sz w:val="20"/>
          <w:szCs w:val="20"/>
        </w:rPr>
        <w:t xml:space="preserve"> (Pb-210</w:t>
      </w:r>
      <w:r w:rsidRPr="00BF00D2">
        <w:rPr>
          <w:sz w:val="20"/>
          <w:szCs w:val="20"/>
          <w:vertAlign w:val="subscript"/>
        </w:rPr>
        <w:t>tot</w:t>
      </w:r>
      <w:r w:rsidRPr="00BF00D2">
        <w:rPr>
          <w:sz w:val="20"/>
          <w:szCs w:val="20"/>
        </w:rPr>
        <w:t>)</w:t>
      </w:r>
      <w:r w:rsidR="006B251D" w:rsidRPr="00BF00D2">
        <w:rPr>
          <w:sz w:val="20"/>
          <w:szCs w:val="20"/>
        </w:rPr>
        <w:t xml:space="preserve"> was measured indirectly by</w:t>
      </w:r>
      <w:r w:rsidRPr="00BF00D2">
        <w:rPr>
          <w:sz w:val="20"/>
          <w:szCs w:val="20"/>
        </w:rPr>
        <w:t xml:space="preserve"> determining the activity of its</w:t>
      </w:r>
      <w:r w:rsidR="00090305" w:rsidRPr="00BF00D2">
        <w:rPr>
          <w:sz w:val="20"/>
          <w:szCs w:val="20"/>
        </w:rPr>
        <w:t xml:space="preserve"> grand</w:t>
      </w:r>
      <w:r w:rsidR="006B251D" w:rsidRPr="00BF00D2">
        <w:rPr>
          <w:sz w:val="20"/>
          <w:szCs w:val="20"/>
        </w:rPr>
        <w:t>aughter</w:t>
      </w:r>
      <w:r w:rsidRPr="00BF00D2">
        <w:rPr>
          <w:sz w:val="20"/>
          <w:szCs w:val="20"/>
        </w:rPr>
        <w:t>, isotope Po</w:t>
      </w:r>
      <w:r w:rsidR="006B251D" w:rsidRPr="00BF00D2">
        <w:rPr>
          <w:sz w:val="20"/>
          <w:szCs w:val="20"/>
        </w:rPr>
        <w:t>-210.</w:t>
      </w:r>
      <w:r w:rsidR="00EF46E5" w:rsidRPr="00BF00D2">
        <w:rPr>
          <w:sz w:val="20"/>
          <w:szCs w:val="20"/>
        </w:rPr>
        <w:t xml:space="preserve"> </w:t>
      </w:r>
      <w:r w:rsidR="009D688A" w:rsidRPr="00BF00D2">
        <w:rPr>
          <w:sz w:val="20"/>
          <w:szCs w:val="20"/>
        </w:rPr>
        <w:t xml:space="preserve">The Po-210 activity determined by alpha spectrometry is taken as a measurement of Pb-210 activity </w:t>
      </w:r>
      <w:r w:rsidR="00853C06" w:rsidRPr="00BF00D2">
        <w:rPr>
          <w:sz w:val="20"/>
          <w:szCs w:val="20"/>
        </w:rPr>
        <w:t>[</w:t>
      </w:r>
      <w:r w:rsidR="00331ADF" w:rsidRPr="00BF00D2">
        <w:rPr>
          <w:sz w:val="20"/>
          <w:szCs w:val="20"/>
        </w:rPr>
        <w:t>2</w:t>
      </w:r>
      <w:r w:rsidR="00686738" w:rsidRPr="00BF00D2">
        <w:rPr>
          <w:sz w:val="20"/>
          <w:szCs w:val="20"/>
        </w:rPr>
        <w:t>]</w:t>
      </w:r>
      <w:r w:rsidR="009D688A" w:rsidRPr="00BF00D2">
        <w:rPr>
          <w:sz w:val="20"/>
          <w:szCs w:val="20"/>
        </w:rPr>
        <w:t xml:space="preserve">. </w:t>
      </w:r>
      <w:r w:rsidRPr="00BF00D2">
        <w:rPr>
          <w:sz w:val="20"/>
          <w:szCs w:val="20"/>
        </w:rPr>
        <w:t xml:space="preserve">Pb-210 </w:t>
      </w:r>
      <w:r w:rsidR="009D688A" w:rsidRPr="00BF00D2">
        <w:rPr>
          <w:sz w:val="20"/>
          <w:szCs w:val="20"/>
        </w:rPr>
        <w:t xml:space="preserve">was </w:t>
      </w:r>
      <w:r w:rsidR="006B251D" w:rsidRPr="00BF00D2">
        <w:rPr>
          <w:sz w:val="20"/>
          <w:szCs w:val="20"/>
        </w:rPr>
        <w:t xml:space="preserve">assumed to be in radioactive equilibrium with Po-210 in the sediment samples. Chemical separation in analysis is controlled </w:t>
      </w:r>
      <w:r w:rsidR="00F01117" w:rsidRPr="00BF00D2">
        <w:rPr>
          <w:sz w:val="20"/>
          <w:szCs w:val="20"/>
        </w:rPr>
        <w:t>by</w:t>
      </w:r>
      <w:r w:rsidR="00853C06" w:rsidRPr="00BF00D2">
        <w:rPr>
          <w:sz w:val="20"/>
          <w:szCs w:val="20"/>
        </w:rPr>
        <w:t xml:space="preserve"> Po-209 as internal standard [</w:t>
      </w:r>
      <w:r w:rsidR="00331ADF" w:rsidRPr="00BF00D2">
        <w:rPr>
          <w:sz w:val="20"/>
          <w:szCs w:val="20"/>
        </w:rPr>
        <w:t>7</w:t>
      </w:r>
      <w:r w:rsidR="00F01117" w:rsidRPr="00BF00D2">
        <w:rPr>
          <w:sz w:val="20"/>
          <w:szCs w:val="20"/>
        </w:rPr>
        <w:t>].</w:t>
      </w:r>
      <w:r w:rsidR="006B251D" w:rsidRPr="00BF00D2">
        <w:rPr>
          <w:b/>
          <w:sz w:val="20"/>
          <w:szCs w:val="20"/>
        </w:rPr>
        <w:t xml:space="preserve"> </w:t>
      </w:r>
    </w:p>
    <w:p w:rsidR="00331ADF" w:rsidRPr="00BF00D2" w:rsidRDefault="00331ADF" w:rsidP="00EF46E5">
      <w:pPr>
        <w:jc w:val="both"/>
        <w:rPr>
          <w:i/>
          <w:sz w:val="20"/>
          <w:szCs w:val="20"/>
        </w:rPr>
      </w:pPr>
    </w:p>
    <w:p w:rsidR="009D688A" w:rsidRPr="00BF00D2" w:rsidRDefault="00B65B41" w:rsidP="00EF46E5">
      <w:pPr>
        <w:jc w:val="both"/>
        <w:rPr>
          <w:sz w:val="20"/>
          <w:szCs w:val="20"/>
        </w:rPr>
      </w:pPr>
      <w:r w:rsidRPr="00BF00D2">
        <w:rPr>
          <w:sz w:val="20"/>
          <w:szCs w:val="20"/>
        </w:rPr>
        <w:t xml:space="preserve">About </w:t>
      </w:r>
      <w:r w:rsidR="002B0B3A" w:rsidRPr="00BF00D2">
        <w:rPr>
          <w:sz w:val="20"/>
          <w:szCs w:val="20"/>
        </w:rPr>
        <w:t>2</w:t>
      </w:r>
      <w:r w:rsidR="00972FFA" w:rsidRPr="00BF00D2">
        <w:rPr>
          <w:sz w:val="20"/>
          <w:szCs w:val="20"/>
        </w:rPr>
        <w:t xml:space="preserve"> </w:t>
      </w:r>
      <w:r w:rsidRPr="00BF00D2">
        <w:rPr>
          <w:sz w:val="20"/>
          <w:szCs w:val="20"/>
        </w:rPr>
        <w:t>g of sieved</w:t>
      </w:r>
      <w:r w:rsidR="00642855" w:rsidRPr="00BF00D2">
        <w:rPr>
          <w:sz w:val="20"/>
          <w:szCs w:val="20"/>
        </w:rPr>
        <w:t xml:space="preserve"> samples,</w:t>
      </w:r>
      <w:r w:rsidRPr="00BF00D2">
        <w:rPr>
          <w:sz w:val="20"/>
          <w:szCs w:val="20"/>
        </w:rPr>
        <w:t xml:space="preserve"> standard</w:t>
      </w:r>
      <w:r w:rsidR="00642855" w:rsidRPr="00BF00D2">
        <w:rPr>
          <w:sz w:val="20"/>
          <w:szCs w:val="20"/>
        </w:rPr>
        <w:t xml:space="preserve"> and </w:t>
      </w:r>
      <w:r w:rsidR="00A7419D" w:rsidRPr="00BF00D2">
        <w:rPr>
          <w:sz w:val="20"/>
          <w:szCs w:val="20"/>
        </w:rPr>
        <w:t xml:space="preserve">known amount of </w:t>
      </w:r>
      <w:r w:rsidR="00642855" w:rsidRPr="00BF00D2">
        <w:rPr>
          <w:sz w:val="20"/>
          <w:szCs w:val="20"/>
        </w:rPr>
        <w:t>Po-209 tracer</w:t>
      </w:r>
      <w:r w:rsidR="00A7419D" w:rsidRPr="00BF00D2">
        <w:rPr>
          <w:sz w:val="20"/>
          <w:szCs w:val="20"/>
        </w:rPr>
        <w:t xml:space="preserve"> yield tracer</w:t>
      </w:r>
      <w:r w:rsidRPr="00BF00D2">
        <w:rPr>
          <w:sz w:val="20"/>
          <w:szCs w:val="20"/>
        </w:rPr>
        <w:t xml:space="preserve"> were weighed </w:t>
      </w:r>
      <w:r w:rsidR="00642855" w:rsidRPr="00BF00D2">
        <w:rPr>
          <w:sz w:val="20"/>
          <w:szCs w:val="20"/>
        </w:rPr>
        <w:t>and leached with HNO</w:t>
      </w:r>
      <w:r w:rsidR="00642855" w:rsidRPr="00BF00D2">
        <w:rPr>
          <w:sz w:val="20"/>
          <w:szCs w:val="20"/>
          <w:vertAlign w:val="subscript"/>
        </w:rPr>
        <w:t xml:space="preserve">3 </w:t>
      </w:r>
      <w:r w:rsidR="00642855" w:rsidRPr="00BF00D2">
        <w:rPr>
          <w:sz w:val="20"/>
          <w:szCs w:val="20"/>
        </w:rPr>
        <w:t>and organic matter content digested with mixture of HNO</w:t>
      </w:r>
      <w:r w:rsidR="00642855" w:rsidRPr="00BF00D2">
        <w:rPr>
          <w:sz w:val="20"/>
          <w:szCs w:val="20"/>
          <w:vertAlign w:val="subscript"/>
        </w:rPr>
        <w:t>3</w:t>
      </w:r>
      <w:r w:rsidR="00642855" w:rsidRPr="00BF00D2">
        <w:rPr>
          <w:sz w:val="20"/>
          <w:szCs w:val="20"/>
        </w:rPr>
        <w:t xml:space="preserve"> and H</w:t>
      </w:r>
      <w:r w:rsidR="00642855" w:rsidRPr="00BF00D2">
        <w:rPr>
          <w:sz w:val="20"/>
          <w:szCs w:val="20"/>
          <w:vertAlign w:val="subscript"/>
        </w:rPr>
        <w:t>2</w:t>
      </w:r>
      <w:r w:rsidR="00642855" w:rsidRPr="00BF00D2">
        <w:rPr>
          <w:sz w:val="20"/>
          <w:szCs w:val="20"/>
        </w:rPr>
        <w:t>O</w:t>
      </w:r>
      <w:r w:rsidR="00642855" w:rsidRPr="00BF00D2">
        <w:rPr>
          <w:sz w:val="20"/>
          <w:szCs w:val="20"/>
          <w:vertAlign w:val="subscript"/>
        </w:rPr>
        <w:t>2</w:t>
      </w:r>
      <w:r w:rsidR="00642855" w:rsidRPr="00BF00D2">
        <w:rPr>
          <w:sz w:val="20"/>
          <w:szCs w:val="20"/>
        </w:rPr>
        <w:t xml:space="preserve"> to get white residue. </w:t>
      </w:r>
      <w:r w:rsidR="008F18D9" w:rsidRPr="00BF00D2">
        <w:rPr>
          <w:sz w:val="20"/>
          <w:szCs w:val="20"/>
        </w:rPr>
        <w:t xml:space="preserve">Remaining organic matter </w:t>
      </w:r>
      <w:r w:rsidR="00642855" w:rsidRPr="00BF00D2">
        <w:rPr>
          <w:sz w:val="20"/>
          <w:szCs w:val="20"/>
        </w:rPr>
        <w:t xml:space="preserve">digested again using HCI and </w:t>
      </w:r>
      <w:r w:rsidR="008F18D9" w:rsidRPr="00BF00D2">
        <w:rPr>
          <w:sz w:val="20"/>
          <w:szCs w:val="20"/>
        </w:rPr>
        <w:t xml:space="preserve">solution converted </w:t>
      </w:r>
      <w:r w:rsidR="006B251D" w:rsidRPr="00BF00D2">
        <w:rPr>
          <w:sz w:val="20"/>
          <w:szCs w:val="20"/>
        </w:rPr>
        <w:t>in</w:t>
      </w:r>
      <w:r w:rsidR="008F18D9" w:rsidRPr="00BF00D2">
        <w:rPr>
          <w:sz w:val="20"/>
          <w:szCs w:val="20"/>
        </w:rPr>
        <w:t xml:space="preserve">to 0.5M HCI medium. </w:t>
      </w:r>
      <w:r w:rsidR="00A7419D" w:rsidRPr="00BF00D2">
        <w:rPr>
          <w:sz w:val="20"/>
          <w:szCs w:val="20"/>
        </w:rPr>
        <w:t>Residual solids were filtered and s</w:t>
      </w:r>
      <w:r w:rsidR="00B60110" w:rsidRPr="00BF00D2">
        <w:rPr>
          <w:sz w:val="20"/>
          <w:szCs w:val="20"/>
        </w:rPr>
        <w:t>olution was treated with ascorbic acid</w:t>
      </w:r>
      <w:r w:rsidR="00642855" w:rsidRPr="00BF00D2">
        <w:rPr>
          <w:sz w:val="20"/>
          <w:szCs w:val="20"/>
        </w:rPr>
        <w:t xml:space="preserve"> to reduce Fe (II) to Fe (III)</w:t>
      </w:r>
      <w:r w:rsidR="00A7419D" w:rsidRPr="00BF00D2">
        <w:rPr>
          <w:sz w:val="20"/>
          <w:szCs w:val="20"/>
        </w:rPr>
        <w:t xml:space="preserve"> and prevent Fe deposition</w:t>
      </w:r>
      <w:r w:rsidR="00F01117" w:rsidRPr="00BF00D2">
        <w:rPr>
          <w:sz w:val="20"/>
          <w:szCs w:val="20"/>
        </w:rPr>
        <w:t xml:space="preserve"> [</w:t>
      </w:r>
      <w:r w:rsidR="00331ADF" w:rsidRPr="00BF00D2">
        <w:rPr>
          <w:sz w:val="20"/>
          <w:szCs w:val="20"/>
        </w:rPr>
        <w:t>8</w:t>
      </w:r>
      <w:r w:rsidR="00F01117" w:rsidRPr="00BF00D2">
        <w:rPr>
          <w:sz w:val="20"/>
          <w:szCs w:val="20"/>
        </w:rPr>
        <w:t>]</w:t>
      </w:r>
      <w:r w:rsidR="00725877" w:rsidRPr="00BF00D2">
        <w:rPr>
          <w:sz w:val="20"/>
          <w:szCs w:val="20"/>
        </w:rPr>
        <w:t xml:space="preserve"> </w:t>
      </w:r>
      <w:r w:rsidR="00A7419D" w:rsidRPr="00BF00D2">
        <w:rPr>
          <w:sz w:val="20"/>
          <w:szCs w:val="20"/>
        </w:rPr>
        <w:t>and</w:t>
      </w:r>
      <w:r w:rsidR="00642855" w:rsidRPr="00BF00D2">
        <w:rPr>
          <w:sz w:val="20"/>
          <w:szCs w:val="20"/>
        </w:rPr>
        <w:t xml:space="preserve"> </w:t>
      </w:r>
      <w:r w:rsidR="008F18D9" w:rsidRPr="00BF00D2">
        <w:rPr>
          <w:sz w:val="20"/>
          <w:szCs w:val="20"/>
        </w:rPr>
        <w:t>plated for 24 hour</w:t>
      </w:r>
      <w:r w:rsidR="00A7419D" w:rsidRPr="00BF00D2">
        <w:rPr>
          <w:sz w:val="20"/>
          <w:szCs w:val="20"/>
        </w:rPr>
        <w:t>s</w:t>
      </w:r>
      <w:r w:rsidR="008F18D9" w:rsidRPr="00BF00D2">
        <w:rPr>
          <w:sz w:val="20"/>
          <w:szCs w:val="20"/>
        </w:rPr>
        <w:t>.</w:t>
      </w:r>
      <w:r w:rsidR="00642855" w:rsidRPr="00BF00D2">
        <w:rPr>
          <w:sz w:val="20"/>
          <w:szCs w:val="20"/>
        </w:rPr>
        <w:t xml:space="preserve"> </w:t>
      </w:r>
      <w:r w:rsidR="006B251D" w:rsidRPr="00BF00D2">
        <w:rPr>
          <w:sz w:val="20"/>
          <w:szCs w:val="20"/>
        </w:rPr>
        <w:t>Po-209 and Po-210 in solution then spontaneously deposited onto silver disc</w:t>
      </w:r>
      <w:r w:rsidR="008F18D9" w:rsidRPr="00BF00D2">
        <w:rPr>
          <w:sz w:val="20"/>
          <w:szCs w:val="20"/>
        </w:rPr>
        <w:t xml:space="preserve"> </w:t>
      </w:r>
      <w:r w:rsidR="006B251D" w:rsidRPr="00BF00D2">
        <w:rPr>
          <w:sz w:val="20"/>
          <w:szCs w:val="20"/>
        </w:rPr>
        <w:t xml:space="preserve">then </w:t>
      </w:r>
      <w:r w:rsidR="008F18D9" w:rsidRPr="00BF00D2">
        <w:rPr>
          <w:sz w:val="20"/>
          <w:szCs w:val="20"/>
        </w:rPr>
        <w:t>counted using alpha spectrometry</w:t>
      </w:r>
      <w:r w:rsidR="00A7419D" w:rsidRPr="00BF00D2">
        <w:rPr>
          <w:sz w:val="20"/>
          <w:szCs w:val="20"/>
        </w:rPr>
        <w:t>.</w:t>
      </w:r>
      <w:r w:rsidR="00B40C2A" w:rsidRPr="00BF00D2">
        <w:rPr>
          <w:sz w:val="20"/>
          <w:szCs w:val="20"/>
        </w:rPr>
        <w:t xml:space="preserve"> Po-210 and Po-209 </w:t>
      </w:r>
      <w:r w:rsidR="00A7419D" w:rsidRPr="00BF00D2">
        <w:rPr>
          <w:sz w:val="20"/>
          <w:szCs w:val="20"/>
        </w:rPr>
        <w:t xml:space="preserve">emission from the disc </w:t>
      </w:r>
      <w:r w:rsidR="00107D12" w:rsidRPr="00BF00D2">
        <w:rPr>
          <w:sz w:val="20"/>
          <w:szCs w:val="20"/>
        </w:rPr>
        <w:t xml:space="preserve">releases alpha particles that have energy of 4843 keV and 5264 keV respectively </w:t>
      </w:r>
      <w:r w:rsidR="00B40C2A" w:rsidRPr="00BF00D2">
        <w:rPr>
          <w:sz w:val="20"/>
          <w:szCs w:val="20"/>
        </w:rPr>
        <w:t xml:space="preserve">were </w:t>
      </w:r>
      <w:r w:rsidR="00A7419D" w:rsidRPr="00BF00D2">
        <w:rPr>
          <w:sz w:val="20"/>
          <w:szCs w:val="20"/>
        </w:rPr>
        <w:t>measured</w:t>
      </w:r>
      <w:r w:rsidR="00B40C2A" w:rsidRPr="00BF00D2">
        <w:rPr>
          <w:sz w:val="20"/>
          <w:szCs w:val="20"/>
        </w:rPr>
        <w:t xml:space="preserve"> using alpha spectrometry with a 450 mm</w:t>
      </w:r>
      <w:r w:rsidR="00B40C2A" w:rsidRPr="00BF00D2">
        <w:rPr>
          <w:sz w:val="20"/>
          <w:szCs w:val="20"/>
          <w:vertAlign w:val="superscript"/>
        </w:rPr>
        <w:t>2</w:t>
      </w:r>
      <w:r w:rsidR="00107D12" w:rsidRPr="00BF00D2">
        <w:rPr>
          <w:sz w:val="20"/>
          <w:szCs w:val="20"/>
        </w:rPr>
        <w:t xml:space="preserve"> area.</w:t>
      </w:r>
      <w:r w:rsidR="00B40C2A" w:rsidRPr="00BF00D2">
        <w:rPr>
          <w:sz w:val="20"/>
          <w:szCs w:val="20"/>
        </w:rPr>
        <w:t xml:space="preserve"> </w:t>
      </w:r>
      <w:r w:rsidR="00090305" w:rsidRPr="00BF00D2">
        <w:rPr>
          <w:sz w:val="20"/>
          <w:szCs w:val="20"/>
        </w:rPr>
        <w:t>Alpha radiation</w:t>
      </w:r>
      <w:r w:rsidR="00107D12" w:rsidRPr="00BF00D2">
        <w:rPr>
          <w:sz w:val="20"/>
          <w:szCs w:val="20"/>
        </w:rPr>
        <w:t xml:space="preserve">s were </w:t>
      </w:r>
      <w:r w:rsidR="00B40C2A" w:rsidRPr="00BF00D2">
        <w:rPr>
          <w:sz w:val="20"/>
          <w:szCs w:val="20"/>
        </w:rPr>
        <w:t>then identified by EG &amp; G</w:t>
      </w:r>
      <w:r w:rsidR="00092378" w:rsidRPr="00BF00D2">
        <w:rPr>
          <w:sz w:val="20"/>
          <w:szCs w:val="20"/>
        </w:rPr>
        <w:t xml:space="preserve"> ORTEC spectrometer using </w:t>
      </w:r>
      <w:r w:rsidR="00B40C2A" w:rsidRPr="00BF00D2">
        <w:rPr>
          <w:sz w:val="20"/>
          <w:szCs w:val="20"/>
        </w:rPr>
        <w:t>silicon surface barrier detectors with efficiency ≥</w:t>
      </w:r>
      <w:r w:rsidR="002D0CF4" w:rsidRPr="00BF00D2">
        <w:rPr>
          <w:sz w:val="20"/>
          <w:szCs w:val="20"/>
        </w:rPr>
        <w:t xml:space="preserve"> </w:t>
      </w:r>
      <w:r w:rsidR="00B40C2A" w:rsidRPr="00BF00D2">
        <w:rPr>
          <w:sz w:val="20"/>
          <w:szCs w:val="20"/>
        </w:rPr>
        <w:t>25%, energy ranged 0-10 meV and a multi-channel analyzer system. Energy resolution is ≤</w:t>
      </w:r>
      <w:r w:rsidR="00107D12" w:rsidRPr="00BF00D2">
        <w:rPr>
          <w:sz w:val="20"/>
          <w:szCs w:val="20"/>
        </w:rPr>
        <w:t xml:space="preserve"> </w:t>
      </w:r>
      <w:r w:rsidR="00B40C2A" w:rsidRPr="00BF00D2">
        <w:rPr>
          <w:sz w:val="20"/>
          <w:szCs w:val="20"/>
        </w:rPr>
        <w:t>20 keV (FWHM) with a detector – to – source spacing equal to the detector diameter. The outputs from the silicon detectors are amplified and transmitted through a multiplexer system into a computer based multi-channel analyzer. The system was calibrated using Mi</w:t>
      </w:r>
      <w:r w:rsidR="008505C9" w:rsidRPr="00BF00D2">
        <w:rPr>
          <w:sz w:val="20"/>
          <w:szCs w:val="20"/>
        </w:rPr>
        <w:t>x Standard radioactive source. Samples activity and total uncertainties expressed in Becquerel per kilogram of dry weight (Bq kg</w:t>
      </w:r>
      <w:r w:rsidR="008505C9" w:rsidRPr="00BF00D2">
        <w:rPr>
          <w:sz w:val="20"/>
          <w:szCs w:val="20"/>
          <w:vertAlign w:val="superscript"/>
        </w:rPr>
        <w:t>-1</w:t>
      </w:r>
      <w:r w:rsidR="00B05220" w:rsidRPr="00BF00D2">
        <w:rPr>
          <w:sz w:val="20"/>
          <w:szCs w:val="20"/>
        </w:rPr>
        <w:t xml:space="preserve"> dry weight).</w:t>
      </w:r>
    </w:p>
    <w:p w:rsidR="00EF46E5" w:rsidRPr="00BF00D2" w:rsidRDefault="00EF46E5" w:rsidP="006B251D">
      <w:pPr>
        <w:autoSpaceDE w:val="0"/>
        <w:autoSpaceDN w:val="0"/>
        <w:adjustRightInd w:val="0"/>
        <w:spacing w:line="480" w:lineRule="auto"/>
        <w:rPr>
          <w:sz w:val="20"/>
          <w:szCs w:val="20"/>
        </w:rPr>
      </w:pPr>
    </w:p>
    <w:p w:rsidR="006B251D" w:rsidRPr="00BF00D2" w:rsidRDefault="006B251D" w:rsidP="005E1C3E">
      <w:pPr>
        <w:autoSpaceDE w:val="0"/>
        <w:autoSpaceDN w:val="0"/>
        <w:adjustRightInd w:val="0"/>
        <w:spacing w:line="480" w:lineRule="auto"/>
        <w:jc w:val="both"/>
        <w:rPr>
          <w:sz w:val="20"/>
          <w:szCs w:val="20"/>
        </w:rPr>
      </w:pPr>
      <w:r w:rsidRPr="00BF00D2">
        <w:rPr>
          <w:sz w:val="20"/>
          <w:szCs w:val="20"/>
        </w:rPr>
        <w:t>Pb-210 activity in a layer deposited at time</w:t>
      </w:r>
      <w:r w:rsidR="00926E52" w:rsidRPr="00BF00D2">
        <w:rPr>
          <w:sz w:val="20"/>
          <w:szCs w:val="20"/>
        </w:rPr>
        <w:t>,</w:t>
      </w:r>
      <w:r w:rsidRPr="00BF00D2">
        <w:rPr>
          <w:sz w:val="20"/>
          <w:szCs w:val="20"/>
        </w:rPr>
        <w:t xml:space="preserve"> t in the past can be determined using the following equation:</w:t>
      </w:r>
    </w:p>
    <w:p w:rsidR="002B0B3A" w:rsidRPr="00BF00D2" w:rsidRDefault="002B0B3A" w:rsidP="00FA20FD">
      <w:pPr>
        <w:autoSpaceDE w:val="0"/>
        <w:autoSpaceDN w:val="0"/>
        <w:adjustRightInd w:val="0"/>
        <w:jc w:val="both"/>
        <w:rPr>
          <w:sz w:val="20"/>
          <w:szCs w:val="20"/>
        </w:rPr>
      </w:pPr>
      <w:r w:rsidRPr="00BF00D2">
        <w:rPr>
          <w:sz w:val="20"/>
          <w:szCs w:val="20"/>
        </w:rPr>
        <w:t xml:space="preserve">Po-210 Activity (dpm) = Po-209 Added (dpm))× Po-209 Peak Area x </w:t>
      </w:r>
      <w:r w:rsidRPr="00BF00D2">
        <w:rPr>
          <w:i/>
          <w:iCs/>
          <w:sz w:val="20"/>
          <w:szCs w:val="20"/>
        </w:rPr>
        <w:t xml:space="preserve">PDC </w:t>
      </w:r>
      <w:r w:rsidR="00FA20FD" w:rsidRPr="00BF00D2">
        <w:rPr>
          <w:iCs/>
          <w:sz w:val="20"/>
          <w:szCs w:val="20"/>
        </w:rPr>
        <w:t>/(</w:t>
      </w:r>
      <w:r w:rsidRPr="00BF00D2">
        <w:rPr>
          <w:iCs/>
          <w:sz w:val="20"/>
          <w:szCs w:val="20"/>
        </w:rPr>
        <w:t xml:space="preserve"> </w:t>
      </w:r>
      <w:r w:rsidR="00FA20FD" w:rsidRPr="00BF00D2">
        <w:rPr>
          <w:sz w:val="20"/>
          <w:szCs w:val="20"/>
        </w:rPr>
        <w:t>Po-210 Peak Area)</w:t>
      </w:r>
      <w:r w:rsidR="00EF46E5" w:rsidRPr="00BF00D2">
        <w:rPr>
          <w:iCs/>
          <w:sz w:val="20"/>
          <w:szCs w:val="20"/>
        </w:rPr>
        <w:tab/>
      </w:r>
      <w:r w:rsidRPr="00BF00D2">
        <w:rPr>
          <w:iCs/>
          <w:sz w:val="20"/>
          <w:szCs w:val="20"/>
        </w:rPr>
        <w:t xml:space="preserve">  </w:t>
      </w:r>
      <w:r w:rsidR="00FA20FD" w:rsidRPr="00BF00D2">
        <w:rPr>
          <w:iCs/>
          <w:sz w:val="20"/>
          <w:szCs w:val="20"/>
        </w:rPr>
        <w:tab/>
      </w:r>
      <w:r w:rsidRPr="00BF00D2">
        <w:rPr>
          <w:iCs/>
          <w:sz w:val="20"/>
          <w:szCs w:val="20"/>
        </w:rPr>
        <w:t>(1)</w:t>
      </w:r>
    </w:p>
    <w:p w:rsidR="002B0B3A" w:rsidRPr="00BF00D2" w:rsidRDefault="002B0B3A" w:rsidP="005E1C3E">
      <w:pPr>
        <w:autoSpaceDE w:val="0"/>
        <w:autoSpaceDN w:val="0"/>
        <w:adjustRightInd w:val="0"/>
        <w:jc w:val="both"/>
        <w:rPr>
          <w:sz w:val="20"/>
          <w:szCs w:val="20"/>
        </w:rPr>
      </w:pPr>
      <w:r w:rsidRPr="00BF00D2">
        <w:rPr>
          <w:sz w:val="20"/>
          <w:szCs w:val="20"/>
        </w:rPr>
        <w:t xml:space="preserve">                                        </w:t>
      </w:r>
      <w:r w:rsidR="00BC5E27" w:rsidRPr="00BF00D2">
        <w:rPr>
          <w:sz w:val="20"/>
          <w:szCs w:val="20"/>
        </w:rPr>
        <w:t xml:space="preserve">                   </w:t>
      </w:r>
      <w:r w:rsidRPr="00BF00D2">
        <w:rPr>
          <w:sz w:val="20"/>
          <w:szCs w:val="20"/>
        </w:rPr>
        <w:t xml:space="preserve"> </w:t>
      </w:r>
    </w:p>
    <w:p w:rsidR="002B0B3A" w:rsidRPr="00BF00D2" w:rsidRDefault="002B0B3A" w:rsidP="005E1C3E">
      <w:pPr>
        <w:autoSpaceDE w:val="0"/>
        <w:autoSpaceDN w:val="0"/>
        <w:adjustRightInd w:val="0"/>
        <w:jc w:val="both"/>
        <w:rPr>
          <w:sz w:val="20"/>
          <w:szCs w:val="20"/>
        </w:rPr>
      </w:pPr>
      <w:r w:rsidRPr="00BF00D2">
        <w:rPr>
          <w:sz w:val="20"/>
          <w:szCs w:val="20"/>
        </w:rPr>
        <w:t xml:space="preserve">Where </w:t>
      </w:r>
      <w:r w:rsidRPr="00BF00D2">
        <w:rPr>
          <w:i/>
          <w:iCs/>
          <w:sz w:val="20"/>
          <w:szCs w:val="20"/>
        </w:rPr>
        <w:t xml:space="preserve">PDC </w:t>
      </w:r>
      <w:r w:rsidRPr="00BF00D2">
        <w:rPr>
          <w:rFonts w:eastAsia="SymbolMT"/>
          <w:sz w:val="20"/>
          <w:szCs w:val="20"/>
        </w:rPr>
        <w:t xml:space="preserve">= </w:t>
      </w:r>
      <w:r w:rsidRPr="00BF00D2">
        <w:rPr>
          <w:iCs/>
          <w:sz w:val="20"/>
          <w:szCs w:val="20"/>
        </w:rPr>
        <w:t>e</w:t>
      </w:r>
      <w:r w:rsidRPr="00BF00D2">
        <w:rPr>
          <w:rFonts w:eastAsia="SymbolMT"/>
          <w:sz w:val="20"/>
          <w:szCs w:val="20"/>
          <w:vertAlign w:val="superscript"/>
        </w:rPr>
        <w:t>−λ×Δ</w:t>
      </w:r>
      <w:r w:rsidRPr="00BF00D2">
        <w:rPr>
          <w:iCs/>
          <w:sz w:val="20"/>
          <w:szCs w:val="20"/>
          <w:vertAlign w:val="superscript"/>
        </w:rPr>
        <w:t xml:space="preserve">t </w:t>
      </w:r>
      <w:r w:rsidRPr="00BF00D2">
        <w:rPr>
          <w:sz w:val="20"/>
          <w:szCs w:val="20"/>
        </w:rPr>
        <w:t xml:space="preserve">is the plating date correction, with </w:t>
      </w:r>
      <w:r w:rsidRPr="00BF00D2">
        <w:rPr>
          <w:rFonts w:eastAsia="SymbolMT"/>
          <w:sz w:val="20"/>
          <w:szCs w:val="20"/>
        </w:rPr>
        <w:t xml:space="preserve">λ </w:t>
      </w:r>
      <w:r w:rsidRPr="00BF00D2">
        <w:rPr>
          <w:sz w:val="20"/>
          <w:szCs w:val="20"/>
        </w:rPr>
        <w:t>for Po-210 = 1.833 yr</w:t>
      </w:r>
      <w:r w:rsidRPr="00BF00D2">
        <w:rPr>
          <w:sz w:val="20"/>
          <w:szCs w:val="20"/>
          <w:vertAlign w:val="superscript"/>
        </w:rPr>
        <w:t>-1</w:t>
      </w:r>
      <w:r w:rsidRPr="00BF00D2">
        <w:rPr>
          <w:sz w:val="20"/>
          <w:szCs w:val="20"/>
        </w:rPr>
        <w:t xml:space="preserve">, and </w:t>
      </w:r>
      <w:r w:rsidRPr="00BF00D2">
        <w:rPr>
          <w:rFonts w:eastAsia="SymbolMT"/>
          <w:sz w:val="20"/>
          <w:szCs w:val="20"/>
        </w:rPr>
        <w:t>Δ</w:t>
      </w:r>
      <w:r w:rsidRPr="00BF00D2">
        <w:rPr>
          <w:sz w:val="20"/>
          <w:szCs w:val="20"/>
        </w:rPr>
        <w:t xml:space="preserve">t = date counted – date plated. </w:t>
      </w:r>
    </w:p>
    <w:p w:rsidR="00F01117" w:rsidRPr="00BF00D2" w:rsidRDefault="00F01117" w:rsidP="005E1C3E">
      <w:pPr>
        <w:autoSpaceDE w:val="0"/>
        <w:autoSpaceDN w:val="0"/>
        <w:adjustRightInd w:val="0"/>
        <w:jc w:val="both"/>
        <w:rPr>
          <w:sz w:val="20"/>
          <w:szCs w:val="20"/>
        </w:rPr>
      </w:pPr>
    </w:p>
    <w:p w:rsidR="002B0B3A" w:rsidRPr="00BF00D2" w:rsidRDefault="002B0B3A" w:rsidP="005E1C3E">
      <w:pPr>
        <w:autoSpaceDE w:val="0"/>
        <w:autoSpaceDN w:val="0"/>
        <w:adjustRightInd w:val="0"/>
        <w:jc w:val="both"/>
        <w:rPr>
          <w:sz w:val="20"/>
          <w:szCs w:val="20"/>
        </w:rPr>
      </w:pPr>
      <w:r w:rsidRPr="00BF00D2">
        <w:rPr>
          <w:sz w:val="20"/>
          <w:szCs w:val="20"/>
        </w:rPr>
        <w:t>The Pb-21</w:t>
      </w:r>
      <w:r w:rsidR="00F01117" w:rsidRPr="00BF00D2">
        <w:rPr>
          <w:sz w:val="20"/>
          <w:szCs w:val="20"/>
        </w:rPr>
        <w:t xml:space="preserve">0 activity </w:t>
      </w:r>
      <w:r w:rsidR="00E0431A" w:rsidRPr="00BF00D2">
        <w:rPr>
          <w:sz w:val="20"/>
          <w:szCs w:val="20"/>
        </w:rPr>
        <w:t>concentration was calculated by dividing the activity of Po-210 to the mass of sample (</w:t>
      </w:r>
      <w:r w:rsidRPr="00BF00D2">
        <w:rPr>
          <w:sz w:val="20"/>
          <w:szCs w:val="20"/>
        </w:rPr>
        <w:t>Pb-210 Activity</w:t>
      </w:r>
      <w:r w:rsidR="00E0431A" w:rsidRPr="00BF00D2">
        <w:rPr>
          <w:sz w:val="20"/>
          <w:szCs w:val="20"/>
        </w:rPr>
        <w:t xml:space="preserve"> concentration</w:t>
      </w:r>
      <w:r w:rsidRPr="00BF00D2">
        <w:rPr>
          <w:sz w:val="20"/>
          <w:szCs w:val="20"/>
        </w:rPr>
        <w:t xml:space="preserve"> (dpm g</w:t>
      </w:r>
      <w:r w:rsidRPr="00BF00D2">
        <w:rPr>
          <w:sz w:val="20"/>
          <w:szCs w:val="20"/>
          <w:vertAlign w:val="superscript"/>
        </w:rPr>
        <w:t>-1</w:t>
      </w:r>
      <w:r w:rsidRPr="00BF00D2">
        <w:rPr>
          <w:sz w:val="20"/>
          <w:szCs w:val="20"/>
        </w:rPr>
        <w:t>) = Po-210 Activity (dpm) / Sample weight (g)</w:t>
      </w:r>
      <w:r w:rsidR="00E0431A" w:rsidRPr="00BF00D2">
        <w:rPr>
          <w:sz w:val="20"/>
          <w:szCs w:val="20"/>
        </w:rPr>
        <w:t xml:space="preserve">). </w:t>
      </w:r>
      <w:r w:rsidRPr="00BF00D2">
        <w:rPr>
          <w:sz w:val="20"/>
          <w:szCs w:val="20"/>
        </w:rPr>
        <w:t xml:space="preserve">Supported Pb-210 activity at each site was determined as the average of the bottom segments that had exhibited a relatively constant activity indicative of the supported Pb-210 </w:t>
      </w:r>
      <w:r w:rsidR="00F01117" w:rsidRPr="00BF00D2">
        <w:rPr>
          <w:sz w:val="20"/>
          <w:szCs w:val="20"/>
        </w:rPr>
        <w:t>[</w:t>
      </w:r>
      <w:r w:rsidR="00331ADF" w:rsidRPr="00BF00D2">
        <w:rPr>
          <w:sz w:val="20"/>
          <w:szCs w:val="20"/>
        </w:rPr>
        <w:t>9</w:t>
      </w:r>
      <w:r w:rsidR="00F01117" w:rsidRPr="00BF00D2">
        <w:rPr>
          <w:sz w:val="20"/>
          <w:szCs w:val="20"/>
        </w:rPr>
        <w:t>]</w:t>
      </w:r>
      <w:r w:rsidRPr="00BF00D2">
        <w:rPr>
          <w:sz w:val="20"/>
          <w:szCs w:val="20"/>
        </w:rPr>
        <w:t xml:space="preserve">. </w:t>
      </w:r>
    </w:p>
    <w:p w:rsidR="00EF46E5" w:rsidRPr="00BF00D2" w:rsidRDefault="00EF46E5" w:rsidP="005E1C3E">
      <w:pPr>
        <w:autoSpaceDE w:val="0"/>
        <w:autoSpaceDN w:val="0"/>
        <w:adjustRightInd w:val="0"/>
        <w:jc w:val="both"/>
        <w:rPr>
          <w:i/>
          <w:sz w:val="20"/>
          <w:szCs w:val="20"/>
        </w:rPr>
      </w:pPr>
    </w:p>
    <w:p w:rsidR="00F01117" w:rsidRPr="00BF00D2" w:rsidRDefault="00B40C2A" w:rsidP="005E1C3E">
      <w:pPr>
        <w:autoSpaceDE w:val="0"/>
        <w:autoSpaceDN w:val="0"/>
        <w:adjustRightInd w:val="0"/>
        <w:jc w:val="both"/>
        <w:rPr>
          <w:i/>
          <w:sz w:val="20"/>
          <w:szCs w:val="20"/>
        </w:rPr>
      </w:pPr>
      <w:r w:rsidRPr="00BF00D2">
        <w:rPr>
          <w:i/>
          <w:sz w:val="20"/>
          <w:szCs w:val="20"/>
        </w:rPr>
        <w:t>Metal analysis</w:t>
      </w:r>
    </w:p>
    <w:p w:rsidR="00BA1D8D" w:rsidRPr="00BF00D2" w:rsidRDefault="00BA1D8D" w:rsidP="005E1C3E">
      <w:pPr>
        <w:autoSpaceDE w:val="0"/>
        <w:autoSpaceDN w:val="0"/>
        <w:adjustRightInd w:val="0"/>
        <w:jc w:val="both"/>
        <w:rPr>
          <w:sz w:val="20"/>
          <w:szCs w:val="20"/>
        </w:rPr>
      </w:pPr>
      <w:r w:rsidRPr="00BF00D2">
        <w:rPr>
          <w:sz w:val="20"/>
          <w:szCs w:val="20"/>
        </w:rPr>
        <w:t>For metal analysis, abou</w:t>
      </w:r>
      <w:r w:rsidR="00B40C2A" w:rsidRPr="00BF00D2">
        <w:rPr>
          <w:sz w:val="20"/>
          <w:szCs w:val="20"/>
        </w:rPr>
        <w:t>t</w:t>
      </w:r>
      <w:r w:rsidRPr="00BF00D2">
        <w:rPr>
          <w:sz w:val="20"/>
          <w:szCs w:val="20"/>
        </w:rPr>
        <w:t xml:space="preserve"> 0.2</w:t>
      </w:r>
      <w:r w:rsidR="00107D12" w:rsidRPr="00BF00D2">
        <w:rPr>
          <w:sz w:val="20"/>
          <w:szCs w:val="20"/>
        </w:rPr>
        <w:t xml:space="preserve"> </w:t>
      </w:r>
      <w:r w:rsidRPr="00BF00D2">
        <w:rPr>
          <w:sz w:val="20"/>
          <w:szCs w:val="20"/>
        </w:rPr>
        <w:t>g of sieved samples and standard were weighed and sealed in small polyethylene vials for neutron activation analysis. The weighted samples and standards were irradiated in 750 kW TRIGA PUSPATI II nuclear reactor at Malaysia</w:t>
      </w:r>
      <w:r w:rsidR="002B0B3A" w:rsidRPr="00BF00D2">
        <w:rPr>
          <w:sz w:val="20"/>
          <w:szCs w:val="20"/>
        </w:rPr>
        <w:t>n</w:t>
      </w:r>
      <w:r w:rsidRPr="00BF00D2">
        <w:rPr>
          <w:sz w:val="20"/>
          <w:szCs w:val="20"/>
        </w:rPr>
        <w:t xml:space="preserve"> Nuclear Agency (MNA) with thermal neutron flux of 2 x10</w:t>
      </w:r>
      <w:r w:rsidRPr="00BF00D2">
        <w:rPr>
          <w:sz w:val="20"/>
          <w:szCs w:val="20"/>
          <w:vertAlign w:val="superscript"/>
        </w:rPr>
        <w:t xml:space="preserve">12 </w:t>
      </w:r>
      <w:r w:rsidRPr="00BF00D2">
        <w:rPr>
          <w:sz w:val="20"/>
          <w:szCs w:val="20"/>
        </w:rPr>
        <w:t>n.cm</w:t>
      </w:r>
      <w:r w:rsidRPr="00BF00D2">
        <w:rPr>
          <w:sz w:val="20"/>
          <w:szCs w:val="20"/>
          <w:vertAlign w:val="superscript"/>
        </w:rPr>
        <w:t>-2</w:t>
      </w:r>
      <w:r w:rsidRPr="00BF00D2">
        <w:rPr>
          <w:sz w:val="20"/>
          <w:szCs w:val="20"/>
        </w:rPr>
        <w:t>s</w:t>
      </w:r>
      <w:r w:rsidRPr="00BF00D2">
        <w:rPr>
          <w:sz w:val="20"/>
          <w:szCs w:val="20"/>
          <w:vertAlign w:val="superscript"/>
        </w:rPr>
        <w:t xml:space="preserve">-1 </w:t>
      </w:r>
      <w:r w:rsidRPr="00BF00D2">
        <w:rPr>
          <w:sz w:val="20"/>
          <w:szCs w:val="20"/>
        </w:rPr>
        <w:t>. The irradiation time, decay time and measuring time used for metals analysis are given in Table 1</w:t>
      </w:r>
      <w:r w:rsidR="00101450" w:rsidRPr="00BF00D2">
        <w:rPr>
          <w:sz w:val="20"/>
          <w:szCs w:val="20"/>
        </w:rPr>
        <w:t>.</w:t>
      </w:r>
    </w:p>
    <w:p w:rsidR="00EF46E5" w:rsidRPr="00BF00D2" w:rsidRDefault="00EF46E5" w:rsidP="000F7E8C">
      <w:pPr>
        <w:autoSpaceDE w:val="0"/>
        <w:autoSpaceDN w:val="0"/>
        <w:adjustRightInd w:val="0"/>
        <w:jc w:val="both"/>
        <w:rPr>
          <w:i/>
          <w:sz w:val="20"/>
          <w:szCs w:val="20"/>
        </w:rPr>
      </w:pPr>
    </w:p>
    <w:p w:rsidR="00BA1D8D" w:rsidRPr="00BF00D2" w:rsidRDefault="00BA1D8D" w:rsidP="00CE585C">
      <w:pPr>
        <w:jc w:val="center"/>
        <w:rPr>
          <w:sz w:val="18"/>
          <w:szCs w:val="18"/>
        </w:rPr>
      </w:pPr>
      <w:r w:rsidRPr="00BF00D2">
        <w:rPr>
          <w:sz w:val="18"/>
          <w:szCs w:val="18"/>
        </w:rPr>
        <w:t>Table 1: Irradiation time, decay time and measuring time for metals analysis</w:t>
      </w:r>
    </w:p>
    <w:tbl>
      <w:tblPr>
        <w:tblW w:w="0" w:type="auto"/>
        <w:tblInd w:w="648" w:type="dxa"/>
        <w:tblBorders>
          <w:top w:val="single" w:sz="8" w:space="0" w:color="000000"/>
          <w:bottom w:val="single" w:sz="8" w:space="0" w:color="000000"/>
        </w:tblBorders>
        <w:tblLook w:val="04A0"/>
      </w:tblPr>
      <w:tblGrid>
        <w:gridCol w:w="1267"/>
        <w:gridCol w:w="1613"/>
        <w:gridCol w:w="1980"/>
        <w:gridCol w:w="1890"/>
        <w:gridCol w:w="1440"/>
      </w:tblGrid>
      <w:tr w:rsidR="00BA1D8D" w:rsidRPr="00BF00D2" w:rsidTr="00BC5E27">
        <w:tc>
          <w:tcPr>
            <w:tcW w:w="1267" w:type="dxa"/>
            <w:tcBorders>
              <w:top w:val="single" w:sz="8" w:space="0" w:color="000000"/>
              <w:left w:val="nil"/>
              <w:bottom w:val="single" w:sz="8" w:space="0" w:color="000000"/>
              <w:right w:val="nil"/>
            </w:tcBorders>
          </w:tcPr>
          <w:p w:rsidR="00BA1D8D" w:rsidRPr="00BF00D2" w:rsidRDefault="00BA1D8D" w:rsidP="00C1439E">
            <w:pPr>
              <w:jc w:val="center"/>
              <w:rPr>
                <w:b/>
                <w:bCs/>
                <w:sz w:val="18"/>
                <w:szCs w:val="18"/>
              </w:rPr>
            </w:pPr>
            <w:r w:rsidRPr="00BF00D2">
              <w:rPr>
                <w:b/>
                <w:bCs/>
                <w:sz w:val="18"/>
                <w:szCs w:val="18"/>
              </w:rPr>
              <w:t>Element</w:t>
            </w:r>
          </w:p>
        </w:tc>
        <w:tc>
          <w:tcPr>
            <w:tcW w:w="1613" w:type="dxa"/>
            <w:tcBorders>
              <w:top w:val="single" w:sz="8" w:space="0" w:color="000000"/>
              <w:left w:val="nil"/>
              <w:bottom w:val="single" w:sz="8" w:space="0" w:color="000000"/>
              <w:right w:val="nil"/>
            </w:tcBorders>
          </w:tcPr>
          <w:p w:rsidR="00BA1D8D" w:rsidRPr="00BF00D2" w:rsidRDefault="00BA1D8D" w:rsidP="00C1439E">
            <w:pPr>
              <w:jc w:val="center"/>
              <w:rPr>
                <w:b/>
                <w:bCs/>
                <w:sz w:val="18"/>
                <w:szCs w:val="18"/>
              </w:rPr>
            </w:pPr>
            <w:r w:rsidRPr="00BF00D2">
              <w:rPr>
                <w:b/>
                <w:bCs/>
                <w:sz w:val="18"/>
                <w:szCs w:val="18"/>
              </w:rPr>
              <w:t>Irradiation time (</w:t>
            </w:r>
            <w:r w:rsidR="00090305" w:rsidRPr="00BF00D2">
              <w:rPr>
                <w:b/>
                <w:bCs/>
                <w:sz w:val="18"/>
                <w:szCs w:val="18"/>
              </w:rPr>
              <w:t>hours</w:t>
            </w:r>
            <w:r w:rsidRPr="00BF00D2">
              <w:rPr>
                <w:b/>
                <w:bCs/>
                <w:sz w:val="18"/>
                <w:szCs w:val="18"/>
              </w:rPr>
              <w:t>)</w:t>
            </w:r>
          </w:p>
        </w:tc>
        <w:tc>
          <w:tcPr>
            <w:tcW w:w="1980" w:type="dxa"/>
            <w:tcBorders>
              <w:top w:val="single" w:sz="8" w:space="0" w:color="000000"/>
              <w:left w:val="nil"/>
              <w:bottom w:val="single" w:sz="8" w:space="0" w:color="000000"/>
              <w:right w:val="nil"/>
            </w:tcBorders>
          </w:tcPr>
          <w:p w:rsidR="00BA1D8D" w:rsidRPr="00BF00D2" w:rsidRDefault="00090305" w:rsidP="00C1439E">
            <w:pPr>
              <w:jc w:val="center"/>
              <w:rPr>
                <w:b/>
                <w:bCs/>
                <w:sz w:val="18"/>
                <w:szCs w:val="18"/>
              </w:rPr>
            </w:pPr>
            <w:r w:rsidRPr="00BF00D2">
              <w:rPr>
                <w:b/>
                <w:bCs/>
                <w:sz w:val="18"/>
                <w:szCs w:val="18"/>
              </w:rPr>
              <w:t>Cooling Time (days</w:t>
            </w:r>
            <w:r w:rsidR="00BA1D8D" w:rsidRPr="00BF00D2">
              <w:rPr>
                <w:b/>
                <w:bCs/>
                <w:sz w:val="18"/>
                <w:szCs w:val="18"/>
              </w:rPr>
              <w:t>)</w:t>
            </w:r>
          </w:p>
        </w:tc>
        <w:tc>
          <w:tcPr>
            <w:tcW w:w="1890" w:type="dxa"/>
            <w:tcBorders>
              <w:top w:val="single" w:sz="8" w:space="0" w:color="000000"/>
              <w:left w:val="nil"/>
              <w:bottom w:val="single" w:sz="8" w:space="0" w:color="000000"/>
              <w:right w:val="nil"/>
            </w:tcBorders>
          </w:tcPr>
          <w:p w:rsidR="00BA1D8D" w:rsidRPr="00BF00D2" w:rsidRDefault="002B0B3A" w:rsidP="00C1439E">
            <w:pPr>
              <w:jc w:val="center"/>
              <w:rPr>
                <w:b/>
                <w:bCs/>
                <w:sz w:val="18"/>
                <w:szCs w:val="18"/>
              </w:rPr>
            </w:pPr>
            <w:r w:rsidRPr="00BF00D2">
              <w:rPr>
                <w:b/>
                <w:bCs/>
                <w:sz w:val="18"/>
                <w:szCs w:val="18"/>
              </w:rPr>
              <w:t>Counting</w:t>
            </w:r>
            <w:r w:rsidR="00BA1D8D" w:rsidRPr="00BF00D2">
              <w:rPr>
                <w:b/>
                <w:bCs/>
                <w:sz w:val="18"/>
                <w:szCs w:val="18"/>
              </w:rPr>
              <w:t xml:space="preserve"> Time (min)</w:t>
            </w:r>
          </w:p>
        </w:tc>
        <w:tc>
          <w:tcPr>
            <w:tcW w:w="1440" w:type="dxa"/>
            <w:tcBorders>
              <w:top w:val="single" w:sz="8" w:space="0" w:color="000000"/>
              <w:left w:val="nil"/>
              <w:bottom w:val="single" w:sz="8" w:space="0" w:color="000000"/>
              <w:right w:val="nil"/>
            </w:tcBorders>
          </w:tcPr>
          <w:p w:rsidR="00BA1D8D" w:rsidRPr="00BF00D2" w:rsidRDefault="00BA1D8D" w:rsidP="00C1439E">
            <w:pPr>
              <w:jc w:val="center"/>
              <w:rPr>
                <w:b/>
                <w:bCs/>
                <w:sz w:val="18"/>
                <w:szCs w:val="18"/>
              </w:rPr>
            </w:pPr>
            <w:r w:rsidRPr="00BF00D2">
              <w:rPr>
                <w:b/>
                <w:bCs/>
                <w:sz w:val="18"/>
                <w:szCs w:val="18"/>
              </w:rPr>
              <w:t>Distance from detector (cm)</w:t>
            </w:r>
          </w:p>
        </w:tc>
      </w:tr>
      <w:tr w:rsidR="00BA1D8D" w:rsidRPr="00BF00D2" w:rsidTr="00BC5E27">
        <w:tc>
          <w:tcPr>
            <w:tcW w:w="1267" w:type="dxa"/>
            <w:tcBorders>
              <w:left w:val="nil"/>
              <w:right w:val="nil"/>
            </w:tcBorders>
            <w:shd w:val="clear" w:color="auto" w:fill="auto"/>
          </w:tcPr>
          <w:p w:rsidR="00BA1D8D" w:rsidRPr="00BF00D2" w:rsidRDefault="00BA1D8D" w:rsidP="00C1439E">
            <w:pPr>
              <w:jc w:val="center"/>
              <w:rPr>
                <w:b/>
                <w:bCs/>
                <w:sz w:val="18"/>
                <w:szCs w:val="18"/>
              </w:rPr>
            </w:pPr>
            <w:r w:rsidRPr="00BF00D2">
              <w:rPr>
                <w:b/>
                <w:bCs/>
                <w:sz w:val="18"/>
                <w:szCs w:val="18"/>
              </w:rPr>
              <w:t>As</w:t>
            </w:r>
          </w:p>
        </w:tc>
        <w:tc>
          <w:tcPr>
            <w:tcW w:w="1613" w:type="dxa"/>
            <w:tcBorders>
              <w:left w:val="nil"/>
              <w:right w:val="nil"/>
            </w:tcBorders>
            <w:shd w:val="clear" w:color="auto" w:fill="auto"/>
          </w:tcPr>
          <w:p w:rsidR="00BA1D8D" w:rsidRPr="00BF00D2" w:rsidRDefault="00090305" w:rsidP="00C1439E">
            <w:pPr>
              <w:jc w:val="center"/>
              <w:rPr>
                <w:sz w:val="18"/>
                <w:szCs w:val="18"/>
              </w:rPr>
            </w:pPr>
            <w:r w:rsidRPr="00BF00D2">
              <w:rPr>
                <w:sz w:val="18"/>
                <w:szCs w:val="18"/>
              </w:rPr>
              <w:t>6</w:t>
            </w:r>
          </w:p>
        </w:tc>
        <w:tc>
          <w:tcPr>
            <w:tcW w:w="1980" w:type="dxa"/>
            <w:tcBorders>
              <w:left w:val="nil"/>
              <w:right w:val="nil"/>
            </w:tcBorders>
            <w:shd w:val="clear" w:color="auto" w:fill="auto"/>
          </w:tcPr>
          <w:p w:rsidR="00BA1D8D" w:rsidRPr="00BF00D2" w:rsidRDefault="00090305" w:rsidP="00C1439E">
            <w:pPr>
              <w:jc w:val="center"/>
              <w:rPr>
                <w:sz w:val="18"/>
                <w:szCs w:val="18"/>
              </w:rPr>
            </w:pPr>
            <w:r w:rsidRPr="00BF00D2">
              <w:rPr>
                <w:sz w:val="18"/>
                <w:szCs w:val="18"/>
              </w:rPr>
              <w:t>4</w:t>
            </w:r>
          </w:p>
        </w:tc>
        <w:tc>
          <w:tcPr>
            <w:tcW w:w="1890" w:type="dxa"/>
            <w:tcBorders>
              <w:left w:val="nil"/>
              <w:right w:val="nil"/>
            </w:tcBorders>
            <w:shd w:val="clear" w:color="auto" w:fill="auto"/>
          </w:tcPr>
          <w:p w:rsidR="00BA1D8D" w:rsidRPr="00BF00D2" w:rsidRDefault="00090305" w:rsidP="00C1439E">
            <w:pPr>
              <w:jc w:val="center"/>
              <w:rPr>
                <w:sz w:val="18"/>
                <w:szCs w:val="18"/>
              </w:rPr>
            </w:pPr>
            <w:r w:rsidRPr="00BF00D2">
              <w:rPr>
                <w:sz w:val="18"/>
                <w:szCs w:val="18"/>
              </w:rPr>
              <w:t>60</w:t>
            </w:r>
          </w:p>
        </w:tc>
        <w:tc>
          <w:tcPr>
            <w:tcW w:w="1440" w:type="dxa"/>
            <w:tcBorders>
              <w:left w:val="nil"/>
              <w:right w:val="nil"/>
            </w:tcBorders>
            <w:shd w:val="clear" w:color="auto" w:fill="auto"/>
          </w:tcPr>
          <w:p w:rsidR="00BA1D8D" w:rsidRPr="00BF00D2" w:rsidRDefault="00BA1D8D" w:rsidP="00C1439E">
            <w:pPr>
              <w:jc w:val="center"/>
              <w:rPr>
                <w:sz w:val="18"/>
                <w:szCs w:val="18"/>
              </w:rPr>
            </w:pPr>
            <w:r w:rsidRPr="00BF00D2">
              <w:rPr>
                <w:sz w:val="18"/>
                <w:szCs w:val="18"/>
              </w:rPr>
              <w:t>7</w:t>
            </w:r>
          </w:p>
        </w:tc>
      </w:tr>
      <w:tr w:rsidR="00BA1D8D" w:rsidRPr="00BF00D2" w:rsidTr="00BC5E27">
        <w:tc>
          <w:tcPr>
            <w:tcW w:w="1267" w:type="dxa"/>
          </w:tcPr>
          <w:p w:rsidR="00BA1D8D" w:rsidRPr="00BF00D2" w:rsidRDefault="00B40C2A" w:rsidP="00C1439E">
            <w:pPr>
              <w:jc w:val="center"/>
              <w:rPr>
                <w:b/>
                <w:bCs/>
                <w:sz w:val="18"/>
                <w:szCs w:val="18"/>
              </w:rPr>
            </w:pPr>
            <w:r w:rsidRPr="00BF00D2">
              <w:rPr>
                <w:b/>
                <w:bCs/>
                <w:sz w:val="18"/>
                <w:szCs w:val="18"/>
              </w:rPr>
              <w:t>Zn</w:t>
            </w:r>
          </w:p>
        </w:tc>
        <w:tc>
          <w:tcPr>
            <w:tcW w:w="1613" w:type="dxa"/>
          </w:tcPr>
          <w:p w:rsidR="00BA1D8D" w:rsidRPr="00BF00D2" w:rsidRDefault="00090305" w:rsidP="00C1439E">
            <w:pPr>
              <w:jc w:val="center"/>
              <w:rPr>
                <w:sz w:val="18"/>
                <w:szCs w:val="18"/>
              </w:rPr>
            </w:pPr>
            <w:r w:rsidRPr="00BF00D2">
              <w:rPr>
                <w:sz w:val="18"/>
                <w:szCs w:val="18"/>
              </w:rPr>
              <w:t>6</w:t>
            </w:r>
          </w:p>
        </w:tc>
        <w:tc>
          <w:tcPr>
            <w:tcW w:w="1980" w:type="dxa"/>
          </w:tcPr>
          <w:p w:rsidR="00BA1D8D" w:rsidRPr="00BF00D2" w:rsidRDefault="00090305" w:rsidP="00C1439E">
            <w:pPr>
              <w:jc w:val="center"/>
              <w:rPr>
                <w:sz w:val="18"/>
                <w:szCs w:val="18"/>
              </w:rPr>
            </w:pPr>
            <w:r w:rsidRPr="00BF00D2">
              <w:rPr>
                <w:sz w:val="18"/>
                <w:szCs w:val="18"/>
              </w:rPr>
              <w:t>21</w:t>
            </w:r>
          </w:p>
        </w:tc>
        <w:tc>
          <w:tcPr>
            <w:tcW w:w="1890" w:type="dxa"/>
          </w:tcPr>
          <w:p w:rsidR="00BA1D8D" w:rsidRPr="00BF00D2" w:rsidRDefault="00090305" w:rsidP="00C1439E">
            <w:pPr>
              <w:jc w:val="center"/>
              <w:rPr>
                <w:sz w:val="18"/>
                <w:szCs w:val="18"/>
              </w:rPr>
            </w:pPr>
            <w:r w:rsidRPr="00BF00D2">
              <w:rPr>
                <w:sz w:val="18"/>
                <w:szCs w:val="18"/>
              </w:rPr>
              <w:t>60</w:t>
            </w:r>
          </w:p>
        </w:tc>
        <w:tc>
          <w:tcPr>
            <w:tcW w:w="1440" w:type="dxa"/>
          </w:tcPr>
          <w:p w:rsidR="00BA1D8D" w:rsidRPr="00BF00D2" w:rsidRDefault="00BA1D8D" w:rsidP="00C1439E">
            <w:pPr>
              <w:jc w:val="center"/>
              <w:rPr>
                <w:sz w:val="18"/>
                <w:szCs w:val="18"/>
              </w:rPr>
            </w:pPr>
            <w:r w:rsidRPr="00BF00D2">
              <w:rPr>
                <w:sz w:val="18"/>
                <w:szCs w:val="18"/>
              </w:rPr>
              <w:t>2</w:t>
            </w:r>
          </w:p>
        </w:tc>
      </w:tr>
    </w:tbl>
    <w:p w:rsidR="00BA1D8D" w:rsidRPr="00BF00D2" w:rsidRDefault="00BA1D8D" w:rsidP="00F01117">
      <w:pPr>
        <w:rPr>
          <w:sz w:val="20"/>
          <w:szCs w:val="20"/>
        </w:rPr>
      </w:pPr>
    </w:p>
    <w:p w:rsidR="00BA1D8D" w:rsidRPr="00BF00D2" w:rsidRDefault="00BA1D8D" w:rsidP="00F01117">
      <w:pPr>
        <w:jc w:val="both"/>
        <w:rPr>
          <w:sz w:val="20"/>
          <w:szCs w:val="20"/>
        </w:rPr>
      </w:pPr>
      <w:r w:rsidRPr="00BF00D2">
        <w:rPr>
          <w:sz w:val="20"/>
          <w:szCs w:val="20"/>
        </w:rPr>
        <w:t xml:space="preserve"> Gamma emission were counted using Gamma spectrometer GEM series </w:t>
      </w:r>
      <w:r w:rsidR="002B0B3A" w:rsidRPr="00BF00D2">
        <w:rPr>
          <w:sz w:val="20"/>
          <w:szCs w:val="20"/>
        </w:rPr>
        <w:t xml:space="preserve">with </w:t>
      </w:r>
      <w:r w:rsidRPr="00BF00D2">
        <w:rPr>
          <w:sz w:val="20"/>
          <w:szCs w:val="20"/>
        </w:rPr>
        <w:t>HPGe Coaxial detector system (GEM-20180 model) equipped with multi-channel analyzer. The Canberra GEM series HPGe detector has the following specification: energy resolution of detector system is 1.88 keV and 25.4% relative efficiency at 1.33 MeV Co</w:t>
      </w:r>
      <w:r w:rsidR="00BC5E27" w:rsidRPr="00BF00D2">
        <w:rPr>
          <w:sz w:val="20"/>
          <w:szCs w:val="20"/>
        </w:rPr>
        <w:t>-</w:t>
      </w:r>
      <w:r w:rsidR="00107D12" w:rsidRPr="00BF00D2">
        <w:rPr>
          <w:sz w:val="20"/>
          <w:szCs w:val="20"/>
        </w:rPr>
        <w:t>60</w:t>
      </w:r>
      <w:r w:rsidRPr="00BF00D2">
        <w:rPr>
          <w:sz w:val="20"/>
          <w:szCs w:val="20"/>
        </w:rPr>
        <w:t xml:space="preserve">. </w:t>
      </w:r>
      <w:r w:rsidR="002B0B3A" w:rsidRPr="00BF00D2">
        <w:rPr>
          <w:sz w:val="20"/>
          <w:szCs w:val="20"/>
        </w:rPr>
        <w:t>Spectra were</w:t>
      </w:r>
      <w:r w:rsidRPr="00BF00D2">
        <w:rPr>
          <w:sz w:val="20"/>
          <w:szCs w:val="20"/>
        </w:rPr>
        <w:t xml:space="preserve"> analyzed using GammaVision (version 6.01</w:t>
      </w:r>
      <w:r w:rsidR="00926E52" w:rsidRPr="00BF00D2">
        <w:rPr>
          <w:sz w:val="20"/>
          <w:szCs w:val="20"/>
        </w:rPr>
        <w:t xml:space="preserve">) and </w:t>
      </w:r>
      <w:r w:rsidRPr="00BF00D2">
        <w:rPr>
          <w:sz w:val="20"/>
          <w:szCs w:val="20"/>
        </w:rPr>
        <w:t xml:space="preserve">photopeak was selected based on interested element to be analyzed. </w:t>
      </w:r>
      <w:r w:rsidR="00B40C2A" w:rsidRPr="00BF00D2">
        <w:rPr>
          <w:sz w:val="20"/>
          <w:szCs w:val="20"/>
        </w:rPr>
        <w:t xml:space="preserve">Arsenic (As) </w:t>
      </w:r>
      <w:r w:rsidRPr="00BF00D2">
        <w:rPr>
          <w:sz w:val="20"/>
          <w:szCs w:val="20"/>
        </w:rPr>
        <w:t xml:space="preserve">and </w:t>
      </w:r>
      <w:r w:rsidR="00B40C2A" w:rsidRPr="00BF00D2">
        <w:rPr>
          <w:sz w:val="20"/>
          <w:szCs w:val="20"/>
        </w:rPr>
        <w:t xml:space="preserve">Zinc (Zn) were selected for </w:t>
      </w:r>
      <w:r w:rsidRPr="00BF00D2">
        <w:rPr>
          <w:sz w:val="20"/>
          <w:szCs w:val="20"/>
        </w:rPr>
        <w:t xml:space="preserve">metal analysis. For As and </w:t>
      </w:r>
      <w:r w:rsidR="00B40C2A" w:rsidRPr="00BF00D2">
        <w:rPr>
          <w:sz w:val="20"/>
          <w:szCs w:val="20"/>
        </w:rPr>
        <w:t>Zn</w:t>
      </w:r>
      <w:r w:rsidRPr="00BF00D2">
        <w:rPr>
          <w:sz w:val="20"/>
          <w:szCs w:val="20"/>
        </w:rPr>
        <w:t xml:space="preserve"> the </w:t>
      </w:r>
      <w:r w:rsidR="00C55F89" w:rsidRPr="00BF00D2">
        <w:rPr>
          <w:sz w:val="20"/>
          <w:szCs w:val="20"/>
        </w:rPr>
        <w:t xml:space="preserve">major </w:t>
      </w:r>
      <w:r w:rsidRPr="00BF00D2">
        <w:rPr>
          <w:sz w:val="20"/>
          <w:szCs w:val="20"/>
        </w:rPr>
        <w:t>photopeak at energy of 559 keV</w:t>
      </w:r>
      <w:r w:rsidR="00B40C2A" w:rsidRPr="00BF00D2">
        <w:rPr>
          <w:sz w:val="20"/>
          <w:szCs w:val="20"/>
        </w:rPr>
        <w:t xml:space="preserve"> </w:t>
      </w:r>
      <w:r w:rsidRPr="00BF00D2">
        <w:rPr>
          <w:sz w:val="20"/>
          <w:szCs w:val="20"/>
        </w:rPr>
        <w:t xml:space="preserve">and </w:t>
      </w:r>
      <w:r w:rsidR="00B40C2A" w:rsidRPr="00BF00D2">
        <w:rPr>
          <w:sz w:val="20"/>
          <w:szCs w:val="20"/>
        </w:rPr>
        <w:t>1116</w:t>
      </w:r>
      <w:r w:rsidRPr="00BF00D2">
        <w:rPr>
          <w:sz w:val="20"/>
          <w:szCs w:val="20"/>
        </w:rPr>
        <w:t xml:space="preserve"> keV were used for metals analysis. To ensure the accuracy of results, application of Certified Reference Materials (CRM) IAEA SOIL-7 and IAEA Sediment Lake-1 (SL-1), </w:t>
      </w:r>
      <w:r w:rsidR="00090305" w:rsidRPr="00BF00D2">
        <w:rPr>
          <w:sz w:val="20"/>
          <w:szCs w:val="20"/>
        </w:rPr>
        <w:t xml:space="preserve">IAEA-368 (Pacific Ocean Lake), </w:t>
      </w:r>
      <w:r w:rsidRPr="00BF00D2">
        <w:rPr>
          <w:sz w:val="20"/>
          <w:szCs w:val="20"/>
        </w:rPr>
        <w:t>duplicate of samples and blank sample</w:t>
      </w:r>
      <w:r w:rsidR="00C55F89" w:rsidRPr="00BF00D2">
        <w:rPr>
          <w:sz w:val="20"/>
          <w:szCs w:val="20"/>
        </w:rPr>
        <w:t>s</w:t>
      </w:r>
      <w:r w:rsidRPr="00BF00D2">
        <w:rPr>
          <w:sz w:val="20"/>
          <w:szCs w:val="20"/>
        </w:rPr>
        <w:t xml:space="preserve"> </w:t>
      </w:r>
      <w:r w:rsidR="00C55F89" w:rsidRPr="00BF00D2">
        <w:rPr>
          <w:sz w:val="20"/>
          <w:szCs w:val="20"/>
        </w:rPr>
        <w:t>were also analyzed</w:t>
      </w:r>
      <w:r w:rsidRPr="00BF00D2">
        <w:rPr>
          <w:sz w:val="20"/>
          <w:szCs w:val="20"/>
        </w:rPr>
        <w:t>. Z</w:t>
      </w:r>
      <w:r w:rsidR="002B0B3A" w:rsidRPr="00BF00D2">
        <w:rPr>
          <w:sz w:val="20"/>
          <w:szCs w:val="20"/>
        </w:rPr>
        <w:t xml:space="preserve"> </w:t>
      </w:r>
      <w:r w:rsidRPr="00BF00D2">
        <w:rPr>
          <w:sz w:val="20"/>
          <w:szCs w:val="20"/>
        </w:rPr>
        <w:t xml:space="preserve">- </w:t>
      </w:r>
      <w:r w:rsidR="002B0B3A" w:rsidRPr="00BF00D2">
        <w:rPr>
          <w:sz w:val="20"/>
          <w:szCs w:val="20"/>
        </w:rPr>
        <w:t>Score</w:t>
      </w:r>
      <w:r w:rsidRPr="00BF00D2">
        <w:rPr>
          <w:sz w:val="20"/>
          <w:szCs w:val="20"/>
        </w:rPr>
        <w:t xml:space="preserve"> calculation</w:t>
      </w:r>
      <w:r w:rsidR="00B05220" w:rsidRPr="00BF00D2">
        <w:rPr>
          <w:sz w:val="20"/>
          <w:szCs w:val="20"/>
        </w:rPr>
        <w:t xml:space="preserve"> was used as a measure</w:t>
      </w:r>
      <w:r w:rsidR="00C55F89" w:rsidRPr="00BF00D2">
        <w:rPr>
          <w:sz w:val="20"/>
          <w:szCs w:val="20"/>
        </w:rPr>
        <w:t xml:space="preserve">ment of acceptable variation of measured value of elements in the CRM from the certified value. </w:t>
      </w:r>
      <w:r w:rsidR="00164E29" w:rsidRPr="00BF00D2">
        <w:rPr>
          <w:sz w:val="20"/>
          <w:szCs w:val="20"/>
        </w:rPr>
        <w:t xml:space="preserve">  </w:t>
      </w:r>
    </w:p>
    <w:p w:rsidR="00CE585C" w:rsidRPr="00BF00D2" w:rsidRDefault="00CE585C" w:rsidP="00BA1D8D">
      <w:pPr>
        <w:rPr>
          <w:sz w:val="20"/>
          <w:szCs w:val="20"/>
        </w:rPr>
      </w:pPr>
    </w:p>
    <w:p w:rsidR="00CE585C" w:rsidRPr="00BF00D2" w:rsidRDefault="00CE585C" w:rsidP="00BA1D8D">
      <w:pPr>
        <w:rPr>
          <w:sz w:val="20"/>
          <w:szCs w:val="20"/>
        </w:rPr>
      </w:pPr>
      <w:r w:rsidRPr="00BF00D2">
        <w:rPr>
          <w:sz w:val="20"/>
          <w:szCs w:val="20"/>
        </w:rPr>
        <w:t>The Z-score is computed based on following equation:</w:t>
      </w:r>
    </w:p>
    <w:p w:rsidR="00CE585C" w:rsidRPr="00BF00D2" w:rsidRDefault="00CE585C" w:rsidP="00CE585C">
      <w:pPr>
        <w:jc w:val="center"/>
        <w:rPr>
          <w:sz w:val="20"/>
          <w:szCs w:val="20"/>
        </w:rPr>
      </w:pPr>
    </w:p>
    <w:p w:rsidR="00BA1D8D" w:rsidRPr="00BF00D2" w:rsidRDefault="00BA1D8D" w:rsidP="00FA20FD">
      <w:pPr>
        <w:jc w:val="center"/>
        <w:rPr>
          <w:sz w:val="20"/>
          <w:szCs w:val="20"/>
        </w:rPr>
      </w:pPr>
      <w:r w:rsidRPr="00BF00D2">
        <w:rPr>
          <w:sz w:val="20"/>
          <w:szCs w:val="20"/>
        </w:rPr>
        <w:t xml:space="preserve">Z </w:t>
      </w:r>
      <w:r w:rsidR="000F7E8C" w:rsidRPr="00BF00D2">
        <w:rPr>
          <w:sz w:val="20"/>
          <w:szCs w:val="20"/>
        </w:rPr>
        <w:t>=</w:t>
      </w:r>
      <w:r w:rsidR="00CE585C" w:rsidRPr="00BF00D2">
        <w:rPr>
          <w:sz w:val="20"/>
          <w:szCs w:val="20"/>
        </w:rPr>
        <w:t xml:space="preserve">  </w:t>
      </w:r>
      <w:r w:rsidR="000F7E8C" w:rsidRPr="00BF00D2">
        <w:rPr>
          <w:sz w:val="20"/>
          <w:szCs w:val="20"/>
        </w:rPr>
        <w:t xml:space="preserve">  </w:t>
      </w:r>
      <w:r w:rsidR="00CE585C" w:rsidRPr="00BF00D2">
        <w:rPr>
          <w:sz w:val="20"/>
          <w:szCs w:val="20"/>
        </w:rPr>
        <w:t xml:space="preserve"> </w:t>
      </w:r>
      <w:r w:rsidR="00FA20FD" w:rsidRPr="00BF00D2">
        <w:rPr>
          <w:sz w:val="20"/>
          <w:szCs w:val="20"/>
        </w:rPr>
        <w:t>(</w:t>
      </w:r>
      <w:r w:rsidRPr="00BF00D2">
        <w:rPr>
          <w:sz w:val="20"/>
          <w:szCs w:val="20"/>
        </w:rPr>
        <w:t>X</w:t>
      </w:r>
      <w:r w:rsidR="00CE585C" w:rsidRPr="00BF00D2">
        <w:rPr>
          <w:sz w:val="20"/>
          <w:szCs w:val="20"/>
        </w:rPr>
        <w:t xml:space="preserve"> </w:t>
      </w:r>
      <w:r w:rsidR="00FA20FD" w:rsidRPr="00BF00D2">
        <w:rPr>
          <w:sz w:val="20"/>
          <w:szCs w:val="20"/>
        </w:rPr>
        <w:t>–</w:t>
      </w:r>
      <w:r w:rsidR="00CE585C" w:rsidRPr="00BF00D2">
        <w:rPr>
          <w:sz w:val="20"/>
          <w:szCs w:val="20"/>
        </w:rPr>
        <w:t xml:space="preserve"> C</w:t>
      </w:r>
      <w:r w:rsidR="00FA20FD" w:rsidRPr="00BF00D2">
        <w:rPr>
          <w:sz w:val="20"/>
          <w:szCs w:val="20"/>
        </w:rPr>
        <w:t>)/ √ (U</w:t>
      </w:r>
      <w:r w:rsidR="00FA20FD" w:rsidRPr="00BF00D2">
        <w:rPr>
          <w:sz w:val="20"/>
          <w:szCs w:val="20"/>
          <w:vertAlign w:val="superscript"/>
        </w:rPr>
        <w:t>2</w:t>
      </w:r>
      <w:r w:rsidR="00FA20FD" w:rsidRPr="00BF00D2">
        <w:rPr>
          <w:sz w:val="20"/>
          <w:szCs w:val="20"/>
          <w:vertAlign w:val="subscript"/>
        </w:rPr>
        <w:t>x</w:t>
      </w:r>
      <w:r w:rsidR="00FA20FD" w:rsidRPr="00BF00D2">
        <w:rPr>
          <w:sz w:val="20"/>
          <w:szCs w:val="20"/>
        </w:rPr>
        <w:t xml:space="preserve"> + U</w:t>
      </w:r>
      <w:r w:rsidR="00FA20FD" w:rsidRPr="00BF00D2">
        <w:rPr>
          <w:sz w:val="20"/>
          <w:szCs w:val="20"/>
          <w:vertAlign w:val="superscript"/>
        </w:rPr>
        <w:t>2</w:t>
      </w:r>
      <w:r w:rsidR="00FA20FD" w:rsidRPr="00BF00D2">
        <w:rPr>
          <w:sz w:val="20"/>
          <w:szCs w:val="20"/>
          <w:vertAlign w:val="subscript"/>
        </w:rPr>
        <w:t xml:space="preserve">c </w:t>
      </w:r>
      <w:r w:rsidR="00FA20FD" w:rsidRPr="00BF00D2">
        <w:rPr>
          <w:sz w:val="20"/>
          <w:szCs w:val="20"/>
        </w:rPr>
        <w:t>)</w:t>
      </w:r>
      <w:r w:rsidR="00CE585C" w:rsidRPr="00BF00D2">
        <w:rPr>
          <w:sz w:val="20"/>
          <w:szCs w:val="20"/>
        </w:rPr>
        <w:t xml:space="preserve">                                                                                            </w:t>
      </w:r>
      <w:r w:rsidRPr="00BF00D2">
        <w:rPr>
          <w:sz w:val="20"/>
          <w:szCs w:val="20"/>
          <w:vertAlign w:val="subscript"/>
        </w:rPr>
        <w:tab/>
      </w:r>
      <w:r w:rsidR="00106A02" w:rsidRPr="00BF00D2">
        <w:rPr>
          <w:sz w:val="20"/>
          <w:szCs w:val="20"/>
        </w:rPr>
        <w:t xml:space="preserve"> </w:t>
      </w:r>
      <w:r w:rsidR="00CE585C" w:rsidRPr="00BF00D2">
        <w:rPr>
          <w:sz w:val="20"/>
          <w:szCs w:val="20"/>
        </w:rPr>
        <w:tab/>
      </w:r>
      <w:r w:rsidR="00CE585C" w:rsidRPr="00BF00D2">
        <w:rPr>
          <w:sz w:val="20"/>
          <w:szCs w:val="20"/>
        </w:rPr>
        <w:tab/>
      </w:r>
      <w:r w:rsidR="00106A02" w:rsidRPr="00BF00D2">
        <w:rPr>
          <w:sz w:val="20"/>
          <w:szCs w:val="20"/>
        </w:rPr>
        <w:t xml:space="preserve"> </w:t>
      </w:r>
      <w:r w:rsidR="002B0B3A" w:rsidRPr="00BF00D2">
        <w:rPr>
          <w:sz w:val="20"/>
          <w:szCs w:val="20"/>
        </w:rPr>
        <w:t>(</w:t>
      </w:r>
      <w:r w:rsidR="00106A02" w:rsidRPr="00BF00D2">
        <w:rPr>
          <w:sz w:val="20"/>
          <w:szCs w:val="20"/>
        </w:rPr>
        <w:t>2</w:t>
      </w:r>
      <w:r w:rsidR="002B0B3A" w:rsidRPr="00BF00D2">
        <w:rPr>
          <w:sz w:val="20"/>
          <w:szCs w:val="20"/>
        </w:rPr>
        <w:t>)</w:t>
      </w:r>
    </w:p>
    <w:p w:rsidR="000F7E8C" w:rsidRPr="00BF00D2" w:rsidRDefault="000F7E8C" w:rsidP="00CE585C">
      <w:pPr>
        <w:rPr>
          <w:sz w:val="20"/>
          <w:szCs w:val="20"/>
        </w:rPr>
      </w:pPr>
    </w:p>
    <w:p w:rsidR="00BA1D8D" w:rsidRPr="00BF00D2" w:rsidRDefault="00BA1D8D" w:rsidP="000F7E8C">
      <w:pPr>
        <w:rPr>
          <w:sz w:val="20"/>
          <w:szCs w:val="20"/>
        </w:rPr>
      </w:pPr>
      <w:r w:rsidRPr="00BF00D2">
        <w:rPr>
          <w:sz w:val="20"/>
          <w:szCs w:val="20"/>
        </w:rPr>
        <w:t>Where X is analytical result, C is certificate value, U</w:t>
      </w:r>
      <w:r w:rsidRPr="00BF00D2">
        <w:rPr>
          <w:sz w:val="20"/>
          <w:szCs w:val="20"/>
          <w:vertAlign w:val="subscript"/>
        </w:rPr>
        <w:t>x</w:t>
      </w:r>
      <w:r w:rsidRPr="00BF00D2">
        <w:rPr>
          <w:sz w:val="20"/>
          <w:szCs w:val="20"/>
        </w:rPr>
        <w:t xml:space="preserve"> is uncertainty of analytical result and U</w:t>
      </w:r>
      <w:r w:rsidRPr="00BF00D2">
        <w:rPr>
          <w:sz w:val="20"/>
          <w:szCs w:val="20"/>
          <w:vertAlign w:val="subscript"/>
        </w:rPr>
        <w:t>c</w:t>
      </w:r>
      <w:r w:rsidRPr="00BF00D2">
        <w:rPr>
          <w:sz w:val="20"/>
          <w:szCs w:val="20"/>
        </w:rPr>
        <w:t xml:space="preserve"> is the uncertainty of certificated value. For </w:t>
      </w:r>
      <w:r w:rsidR="00C55F89" w:rsidRPr="00BF00D2">
        <w:rPr>
          <w:sz w:val="20"/>
          <w:szCs w:val="20"/>
        </w:rPr>
        <w:t>acceptance of the result, -2 &lt; Z</w:t>
      </w:r>
      <w:r w:rsidRPr="00BF00D2">
        <w:rPr>
          <w:sz w:val="20"/>
          <w:szCs w:val="20"/>
        </w:rPr>
        <w:t xml:space="preserve"> &lt; 2 </w:t>
      </w:r>
      <w:r w:rsidR="00C55F89" w:rsidRPr="00BF00D2">
        <w:rPr>
          <w:sz w:val="20"/>
          <w:szCs w:val="20"/>
        </w:rPr>
        <w:t>is anticipated while Z&lt; -3 or Z</w:t>
      </w:r>
      <w:r w:rsidRPr="00BF00D2">
        <w:rPr>
          <w:sz w:val="20"/>
          <w:szCs w:val="20"/>
        </w:rPr>
        <w:t xml:space="preserve"> &gt; 3 is considered ‘out of contr</w:t>
      </w:r>
      <w:r w:rsidR="000F7E8C" w:rsidRPr="00BF00D2">
        <w:rPr>
          <w:sz w:val="20"/>
          <w:szCs w:val="20"/>
        </w:rPr>
        <w:t>ol’ and need corrective action [</w:t>
      </w:r>
      <w:r w:rsidR="00331ADF" w:rsidRPr="00BF00D2">
        <w:rPr>
          <w:sz w:val="20"/>
          <w:szCs w:val="20"/>
        </w:rPr>
        <w:t>10</w:t>
      </w:r>
      <w:r w:rsidR="000F7E8C" w:rsidRPr="00BF00D2">
        <w:rPr>
          <w:sz w:val="20"/>
          <w:szCs w:val="20"/>
        </w:rPr>
        <w:t>]</w:t>
      </w:r>
      <w:r w:rsidRPr="00BF00D2">
        <w:rPr>
          <w:sz w:val="20"/>
          <w:szCs w:val="20"/>
        </w:rPr>
        <w:t xml:space="preserve">. </w:t>
      </w:r>
    </w:p>
    <w:p w:rsidR="00EF46E5" w:rsidRPr="00BF00D2" w:rsidRDefault="00EF46E5" w:rsidP="000F7E8C">
      <w:pPr>
        <w:jc w:val="center"/>
        <w:rPr>
          <w:b/>
          <w:sz w:val="20"/>
          <w:szCs w:val="20"/>
        </w:rPr>
      </w:pPr>
    </w:p>
    <w:p w:rsidR="00164E29" w:rsidRPr="00BF00D2" w:rsidRDefault="000F7E8C" w:rsidP="000F7E8C">
      <w:pPr>
        <w:jc w:val="center"/>
        <w:rPr>
          <w:b/>
          <w:sz w:val="20"/>
          <w:szCs w:val="20"/>
        </w:rPr>
      </w:pPr>
      <w:r w:rsidRPr="00BF00D2">
        <w:rPr>
          <w:b/>
          <w:sz w:val="20"/>
          <w:szCs w:val="20"/>
        </w:rPr>
        <w:t>Results and Discussion</w:t>
      </w:r>
    </w:p>
    <w:p w:rsidR="00875BAA" w:rsidRPr="00BF00D2" w:rsidRDefault="00875BAA" w:rsidP="00875BAA">
      <w:pPr>
        <w:rPr>
          <w:i/>
          <w:sz w:val="18"/>
          <w:szCs w:val="18"/>
        </w:rPr>
      </w:pPr>
      <w:r w:rsidRPr="00BF00D2">
        <w:rPr>
          <w:i/>
          <w:sz w:val="18"/>
          <w:szCs w:val="18"/>
        </w:rPr>
        <w:t xml:space="preserve">Data Verification </w:t>
      </w:r>
    </w:p>
    <w:p w:rsidR="00101450" w:rsidRPr="00BF00D2" w:rsidRDefault="001926FA" w:rsidP="000F7E8C">
      <w:pPr>
        <w:jc w:val="both"/>
        <w:rPr>
          <w:sz w:val="20"/>
          <w:szCs w:val="20"/>
        </w:rPr>
      </w:pPr>
      <w:r w:rsidRPr="00BF00D2">
        <w:rPr>
          <w:sz w:val="20"/>
          <w:szCs w:val="20"/>
        </w:rPr>
        <w:t xml:space="preserve">The quality of </w:t>
      </w:r>
      <w:r w:rsidR="007268F5" w:rsidRPr="00BF00D2">
        <w:rPr>
          <w:sz w:val="20"/>
          <w:szCs w:val="20"/>
        </w:rPr>
        <w:t>analyzed</w:t>
      </w:r>
      <w:r w:rsidR="00164E29" w:rsidRPr="00BF00D2">
        <w:rPr>
          <w:sz w:val="20"/>
          <w:szCs w:val="20"/>
        </w:rPr>
        <w:t xml:space="preserve"> data for metal elements</w:t>
      </w:r>
      <w:r w:rsidR="001F22A6" w:rsidRPr="00BF00D2">
        <w:rPr>
          <w:sz w:val="20"/>
          <w:szCs w:val="20"/>
        </w:rPr>
        <w:t xml:space="preserve"> and </w:t>
      </w:r>
      <w:r w:rsidR="00F76F19" w:rsidRPr="00BF00D2">
        <w:rPr>
          <w:sz w:val="20"/>
          <w:szCs w:val="20"/>
        </w:rPr>
        <w:t>radionuclides</w:t>
      </w:r>
      <w:r w:rsidR="007268F5" w:rsidRPr="00BF00D2">
        <w:rPr>
          <w:sz w:val="20"/>
          <w:szCs w:val="20"/>
        </w:rPr>
        <w:t xml:space="preserve"> determined</w:t>
      </w:r>
      <w:r w:rsidR="00164E29" w:rsidRPr="00BF00D2">
        <w:rPr>
          <w:sz w:val="20"/>
          <w:szCs w:val="20"/>
        </w:rPr>
        <w:t xml:space="preserve"> using IAEA SL-1</w:t>
      </w:r>
      <w:r w:rsidR="007268F5" w:rsidRPr="00BF00D2">
        <w:rPr>
          <w:sz w:val="20"/>
          <w:szCs w:val="20"/>
        </w:rPr>
        <w:t xml:space="preserve"> </w:t>
      </w:r>
      <w:r w:rsidR="00F76F19" w:rsidRPr="00BF00D2">
        <w:rPr>
          <w:sz w:val="20"/>
          <w:szCs w:val="20"/>
        </w:rPr>
        <w:t xml:space="preserve">(Sediment Lake) </w:t>
      </w:r>
      <w:r w:rsidR="00164E29" w:rsidRPr="00BF00D2">
        <w:rPr>
          <w:sz w:val="20"/>
          <w:szCs w:val="20"/>
        </w:rPr>
        <w:t xml:space="preserve">and </w:t>
      </w:r>
      <w:r w:rsidR="00F76F19" w:rsidRPr="00BF00D2">
        <w:rPr>
          <w:sz w:val="20"/>
          <w:szCs w:val="20"/>
        </w:rPr>
        <w:t>IAEA-368 (Pacific Ocean Sediment)</w:t>
      </w:r>
      <w:r w:rsidR="00BC44A9" w:rsidRPr="00BF00D2">
        <w:rPr>
          <w:sz w:val="20"/>
          <w:szCs w:val="20"/>
        </w:rPr>
        <w:t xml:space="preserve"> and </w:t>
      </w:r>
      <w:r w:rsidR="00164E29" w:rsidRPr="00BF00D2">
        <w:rPr>
          <w:sz w:val="20"/>
          <w:szCs w:val="20"/>
        </w:rPr>
        <w:t xml:space="preserve">evaluated by Z-score </w:t>
      </w:r>
      <w:r w:rsidR="007268F5" w:rsidRPr="00BF00D2">
        <w:rPr>
          <w:sz w:val="20"/>
          <w:szCs w:val="20"/>
        </w:rPr>
        <w:t>is shown in T</w:t>
      </w:r>
      <w:r w:rsidR="00164E29" w:rsidRPr="00BF00D2">
        <w:rPr>
          <w:sz w:val="20"/>
          <w:szCs w:val="20"/>
        </w:rPr>
        <w:t xml:space="preserve">able 2. </w:t>
      </w:r>
      <w:r w:rsidR="00D12914" w:rsidRPr="00BF00D2">
        <w:rPr>
          <w:sz w:val="20"/>
          <w:szCs w:val="20"/>
        </w:rPr>
        <w:t>Replicate analyses of IAEA SL-1 and IAEA-368 confirm good agreement of Pb-210 activities determined with certified value .</w:t>
      </w:r>
      <w:r w:rsidR="00164E29" w:rsidRPr="00BF00D2">
        <w:rPr>
          <w:sz w:val="20"/>
          <w:szCs w:val="20"/>
        </w:rPr>
        <w:t>The result showed</w:t>
      </w:r>
      <w:r w:rsidR="00203B4B" w:rsidRPr="00BF00D2">
        <w:rPr>
          <w:sz w:val="20"/>
          <w:szCs w:val="20"/>
        </w:rPr>
        <w:t xml:space="preserve"> concentration of As, Zn and Pb-210</w:t>
      </w:r>
      <w:r w:rsidR="00164E29" w:rsidRPr="00BF00D2">
        <w:rPr>
          <w:sz w:val="20"/>
          <w:szCs w:val="20"/>
        </w:rPr>
        <w:t xml:space="preserve"> were</w:t>
      </w:r>
      <w:r w:rsidR="007268F5" w:rsidRPr="00BF00D2">
        <w:rPr>
          <w:sz w:val="20"/>
          <w:szCs w:val="20"/>
        </w:rPr>
        <w:t xml:space="preserve"> agreed well with</w:t>
      </w:r>
      <w:r w:rsidR="00164E29" w:rsidRPr="00BF00D2">
        <w:rPr>
          <w:sz w:val="20"/>
          <w:szCs w:val="20"/>
        </w:rPr>
        <w:t xml:space="preserve"> the certified values and the measured values in which the Z-score values lies within -2 &lt; z &lt; 2.</w:t>
      </w:r>
      <w:r w:rsidR="00154D79" w:rsidRPr="00BF00D2">
        <w:rPr>
          <w:sz w:val="20"/>
          <w:szCs w:val="20"/>
        </w:rPr>
        <w:t xml:space="preserve"> </w:t>
      </w:r>
      <w:r w:rsidR="0035566A" w:rsidRPr="00BF00D2">
        <w:rPr>
          <w:sz w:val="20"/>
          <w:szCs w:val="20"/>
        </w:rPr>
        <w:t>Re</w:t>
      </w:r>
      <w:r w:rsidR="009455EA" w:rsidRPr="00BF00D2">
        <w:rPr>
          <w:sz w:val="20"/>
          <w:szCs w:val="20"/>
        </w:rPr>
        <w:t>lative Percentage Difference (RP</w:t>
      </w:r>
      <w:r w:rsidR="0035566A" w:rsidRPr="00BF00D2">
        <w:rPr>
          <w:sz w:val="20"/>
          <w:szCs w:val="20"/>
        </w:rPr>
        <w:t xml:space="preserve">D) in CRM and analyzed samples were expressed as percentage (%) below than 10%. </w:t>
      </w:r>
      <w:r w:rsidR="000F7E8C" w:rsidRPr="00BF00D2">
        <w:rPr>
          <w:sz w:val="20"/>
          <w:szCs w:val="20"/>
        </w:rPr>
        <w:t>Relative Standard D</w:t>
      </w:r>
      <w:r w:rsidR="00EF46E5" w:rsidRPr="00BF00D2">
        <w:rPr>
          <w:sz w:val="20"/>
          <w:szCs w:val="20"/>
        </w:rPr>
        <w:t>eviation (RS</w:t>
      </w:r>
      <w:r w:rsidR="000F7E8C" w:rsidRPr="00BF00D2">
        <w:rPr>
          <w:sz w:val="20"/>
          <w:szCs w:val="20"/>
        </w:rPr>
        <w:t xml:space="preserve">D) </w:t>
      </w:r>
      <w:r w:rsidR="00613997" w:rsidRPr="00BF00D2">
        <w:rPr>
          <w:sz w:val="20"/>
          <w:szCs w:val="20"/>
        </w:rPr>
        <w:t xml:space="preserve">was within 10% </w:t>
      </w:r>
      <w:r w:rsidR="00154D79" w:rsidRPr="00BF00D2">
        <w:rPr>
          <w:sz w:val="20"/>
          <w:szCs w:val="20"/>
        </w:rPr>
        <w:t>for</w:t>
      </w:r>
      <w:r w:rsidR="00D12914" w:rsidRPr="00BF00D2">
        <w:rPr>
          <w:sz w:val="20"/>
          <w:szCs w:val="20"/>
        </w:rPr>
        <w:t xml:space="preserve"> both metals analyses and radionuclides. </w:t>
      </w:r>
      <w:r w:rsidR="00613997" w:rsidRPr="00BF00D2">
        <w:rPr>
          <w:sz w:val="20"/>
          <w:szCs w:val="20"/>
        </w:rPr>
        <w:t xml:space="preserve">Blank samples did not </w:t>
      </w:r>
      <w:r w:rsidR="007268F5" w:rsidRPr="00BF00D2">
        <w:rPr>
          <w:sz w:val="20"/>
          <w:szCs w:val="20"/>
        </w:rPr>
        <w:t>indicate</w:t>
      </w:r>
      <w:r w:rsidR="00613997" w:rsidRPr="00BF00D2">
        <w:rPr>
          <w:sz w:val="20"/>
          <w:szCs w:val="20"/>
        </w:rPr>
        <w:t xml:space="preserve"> any significant contamination for the studied elements. </w:t>
      </w:r>
    </w:p>
    <w:p w:rsidR="00BD3590" w:rsidRPr="00BF00D2" w:rsidRDefault="00BD3590" w:rsidP="000F7E8C">
      <w:pPr>
        <w:jc w:val="both"/>
        <w:rPr>
          <w:sz w:val="20"/>
          <w:szCs w:val="20"/>
        </w:rPr>
      </w:pPr>
    </w:p>
    <w:p w:rsidR="00BF00D2" w:rsidRDefault="00164E29" w:rsidP="000F7E8C">
      <w:pPr>
        <w:jc w:val="center"/>
        <w:rPr>
          <w:sz w:val="18"/>
          <w:szCs w:val="18"/>
        </w:rPr>
      </w:pPr>
      <w:r w:rsidRPr="00BF00D2">
        <w:rPr>
          <w:sz w:val="18"/>
          <w:szCs w:val="18"/>
        </w:rPr>
        <w:t xml:space="preserve">Table 2: </w:t>
      </w:r>
      <w:r w:rsidR="00D12914" w:rsidRPr="00BF00D2">
        <w:rPr>
          <w:sz w:val="18"/>
          <w:szCs w:val="18"/>
        </w:rPr>
        <w:t>A</w:t>
      </w:r>
      <w:r w:rsidRPr="00BF00D2">
        <w:rPr>
          <w:sz w:val="18"/>
          <w:szCs w:val="18"/>
        </w:rPr>
        <w:t xml:space="preserve">nalytical value for sediment </w:t>
      </w:r>
      <w:r w:rsidR="00203B4B" w:rsidRPr="00BF00D2">
        <w:rPr>
          <w:sz w:val="18"/>
          <w:szCs w:val="18"/>
        </w:rPr>
        <w:t xml:space="preserve">certified </w:t>
      </w:r>
      <w:r w:rsidRPr="00BF00D2">
        <w:rPr>
          <w:sz w:val="18"/>
          <w:szCs w:val="18"/>
        </w:rPr>
        <w:t>reference</w:t>
      </w:r>
      <w:r w:rsidR="00203B4B" w:rsidRPr="00BF00D2">
        <w:rPr>
          <w:sz w:val="18"/>
          <w:szCs w:val="18"/>
        </w:rPr>
        <w:t xml:space="preserve"> </w:t>
      </w:r>
      <w:r w:rsidR="001F22A6" w:rsidRPr="00BF00D2">
        <w:rPr>
          <w:sz w:val="18"/>
          <w:szCs w:val="18"/>
        </w:rPr>
        <w:t>materials in</w:t>
      </w:r>
      <w:r w:rsidRPr="00BF00D2">
        <w:rPr>
          <w:sz w:val="18"/>
          <w:szCs w:val="18"/>
        </w:rPr>
        <w:t xml:space="preserve"> comparison to certified reference </w:t>
      </w:r>
    </w:p>
    <w:p w:rsidR="005E1C3E" w:rsidRPr="00BF00D2" w:rsidRDefault="00164E29" w:rsidP="00BF00D2">
      <w:pPr>
        <w:jc w:val="center"/>
        <w:rPr>
          <w:sz w:val="18"/>
          <w:szCs w:val="18"/>
        </w:rPr>
      </w:pPr>
      <w:r w:rsidRPr="00BF00D2">
        <w:rPr>
          <w:sz w:val="18"/>
          <w:szCs w:val="18"/>
        </w:rPr>
        <w:t>values</w:t>
      </w:r>
      <w:r w:rsidR="005E1C3E" w:rsidRPr="00BF00D2">
        <w:rPr>
          <w:sz w:val="18"/>
          <w:szCs w:val="18"/>
        </w:rPr>
        <w:t xml:space="preserve"> using NAA and </w:t>
      </w:r>
      <w:r w:rsidR="00D12914" w:rsidRPr="00BF00D2">
        <w:rPr>
          <w:sz w:val="18"/>
          <w:szCs w:val="18"/>
        </w:rPr>
        <w:t>Alpha spectrometry technique</w:t>
      </w:r>
    </w:p>
    <w:p w:rsidR="005E1C3E" w:rsidRPr="00BF00D2" w:rsidRDefault="005E1C3E" w:rsidP="005E1C3E">
      <w:pPr>
        <w:ind w:firstLine="720"/>
        <w:rPr>
          <w:sz w:val="18"/>
          <w:szCs w:val="18"/>
        </w:rPr>
      </w:pPr>
    </w:p>
    <w:tbl>
      <w:tblPr>
        <w:tblW w:w="6702" w:type="dxa"/>
        <w:jc w:val="center"/>
        <w:tblBorders>
          <w:top w:val="single" w:sz="8" w:space="0" w:color="000000"/>
          <w:bottom w:val="single" w:sz="8" w:space="0" w:color="000000"/>
        </w:tblBorders>
        <w:tblLook w:val="04A0"/>
      </w:tblPr>
      <w:tblGrid>
        <w:gridCol w:w="1914"/>
        <w:gridCol w:w="1596"/>
        <w:gridCol w:w="1596"/>
        <w:gridCol w:w="1596"/>
      </w:tblGrid>
      <w:tr w:rsidR="00BC44A9" w:rsidRPr="00BF00D2">
        <w:trPr>
          <w:jc w:val="center"/>
        </w:trPr>
        <w:tc>
          <w:tcPr>
            <w:tcW w:w="1914" w:type="dxa"/>
            <w:tcBorders>
              <w:top w:val="single" w:sz="8" w:space="0" w:color="000000"/>
              <w:left w:val="nil"/>
              <w:bottom w:val="single" w:sz="8" w:space="0" w:color="000000"/>
              <w:right w:val="nil"/>
            </w:tcBorders>
          </w:tcPr>
          <w:p w:rsidR="00BC44A9" w:rsidRPr="00BF00D2" w:rsidRDefault="00BC44A9" w:rsidP="007205CE">
            <w:pPr>
              <w:spacing w:line="360" w:lineRule="auto"/>
              <w:rPr>
                <w:b/>
                <w:bCs/>
                <w:noProof/>
                <w:sz w:val="20"/>
                <w:szCs w:val="20"/>
              </w:rPr>
            </w:pPr>
            <w:r w:rsidRPr="00BF00D2">
              <w:rPr>
                <w:b/>
                <w:bCs/>
                <w:noProof/>
                <w:sz w:val="20"/>
                <w:szCs w:val="20"/>
              </w:rPr>
              <w:t>Element</w:t>
            </w:r>
          </w:p>
        </w:tc>
        <w:tc>
          <w:tcPr>
            <w:tcW w:w="1596" w:type="dxa"/>
            <w:tcBorders>
              <w:top w:val="single" w:sz="8" w:space="0" w:color="000000"/>
              <w:left w:val="nil"/>
              <w:bottom w:val="single" w:sz="8" w:space="0" w:color="000000"/>
              <w:right w:val="nil"/>
            </w:tcBorders>
          </w:tcPr>
          <w:p w:rsidR="00BC44A9" w:rsidRPr="00BF00D2" w:rsidRDefault="00203B4B" w:rsidP="007205CE">
            <w:pPr>
              <w:spacing w:line="360" w:lineRule="auto"/>
              <w:jc w:val="center"/>
              <w:rPr>
                <w:b/>
                <w:bCs/>
                <w:noProof/>
                <w:sz w:val="20"/>
                <w:szCs w:val="20"/>
              </w:rPr>
            </w:pPr>
            <w:r w:rsidRPr="00BF00D2">
              <w:rPr>
                <w:b/>
                <w:bCs/>
                <w:noProof/>
                <w:sz w:val="20"/>
                <w:szCs w:val="20"/>
              </w:rPr>
              <w:t>*</w:t>
            </w:r>
            <w:r w:rsidR="00BC44A9" w:rsidRPr="00BF00D2">
              <w:rPr>
                <w:b/>
                <w:bCs/>
                <w:noProof/>
                <w:sz w:val="20"/>
                <w:szCs w:val="20"/>
              </w:rPr>
              <w:t>As (μg g</w:t>
            </w:r>
            <w:r w:rsidR="00BC44A9" w:rsidRPr="00BF00D2">
              <w:rPr>
                <w:b/>
                <w:bCs/>
                <w:noProof/>
                <w:sz w:val="20"/>
                <w:szCs w:val="20"/>
                <w:vertAlign w:val="superscript"/>
              </w:rPr>
              <w:t>-1</w:t>
            </w:r>
            <w:r w:rsidR="00BC44A9" w:rsidRPr="00BF00D2">
              <w:rPr>
                <w:b/>
                <w:bCs/>
                <w:noProof/>
                <w:sz w:val="20"/>
                <w:szCs w:val="20"/>
              </w:rPr>
              <w:t>)</w:t>
            </w:r>
          </w:p>
        </w:tc>
        <w:tc>
          <w:tcPr>
            <w:tcW w:w="1596" w:type="dxa"/>
            <w:tcBorders>
              <w:top w:val="single" w:sz="8" w:space="0" w:color="000000"/>
              <w:left w:val="nil"/>
              <w:bottom w:val="single" w:sz="8" w:space="0" w:color="000000"/>
              <w:right w:val="nil"/>
            </w:tcBorders>
          </w:tcPr>
          <w:p w:rsidR="00BC44A9" w:rsidRPr="00BF00D2" w:rsidRDefault="00203B4B" w:rsidP="007205CE">
            <w:pPr>
              <w:spacing w:line="360" w:lineRule="auto"/>
              <w:jc w:val="center"/>
              <w:rPr>
                <w:b/>
                <w:bCs/>
                <w:noProof/>
                <w:sz w:val="20"/>
                <w:szCs w:val="20"/>
              </w:rPr>
            </w:pPr>
            <w:r w:rsidRPr="00BF00D2">
              <w:rPr>
                <w:b/>
                <w:bCs/>
                <w:noProof/>
                <w:sz w:val="20"/>
                <w:szCs w:val="20"/>
              </w:rPr>
              <w:t>*</w:t>
            </w:r>
            <w:r w:rsidR="00BC44A9" w:rsidRPr="00BF00D2">
              <w:rPr>
                <w:b/>
                <w:bCs/>
                <w:noProof/>
                <w:sz w:val="20"/>
                <w:szCs w:val="20"/>
              </w:rPr>
              <w:t>Zn (μg g</w:t>
            </w:r>
            <w:r w:rsidR="00BC44A9" w:rsidRPr="00BF00D2">
              <w:rPr>
                <w:b/>
                <w:bCs/>
                <w:noProof/>
                <w:sz w:val="20"/>
                <w:szCs w:val="20"/>
                <w:vertAlign w:val="superscript"/>
              </w:rPr>
              <w:t>-1</w:t>
            </w:r>
            <w:r w:rsidR="00BC44A9" w:rsidRPr="00BF00D2">
              <w:rPr>
                <w:b/>
                <w:bCs/>
                <w:noProof/>
                <w:sz w:val="20"/>
                <w:szCs w:val="20"/>
              </w:rPr>
              <w:t>)</w:t>
            </w:r>
          </w:p>
        </w:tc>
        <w:tc>
          <w:tcPr>
            <w:tcW w:w="1596" w:type="dxa"/>
            <w:tcBorders>
              <w:top w:val="single" w:sz="8" w:space="0" w:color="000000"/>
              <w:left w:val="nil"/>
              <w:bottom w:val="single" w:sz="8" w:space="0" w:color="000000"/>
              <w:right w:val="nil"/>
            </w:tcBorders>
          </w:tcPr>
          <w:p w:rsidR="00BC44A9" w:rsidRPr="00BF00D2" w:rsidRDefault="00203B4B" w:rsidP="007205CE">
            <w:pPr>
              <w:spacing w:line="360" w:lineRule="auto"/>
              <w:jc w:val="center"/>
              <w:rPr>
                <w:b/>
                <w:bCs/>
                <w:noProof/>
                <w:sz w:val="20"/>
                <w:szCs w:val="20"/>
              </w:rPr>
            </w:pPr>
            <w:r w:rsidRPr="00BF00D2">
              <w:rPr>
                <w:b/>
                <w:bCs/>
                <w:noProof/>
                <w:sz w:val="20"/>
                <w:szCs w:val="20"/>
              </w:rPr>
              <w:t>**</w:t>
            </w:r>
            <w:r w:rsidR="00BC44A9" w:rsidRPr="00BF00D2">
              <w:rPr>
                <w:b/>
                <w:bCs/>
                <w:noProof/>
                <w:sz w:val="20"/>
                <w:szCs w:val="20"/>
              </w:rPr>
              <w:t>Pb-210</w:t>
            </w:r>
          </w:p>
        </w:tc>
      </w:tr>
      <w:tr w:rsidR="00BC44A9" w:rsidRPr="00BF00D2" w:rsidTr="00BC5E27">
        <w:trPr>
          <w:jc w:val="center"/>
        </w:trPr>
        <w:tc>
          <w:tcPr>
            <w:tcW w:w="1914" w:type="dxa"/>
            <w:tcBorders>
              <w:left w:val="nil"/>
              <w:right w:val="nil"/>
            </w:tcBorders>
            <w:shd w:val="clear" w:color="auto" w:fill="auto"/>
          </w:tcPr>
          <w:p w:rsidR="00BC44A9" w:rsidRPr="00BF00D2" w:rsidRDefault="00C15BC2" w:rsidP="007205CE">
            <w:pPr>
              <w:spacing w:line="360" w:lineRule="auto"/>
              <w:rPr>
                <w:bCs/>
                <w:noProof/>
                <w:sz w:val="20"/>
                <w:szCs w:val="20"/>
              </w:rPr>
            </w:pPr>
            <w:r w:rsidRPr="00BF00D2">
              <w:rPr>
                <w:bCs/>
                <w:noProof/>
                <w:sz w:val="20"/>
                <w:szCs w:val="20"/>
              </w:rPr>
              <w:t xml:space="preserve">Measured value </w:t>
            </w:r>
          </w:p>
        </w:tc>
        <w:tc>
          <w:tcPr>
            <w:tcW w:w="1596" w:type="dxa"/>
            <w:tcBorders>
              <w:left w:val="nil"/>
              <w:right w:val="nil"/>
            </w:tcBorders>
            <w:shd w:val="clear" w:color="auto" w:fill="auto"/>
          </w:tcPr>
          <w:p w:rsidR="00BC44A9" w:rsidRPr="00BF00D2" w:rsidRDefault="00BC44A9" w:rsidP="007205CE">
            <w:pPr>
              <w:spacing w:line="360" w:lineRule="auto"/>
              <w:jc w:val="center"/>
              <w:rPr>
                <w:noProof/>
                <w:sz w:val="20"/>
                <w:szCs w:val="20"/>
              </w:rPr>
            </w:pPr>
            <w:r w:rsidRPr="00BF00D2">
              <w:rPr>
                <w:noProof/>
                <w:sz w:val="20"/>
                <w:szCs w:val="20"/>
              </w:rPr>
              <w:t>30.5±1.5</w:t>
            </w:r>
          </w:p>
        </w:tc>
        <w:tc>
          <w:tcPr>
            <w:tcW w:w="1596" w:type="dxa"/>
            <w:tcBorders>
              <w:left w:val="nil"/>
              <w:right w:val="nil"/>
            </w:tcBorders>
            <w:shd w:val="clear" w:color="auto" w:fill="auto"/>
          </w:tcPr>
          <w:p w:rsidR="00BC44A9" w:rsidRPr="00BF00D2" w:rsidRDefault="00A01BE8" w:rsidP="007205CE">
            <w:pPr>
              <w:spacing w:line="360" w:lineRule="auto"/>
              <w:jc w:val="center"/>
              <w:rPr>
                <w:noProof/>
                <w:sz w:val="20"/>
                <w:szCs w:val="20"/>
              </w:rPr>
            </w:pPr>
            <w:r w:rsidRPr="00BF00D2">
              <w:rPr>
                <w:noProof/>
                <w:sz w:val="20"/>
                <w:szCs w:val="20"/>
              </w:rPr>
              <w:t>215.6</w:t>
            </w:r>
            <w:r w:rsidR="001F22A6" w:rsidRPr="00BF00D2">
              <w:rPr>
                <w:noProof/>
                <w:sz w:val="20"/>
                <w:szCs w:val="20"/>
              </w:rPr>
              <w:t>±15.9</w:t>
            </w:r>
          </w:p>
        </w:tc>
        <w:tc>
          <w:tcPr>
            <w:tcW w:w="1596" w:type="dxa"/>
            <w:tcBorders>
              <w:left w:val="nil"/>
              <w:right w:val="nil"/>
            </w:tcBorders>
            <w:shd w:val="clear" w:color="auto" w:fill="auto"/>
          </w:tcPr>
          <w:p w:rsidR="00BC44A9" w:rsidRPr="00BF00D2" w:rsidRDefault="00C15BC2" w:rsidP="007205CE">
            <w:pPr>
              <w:spacing w:line="360" w:lineRule="auto"/>
              <w:jc w:val="center"/>
              <w:rPr>
                <w:noProof/>
                <w:sz w:val="20"/>
                <w:szCs w:val="20"/>
              </w:rPr>
            </w:pPr>
            <w:r w:rsidRPr="00BF00D2">
              <w:rPr>
                <w:noProof/>
                <w:sz w:val="20"/>
                <w:szCs w:val="20"/>
              </w:rPr>
              <w:t>22.40±3.0</w:t>
            </w:r>
          </w:p>
        </w:tc>
      </w:tr>
      <w:tr w:rsidR="00BC44A9" w:rsidRPr="00BF00D2" w:rsidTr="00BC5E27">
        <w:trPr>
          <w:trHeight w:val="70"/>
          <w:jc w:val="center"/>
        </w:trPr>
        <w:tc>
          <w:tcPr>
            <w:tcW w:w="1914" w:type="dxa"/>
            <w:shd w:val="clear" w:color="auto" w:fill="auto"/>
          </w:tcPr>
          <w:p w:rsidR="00BC44A9" w:rsidRPr="00BF00D2" w:rsidRDefault="00BC44A9" w:rsidP="007205CE">
            <w:pPr>
              <w:spacing w:line="360" w:lineRule="auto"/>
              <w:rPr>
                <w:bCs/>
                <w:noProof/>
                <w:sz w:val="20"/>
                <w:szCs w:val="20"/>
              </w:rPr>
            </w:pPr>
            <w:r w:rsidRPr="00BF00D2">
              <w:rPr>
                <w:bCs/>
                <w:noProof/>
                <w:sz w:val="20"/>
                <w:szCs w:val="20"/>
              </w:rPr>
              <w:t>Certified value</w:t>
            </w:r>
          </w:p>
        </w:tc>
        <w:tc>
          <w:tcPr>
            <w:tcW w:w="1596" w:type="dxa"/>
            <w:shd w:val="clear" w:color="auto" w:fill="auto"/>
          </w:tcPr>
          <w:p w:rsidR="00BC44A9" w:rsidRPr="00BF00D2" w:rsidRDefault="00BC44A9" w:rsidP="007205CE">
            <w:pPr>
              <w:spacing w:line="360" w:lineRule="auto"/>
              <w:jc w:val="center"/>
              <w:rPr>
                <w:noProof/>
                <w:sz w:val="20"/>
                <w:szCs w:val="20"/>
              </w:rPr>
            </w:pPr>
            <w:r w:rsidRPr="00BF00D2">
              <w:rPr>
                <w:noProof/>
                <w:sz w:val="20"/>
                <w:szCs w:val="20"/>
              </w:rPr>
              <w:t>27.5±2.9</w:t>
            </w:r>
          </w:p>
        </w:tc>
        <w:tc>
          <w:tcPr>
            <w:tcW w:w="1596" w:type="dxa"/>
            <w:shd w:val="clear" w:color="auto" w:fill="auto"/>
          </w:tcPr>
          <w:p w:rsidR="00BC44A9" w:rsidRPr="00BF00D2" w:rsidRDefault="00203B4B" w:rsidP="007205CE">
            <w:pPr>
              <w:spacing w:line="360" w:lineRule="auto"/>
              <w:jc w:val="center"/>
              <w:rPr>
                <w:noProof/>
                <w:sz w:val="20"/>
                <w:szCs w:val="20"/>
              </w:rPr>
            </w:pPr>
            <w:r w:rsidRPr="00BF00D2">
              <w:rPr>
                <w:noProof/>
                <w:sz w:val="20"/>
                <w:szCs w:val="20"/>
              </w:rPr>
              <w:t>223</w:t>
            </w:r>
            <w:r w:rsidR="001F22A6" w:rsidRPr="00BF00D2">
              <w:rPr>
                <w:noProof/>
                <w:sz w:val="20"/>
                <w:szCs w:val="20"/>
              </w:rPr>
              <w:t>±10</w:t>
            </w:r>
          </w:p>
        </w:tc>
        <w:tc>
          <w:tcPr>
            <w:tcW w:w="1596" w:type="dxa"/>
            <w:shd w:val="clear" w:color="auto" w:fill="auto"/>
          </w:tcPr>
          <w:p w:rsidR="00BC44A9" w:rsidRPr="00BF00D2" w:rsidRDefault="00C15BC2" w:rsidP="007205CE">
            <w:pPr>
              <w:spacing w:line="360" w:lineRule="auto"/>
              <w:jc w:val="center"/>
              <w:rPr>
                <w:noProof/>
                <w:sz w:val="20"/>
                <w:szCs w:val="20"/>
              </w:rPr>
            </w:pPr>
            <w:r w:rsidRPr="00BF00D2">
              <w:rPr>
                <w:noProof/>
                <w:sz w:val="20"/>
                <w:szCs w:val="20"/>
              </w:rPr>
              <w:t>23.2±3.7</w:t>
            </w:r>
          </w:p>
        </w:tc>
      </w:tr>
      <w:tr w:rsidR="00BC44A9" w:rsidRPr="00BF00D2" w:rsidTr="00BC5E27">
        <w:trPr>
          <w:trHeight w:val="70"/>
          <w:jc w:val="center"/>
        </w:trPr>
        <w:tc>
          <w:tcPr>
            <w:tcW w:w="1914" w:type="dxa"/>
            <w:tcBorders>
              <w:left w:val="nil"/>
              <w:right w:val="nil"/>
            </w:tcBorders>
            <w:shd w:val="clear" w:color="auto" w:fill="auto"/>
          </w:tcPr>
          <w:p w:rsidR="00BC44A9" w:rsidRPr="00BF00D2" w:rsidRDefault="00BC44A9" w:rsidP="007205CE">
            <w:pPr>
              <w:spacing w:line="360" w:lineRule="auto"/>
              <w:rPr>
                <w:bCs/>
                <w:noProof/>
                <w:sz w:val="20"/>
                <w:szCs w:val="20"/>
              </w:rPr>
            </w:pPr>
            <w:r w:rsidRPr="00BF00D2">
              <w:rPr>
                <w:bCs/>
                <w:noProof/>
                <w:sz w:val="20"/>
                <w:szCs w:val="20"/>
              </w:rPr>
              <w:t>Z-score</w:t>
            </w:r>
          </w:p>
        </w:tc>
        <w:tc>
          <w:tcPr>
            <w:tcW w:w="1596" w:type="dxa"/>
            <w:tcBorders>
              <w:left w:val="nil"/>
              <w:right w:val="nil"/>
            </w:tcBorders>
            <w:shd w:val="clear" w:color="auto" w:fill="auto"/>
          </w:tcPr>
          <w:p w:rsidR="00BC44A9" w:rsidRPr="00BF00D2" w:rsidRDefault="00BC44A9" w:rsidP="007205CE">
            <w:pPr>
              <w:spacing w:line="360" w:lineRule="auto"/>
              <w:jc w:val="center"/>
              <w:rPr>
                <w:noProof/>
                <w:sz w:val="20"/>
                <w:szCs w:val="20"/>
              </w:rPr>
            </w:pPr>
            <w:r w:rsidRPr="00BF00D2">
              <w:rPr>
                <w:noProof/>
                <w:sz w:val="20"/>
                <w:szCs w:val="20"/>
              </w:rPr>
              <w:t>0.</w:t>
            </w:r>
            <w:r w:rsidR="0035566A" w:rsidRPr="00BF00D2">
              <w:rPr>
                <w:noProof/>
                <w:sz w:val="20"/>
                <w:szCs w:val="20"/>
              </w:rPr>
              <w:t>63</w:t>
            </w:r>
          </w:p>
        </w:tc>
        <w:tc>
          <w:tcPr>
            <w:tcW w:w="1596" w:type="dxa"/>
            <w:tcBorders>
              <w:left w:val="nil"/>
              <w:right w:val="nil"/>
            </w:tcBorders>
            <w:shd w:val="clear" w:color="auto" w:fill="auto"/>
          </w:tcPr>
          <w:p w:rsidR="00BC44A9" w:rsidRPr="00BF00D2" w:rsidRDefault="00203B4B" w:rsidP="007205CE">
            <w:pPr>
              <w:spacing w:line="360" w:lineRule="auto"/>
              <w:jc w:val="center"/>
              <w:rPr>
                <w:noProof/>
                <w:sz w:val="20"/>
                <w:szCs w:val="20"/>
              </w:rPr>
            </w:pPr>
            <w:r w:rsidRPr="00BF00D2">
              <w:rPr>
                <w:noProof/>
                <w:sz w:val="20"/>
                <w:szCs w:val="20"/>
              </w:rPr>
              <w:t>0.3</w:t>
            </w:r>
            <w:r w:rsidR="0035566A" w:rsidRPr="00BF00D2">
              <w:rPr>
                <w:noProof/>
                <w:sz w:val="20"/>
                <w:szCs w:val="20"/>
              </w:rPr>
              <w:t>8</w:t>
            </w:r>
          </w:p>
        </w:tc>
        <w:tc>
          <w:tcPr>
            <w:tcW w:w="1596" w:type="dxa"/>
            <w:tcBorders>
              <w:left w:val="nil"/>
              <w:right w:val="nil"/>
            </w:tcBorders>
            <w:shd w:val="clear" w:color="auto" w:fill="auto"/>
          </w:tcPr>
          <w:p w:rsidR="00BC44A9" w:rsidRPr="00BF00D2" w:rsidRDefault="00C15BC2" w:rsidP="007205CE">
            <w:pPr>
              <w:spacing w:line="360" w:lineRule="auto"/>
              <w:jc w:val="center"/>
              <w:rPr>
                <w:noProof/>
                <w:sz w:val="20"/>
                <w:szCs w:val="20"/>
              </w:rPr>
            </w:pPr>
            <w:r w:rsidRPr="00BF00D2">
              <w:rPr>
                <w:noProof/>
                <w:sz w:val="20"/>
                <w:szCs w:val="20"/>
              </w:rPr>
              <w:t>0.36</w:t>
            </w:r>
          </w:p>
        </w:tc>
      </w:tr>
      <w:tr w:rsidR="00203B4B" w:rsidRPr="00BF00D2" w:rsidTr="00BC5E27">
        <w:trPr>
          <w:trHeight w:val="269"/>
          <w:jc w:val="center"/>
        </w:trPr>
        <w:tc>
          <w:tcPr>
            <w:tcW w:w="1914" w:type="dxa"/>
            <w:shd w:val="clear" w:color="auto" w:fill="auto"/>
          </w:tcPr>
          <w:p w:rsidR="00203B4B" w:rsidRPr="00BF00D2" w:rsidRDefault="001F22A6" w:rsidP="007205CE">
            <w:pPr>
              <w:spacing w:line="360" w:lineRule="auto"/>
              <w:rPr>
                <w:bCs/>
                <w:noProof/>
                <w:sz w:val="20"/>
                <w:szCs w:val="20"/>
              </w:rPr>
            </w:pPr>
            <w:r w:rsidRPr="00BF00D2">
              <w:rPr>
                <w:bCs/>
                <w:noProof/>
                <w:sz w:val="20"/>
                <w:szCs w:val="20"/>
              </w:rPr>
              <w:t xml:space="preserve">% </w:t>
            </w:r>
            <w:r w:rsidR="0035566A" w:rsidRPr="00BF00D2">
              <w:rPr>
                <w:bCs/>
                <w:noProof/>
                <w:sz w:val="20"/>
                <w:szCs w:val="20"/>
              </w:rPr>
              <w:t>RP</w:t>
            </w:r>
            <w:r w:rsidR="00755F8B" w:rsidRPr="00BF00D2">
              <w:rPr>
                <w:bCs/>
                <w:noProof/>
                <w:sz w:val="20"/>
                <w:szCs w:val="20"/>
              </w:rPr>
              <w:t>D</w:t>
            </w:r>
          </w:p>
        </w:tc>
        <w:tc>
          <w:tcPr>
            <w:tcW w:w="1596" w:type="dxa"/>
            <w:shd w:val="clear" w:color="auto" w:fill="auto"/>
          </w:tcPr>
          <w:p w:rsidR="00203B4B" w:rsidRPr="00BF00D2" w:rsidRDefault="0035566A" w:rsidP="007205CE">
            <w:pPr>
              <w:spacing w:line="360" w:lineRule="auto"/>
              <w:jc w:val="center"/>
              <w:rPr>
                <w:noProof/>
                <w:sz w:val="20"/>
                <w:szCs w:val="20"/>
              </w:rPr>
            </w:pPr>
            <w:r w:rsidRPr="00BF00D2">
              <w:rPr>
                <w:noProof/>
                <w:sz w:val="20"/>
                <w:szCs w:val="20"/>
              </w:rPr>
              <w:t>7.17</w:t>
            </w:r>
          </w:p>
        </w:tc>
        <w:tc>
          <w:tcPr>
            <w:tcW w:w="1596" w:type="dxa"/>
            <w:shd w:val="clear" w:color="auto" w:fill="auto"/>
          </w:tcPr>
          <w:p w:rsidR="00203B4B" w:rsidRPr="00BF00D2" w:rsidRDefault="001F22A6" w:rsidP="007205CE">
            <w:pPr>
              <w:spacing w:line="360" w:lineRule="auto"/>
              <w:jc w:val="center"/>
              <w:rPr>
                <w:noProof/>
                <w:sz w:val="20"/>
                <w:szCs w:val="20"/>
              </w:rPr>
            </w:pPr>
            <w:r w:rsidRPr="00BF00D2">
              <w:rPr>
                <w:noProof/>
                <w:sz w:val="20"/>
                <w:szCs w:val="20"/>
              </w:rPr>
              <w:t>3.3</w:t>
            </w:r>
            <w:r w:rsidR="0035566A" w:rsidRPr="00BF00D2">
              <w:rPr>
                <w:noProof/>
                <w:sz w:val="20"/>
                <w:szCs w:val="20"/>
              </w:rPr>
              <w:t>1</w:t>
            </w:r>
          </w:p>
        </w:tc>
        <w:tc>
          <w:tcPr>
            <w:tcW w:w="1596" w:type="dxa"/>
            <w:shd w:val="clear" w:color="auto" w:fill="auto"/>
          </w:tcPr>
          <w:p w:rsidR="00203B4B" w:rsidRPr="00BF00D2" w:rsidRDefault="00C15BC2" w:rsidP="007205CE">
            <w:pPr>
              <w:spacing w:line="360" w:lineRule="auto"/>
              <w:jc w:val="center"/>
              <w:rPr>
                <w:noProof/>
                <w:sz w:val="20"/>
                <w:szCs w:val="20"/>
              </w:rPr>
            </w:pPr>
            <w:r w:rsidRPr="00BF00D2">
              <w:rPr>
                <w:noProof/>
                <w:sz w:val="20"/>
                <w:szCs w:val="20"/>
              </w:rPr>
              <w:t>3.42</w:t>
            </w:r>
          </w:p>
        </w:tc>
      </w:tr>
      <w:tr w:rsidR="0035566A" w:rsidRPr="00BF00D2" w:rsidTr="00BC5E27">
        <w:trPr>
          <w:trHeight w:val="269"/>
          <w:jc w:val="center"/>
        </w:trPr>
        <w:tc>
          <w:tcPr>
            <w:tcW w:w="1914" w:type="dxa"/>
            <w:tcBorders>
              <w:left w:val="nil"/>
              <w:right w:val="nil"/>
            </w:tcBorders>
            <w:shd w:val="clear" w:color="auto" w:fill="auto"/>
          </w:tcPr>
          <w:p w:rsidR="0035566A" w:rsidRPr="00BF00D2" w:rsidRDefault="0035566A" w:rsidP="007205CE">
            <w:pPr>
              <w:spacing w:line="360" w:lineRule="auto"/>
              <w:rPr>
                <w:bCs/>
                <w:noProof/>
                <w:sz w:val="20"/>
                <w:szCs w:val="20"/>
              </w:rPr>
            </w:pPr>
            <w:r w:rsidRPr="00BF00D2">
              <w:rPr>
                <w:bCs/>
                <w:noProof/>
                <w:sz w:val="20"/>
                <w:szCs w:val="20"/>
              </w:rPr>
              <w:t>% RSD</w:t>
            </w:r>
            <w:r w:rsidR="007268F5" w:rsidRPr="00BF00D2">
              <w:rPr>
                <w:bCs/>
                <w:noProof/>
                <w:sz w:val="20"/>
                <w:szCs w:val="20"/>
              </w:rPr>
              <w:t xml:space="preserve"> </w:t>
            </w:r>
          </w:p>
        </w:tc>
        <w:tc>
          <w:tcPr>
            <w:tcW w:w="1596" w:type="dxa"/>
            <w:tcBorders>
              <w:left w:val="nil"/>
              <w:right w:val="nil"/>
            </w:tcBorders>
            <w:shd w:val="clear" w:color="auto" w:fill="auto"/>
          </w:tcPr>
          <w:p w:rsidR="0035566A" w:rsidRPr="00BF00D2" w:rsidRDefault="007268F5" w:rsidP="007205CE">
            <w:pPr>
              <w:spacing w:line="360" w:lineRule="auto"/>
              <w:jc w:val="center"/>
              <w:rPr>
                <w:noProof/>
                <w:sz w:val="20"/>
                <w:szCs w:val="20"/>
              </w:rPr>
            </w:pPr>
            <w:r w:rsidRPr="00BF00D2">
              <w:rPr>
                <w:noProof/>
                <w:sz w:val="20"/>
                <w:szCs w:val="20"/>
              </w:rPr>
              <w:t>9.42</w:t>
            </w:r>
          </w:p>
        </w:tc>
        <w:tc>
          <w:tcPr>
            <w:tcW w:w="1596" w:type="dxa"/>
            <w:tcBorders>
              <w:left w:val="nil"/>
              <w:right w:val="nil"/>
            </w:tcBorders>
            <w:shd w:val="clear" w:color="auto" w:fill="auto"/>
          </w:tcPr>
          <w:p w:rsidR="0035566A" w:rsidRPr="00BF00D2" w:rsidRDefault="007268F5" w:rsidP="007205CE">
            <w:pPr>
              <w:spacing w:line="360" w:lineRule="auto"/>
              <w:jc w:val="center"/>
              <w:rPr>
                <w:noProof/>
                <w:sz w:val="20"/>
                <w:szCs w:val="20"/>
              </w:rPr>
            </w:pPr>
            <w:r w:rsidRPr="00BF00D2">
              <w:rPr>
                <w:noProof/>
                <w:sz w:val="20"/>
                <w:szCs w:val="20"/>
              </w:rPr>
              <w:t>7.79</w:t>
            </w:r>
          </w:p>
        </w:tc>
        <w:tc>
          <w:tcPr>
            <w:tcW w:w="1596" w:type="dxa"/>
            <w:tcBorders>
              <w:left w:val="nil"/>
              <w:right w:val="nil"/>
            </w:tcBorders>
            <w:shd w:val="clear" w:color="auto" w:fill="auto"/>
          </w:tcPr>
          <w:p w:rsidR="0035566A" w:rsidRPr="00BF00D2" w:rsidRDefault="007268F5" w:rsidP="007205CE">
            <w:pPr>
              <w:spacing w:line="360" w:lineRule="auto"/>
              <w:jc w:val="center"/>
              <w:rPr>
                <w:noProof/>
                <w:sz w:val="20"/>
                <w:szCs w:val="20"/>
              </w:rPr>
            </w:pPr>
            <w:r w:rsidRPr="00BF00D2">
              <w:rPr>
                <w:noProof/>
                <w:sz w:val="20"/>
                <w:szCs w:val="20"/>
              </w:rPr>
              <w:t>9.35</w:t>
            </w:r>
          </w:p>
        </w:tc>
      </w:tr>
    </w:tbl>
    <w:p w:rsidR="007268F5" w:rsidRPr="00BF00D2" w:rsidRDefault="00203B4B" w:rsidP="001926FA">
      <w:pPr>
        <w:ind w:left="720" w:firstLine="720"/>
        <w:rPr>
          <w:noProof/>
          <w:sz w:val="20"/>
          <w:szCs w:val="20"/>
        </w:rPr>
      </w:pPr>
      <w:r w:rsidRPr="00BF00D2">
        <w:rPr>
          <w:noProof/>
          <w:sz w:val="20"/>
          <w:szCs w:val="20"/>
        </w:rPr>
        <w:t>*SL-1</w:t>
      </w:r>
      <w:r w:rsidR="001926FA" w:rsidRPr="00BF00D2">
        <w:rPr>
          <w:noProof/>
          <w:sz w:val="20"/>
          <w:szCs w:val="20"/>
        </w:rPr>
        <w:t xml:space="preserve">, </w:t>
      </w:r>
      <w:r w:rsidRPr="00BF00D2">
        <w:rPr>
          <w:noProof/>
          <w:sz w:val="20"/>
          <w:szCs w:val="20"/>
        </w:rPr>
        <w:t xml:space="preserve">**IAEA </w:t>
      </w:r>
      <w:r w:rsidR="001F22A6" w:rsidRPr="00BF00D2">
        <w:rPr>
          <w:noProof/>
          <w:sz w:val="20"/>
          <w:szCs w:val="20"/>
        </w:rPr>
        <w:t>–</w:t>
      </w:r>
      <w:r w:rsidRPr="00BF00D2">
        <w:rPr>
          <w:noProof/>
          <w:sz w:val="20"/>
          <w:szCs w:val="20"/>
        </w:rPr>
        <w:t xml:space="preserve"> 36</w:t>
      </w:r>
      <w:r w:rsidR="000F7E8C" w:rsidRPr="00BF00D2">
        <w:rPr>
          <w:noProof/>
          <w:sz w:val="20"/>
          <w:szCs w:val="20"/>
        </w:rPr>
        <w:t>8</w:t>
      </w:r>
    </w:p>
    <w:p w:rsidR="00D83AB7" w:rsidRPr="00BF00D2" w:rsidRDefault="00D83AB7" w:rsidP="00944704">
      <w:pPr>
        <w:rPr>
          <w:b/>
          <w:noProof/>
          <w:sz w:val="20"/>
          <w:szCs w:val="20"/>
        </w:rPr>
      </w:pPr>
    </w:p>
    <w:p w:rsidR="00875BAA" w:rsidRPr="00BF00D2" w:rsidRDefault="00875BAA" w:rsidP="000F7E8C">
      <w:pPr>
        <w:rPr>
          <w:i/>
          <w:noProof/>
          <w:sz w:val="20"/>
          <w:szCs w:val="20"/>
        </w:rPr>
      </w:pPr>
      <w:r w:rsidRPr="00BF00D2">
        <w:rPr>
          <w:i/>
          <w:noProof/>
          <w:sz w:val="20"/>
          <w:szCs w:val="20"/>
        </w:rPr>
        <w:t>Core Profiles</w:t>
      </w:r>
    </w:p>
    <w:p w:rsidR="009B51A1" w:rsidRPr="00BF00D2" w:rsidRDefault="00D20D8C" w:rsidP="000F7E8C">
      <w:pPr>
        <w:autoSpaceDE w:val="0"/>
        <w:autoSpaceDN w:val="0"/>
        <w:adjustRightInd w:val="0"/>
        <w:jc w:val="both"/>
        <w:rPr>
          <w:sz w:val="20"/>
          <w:szCs w:val="20"/>
        </w:rPr>
      </w:pPr>
      <w:r w:rsidRPr="00BF00D2">
        <w:rPr>
          <w:sz w:val="20"/>
          <w:szCs w:val="20"/>
        </w:rPr>
        <w:t>Vertical profile of Pb-210</w:t>
      </w:r>
      <w:r w:rsidRPr="00BF00D2">
        <w:rPr>
          <w:sz w:val="20"/>
          <w:szCs w:val="20"/>
          <w:vertAlign w:val="subscript"/>
        </w:rPr>
        <w:t>tot</w:t>
      </w:r>
      <w:r w:rsidRPr="00BF00D2">
        <w:rPr>
          <w:sz w:val="20"/>
          <w:szCs w:val="20"/>
        </w:rPr>
        <w:t xml:space="preserve"> activities in the sediment cores </w:t>
      </w:r>
      <w:r w:rsidR="007268F5" w:rsidRPr="00BF00D2">
        <w:rPr>
          <w:sz w:val="20"/>
          <w:szCs w:val="20"/>
        </w:rPr>
        <w:t>is shown</w:t>
      </w:r>
      <w:r w:rsidR="007B6123" w:rsidRPr="00BF00D2">
        <w:rPr>
          <w:sz w:val="20"/>
          <w:szCs w:val="20"/>
        </w:rPr>
        <w:t xml:space="preserve"> in the Figure 1</w:t>
      </w:r>
      <w:r w:rsidRPr="00BF00D2">
        <w:rPr>
          <w:sz w:val="20"/>
          <w:szCs w:val="20"/>
        </w:rPr>
        <w:t xml:space="preserve">. </w:t>
      </w:r>
      <w:r w:rsidR="009B51A1" w:rsidRPr="00BF00D2">
        <w:rPr>
          <w:sz w:val="20"/>
          <w:szCs w:val="20"/>
        </w:rPr>
        <w:t>Pb-210</w:t>
      </w:r>
      <w:r w:rsidR="009B51A1" w:rsidRPr="00BF00D2">
        <w:rPr>
          <w:sz w:val="20"/>
          <w:szCs w:val="20"/>
          <w:vertAlign w:val="subscript"/>
        </w:rPr>
        <w:t>tot</w:t>
      </w:r>
      <w:r w:rsidR="009B51A1" w:rsidRPr="00BF00D2">
        <w:rPr>
          <w:sz w:val="20"/>
          <w:szCs w:val="20"/>
        </w:rPr>
        <w:t xml:space="preserve"> activities versus depth for S1 showed exponentially</w:t>
      </w:r>
      <w:r w:rsidR="004554C9" w:rsidRPr="00BF00D2">
        <w:rPr>
          <w:sz w:val="20"/>
          <w:szCs w:val="20"/>
        </w:rPr>
        <w:t xml:space="preserve"> decline, with activity concentration </w:t>
      </w:r>
      <w:r w:rsidR="009B51A1" w:rsidRPr="00BF00D2">
        <w:rPr>
          <w:sz w:val="20"/>
          <w:szCs w:val="20"/>
        </w:rPr>
        <w:t>175.48 – 305.86 Bq kg</w:t>
      </w:r>
      <w:r w:rsidR="009B51A1" w:rsidRPr="00BF00D2">
        <w:rPr>
          <w:sz w:val="20"/>
          <w:szCs w:val="20"/>
          <w:vertAlign w:val="superscript"/>
        </w:rPr>
        <w:t>-1</w:t>
      </w:r>
      <w:r w:rsidR="009B51A1" w:rsidRPr="00BF00D2">
        <w:rPr>
          <w:sz w:val="20"/>
          <w:szCs w:val="20"/>
        </w:rPr>
        <w:t>. The Pb-210</w:t>
      </w:r>
      <w:r w:rsidR="009B51A1" w:rsidRPr="00BF00D2">
        <w:rPr>
          <w:sz w:val="20"/>
          <w:szCs w:val="20"/>
          <w:vertAlign w:val="subscript"/>
        </w:rPr>
        <w:t xml:space="preserve">exc </w:t>
      </w:r>
      <w:r w:rsidR="009B51A1" w:rsidRPr="00BF00D2">
        <w:rPr>
          <w:sz w:val="20"/>
          <w:szCs w:val="20"/>
        </w:rPr>
        <w:t>varies from 6.07 – 106.24 Bq kg</w:t>
      </w:r>
      <w:r w:rsidR="009B51A1" w:rsidRPr="00BF00D2">
        <w:rPr>
          <w:sz w:val="20"/>
          <w:szCs w:val="20"/>
          <w:vertAlign w:val="superscript"/>
        </w:rPr>
        <w:t>-1</w:t>
      </w:r>
      <w:r w:rsidR="009B51A1" w:rsidRPr="00BF00D2">
        <w:rPr>
          <w:sz w:val="20"/>
          <w:szCs w:val="20"/>
        </w:rPr>
        <w:t>. Pb-210</w:t>
      </w:r>
      <w:r w:rsidR="009B51A1" w:rsidRPr="00BF00D2">
        <w:rPr>
          <w:sz w:val="20"/>
          <w:szCs w:val="20"/>
          <w:vertAlign w:val="subscript"/>
        </w:rPr>
        <w:t>tot</w:t>
      </w:r>
      <w:r w:rsidR="009B51A1" w:rsidRPr="00BF00D2">
        <w:rPr>
          <w:sz w:val="20"/>
          <w:szCs w:val="20"/>
        </w:rPr>
        <w:t xml:space="preserve"> activity </w:t>
      </w:r>
      <w:r w:rsidR="004554C9" w:rsidRPr="00BF00D2">
        <w:rPr>
          <w:sz w:val="20"/>
          <w:szCs w:val="20"/>
        </w:rPr>
        <w:t xml:space="preserve">concentration </w:t>
      </w:r>
      <w:r w:rsidR="009B51A1" w:rsidRPr="00BF00D2">
        <w:rPr>
          <w:sz w:val="20"/>
          <w:szCs w:val="20"/>
        </w:rPr>
        <w:t>for S2 varies from 295.58 – 367.51 Bq kg</w:t>
      </w:r>
      <w:r w:rsidR="009B51A1" w:rsidRPr="00BF00D2">
        <w:rPr>
          <w:sz w:val="20"/>
          <w:szCs w:val="20"/>
          <w:vertAlign w:val="superscript"/>
        </w:rPr>
        <w:t xml:space="preserve">-1 </w:t>
      </w:r>
      <w:r w:rsidR="009B51A1" w:rsidRPr="00BF00D2">
        <w:rPr>
          <w:sz w:val="20"/>
          <w:szCs w:val="20"/>
        </w:rPr>
        <w:t>with depth. Pb-210</w:t>
      </w:r>
      <w:r w:rsidR="009B51A1" w:rsidRPr="00BF00D2">
        <w:rPr>
          <w:sz w:val="20"/>
          <w:szCs w:val="20"/>
          <w:vertAlign w:val="subscript"/>
        </w:rPr>
        <w:t>tot</w:t>
      </w:r>
      <w:r w:rsidR="009B51A1" w:rsidRPr="00BF00D2">
        <w:rPr>
          <w:sz w:val="20"/>
          <w:szCs w:val="20"/>
        </w:rPr>
        <w:t xml:space="preserve"> activities showed non linear decreased with the depth to a constant value. The Pb-210</w:t>
      </w:r>
      <w:r w:rsidR="009B51A1" w:rsidRPr="00BF00D2">
        <w:rPr>
          <w:sz w:val="20"/>
          <w:szCs w:val="20"/>
          <w:vertAlign w:val="subscript"/>
        </w:rPr>
        <w:t xml:space="preserve">exc </w:t>
      </w:r>
      <w:r w:rsidR="009B51A1" w:rsidRPr="00BF00D2">
        <w:rPr>
          <w:sz w:val="20"/>
          <w:szCs w:val="20"/>
        </w:rPr>
        <w:t>varies between 4.75 – 67.40 Bq kg</w:t>
      </w:r>
      <w:r w:rsidR="009B51A1" w:rsidRPr="00BF00D2">
        <w:rPr>
          <w:sz w:val="20"/>
          <w:szCs w:val="20"/>
          <w:vertAlign w:val="superscript"/>
        </w:rPr>
        <w:t>1</w:t>
      </w:r>
      <w:r w:rsidR="009B51A1" w:rsidRPr="00BF00D2">
        <w:rPr>
          <w:sz w:val="20"/>
          <w:szCs w:val="20"/>
        </w:rPr>
        <w:t xml:space="preserve">. </w:t>
      </w:r>
    </w:p>
    <w:p w:rsidR="002E77F9" w:rsidRPr="00BF00D2" w:rsidRDefault="002E77F9" w:rsidP="000F7E8C">
      <w:pPr>
        <w:autoSpaceDE w:val="0"/>
        <w:autoSpaceDN w:val="0"/>
        <w:adjustRightInd w:val="0"/>
        <w:jc w:val="both"/>
        <w:rPr>
          <w:rFonts w:eastAsia="Calibri"/>
          <w:sz w:val="20"/>
          <w:szCs w:val="20"/>
        </w:rPr>
      </w:pPr>
    </w:p>
    <w:p w:rsidR="002E77F9" w:rsidRPr="00BF00D2" w:rsidRDefault="002E77F9" w:rsidP="002E77F9">
      <w:pPr>
        <w:spacing w:line="480" w:lineRule="auto"/>
        <w:rPr>
          <w:noProof/>
        </w:rPr>
      </w:pPr>
      <w:r w:rsidRPr="00BF00D2">
        <w:rPr>
          <w:noProof/>
        </w:rPr>
        <w:t xml:space="preserve">       </w:t>
      </w:r>
      <w:r w:rsidR="00340080" w:rsidRPr="00BF00D2">
        <w:rPr>
          <w:noProof/>
          <w:sz w:val="20"/>
          <w:szCs w:val="20"/>
        </w:rPr>
        <w:drawing>
          <wp:inline distT="0" distB="0" distL="0" distR="0">
            <wp:extent cx="2071007" cy="1824355"/>
            <wp:effectExtent l="19050" t="0" r="24493" b="4445"/>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F00D2">
        <w:rPr>
          <w:noProof/>
        </w:rPr>
        <w:t xml:space="preserve">     </w:t>
      </w:r>
      <w:r w:rsidR="004554C9" w:rsidRPr="00BF00D2">
        <w:rPr>
          <w:noProof/>
        </w:rPr>
        <w:t xml:space="preserve"> </w:t>
      </w:r>
      <w:r w:rsidR="000F7E8C" w:rsidRPr="00BF00D2">
        <w:rPr>
          <w:noProof/>
        </w:rPr>
        <w:tab/>
      </w:r>
      <w:r w:rsidR="004554C9" w:rsidRPr="00BF00D2">
        <w:rPr>
          <w:noProof/>
        </w:rPr>
        <w:t xml:space="preserve">     </w:t>
      </w:r>
      <w:r w:rsidRPr="00BF00D2">
        <w:rPr>
          <w:noProof/>
        </w:rPr>
        <w:t xml:space="preserve">     </w:t>
      </w:r>
      <w:r w:rsidR="00380CF6" w:rsidRPr="00BF00D2">
        <w:rPr>
          <w:noProof/>
        </w:rPr>
        <w:t xml:space="preserve">    </w:t>
      </w:r>
      <w:r w:rsidRPr="00BF00D2">
        <w:rPr>
          <w:noProof/>
        </w:rPr>
        <w:t xml:space="preserve">  </w:t>
      </w:r>
      <w:r w:rsidR="00380CF6" w:rsidRPr="00BF00D2">
        <w:rPr>
          <w:noProof/>
        </w:rPr>
        <w:t xml:space="preserve">  </w:t>
      </w:r>
      <w:r w:rsidR="00340080" w:rsidRPr="00BF00D2">
        <w:rPr>
          <w:noProof/>
          <w:sz w:val="20"/>
          <w:szCs w:val="20"/>
        </w:rPr>
        <w:drawing>
          <wp:inline distT="0" distB="0" distL="0" distR="0">
            <wp:extent cx="2215670" cy="1823720"/>
            <wp:effectExtent l="19050" t="0" r="13180" b="508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77F9" w:rsidRPr="00BF00D2" w:rsidRDefault="002E77F9" w:rsidP="000F7E8C">
      <w:pPr>
        <w:spacing w:line="480" w:lineRule="auto"/>
        <w:jc w:val="center"/>
        <w:rPr>
          <w:noProof/>
          <w:sz w:val="18"/>
          <w:szCs w:val="18"/>
        </w:rPr>
      </w:pPr>
      <w:r w:rsidRPr="00BF00D2">
        <w:rPr>
          <w:noProof/>
          <w:sz w:val="18"/>
          <w:szCs w:val="18"/>
        </w:rPr>
        <w:t>Figure 1: Pb-210</w:t>
      </w:r>
      <w:r w:rsidR="00380CF6" w:rsidRPr="00BF00D2">
        <w:rPr>
          <w:noProof/>
          <w:sz w:val="18"/>
          <w:szCs w:val="18"/>
          <w:vertAlign w:val="subscript"/>
        </w:rPr>
        <w:t xml:space="preserve">tot </w:t>
      </w:r>
      <w:r w:rsidR="00380CF6" w:rsidRPr="00BF00D2">
        <w:rPr>
          <w:noProof/>
          <w:sz w:val="18"/>
          <w:szCs w:val="18"/>
        </w:rPr>
        <w:t xml:space="preserve">depth profiles </w:t>
      </w:r>
      <w:r w:rsidRPr="00BF00D2">
        <w:rPr>
          <w:noProof/>
          <w:sz w:val="18"/>
          <w:szCs w:val="18"/>
        </w:rPr>
        <w:t>in sediment cores</w:t>
      </w:r>
    </w:p>
    <w:p w:rsidR="00E25B0E" w:rsidRPr="00BF00D2" w:rsidRDefault="004C7074" w:rsidP="00BD3590">
      <w:pPr>
        <w:autoSpaceDE w:val="0"/>
        <w:autoSpaceDN w:val="0"/>
        <w:adjustRightInd w:val="0"/>
        <w:jc w:val="both"/>
        <w:rPr>
          <w:sz w:val="20"/>
          <w:szCs w:val="20"/>
        </w:rPr>
      </w:pPr>
      <w:r w:rsidRPr="00BF00D2">
        <w:rPr>
          <w:rFonts w:eastAsia="Calibri"/>
          <w:sz w:val="20"/>
          <w:szCs w:val="20"/>
        </w:rPr>
        <w:t>Pb-210</w:t>
      </w:r>
      <w:r w:rsidR="00FA551A" w:rsidRPr="00BF00D2">
        <w:rPr>
          <w:rFonts w:eastAsia="Calibri"/>
          <w:sz w:val="20"/>
          <w:szCs w:val="20"/>
          <w:vertAlign w:val="subscript"/>
        </w:rPr>
        <w:t>exc</w:t>
      </w:r>
      <w:r w:rsidRPr="00BF00D2">
        <w:rPr>
          <w:rFonts w:eastAsia="Calibri"/>
          <w:sz w:val="20"/>
          <w:szCs w:val="20"/>
        </w:rPr>
        <w:t xml:space="preserve"> inventory was calculated as a sum of Pb-210</w:t>
      </w:r>
      <w:r w:rsidRPr="00BF00D2">
        <w:rPr>
          <w:rFonts w:eastAsia="Calibri"/>
          <w:sz w:val="20"/>
          <w:szCs w:val="20"/>
          <w:vertAlign w:val="subscript"/>
        </w:rPr>
        <w:t>exc</w:t>
      </w:r>
      <w:r w:rsidRPr="00BF00D2">
        <w:rPr>
          <w:rFonts w:eastAsia="Calibri"/>
          <w:sz w:val="20"/>
          <w:szCs w:val="20"/>
        </w:rPr>
        <w:t xml:space="preserve"> at all </w:t>
      </w:r>
      <w:r w:rsidR="000F7E8C" w:rsidRPr="00BF00D2">
        <w:rPr>
          <w:rFonts w:eastAsia="Calibri"/>
          <w:sz w:val="20"/>
          <w:szCs w:val="20"/>
        </w:rPr>
        <w:t>depths [14]</w:t>
      </w:r>
      <w:r w:rsidRPr="00BF00D2">
        <w:rPr>
          <w:rFonts w:eastAsia="Calibri"/>
          <w:sz w:val="20"/>
          <w:szCs w:val="20"/>
        </w:rPr>
        <w:t xml:space="preserve">. </w:t>
      </w:r>
      <w:r w:rsidR="00C62113" w:rsidRPr="00BF00D2">
        <w:rPr>
          <w:rFonts w:eastAsia="Calibri"/>
          <w:sz w:val="20"/>
          <w:szCs w:val="20"/>
        </w:rPr>
        <w:t>Inventory of Pb-210</w:t>
      </w:r>
      <w:r w:rsidR="00C62113" w:rsidRPr="00BF00D2">
        <w:rPr>
          <w:rFonts w:eastAsia="Calibri"/>
          <w:sz w:val="20"/>
          <w:szCs w:val="20"/>
          <w:vertAlign w:val="subscript"/>
        </w:rPr>
        <w:t>exc</w:t>
      </w:r>
      <w:r w:rsidR="00C62113" w:rsidRPr="00BF00D2">
        <w:rPr>
          <w:rFonts w:eastAsia="Calibri"/>
          <w:sz w:val="20"/>
          <w:szCs w:val="20"/>
        </w:rPr>
        <w:t xml:space="preserve"> in the core of S1 and S2</w:t>
      </w:r>
      <w:r w:rsidR="00EF4AD2" w:rsidRPr="00BF00D2">
        <w:rPr>
          <w:rFonts w:eastAsia="Calibri"/>
          <w:sz w:val="20"/>
          <w:szCs w:val="20"/>
        </w:rPr>
        <w:t xml:space="preserve"> were estimated to be </w:t>
      </w:r>
      <w:r w:rsidR="00EF4AD2" w:rsidRPr="00BF00D2">
        <w:rPr>
          <w:sz w:val="20"/>
          <w:szCs w:val="20"/>
        </w:rPr>
        <w:t xml:space="preserve">16468 </w:t>
      </w:r>
      <w:r w:rsidR="00C62113" w:rsidRPr="00BF00D2">
        <w:rPr>
          <w:rFonts w:eastAsia="Calibri"/>
          <w:sz w:val="20"/>
          <w:szCs w:val="20"/>
        </w:rPr>
        <w:t>±</w:t>
      </w:r>
      <w:r w:rsidR="00334BC4" w:rsidRPr="00BF00D2">
        <w:rPr>
          <w:rFonts w:eastAsia="Calibri"/>
          <w:sz w:val="20"/>
          <w:szCs w:val="20"/>
        </w:rPr>
        <w:t xml:space="preserve"> </w:t>
      </w:r>
      <w:r w:rsidR="00380CF6" w:rsidRPr="00BF00D2">
        <w:rPr>
          <w:rFonts w:eastAsia="Calibri"/>
          <w:sz w:val="20"/>
          <w:szCs w:val="20"/>
        </w:rPr>
        <w:t xml:space="preserve">128 </w:t>
      </w:r>
      <w:r w:rsidR="00C62113" w:rsidRPr="00BF00D2">
        <w:rPr>
          <w:sz w:val="20"/>
          <w:szCs w:val="20"/>
        </w:rPr>
        <w:t>Bq m</w:t>
      </w:r>
      <w:r w:rsidR="00C62113" w:rsidRPr="00BF00D2">
        <w:rPr>
          <w:sz w:val="20"/>
          <w:szCs w:val="20"/>
          <w:vertAlign w:val="superscript"/>
        </w:rPr>
        <w:t>-2</w:t>
      </w:r>
      <w:r w:rsidR="00334BC4" w:rsidRPr="00BF00D2">
        <w:rPr>
          <w:sz w:val="20"/>
          <w:szCs w:val="20"/>
          <w:vertAlign w:val="superscript"/>
        </w:rPr>
        <w:t xml:space="preserve"> </w:t>
      </w:r>
      <w:r w:rsidR="00C62113" w:rsidRPr="00BF00D2">
        <w:rPr>
          <w:sz w:val="20"/>
          <w:szCs w:val="20"/>
        </w:rPr>
        <w:t xml:space="preserve">and </w:t>
      </w:r>
      <w:r w:rsidR="00F75E52" w:rsidRPr="00BF00D2">
        <w:rPr>
          <w:sz w:val="20"/>
          <w:szCs w:val="20"/>
        </w:rPr>
        <w:t>7547</w:t>
      </w:r>
      <w:r w:rsidR="00C62113" w:rsidRPr="00BF00D2">
        <w:rPr>
          <w:sz w:val="20"/>
          <w:szCs w:val="20"/>
          <w:vertAlign w:val="superscript"/>
        </w:rPr>
        <w:t xml:space="preserve"> </w:t>
      </w:r>
      <w:r w:rsidR="00C62113" w:rsidRPr="00BF00D2">
        <w:rPr>
          <w:rFonts w:eastAsia="Calibri"/>
          <w:sz w:val="20"/>
          <w:szCs w:val="20"/>
        </w:rPr>
        <w:t>±</w:t>
      </w:r>
      <w:r w:rsidR="009455EA" w:rsidRPr="00BF00D2">
        <w:rPr>
          <w:rFonts w:eastAsia="Calibri"/>
          <w:sz w:val="20"/>
          <w:szCs w:val="20"/>
        </w:rPr>
        <w:t xml:space="preserve"> </w:t>
      </w:r>
      <w:r w:rsidR="00334BC4" w:rsidRPr="00BF00D2">
        <w:rPr>
          <w:rFonts w:eastAsia="Calibri"/>
          <w:sz w:val="20"/>
          <w:szCs w:val="20"/>
        </w:rPr>
        <w:t xml:space="preserve">87 </w:t>
      </w:r>
      <w:r w:rsidR="00032E74" w:rsidRPr="00BF00D2">
        <w:rPr>
          <w:sz w:val="20"/>
          <w:szCs w:val="20"/>
        </w:rPr>
        <w:t>Bq</w:t>
      </w:r>
      <w:r w:rsidR="00EF46E5" w:rsidRPr="00BF00D2">
        <w:rPr>
          <w:sz w:val="20"/>
          <w:szCs w:val="20"/>
        </w:rPr>
        <w:t xml:space="preserve"> </w:t>
      </w:r>
      <w:r w:rsidR="00C62113" w:rsidRPr="00BF00D2">
        <w:rPr>
          <w:sz w:val="20"/>
          <w:szCs w:val="20"/>
        </w:rPr>
        <w:t>m</w:t>
      </w:r>
      <w:r w:rsidR="00584939" w:rsidRPr="00BF00D2">
        <w:rPr>
          <w:sz w:val="20"/>
          <w:szCs w:val="20"/>
          <w:vertAlign w:val="superscript"/>
        </w:rPr>
        <w:t xml:space="preserve">-2 </w:t>
      </w:r>
      <w:r w:rsidR="00334BC4" w:rsidRPr="00BF00D2">
        <w:rPr>
          <w:sz w:val="20"/>
          <w:szCs w:val="20"/>
        </w:rPr>
        <w:t xml:space="preserve">is shown in </w:t>
      </w:r>
      <w:r w:rsidR="0053301A" w:rsidRPr="00BF00D2">
        <w:rPr>
          <w:sz w:val="20"/>
          <w:szCs w:val="20"/>
        </w:rPr>
        <w:t>Table 3</w:t>
      </w:r>
      <w:r w:rsidR="00C62113" w:rsidRPr="00BF00D2">
        <w:rPr>
          <w:rFonts w:eastAsia="Calibri"/>
          <w:sz w:val="20"/>
          <w:szCs w:val="20"/>
        </w:rPr>
        <w:t xml:space="preserve">. </w:t>
      </w:r>
      <w:r w:rsidR="003536AC" w:rsidRPr="00BF00D2">
        <w:rPr>
          <w:rFonts w:eastAsia="Calibri"/>
          <w:sz w:val="20"/>
          <w:szCs w:val="20"/>
        </w:rPr>
        <w:t xml:space="preserve">High </w:t>
      </w:r>
      <w:r w:rsidR="002053CB" w:rsidRPr="00BF00D2">
        <w:rPr>
          <w:rFonts w:eastAsia="Calibri"/>
          <w:sz w:val="20"/>
          <w:szCs w:val="20"/>
        </w:rPr>
        <w:t xml:space="preserve">inventory of </w:t>
      </w:r>
      <w:r w:rsidR="003536AC" w:rsidRPr="00BF00D2">
        <w:rPr>
          <w:rFonts w:eastAsia="Calibri"/>
          <w:sz w:val="20"/>
          <w:szCs w:val="20"/>
        </w:rPr>
        <w:t>Pb-210</w:t>
      </w:r>
      <w:r w:rsidR="003536AC" w:rsidRPr="00BF00D2">
        <w:rPr>
          <w:rFonts w:eastAsia="Calibri"/>
          <w:sz w:val="20"/>
          <w:szCs w:val="20"/>
          <w:vertAlign w:val="subscript"/>
        </w:rPr>
        <w:t>exc</w:t>
      </w:r>
      <w:r w:rsidR="003536AC" w:rsidRPr="00BF00D2">
        <w:rPr>
          <w:rFonts w:eastAsia="Calibri"/>
          <w:sz w:val="20"/>
          <w:szCs w:val="20"/>
        </w:rPr>
        <w:t xml:space="preserve"> at location </w:t>
      </w:r>
      <w:r w:rsidR="002053CB" w:rsidRPr="00BF00D2">
        <w:rPr>
          <w:rFonts w:eastAsia="Calibri"/>
          <w:sz w:val="20"/>
          <w:szCs w:val="20"/>
        </w:rPr>
        <w:t>S</w:t>
      </w:r>
      <w:r w:rsidR="00334BC4" w:rsidRPr="00BF00D2">
        <w:rPr>
          <w:rFonts w:eastAsia="Calibri"/>
          <w:sz w:val="20"/>
          <w:szCs w:val="20"/>
        </w:rPr>
        <w:t xml:space="preserve">1 might be attributed to </w:t>
      </w:r>
      <w:r w:rsidR="008C659E" w:rsidRPr="00BF00D2">
        <w:rPr>
          <w:rFonts w:eastAsia="Calibri"/>
          <w:sz w:val="20"/>
          <w:szCs w:val="20"/>
        </w:rPr>
        <w:t>high deposition of</w:t>
      </w:r>
      <w:r w:rsidR="003536AC" w:rsidRPr="00BF00D2">
        <w:rPr>
          <w:rFonts w:eastAsia="Calibri"/>
          <w:sz w:val="20"/>
          <w:szCs w:val="20"/>
        </w:rPr>
        <w:t xml:space="preserve"> materials and acted as pathway movement of sedim</w:t>
      </w:r>
      <w:r w:rsidR="00334BC4" w:rsidRPr="00BF00D2">
        <w:rPr>
          <w:rFonts w:eastAsia="Calibri"/>
          <w:sz w:val="20"/>
          <w:szCs w:val="20"/>
        </w:rPr>
        <w:t>entary m</w:t>
      </w:r>
      <w:r w:rsidR="00383536" w:rsidRPr="00BF00D2">
        <w:rPr>
          <w:rFonts w:eastAsia="Calibri"/>
          <w:sz w:val="20"/>
          <w:szCs w:val="20"/>
        </w:rPr>
        <w:t>aterial [</w:t>
      </w:r>
      <w:r w:rsidR="00331ADF" w:rsidRPr="00BF00D2">
        <w:rPr>
          <w:rFonts w:eastAsia="Calibri"/>
          <w:sz w:val="20"/>
          <w:szCs w:val="20"/>
        </w:rPr>
        <w:t>1</w:t>
      </w:r>
      <w:r w:rsidR="00383536" w:rsidRPr="00BF00D2">
        <w:rPr>
          <w:rFonts w:eastAsia="Calibri"/>
          <w:sz w:val="20"/>
          <w:szCs w:val="20"/>
        </w:rPr>
        <w:t>]</w:t>
      </w:r>
      <w:r w:rsidR="003536AC" w:rsidRPr="00BF00D2">
        <w:rPr>
          <w:rFonts w:eastAsia="Calibri"/>
          <w:sz w:val="20"/>
          <w:szCs w:val="20"/>
        </w:rPr>
        <w:t>.</w:t>
      </w:r>
      <w:r w:rsidR="00334BC4" w:rsidRPr="00BF00D2">
        <w:rPr>
          <w:rFonts w:eastAsia="Calibri"/>
          <w:sz w:val="20"/>
          <w:szCs w:val="20"/>
        </w:rPr>
        <w:t xml:space="preserve"> Pb-210</w:t>
      </w:r>
      <w:r w:rsidR="00334BC4" w:rsidRPr="00BF00D2">
        <w:rPr>
          <w:rFonts w:eastAsia="Calibri"/>
          <w:sz w:val="20"/>
          <w:szCs w:val="20"/>
          <w:vertAlign w:val="subscript"/>
        </w:rPr>
        <w:t xml:space="preserve">exc </w:t>
      </w:r>
      <w:r w:rsidR="00334BC4" w:rsidRPr="00BF00D2">
        <w:rPr>
          <w:rFonts w:eastAsia="Calibri"/>
          <w:sz w:val="20"/>
          <w:szCs w:val="20"/>
        </w:rPr>
        <w:t>inventory from atmospheric input alone is ca. 3000 – 4000 Bq m</w:t>
      </w:r>
      <w:r w:rsidR="00334BC4" w:rsidRPr="00BF00D2">
        <w:rPr>
          <w:rFonts w:eastAsia="Calibri"/>
          <w:sz w:val="20"/>
          <w:szCs w:val="20"/>
          <w:vertAlign w:val="superscript"/>
        </w:rPr>
        <w:t>-2</w:t>
      </w:r>
      <w:r w:rsidR="00334BC4" w:rsidRPr="00BF00D2">
        <w:rPr>
          <w:rFonts w:eastAsia="Calibri"/>
          <w:sz w:val="20"/>
          <w:szCs w:val="20"/>
        </w:rPr>
        <w:t xml:space="preserve"> </w:t>
      </w:r>
      <w:r w:rsidR="00FE62EA" w:rsidRPr="00BF00D2">
        <w:rPr>
          <w:rFonts w:eastAsia="Calibri"/>
          <w:sz w:val="20"/>
          <w:szCs w:val="20"/>
        </w:rPr>
        <w:t>[</w:t>
      </w:r>
      <w:r w:rsidR="00331ADF" w:rsidRPr="00BF00D2">
        <w:rPr>
          <w:rFonts w:eastAsia="Calibri"/>
          <w:sz w:val="20"/>
          <w:szCs w:val="20"/>
        </w:rPr>
        <w:t>11</w:t>
      </w:r>
      <w:r w:rsidR="00383536" w:rsidRPr="00BF00D2">
        <w:rPr>
          <w:rFonts w:eastAsia="Calibri"/>
          <w:sz w:val="20"/>
          <w:szCs w:val="20"/>
        </w:rPr>
        <w:t>]</w:t>
      </w:r>
      <w:r w:rsidR="00BD3590" w:rsidRPr="00BF00D2">
        <w:rPr>
          <w:rFonts w:eastAsia="Calibri"/>
          <w:sz w:val="20"/>
          <w:szCs w:val="20"/>
        </w:rPr>
        <w:t xml:space="preserve">. </w:t>
      </w:r>
      <w:r w:rsidR="00E25B0E" w:rsidRPr="00BF00D2">
        <w:rPr>
          <w:sz w:val="20"/>
          <w:szCs w:val="20"/>
        </w:rPr>
        <w:t>There is no evidence of global atmospheric fallout due to atmospheric weapon</w:t>
      </w:r>
      <w:r w:rsidR="00334BC4" w:rsidRPr="00BF00D2">
        <w:rPr>
          <w:sz w:val="20"/>
          <w:szCs w:val="20"/>
        </w:rPr>
        <w:t xml:space="preserve"> testing reached</w:t>
      </w:r>
      <w:r w:rsidR="00E25B0E" w:rsidRPr="00BF00D2">
        <w:rPr>
          <w:sz w:val="20"/>
          <w:szCs w:val="20"/>
        </w:rPr>
        <w:t xml:space="preserve"> Southeast Asia region </w:t>
      </w:r>
      <w:r w:rsidR="00383536" w:rsidRPr="00BF00D2">
        <w:rPr>
          <w:sz w:val="20"/>
          <w:szCs w:val="20"/>
        </w:rPr>
        <w:t>[</w:t>
      </w:r>
      <w:r w:rsidR="00421531" w:rsidRPr="00BF00D2">
        <w:rPr>
          <w:sz w:val="20"/>
          <w:szCs w:val="20"/>
        </w:rPr>
        <w:t>12</w:t>
      </w:r>
      <w:r w:rsidR="00383536" w:rsidRPr="00BF00D2">
        <w:rPr>
          <w:sz w:val="20"/>
          <w:szCs w:val="20"/>
        </w:rPr>
        <w:t>]</w:t>
      </w:r>
      <w:r w:rsidR="00E25B0E" w:rsidRPr="00BF00D2">
        <w:rPr>
          <w:sz w:val="20"/>
          <w:szCs w:val="20"/>
        </w:rPr>
        <w:t xml:space="preserve">. </w:t>
      </w:r>
      <w:r w:rsidR="00334BC4" w:rsidRPr="00BF00D2">
        <w:rPr>
          <w:sz w:val="20"/>
          <w:szCs w:val="20"/>
        </w:rPr>
        <w:t>Therefore, besides atmospheric input, the Pb-210 inve</w:t>
      </w:r>
      <w:r w:rsidR="00FA20FD" w:rsidRPr="00BF00D2">
        <w:rPr>
          <w:sz w:val="20"/>
          <w:szCs w:val="20"/>
        </w:rPr>
        <w:t>ntory may be due to surface run–</w:t>
      </w:r>
      <w:r w:rsidR="00334BC4" w:rsidRPr="00BF00D2">
        <w:rPr>
          <w:sz w:val="20"/>
          <w:szCs w:val="20"/>
        </w:rPr>
        <w:t>off.</w:t>
      </w:r>
    </w:p>
    <w:p w:rsidR="00EF46E5" w:rsidRPr="00BF00D2" w:rsidRDefault="00EF46E5" w:rsidP="00BD3590">
      <w:pPr>
        <w:autoSpaceDE w:val="0"/>
        <w:autoSpaceDN w:val="0"/>
        <w:adjustRightInd w:val="0"/>
        <w:jc w:val="both"/>
        <w:rPr>
          <w:rFonts w:eastAsia="Calibri"/>
          <w:sz w:val="20"/>
          <w:szCs w:val="20"/>
        </w:rPr>
      </w:pPr>
    </w:p>
    <w:p w:rsidR="001926FA" w:rsidRPr="00BF00D2" w:rsidRDefault="001926FA" w:rsidP="00BD3590">
      <w:pPr>
        <w:autoSpaceDE w:val="0"/>
        <w:autoSpaceDN w:val="0"/>
        <w:adjustRightInd w:val="0"/>
        <w:jc w:val="both"/>
        <w:rPr>
          <w:rFonts w:eastAsia="Calibri"/>
          <w:sz w:val="20"/>
          <w:szCs w:val="20"/>
        </w:rPr>
      </w:pPr>
    </w:p>
    <w:p w:rsidR="002E77F9" w:rsidRPr="00BF00D2" w:rsidRDefault="002E77F9" w:rsidP="00BD3590">
      <w:pPr>
        <w:autoSpaceDE w:val="0"/>
        <w:autoSpaceDN w:val="0"/>
        <w:adjustRightInd w:val="0"/>
        <w:jc w:val="center"/>
        <w:rPr>
          <w:sz w:val="18"/>
          <w:szCs w:val="18"/>
        </w:rPr>
      </w:pPr>
      <w:r w:rsidRPr="00BF00D2">
        <w:rPr>
          <w:sz w:val="18"/>
          <w:szCs w:val="18"/>
        </w:rPr>
        <w:t>Table 3: Pb-210</w:t>
      </w:r>
      <w:r w:rsidRPr="00BF00D2">
        <w:rPr>
          <w:sz w:val="18"/>
          <w:szCs w:val="18"/>
          <w:vertAlign w:val="subscript"/>
        </w:rPr>
        <w:t>exc</w:t>
      </w:r>
      <w:r w:rsidR="00006E1C" w:rsidRPr="00BF00D2">
        <w:rPr>
          <w:sz w:val="18"/>
          <w:szCs w:val="18"/>
        </w:rPr>
        <w:t xml:space="preserve"> inventory, </w:t>
      </w:r>
      <w:r w:rsidRPr="00BF00D2">
        <w:rPr>
          <w:sz w:val="18"/>
          <w:szCs w:val="18"/>
        </w:rPr>
        <w:t xml:space="preserve">sedimentation rate </w:t>
      </w:r>
      <w:r w:rsidR="00006E1C" w:rsidRPr="00BF00D2">
        <w:rPr>
          <w:sz w:val="18"/>
          <w:szCs w:val="18"/>
        </w:rPr>
        <w:t xml:space="preserve">and flux </w:t>
      </w:r>
      <w:r w:rsidRPr="00BF00D2">
        <w:rPr>
          <w:sz w:val="18"/>
          <w:szCs w:val="18"/>
        </w:rPr>
        <w:t xml:space="preserve">in sediment </w:t>
      </w:r>
      <w:r w:rsidR="00F07AAB" w:rsidRPr="00BF00D2">
        <w:rPr>
          <w:sz w:val="18"/>
          <w:szCs w:val="18"/>
        </w:rPr>
        <w:t>cores</w:t>
      </w:r>
    </w:p>
    <w:tbl>
      <w:tblPr>
        <w:tblW w:w="0" w:type="auto"/>
        <w:jc w:val="center"/>
        <w:tblInd w:w="743" w:type="dxa"/>
        <w:tblBorders>
          <w:top w:val="single" w:sz="8" w:space="0" w:color="000000"/>
          <w:bottom w:val="single" w:sz="8" w:space="0" w:color="000000"/>
        </w:tblBorders>
        <w:tblLook w:val="05A0"/>
      </w:tblPr>
      <w:tblGrid>
        <w:gridCol w:w="1578"/>
        <w:gridCol w:w="2384"/>
        <w:gridCol w:w="2160"/>
        <w:gridCol w:w="1980"/>
      </w:tblGrid>
      <w:tr w:rsidR="00006E1C" w:rsidRPr="00BF00D2" w:rsidTr="007205CE">
        <w:trPr>
          <w:jc w:val="center"/>
        </w:trPr>
        <w:tc>
          <w:tcPr>
            <w:tcW w:w="1578" w:type="dxa"/>
            <w:tcBorders>
              <w:top w:val="single" w:sz="8" w:space="0" w:color="000000"/>
              <w:left w:val="nil"/>
              <w:bottom w:val="single" w:sz="8" w:space="0" w:color="000000"/>
              <w:right w:val="nil"/>
            </w:tcBorders>
          </w:tcPr>
          <w:p w:rsidR="00006E1C" w:rsidRPr="00BF00D2" w:rsidRDefault="00006E1C" w:rsidP="007205CE">
            <w:pPr>
              <w:spacing w:line="360" w:lineRule="auto"/>
              <w:jc w:val="center"/>
              <w:rPr>
                <w:b/>
                <w:bCs/>
                <w:noProof/>
                <w:sz w:val="20"/>
                <w:szCs w:val="20"/>
              </w:rPr>
            </w:pPr>
            <w:r w:rsidRPr="00BF00D2">
              <w:rPr>
                <w:b/>
                <w:bCs/>
                <w:noProof/>
                <w:sz w:val="20"/>
                <w:szCs w:val="20"/>
              </w:rPr>
              <w:t>Location</w:t>
            </w:r>
          </w:p>
        </w:tc>
        <w:tc>
          <w:tcPr>
            <w:tcW w:w="2384" w:type="dxa"/>
            <w:tcBorders>
              <w:top w:val="single" w:sz="8" w:space="0" w:color="000000"/>
              <w:left w:val="nil"/>
              <w:bottom w:val="single" w:sz="8" w:space="0" w:color="000000"/>
              <w:right w:val="nil"/>
            </w:tcBorders>
          </w:tcPr>
          <w:p w:rsidR="00006E1C" w:rsidRPr="00BF00D2" w:rsidRDefault="00006E1C" w:rsidP="007205CE">
            <w:pPr>
              <w:spacing w:line="360" w:lineRule="auto"/>
              <w:jc w:val="center"/>
              <w:rPr>
                <w:b/>
                <w:bCs/>
                <w:sz w:val="20"/>
                <w:szCs w:val="20"/>
              </w:rPr>
            </w:pPr>
            <w:r w:rsidRPr="00BF00D2">
              <w:rPr>
                <w:b/>
                <w:bCs/>
                <w:sz w:val="20"/>
                <w:szCs w:val="20"/>
              </w:rPr>
              <w:t>Pb-210</w:t>
            </w:r>
            <w:r w:rsidRPr="00BF00D2">
              <w:rPr>
                <w:b/>
                <w:bCs/>
                <w:sz w:val="20"/>
                <w:szCs w:val="20"/>
                <w:vertAlign w:val="subscript"/>
              </w:rPr>
              <w:t>exc</w:t>
            </w:r>
            <w:r w:rsidRPr="00BF00D2">
              <w:rPr>
                <w:b/>
                <w:bCs/>
                <w:sz w:val="20"/>
                <w:szCs w:val="20"/>
              </w:rPr>
              <w:t xml:space="preserve"> Inventory</w:t>
            </w:r>
          </w:p>
          <w:p w:rsidR="00006E1C" w:rsidRPr="00BF00D2" w:rsidRDefault="00006E1C" w:rsidP="007205CE">
            <w:pPr>
              <w:spacing w:line="360" w:lineRule="auto"/>
              <w:jc w:val="center"/>
              <w:rPr>
                <w:b/>
                <w:bCs/>
                <w:noProof/>
                <w:sz w:val="20"/>
                <w:szCs w:val="20"/>
              </w:rPr>
            </w:pPr>
            <w:r w:rsidRPr="00BF00D2">
              <w:rPr>
                <w:rFonts w:eastAsia="Calibri"/>
                <w:b/>
                <w:bCs/>
                <w:sz w:val="20"/>
                <w:szCs w:val="20"/>
              </w:rPr>
              <w:t>(Bq m</w:t>
            </w:r>
            <w:r w:rsidRPr="00BF00D2">
              <w:rPr>
                <w:rFonts w:eastAsia="Calibri"/>
                <w:b/>
                <w:bCs/>
                <w:sz w:val="20"/>
                <w:szCs w:val="20"/>
                <w:vertAlign w:val="superscript"/>
              </w:rPr>
              <w:t>-2</w:t>
            </w:r>
            <w:r w:rsidRPr="00BF00D2">
              <w:rPr>
                <w:rFonts w:eastAsia="Calibri"/>
                <w:b/>
                <w:bCs/>
                <w:sz w:val="20"/>
                <w:szCs w:val="20"/>
              </w:rPr>
              <w:t>)</w:t>
            </w:r>
          </w:p>
        </w:tc>
        <w:tc>
          <w:tcPr>
            <w:tcW w:w="2160" w:type="dxa"/>
            <w:tcBorders>
              <w:top w:val="single" w:sz="8" w:space="0" w:color="000000"/>
              <w:left w:val="nil"/>
              <w:bottom w:val="single" w:sz="8" w:space="0" w:color="000000"/>
              <w:right w:val="nil"/>
            </w:tcBorders>
          </w:tcPr>
          <w:p w:rsidR="00006E1C" w:rsidRPr="00BF00D2" w:rsidRDefault="00006E1C" w:rsidP="007205CE">
            <w:pPr>
              <w:spacing w:line="360" w:lineRule="auto"/>
              <w:jc w:val="center"/>
              <w:rPr>
                <w:b/>
                <w:bCs/>
                <w:sz w:val="20"/>
                <w:szCs w:val="20"/>
              </w:rPr>
            </w:pPr>
            <w:r w:rsidRPr="00BF00D2">
              <w:rPr>
                <w:b/>
                <w:bCs/>
                <w:sz w:val="20"/>
                <w:szCs w:val="20"/>
              </w:rPr>
              <w:t>Sedimentation rate</w:t>
            </w:r>
          </w:p>
          <w:p w:rsidR="00006E1C" w:rsidRPr="00BF00D2" w:rsidRDefault="00006E1C" w:rsidP="007205CE">
            <w:pPr>
              <w:spacing w:line="360" w:lineRule="auto"/>
              <w:jc w:val="center"/>
              <w:rPr>
                <w:b/>
                <w:bCs/>
                <w:noProof/>
                <w:sz w:val="20"/>
                <w:szCs w:val="20"/>
              </w:rPr>
            </w:pPr>
            <w:r w:rsidRPr="00BF00D2">
              <w:rPr>
                <w:b/>
                <w:bCs/>
                <w:sz w:val="20"/>
                <w:szCs w:val="20"/>
              </w:rPr>
              <w:t>(cm y</w:t>
            </w:r>
            <w:r w:rsidRPr="00BF00D2">
              <w:rPr>
                <w:b/>
                <w:bCs/>
                <w:sz w:val="20"/>
                <w:szCs w:val="20"/>
                <w:vertAlign w:val="superscript"/>
              </w:rPr>
              <w:t>-1</w:t>
            </w:r>
            <w:r w:rsidRPr="00BF00D2">
              <w:rPr>
                <w:b/>
                <w:bCs/>
                <w:sz w:val="20"/>
                <w:szCs w:val="20"/>
              </w:rPr>
              <w:t>)</w:t>
            </w:r>
          </w:p>
        </w:tc>
        <w:tc>
          <w:tcPr>
            <w:tcW w:w="1980" w:type="dxa"/>
            <w:tcBorders>
              <w:top w:val="single" w:sz="8" w:space="0" w:color="000000"/>
              <w:left w:val="nil"/>
              <w:bottom w:val="single" w:sz="8" w:space="0" w:color="000000"/>
              <w:right w:val="nil"/>
            </w:tcBorders>
          </w:tcPr>
          <w:p w:rsidR="00006E1C" w:rsidRPr="00BF00D2" w:rsidRDefault="00006E1C" w:rsidP="007205CE">
            <w:pPr>
              <w:spacing w:line="360" w:lineRule="auto"/>
              <w:jc w:val="center"/>
              <w:rPr>
                <w:b/>
                <w:bCs/>
                <w:sz w:val="20"/>
                <w:szCs w:val="20"/>
              </w:rPr>
            </w:pPr>
            <w:r w:rsidRPr="00BF00D2">
              <w:rPr>
                <w:b/>
                <w:bCs/>
                <w:sz w:val="20"/>
                <w:szCs w:val="20"/>
              </w:rPr>
              <w:t xml:space="preserve">Flux </w:t>
            </w:r>
          </w:p>
          <w:p w:rsidR="00006E1C" w:rsidRPr="00BF00D2" w:rsidRDefault="00006E1C" w:rsidP="007205CE">
            <w:pPr>
              <w:spacing w:line="360" w:lineRule="auto"/>
              <w:jc w:val="center"/>
              <w:rPr>
                <w:b/>
                <w:bCs/>
                <w:sz w:val="20"/>
                <w:szCs w:val="20"/>
              </w:rPr>
            </w:pPr>
            <w:r w:rsidRPr="00BF00D2">
              <w:rPr>
                <w:b/>
                <w:bCs/>
                <w:sz w:val="20"/>
                <w:szCs w:val="20"/>
              </w:rPr>
              <w:t>(</w:t>
            </w:r>
            <w:r w:rsidRPr="00BF00D2">
              <w:rPr>
                <w:b/>
                <w:sz w:val="20"/>
                <w:szCs w:val="20"/>
              </w:rPr>
              <w:t>dpm cm</w:t>
            </w:r>
            <w:r w:rsidRPr="00BF00D2">
              <w:rPr>
                <w:b/>
                <w:sz w:val="20"/>
                <w:szCs w:val="20"/>
                <w:vertAlign w:val="superscript"/>
              </w:rPr>
              <w:t>-2</w:t>
            </w:r>
            <w:r w:rsidRPr="00BF00D2">
              <w:rPr>
                <w:b/>
                <w:sz w:val="20"/>
                <w:szCs w:val="20"/>
              </w:rPr>
              <w:t xml:space="preserve"> y</w:t>
            </w:r>
            <w:r w:rsidRPr="00BF00D2">
              <w:rPr>
                <w:b/>
                <w:sz w:val="20"/>
                <w:szCs w:val="20"/>
                <w:vertAlign w:val="superscript"/>
              </w:rPr>
              <w:t>-1</w:t>
            </w:r>
            <w:r w:rsidRPr="00BF00D2">
              <w:rPr>
                <w:b/>
                <w:sz w:val="20"/>
                <w:szCs w:val="20"/>
              </w:rPr>
              <w:t>)</w:t>
            </w:r>
          </w:p>
        </w:tc>
      </w:tr>
      <w:tr w:rsidR="00006E1C" w:rsidRPr="00BF00D2" w:rsidTr="007205CE">
        <w:trPr>
          <w:jc w:val="center"/>
        </w:trPr>
        <w:tc>
          <w:tcPr>
            <w:tcW w:w="1578" w:type="dxa"/>
            <w:tcBorders>
              <w:left w:val="nil"/>
              <w:right w:val="nil"/>
            </w:tcBorders>
            <w:shd w:val="clear" w:color="auto" w:fill="auto"/>
          </w:tcPr>
          <w:p w:rsidR="00006E1C" w:rsidRPr="00BF00D2" w:rsidRDefault="00006E1C" w:rsidP="007205CE">
            <w:pPr>
              <w:spacing w:line="360" w:lineRule="auto"/>
              <w:jc w:val="center"/>
              <w:rPr>
                <w:bCs/>
                <w:noProof/>
                <w:sz w:val="20"/>
                <w:szCs w:val="20"/>
              </w:rPr>
            </w:pPr>
            <w:r w:rsidRPr="00BF00D2">
              <w:rPr>
                <w:bCs/>
                <w:noProof/>
                <w:sz w:val="20"/>
                <w:szCs w:val="20"/>
              </w:rPr>
              <w:t>S1</w:t>
            </w:r>
          </w:p>
        </w:tc>
        <w:tc>
          <w:tcPr>
            <w:tcW w:w="2384" w:type="dxa"/>
            <w:tcBorders>
              <w:left w:val="nil"/>
              <w:right w:val="nil"/>
            </w:tcBorders>
            <w:shd w:val="clear" w:color="auto" w:fill="auto"/>
          </w:tcPr>
          <w:p w:rsidR="00006E1C" w:rsidRPr="00BF00D2" w:rsidRDefault="00006E1C" w:rsidP="007205CE">
            <w:pPr>
              <w:spacing w:line="360" w:lineRule="auto"/>
              <w:jc w:val="center"/>
              <w:rPr>
                <w:noProof/>
                <w:sz w:val="20"/>
                <w:szCs w:val="20"/>
              </w:rPr>
            </w:pPr>
            <w:r w:rsidRPr="00BF00D2">
              <w:rPr>
                <w:rFonts w:eastAsia="Calibri"/>
                <w:sz w:val="20"/>
                <w:szCs w:val="20"/>
              </w:rPr>
              <w:t>16468 ± 128</w:t>
            </w:r>
          </w:p>
        </w:tc>
        <w:tc>
          <w:tcPr>
            <w:tcW w:w="2160" w:type="dxa"/>
            <w:tcBorders>
              <w:left w:val="nil"/>
              <w:right w:val="nil"/>
            </w:tcBorders>
            <w:shd w:val="clear" w:color="auto" w:fill="auto"/>
          </w:tcPr>
          <w:p w:rsidR="00006E1C" w:rsidRPr="00BF00D2" w:rsidRDefault="00006E1C" w:rsidP="007205CE">
            <w:pPr>
              <w:spacing w:line="360" w:lineRule="auto"/>
              <w:jc w:val="center"/>
              <w:rPr>
                <w:sz w:val="20"/>
                <w:szCs w:val="20"/>
              </w:rPr>
            </w:pPr>
            <w:r w:rsidRPr="00BF00D2">
              <w:rPr>
                <w:sz w:val="20"/>
                <w:szCs w:val="20"/>
              </w:rPr>
              <w:t>0.21 – 0.57</w:t>
            </w:r>
          </w:p>
        </w:tc>
        <w:tc>
          <w:tcPr>
            <w:tcW w:w="1980" w:type="dxa"/>
            <w:tcBorders>
              <w:left w:val="nil"/>
              <w:right w:val="nil"/>
            </w:tcBorders>
          </w:tcPr>
          <w:p w:rsidR="00006E1C" w:rsidRPr="00BF00D2" w:rsidRDefault="00006E1C" w:rsidP="007205CE">
            <w:pPr>
              <w:spacing w:line="360" w:lineRule="auto"/>
              <w:jc w:val="center"/>
              <w:rPr>
                <w:sz w:val="20"/>
                <w:szCs w:val="20"/>
              </w:rPr>
            </w:pPr>
            <w:r w:rsidRPr="00BF00D2">
              <w:rPr>
                <w:sz w:val="20"/>
                <w:szCs w:val="20"/>
              </w:rPr>
              <w:t>0.25</w:t>
            </w:r>
          </w:p>
        </w:tc>
      </w:tr>
      <w:tr w:rsidR="00006E1C" w:rsidRPr="00BF00D2" w:rsidTr="007205CE">
        <w:trPr>
          <w:jc w:val="center"/>
        </w:trPr>
        <w:tc>
          <w:tcPr>
            <w:tcW w:w="1578" w:type="dxa"/>
            <w:shd w:val="clear" w:color="auto" w:fill="auto"/>
          </w:tcPr>
          <w:p w:rsidR="00006E1C" w:rsidRPr="00BF00D2" w:rsidRDefault="00006E1C" w:rsidP="007205CE">
            <w:pPr>
              <w:spacing w:line="360" w:lineRule="auto"/>
              <w:jc w:val="center"/>
              <w:rPr>
                <w:bCs/>
                <w:noProof/>
                <w:sz w:val="20"/>
                <w:szCs w:val="20"/>
              </w:rPr>
            </w:pPr>
            <w:r w:rsidRPr="00BF00D2">
              <w:rPr>
                <w:bCs/>
                <w:noProof/>
                <w:sz w:val="20"/>
                <w:szCs w:val="20"/>
              </w:rPr>
              <w:t>S2</w:t>
            </w:r>
          </w:p>
        </w:tc>
        <w:tc>
          <w:tcPr>
            <w:tcW w:w="2384" w:type="dxa"/>
            <w:shd w:val="clear" w:color="auto" w:fill="auto"/>
          </w:tcPr>
          <w:p w:rsidR="00006E1C" w:rsidRPr="00BF00D2" w:rsidRDefault="00006E1C" w:rsidP="007205CE">
            <w:pPr>
              <w:spacing w:line="360" w:lineRule="auto"/>
              <w:jc w:val="center"/>
              <w:rPr>
                <w:rFonts w:eastAsia="Calibri"/>
                <w:sz w:val="20"/>
                <w:szCs w:val="20"/>
              </w:rPr>
            </w:pPr>
            <w:r w:rsidRPr="00BF00D2">
              <w:rPr>
                <w:sz w:val="20"/>
                <w:szCs w:val="20"/>
              </w:rPr>
              <w:t xml:space="preserve">7547 </w:t>
            </w:r>
            <w:r w:rsidRPr="00BF00D2">
              <w:rPr>
                <w:sz w:val="20"/>
                <w:szCs w:val="20"/>
                <w:vertAlign w:val="superscript"/>
              </w:rPr>
              <w:t xml:space="preserve"> </w:t>
            </w:r>
            <w:r w:rsidRPr="00BF00D2">
              <w:rPr>
                <w:rFonts w:eastAsia="Calibri"/>
                <w:sz w:val="20"/>
                <w:szCs w:val="20"/>
              </w:rPr>
              <w:t>± 87</w:t>
            </w:r>
          </w:p>
        </w:tc>
        <w:tc>
          <w:tcPr>
            <w:tcW w:w="2160" w:type="dxa"/>
            <w:shd w:val="clear" w:color="auto" w:fill="auto"/>
          </w:tcPr>
          <w:p w:rsidR="00006E1C" w:rsidRPr="00BF00D2" w:rsidRDefault="00006E1C" w:rsidP="007205CE">
            <w:pPr>
              <w:spacing w:line="360" w:lineRule="auto"/>
              <w:jc w:val="center"/>
              <w:rPr>
                <w:noProof/>
                <w:sz w:val="20"/>
                <w:szCs w:val="20"/>
              </w:rPr>
            </w:pPr>
            <w:r w:rsidRPr="00BF00D2">
              <w:rPr>
                <w:sz w:val="20"/>
                <w:szCs w:val="20"/>
              </w:rPr>
              <w:t>0.24 – 0.74</w:t>
            </w:r>
          </w:p>
        </w:tc>
        <w:tc>
          <w:tcPr>
            <w:tcW w:w="1980" w:type="dxa"/>
          </w:tcPr>
          <w:p w:rsidR="00006E1C" w:rsidRPr="00BF00D2" w:rsidRDefault="00006E1C" w:rsidP="007205CE">
            <w:pPr>
              <w:spacing w:line="360" w:lineRule="auto"/>
              <w:jc w:val="center"/>
              <w:rPr>
                <w:sz w:val="20"/>
                <w:szCs w:val="20"/>
              </w:rPr>
            </w:pPr>
            <w:r w:rsidRPr="00BF00D2">
              <w:rPr>
                <w:sz w:val="20"/>
                <w:szCs w:val="20"/>
              </w:rPr>
              <w:t>0.14</w:t>
            </w:r>
          </w:p>
        </w:tc>
      </w:tr>
    </w:tbl>
    <w:p w:rsidR="00FA20FD" w:rsidRPr="00BF00D2" w:rsidRDefault="00FA20FD" w:rsidP="00FA20FD">
      <w:pPr>
        <w:autoSpaceDE w:val="0"/>
        <w:autoSpaceDN w:val="0"/>
        <w:adjustRightInd w:val="0"/>
        <w:jc w:val="both"/>
        <w:rPr>
          <w:sz w:val="20"/>
          <w:szCs w:val="20"/>
        </w:rPr>
      </w:pPr>
    </w:p>
    <w:p w:rsidR="00FA20FD" w:rsidRPr="00BF00D2" w:rsidRDefault="00FA20FD" w:rsidP="00FA20FD">
      <w:pPr>
        <w:autoSpaceDE w:val="0"/>
        <w:autoSpaceDN w:val="0"/>
        <w:adjustRightInd w:val="0"/>
        <w:jc w:val="both"/>
        <w:rPr>
          <w:sz w:val="20"/>
          <w:szCs w:val="20"/>
        </w:rPr>
      </w:pPr>
      <w:r w:rsidRPr="00BF00D2">
        <w:rPr>
          <w:sz w:val="20"/>
          <w:szCs w:val="20"/>
        </w:rPr>
        <w:lastRenderedPageBreak/>
        <w:t>Pb-210</w:t>
      </w:r>
      <w:r w:rsidRPr="00BF00D2">
        <w:rPr>
          <w:sz w:val="20"/>
          <w:szCs w:val="20"/>
          <w:vertAlign w:val="subscript"/>
        </w:rPr>
        <w:t>exc</w:t>
      </w:r>
      <w:r w:rsidRPr="00BF00D2">
        <w:rPr>
          <w:sz w:val="20"/>
          <w:szCs w:val="20"/>
        </w:rPr>
        <w:t xml:space="preserve"> flux of the present study of in S1are similar to input of Pb-210</w:t>
      </w:r>
      <w:r w:rsidRPr="00BF00D2">
        <w:rPr>
          <w:sz w:val="20"/>
          <w:szCs w:val="20"/>
          <w:vertAlign w:val="subscript"/>
        </w:rPr>
        <w:t>exc</w:t>
      </w:r>
      <w:r w:rsidRPr="00BF00D2">
        <w:rPr>
          <w:sz w:val="20"/>
          <w:szCs w:val="20"/>
        </w:rPr>
        <w:t xml:space="preserve"> in sediments both of the Penang Island (5° N latitude) and Johor Strait (1° – 2° N latitude) (small difference in latitude) which are about 0.30 dpm cm</w:t>
      </w:r>
      <w:r w:rsidRPr="00BF00D2">
        <w:rPr>
          <w:sz w:val="20"/>
          <w:szCs w:val="20"/>
          <w:vertAlign w:val="superscript"/>
        </w:rPr>
        <w:t>-2</w:t>
      </w:r>
      <w:r w:rsidRPr="00BF00D2">
        <w:rPr>
          <w:sz w:val="20"/>
          <w:szCs w:val="20"/>
        </w:rPr>
        <w:t xml:space="preserve"> y</w:t>
      </w:r>
      <w:r w:rsidRPr="00BF00D2">
        <w:rPr>
          <w:sz w:val="20"/>
          <w:szCs w:val="20"/>
          <w:vertAlign w:val="superscript"/>
        </w:rPr>
        <w:t>-1</w:t>
      </w:r>
      <w:r w:rsidRPr="00BF00D2">
        <w:rPr>
          <w:sz w:val="20"/>
          <w:szCs w:val="20"/>
        </w:rPr>
        <w:t xml:space="preserve"> [13]. This finding consistence with Khalik </w:t>
      </w:r>
      <w:r w:rsidRPr="00BF00D2">
        <w:rPr>
          <w:i/>
          <w:sz w:val="20"/>
          <w:szCs w:val="20"/>
        </w:rPr>
        <w:t>et al</w:t>
      </w:r>
      <w:r w:rsidRPr="00BF00D2">
        <w:rPr>
          <w:sz w:val="20"/>
          <w:szCs w:val="20"/>
        </w:rPr>
        <w:t>. (2004) [13] and clearly confirmed that atmospheric origin seems the main source of Pb-210</w:t>
      </w:r>
      <w:r w:rsidRPr="00BF00D2">
        <w:rPr>
          <w:sz w:val="20"/>
          <w:szCs w:val="20"/>
          <w:vertAlign w:val="subscript"/>
        </w:rPr>
        <w:t>exc</w:t>
      </w:r>
      <w:r w:rsidRPr="00BF00D2">
        <w:rPr>
          <w:sz w:val="20"/>
          <w:szCs w:val="20"/>
        </w:rPr>
        <w:t xml:space="preserve"> supply. This is in contrast to location S2, where Pb-210</w:t>
      </w:r>
      <w:r w:rsidRPr="00BF00D2">
        <w:rPr>
          <w:sz w:val="20"/>
          <w:szCs w:val="20"/>
          <w:vertAlign w:val="subscript"/>
        </w:rPr>
        <w:t>exc</w:t>
      </w:r>
      <w:r w:rsidRPr="00BF00D2">
        <w:rPr>
          <w:sz w:val="20"/>
          <w:szCs w:val="20"/>
        </w:rPr>
        <w:t xml:space="preserve"> inventory is two times lower than the location S1. There is a possibility that Pb-210 has been diluted or due to mobilization process. </w:t>
      </w:r>
    </w:p>
    <w:p w:rsidR="00BD3590" w:rsidRPr="00BF00D2" w:rsidRDefault="00BD3590" w:rsidP="00BD3590">
      <w:pPr>
        <w:autoSpaceDE w:val="0"/>
        <w:autoSpaceDN w:val="0"/>
        <w:adjustRightInd w:val="0"/>
        <w:jc w:val="both"/>
      </w:pPr>
    </w:p>
    <w:p w:rsidR="00C62113" w:rsidRPr="00BF00D2" w:rsidRDefault="00C62113" w:rsidP="005E1C3E">
      <w:pPr>
        <w:autoSpaceDE w:val="0"/>
        <w:autoSpaceDN w:val="0"/>
        <w:adjustRightInd w:val="0"/>
        <w:jc w:val="both"/>
        <w:rPr>
          <w:i/>
          <w:sz w:val="20"/>
          <w:szCs w:val="20"/>
        </w:rPr>
      </w:pPr>
      <w:r w:rsidRPr="00BF00D2">
        <w:rPr>
          <w:i/>
          <w:sz w:val="20"/>
          <w:szCs w:val="20"/>
        </w:rPr>
        <w:t>Sedimentation rate</w:t>
      </w:r>
      <w:r w:rsidR="00F53789" w:rsidRPr="00BF00D2">
        <w:rPr>
          <w:i/>
          <w:sz w:val="20"/>
          <w:szCs w:val="20"/>
        </w:rPr>
        <w:t xml:space="preserve"> and dating model</w:t>
      </w:r>
    </w:p>
    <w:p w:rsidR="00F949AB" w:rsidRPr="00BF00D2" w:rsidRDefault="00C62113" w:rsidP="005E1C3E">
      <w:pPr>
        <w:autoSpaceDE w:val="0"/>
        <w:autoSpaceDN w:val="0"/>
        <w:adjustRightInd w:val="0"/>
        <w:jc w:val="both"/>
        <w:rPr>
          <w:sz w:val="20"/>
          <w:szCs w:val="20"/>
        </w:rPr>
      </w:pPr>
      <w:r w:rsidRPr="00BF00D2">
        <w:rPr>
          <w:sz w:val="20"/>
          <w:szCs w:val="20"/>
        </w:rPr>
        <w:t xml:space="preserve">Sedimentation within lake occurred through run-off from the land surface and settles on the bottom lake. Once Pb-210 deposited in the sediment, they are rapidly adsorb to fine grain materials and settled down to the bottom layer.  Absorption of Pb-210 to the sediment lake has been assumed a uniform process and </w:t>
      </w:r>
      <w:r w:rsidR="00EC08FE" w:rsidRPr="00BF00D2">
        <w:rPr>
          <w:sz w:val="20"/>
          <w:szCs w:val="20"/>
        </w:rPr>
        <w:t>without</w:t>
      </w:r>
      <w:r w:rsidRPr="00BF00D2">
        <w:rPr>
          <w:sz w:val="20"/>
          <w:szCs w:val="20"/>
        </w:rPr>
        <w:t xml:space="preserve"> of sediment redistribution. </w:t>
      </w:r>
      <w:r w:rsidR="00F949AB" w:rsidRPr="00BF00D2">
        <w:rPr>
          <w:sz w:val="20"/>
          <w:szCs w:val="20"/>
        </w:rPr>
        <w:t xml:space="preserve">In present study, </w:t>
      </w:r>
      <w:r w:rsidRPr="00BF00D2">
        <w:rPr>
          <w:sz w:val="20"/>
          <w:szCs w:val="20"/>
        </w:rPr>
        <w:t xml:space="preserve">CRS model used to determine the </w:t>
      </w:r>
      <w:r w:rsidR="00F949AB" w:rsidRPr="00BF00D2">
        <w:rPr>
          <w:sz w:val="20"/>
          <w:szCs w:val="20"/>
        </w:rPr>
        <w:t xml:space="preserve">sediment age and </w:t>
      </w:r>
      <w:r w:rsidRPr="00BF00D2">
        <w:rPr>
          <w:sz w:val="20"/>
          <w:szCs w:val="20"/>
        </w:rPr>
        <w:t xml:space="preserve">sedimentation rate within lake sediment by assuming sediment reworking (physical and biological) and diagenesis factors were neglected. </w:t>
      </w:r>
    </w:p>
    <w:p w:rsidR="00EC08FE" w:rsidRPr="00BF00D2" w:rsidRDefault="00EC08FE" w:rsidP="005E1C3E">
      <w:pPr>
        <w:autoSpaceDE w:val="0"/>
        <w:autoSpaceDN w:val="0"/>
        <w:adjustRightInd w:val="0"/>
        <w:jc w:val="both"/>
      </w:pPr>
    </w:p>
    <w:p w:rsidR="00C62113" w:rsidRPr="00BF00D2" w:rsidRDefault="00C62113" w:rsidP="005E1C3E">
      <w:pPr>
        <w:autoSpaceDE w:val="0"/>
        <w:autoSpaceDN w:val="0"/>
        <w:adjustRightInd w:val="0"/>
        <w:jc w:val="both"/>
        <w:rPr>
          <w:sz w:val="20"/>
          <w:szCs w:val="20"/>
        </w:rPr>
      </w:pPr>
      <w:r w:rsidRPr="00BF00D2">
        <w:rPr>
          <w:sz w:val="20"/>
          <w:szCs w:val="20"/>
        </w:rPr>
        <w:t>CRS model expressed as equation below:</w:t>
      </w:r>
    </w:p>
    <w:p w:rsidR="00FA20FD" w:rsidRPr="00BF00D2" w:rsidRDefault="00FA20FD" w:rsidP="005E1C3E">
      <w:pPr>
        <w:autoSpaceDE w:val="0"/>
        <w:autoSpaceDN w:val="0"/>
        <w:adjustRightInd w:val="0"/>
        <w:jc w:val="both"/>
        <w:rPr>
          <w:sz w:val="20"/>
          <w:szCs w:val="20"/>
        </w:rPr>
      </w:pPr>
    </w:p>
    <w:p w:rsidR="00C62113" w:rsidRPr="00BF00D2" w:rsidRDefault="00EC08FE" w:rsidP="00FA20FD">
      <w:pPr>
        <w:autoSpaceDE w:val="0"/>
        <w:autoSpaceDN w:val="0"/>
        <w:adjustRightInd w:val="0"/>
        <w:ind w:firstLine="720"/>
        <w:jc w:val="both"/>
        <w:rPr>
          <w:sz w:val="20"/>
          <w:szCs w:val="20"/>
        </w:rPr>
      </w:pPr>
      <w:r w:rsidRPr="00BF00D2">
        <w:rPr>
          <w:sz w:val="20"/>
          <w:szCs w:val="20"/>
        </w:rPr>
        <w:t xml:space="preserve">t = </w:t>
      </w:r>
      <w:r w:rsidR="00FA20FD" w:rsidRPr="00BF00D2">
        <w:rPr>
          <w:sz w:val="20"/>
          <w:szCs w:val="20"/>
        </w:rPr>
        <w:t>(1/</w:t>
      </w:r>
      <w:r w:rsidRPr="00BF00D2">
        <w:rPr>
          <w:sz w:val="20"/>
          <w:szCs w:val="20"/>
        </w:rPr>
        <w:t xml:space="preserve"> </w:t>
      </w:r>
      <w:r w:rsidR="00FA20FD" w:rsidRPr="00BF00D2">
        <w:rPr>
          <w:sz w:val="20"/>
          <w:szCs w:val="20"/>
        </w:rPr>
        <w:t xml:space="preserve">λ) </w:t>
      </w:r>
      <w:r w:rsidRPr="00BF00D2">
        <w:rPr>
          <w:sz w:val="20"/>
          <w:szCs w:val="20"/>
        </w:rPr>
        <w:t>ln (A</w:t>
      </w:r>
      <w:r w:rsidRPr="00BF00D2">
        <w:rPr>
          <w:sz w:val="20"/>
          <w:szCs w:val="20"/>
          <w:vertAlign w:val="subscript"/>
        </w:rPr>
        <w:t>(0)</w:t>
      </w:r>
      <w:r w:rsidR="001926FA" w:rsidRPr="00BF00D2">
        <w:rPr>
          <w:sz w:val="20"/>
          <w:szCs w:val="20"/>
          <w:vertAlign w:val="subscript"/>
        </w:rPr>
        <w:t xml:space="preserve"> </w:t>
      </w:r>
      <w:r w:rsidRPr="00BF00D2">
        <w:rPr>
          <w:sz w:val="20"/>
          <w:szCs w:val="20"/>
        </w:rPr>
        <w:t>/A</w:t>
      </w:r>
      <w:r w:rsidRPr="00BF00D2">
        <w:rPr>
          <w:sz w:val="20"/>
          <w:szCs w:val="20"/>
          <w:vertAlign w:val="subscript"/>
        </w:rPr>
        <w:t>(1)</w:t>
      </w:r>
      <w:r w:rsidRPr="00BF00D2">
        <w:rPr>
          <w:sz w:val="20"/>
          <w:szCs w:val="20"/>
        </w:rPr>
        <w:t>)</w:t>
      </w:r>
      <w:r w:rsidR="00106A02" w:rsidRPr="00BF00D2">
        <w:rPr>
          <w:sz w:val="20"/>
          <w:szCs w:val="20"/>
        </w:rPr>
        <w:tab/>
      </w:r>
      <w:r w:rsidR="00106A02" w:rsidRPr="00BF00D2">
        <w:rPr>
          <w:sz w:val="20"/>
          <w:szCs w:val="20"/>
        </w:rPr>
        <w:tab/>
      </w:r>
      <w:r w:rsidR="00106A02" w:rsidRPr="00BF00D2">
        <w:rPr>
          <w:sz w:val="20"/>
          <w:szCs w:val="20"/>
        </w:rPr>
        <w:tab/>
      </w:r>
      <w:r w:rsidR="00106A02" w:rsidRPr="00BF00D2">
        <w:rPr>
          <w:sz w:val="20"/>
          <w:szCs w:val="20"/>
        </w:rPr>
        <w:tab/>
      </w:r>
      <w:r w:rsidR="00106A02" w:rsidRPr="00BF00D2">
        <w:rPr>
          <w:sz w:val="20"/>
          <w:szCs w:val="20"/>
        </w:rPr>
        <w:tab/>
      </w:r>
      <w:r w:rsidR="00106A02" w:rsidRPr="00BF00D2">
        <w:rPr>
          <w:sz w:val="20"/>
          <w:szCs w:val="20"/>
        </w:rPr>
        <w:tab/>
      </w:r>
      <w:r w:rsidR="00106A02" w:rsidRPr="00BF00D2">
        <w:rPr>
          <w:sz w:val="20"/>
          <w:szCs w:val="20"/>
        </w:rPr>
        <w:tab/>
      </w:r>
      <w:r w:rsidR="00106A02" w:rsidRPr="00BF00D2">
        <w:rPr>
          <w:sz w:val="20"/>
          <w:szCs w:val="20"/>
        </w:rPr>
        <w:tab/>
      </w:r>
      <w:r w:rsidR="00875064" w:rsidRPr="00BF00D2">
        <w:rPr>
          <w:sz w:val="20"/>
          <w:szCs w:val="20"/>
        </w:rPr>
        <w:tab/>
      </w:r>
      <w:r w:rsidR="004554C9" w:rsidRPr="00BF00D2">
        <w:rPr>
          <w:sz w:val="20"/>
          <w:szCs w:val="20"/>
        </w:rPr>
        <w:t>(</w:t>
      </w:r>
      <w:r w:rsidR="00106A02" w:rsidRPr="00BF00D2">
        <w:rPr>
          <w:sz w:val="20"/>
          <w:szCs w:val="20"/>
        </w:rPr>
        <w:t>3</w:t>
      </w:r>
      <w:r w:rsidR="004554C9" w:rsidRPr="00BF00D2">
        <w:rPr>
          <w:sz w:val="20"/>
          <w:szCs w:val="20"/>
        </w:rPr>
        <w:t>)</w:t>
      </w:r>
    </w:p>
    <w:p w:rsidR="00FA20FD" w:rsidRPr="00BF00D2" w:rsidRDefault="00EC08FE" w:rsidP="00612BD0">
      <w:pPr>
        <w:autoSpaceDE w:val="0"/>
        <w:autoSpaceDN w:val="0"/>
        <w:adjustRightInd w:val="0"/>
        <w:jc w:val="both"/>
        <w:rPr>
          <w:sz w:val="20"/>
          <w:szCs w:val="20"/>
        </w:rPr>
      </w:pPr>
      <w:r w:rsidRPr="00BF00D2">
        <w:rPr>
          <w:sz w:val="20"/>
          <w:szCs w:val="20"/>
        </w:rPr>
        <w:t xml:space="preserve">     </w:t>
      </w:r>
      <w:r w:rsidR="00FA20FD" w:rsidRPr="00BF00D2">
        <w:rPr>
          <w:sz w:val="20"/>
          <w:szCs w:val="20"/>
        </w:rPr>
        <w:t xml:space="preserve">               </w:t>
      </w:r>
      <w:r w:rsidRPr="00BF00D2">
        <w:rPr>
          <w:sz w:val="20"/>
          <w:szCs w:val="20"/>
        </w:rPr>
        <w:t xml:space="preserve"> </w:t>
      </w:r>
    </w:p>
    <w:p w:rsidR="00612BD0" w:rsidRPr="00BF00D2" w:rsidRDefault="00C62113" w:rsidP="00612BD0">
      <w:pPr>
        <w:autoSpaceDE w:val="0"/>
        <w:autoSpaceDN w:val="0"/>
        <w:adjustRightInd w:val="0"/>
        <w:jc w:val="both"/>
        <w:rPr>
          <w:sz w:val="20"/>
          <w:szCs w:val="20"/>
        </w:rPr>
      </w:pPr>
      <w:r w:rsidRPr="00BF00D2">
        <w:rPr>
          <w:sz w:val="20"/>
          <w:szCs w:val="20"/>
        </w:rPr>
        <w:t xml:space="preserve">Where </w:t>
      </w:r>
      <w:r w:rsidR="00EC08FE" w:rsidRPr="00BF00D2">
        <w:rPr>
          <w:sz w:val="20"/>
          <w:szCs w:val="20"/>
        </w:rPr>
        <w:t>A</w:t>
      </w:r>
      <w:r w:rsidRPr="00BF00D2">
        <w:rPr>
          <w:sz w:val="20"/>
          <w:szCs w:val="20"/>
          <w:vertAlign w:val="subscript"/>
        </w:rPr>
        <w:t>(</w:t>
      </w:r>
      <w:r w:rsidR="00EC08FE" w:rsidRPr="00BF00D2">
        <w:rPr>
          <w:i/>
          <w:sz w:val="20"/>
          <w:szCs w:val="20"/>
          <w:vertAlign w:val="subscript"/>
        </w:rPr>
        <w:t>0</w:t>
      </w:r>
      <w:r w:rsidRPr="00BF00D2">
        <w:rPr>
          <w:sz w:val="20"/>
          <w:szCs w:val="20"/>
          <w:vertAlign w:val="subscript"/>
        </w:rPr>
        <w:t>)</w:t>
      </w:r>
      <w:r w:rsidRPr="00BF00D2">
        <w:rPr>
          <w:sz w:val="20"/>
          <w:szCs w:val="20"/>
        </w:rPr>
        <w:t xml:space="preserve"> is total inventory of excess </w:t>
      </w:r>
      <w:r w:rsidR="00EC08FE" w:rsidRPr="00BF00D2">
        <w:rPr>
          <w:sz w:val="20"/>
          <w:szCs w:val="20"/>
        </w:rPr>
        <w:t>Pb-210 in the sediment column, A</w:t>
      </w:r>
      <w:r w:rsidRPr="00BF00D2">
        <w:rPr>
          <w:sz w:val="20"/>
          <w:szCs w:val="20"/>
          <w:vertAlign w:val="subscript"/>
        </w:rPr>
        <w:t>(</w:t>
      </w:r>
      <w:r w:rsidR="00EC08FE" w:rsidRPr="00BF00D2">
        <w:rPr>
          <w:sz w:val="20"/>
          <w:szCs w:val="20"/>
          <w:vertAlign w:val="subscript"/>
        </w:rPr>
        <w:t>1</w:t>
      </w:r>
      <w:r w:rsidRPr="00BF00D2">
        <w:rPr>
          <w:sz w:val="20"/>
          <w:szCs w:val="20"/>
          <w:vertAlign w:val="subscript"/>
        </w:rPr>
        <w:t>)</w:t>
      </w:r>
      <w:r w:rsidRPr="00BF00D2">
        <w:rPr>
          <w:sz w:val="20"/>
          <w:szCs w:val="20"/>
        </w:rPr>
        <w:t xml:space="preserve"> is inventory of excess Pb-210 below depth</w:t>
      </w:r>
      <w:r w:rsidRPr="00BF00D2">
        <w:rPr>
          <w:i/>
          <w:sz w:val="20"/>
          <w:szCs w:val="20"/>
        </w:rPr>
        <w:t xml:space="preserve"> x</w:t>
      </w:r>
      <w:r w:rsidRPr="00BF00D2">
        <w:rPr>
          <w:sz w:val="20"/>
          <w:szCs w:val="20"/>
        </w:rPr>
        <w:t>,</w:t>
      </w:r>
      <w:r w:rsidRPr="00BF00D2">
        <w:rPr>
          <w:i/>
          <w:sz w:val="20"/>
          <w:szCs w:val="20"/>
        </w:rPr>
        <w:t xml:space="preserve"> λ</w:t>
      </w:r>
      <w:r w:rsidR="00EC08FE" w:rsidRPr="00BF00D2">
        <w:rPr>
          <w:sz w:val="20"/>
          <w:szCs w:val="20"/>
        </w:rPr>
        <w:t xml:space="preserve"> </w:t>
      </w:r>
      <w:r w:rsidRPr="00BF00D2">
        <w:rPr>
          <w:sz w:val="20"/>
          <w:szCs w:val="20"/>
        </w:rPr>
        <w:t>is the decay constant of Pb-210 (0.693/22.3yr = 0.03114/yr)</w:t>
      </w:r>
      <w:r w:rsidR="00612BD0" w:rsidRPr="00BF00D2">
        <w:rPr>
          <w:sz w:val="20"/>
          <w:szCs w:val="20"/>
        </w:rPr>
        <w:t xml:space="preserve"> [</w:t>
      </w:r>
      <w:r w:rsidR="00421531" w:rsidRPr="00BF00D2">
        <w:rPr>
          <w:sz w:val="20"/>
          <w:szCs w:val="20"/>
        </w:rPr>
        <w:t>6</w:t>
      </w:r>
      <w:r w:rsidR="00612BD0" w:rsidRPr="00BF00D2">
        <w:rPr>
          <w:sz w:val="20"/>
          <w:szCs w:val="20"/>
        </w:rPr>
        <w:t>]</w:t>
      </w:r>
      <w:r w:rsidRPr="00BF00D2">
        <w:rPr>
          <w:sz w:val="20"/>
          <w:szCs w:val="20"/>
        </w:rPr>
        <w:t xml:space="preserve">. </w:t>
      </w:r>
      <w:r w:rsidR="00F042D3" w:rsidRPr="00BF00D2">
        <w:rPr>
          <w:sz w:val="20"/>
          <w:szCs w:val="20"/>
        </w:rPr>
        <w:t>Mean s</w:t>
      </w:r>
      <w:r w:rsidRPr="00BF00D2">
        <w:rPr>
          <w:sz w:val="20"/>
          <w:szCs w:val="20"/>
        </w:rPr>
        <w:t>edimentation rate was determined from the slope of the least square fit for estimated age plotted versus depth.</w:t>
      </w:r>
    </w:p>
    <w:p w:rsidR="00612BD0" w:rsidRPr="00BF00D2" w:rsidRDefault="00612BD0" w:rsidP="00612BD0">
      <w:pPr>
        <w:autoSpaceDE w:val="0"/>
        <w:autoSpaceDN w:val="0"/>
        <w:adjustRightInd w:val="0"/>
        <w:jc w:val="both"/>
        <w:rPr>
          <w:sz w:val="20"/>
          <w:szCs w:val="20"/>
        </w:rPr>
      </w:pPr>
    </w:p>
    <w:p w:rsidR="00421531" w:rsidRPr="00BF00D2" w:rsidRDefault="00113659" w:rsidP="00612BD0">
      <w:pPr>
        <w:autoSpaceDE w:val="0"/>
        <w:autoSpaceDN w:val="0"/>
        <w:adjustRightInd w:val="0"/>
        <w:jc w:val="both"/>
        <w:rPr>
          <w:sz w:val="20"/>
          <w:szCs w:val="20"/>
        </w:rPr>
      </w:pPr>
      <w:r w:rsidRPr="00BF00D2">
        <w:rPr>
          <w:sz w:val="20"/>
          <w:szCs w:val="20"/>
        </w:rPr>
        <w:t xml:space="preserve">Sedimentation rates in lake were found </w:t>
      </w:r>
      <w:r w:rsidR="00F042D3" w:rsidRPr="00BF00D2">
        <w:rPr>
          <w:sz w:val="20"/>
          <w:szCs w:val="20"/>
        </w:rPr>
        <w:t xml:space="preserve">to vary </w:t>
      </w:r>
      <w:r w:rsidR="00105599" w:rsidRPr="00BF00D2">
        <w:rPr>
          <w:sz w:val="20"/>
          <w:szCs w:val="20"/>
        </w:rPr>
        <w:t xml:space="preserve">0.21 – 0.57 </w:t>
      </w:r>
      <w:r w:rsidR="00032E74" w:rsidRPr="00BF00D2">
        <w:rPr>
          <w:sz w:val="20"/>
          <w:szCs w:val="20"/>
        </w:rPr>
        <w:t>cm y</w:t>
      </w:r>
      <w:r w:rsidR="00032E74" w:rsidRPr="00BF00D2">
        <w:rPr>
          <w:sz w:val="20"/>
          <w:szCs w:val="20"/>
          <w:vertAlign w:val="superscript"/>
        </w:rPr>
        <w:t>-1</w:t>
      </w:r>
      <w:r w:rsidR="0094580F" w:rsidRPr="00BF00D2">
        <w:rPr>
          <w:sz w:val="20"/>
          <w:szCs w:val="20"/>
        </w:rPr>
        <w:t xml:space="preserve"> </w:t>
      </w:r>
      <w:r w:rsidR="00105599" w:rsidRPr="00BF00D2">
        <w:rPr>
          <w:sz w:val="20"/>
          <w:szCs w:val="20"/>
        </w:rPr>
        <w:t>and 0.24 – 0.74</w:t>
      </w:r>
      <w:r w:rsidR="00F042D3" w:rsidRPr="00BF00D2">
        <w:rPr>
          <w:sz w:val="20"/>
          <w:szCs w:val="20"/>
        </w:rPr>
        <w:t xml:space="preserve"> cm y</w:t>
      </w:r>
      <w:r w:rsidR="00F042D3" w:rsidRPr="00BF00D2">
        <w:rPr>
          <w:sz w:val="20"/>
          <w:szCs w:val="20"/>
          <w:vertAlign w:val="superscript"/>
        </w:rPr>
        <w:t>-1</w:t>
      </w:r>
      <w:r w:rsidR="007205CE" w:rsidRPr="00BF00D2">
        <w:rPr>
          <w:sz w:val="20"/>
          <w:szCs w:val="20"/>
        </w:rPr>
        <w:t xml:space="preserve"> with</w:t>
      </w:r>
      <w:r w:rsidR="00C62113" w:rsidRPr="00BF00D2">
        <w:rPr>
          <w:sz w:val="20"/>
          <w:szCs w:val="20"/>
        </w:rPr>
        <w:t xml:space="preserve"> mean sedimentation rate of sediment cores for location S1 and S2 are 0.26 </w:t>
      </w:r>
      <w:r w:rsidR="00105599" w:rsidRPr="00BF00D2">
        <w:rPr>
          <w:sz w:val="20"/>
          <w:szCs w:val="20"/>
        </w:rPr>
        <w:t xml:space="preserve">and 0.23 </w:t>
      </w:r>
      <w:r w:rsidR="00C62113" w:rsidRPr="00BF00D2">
        <w:rPr>
          <w:sz w:val="20"/>
          <w:szCs w:val="20"/>
        </w:rPr>
        <w:t>cm y</w:t>
      </w:r>
      <w:r w:rsidR="00C62113" w:rsidRPr="00BF00D2">
        <w:rPr>
          <w:sz w:val="20"/>
          <w:szCs w:val="20"/>
          <w:vertAlign w:val="superscript"/>
        </w:rPr>
        <w:t>-1</w:t>
      </w:r>
      <w:r w:rsidR="00032E74" w:rsidRPr="00BF00D2">
        <w:rPr>
          <w:sz w:val="20"/>
          <w:szCs w:val="20"/>
          <w:vertAlign w:val="superscript"/>
        </w:rPr>
        <w:t xml:space="preserve"> </w:t>
      </w:r>
      <w:r w:rsidR="00F40D98" w:rsidRPr="00BF00D2">
        <w:rPr>
          <w:sz w:val="20"/>
          <w:szCs w:val="20"/>
        </w:rPr>
        <w:t>respectively</w:t>
      </w:r>
      <w:r w:rsidR="00F40D98" w:rsidRPr="00BF00D2">
        <w:rPr>
          <w:sz w:val="20"/>
          <w:szCs w:val="20"/>
          <w:vertAlign w:val="superscript"/>
        </w:rPr>
        <w:t xml:space="preserve"> </w:t>
      </w:r>
      <w:r w:rsidR="002E77F9" w:rsidRPr="00BF00D2">
        <w:rPr>
          <w:sz w:val="20"/>
          <w:szCs w:val="20"/>
        </w:rPr>
        <w:t>(</w:t>
      </w:r>
      <w:r w:rsidR="00F40D98" w:rsidRPr="00BF00D2">
        <w:rPr>
          <w:sz w:val="20"/>
          <w:szCs w:val="20"/>
        </w:rPr>
        <w:t>Figure 2</w:t>
      </w:r>
      <w:r w:rsidR="002E77F9" w:rsidRPr="00BF00D2">
        <w:rPr>
          <w:sz w:val="20"/>
          <w:szCs w:val="20"/>
        </w:rPr>
        <w:t>)</w:t>
      </w:r>
      <w:r w:rsidR="00C62113" w:rsidRPr="00BF00D2">
        <w:rPr>
          <w:sz w:val="20"/>
          <w:szCs w:val="20"/>
        </w:rPr>
        <w:t>. Sedimentation rate determined only for the inter</w:t>
      </w:r>
      <w:r w:rsidR="00F40D98" w:rsidRPr="00BF00D2">
        <w:rPr>
          <w:sz w:val="20"/>
          <w:szCs w:val="20"/>
        </w:rPr>
        <w:t>val 2 – 16 and 2 -18 cm depth core for</w:t>
      </w:r>
      <w:r w:rsidR="00C62113" w:rsidRPr="00BF00D2">
        <w:rPr>
          <w:sz w:val="20"/>
          <w:szCs w:val="20"/>
        </w:rPr>
        <w:t xml:space="preserve"> </w:t>
      </w:r>
      <w:r w:rsidR="00F40D98" w:rsidRPr="00BF00D2">
        <w:rPr>
          <w:sz w:val="20"/>
          <w:szCs w:val="20"/>
        </w:rPr>
        <w:t xml:space="preserve">S1 and S2 sediment </w:t>
      </w:r>
      <w:r w:rsidR="00C62113" w:rsidRPr="00BF00D2">
        <w:rPr>
          <w:sz w:val="20"/>
          <w:szCs w:val="20"/>
        </w:rPr>
        <w:t>core</w:t>
      </w:r>
      <w:r w:rsidR="00106A02" w:rsidRPr="00BF00D2">
        <w:rPr>
          <w:sz w:val="20"/>
          <w:szCs w:val="20"/>
        </w:rPr>
        <w:t>s</w:t>
      </w:r>
      <w:r w:rsidR="00C62113" w:rsidRPr="00BF00D2">
        <w:rPr>
          <w:sz w:val="20"/>
          <w:szCs w:val="20"/>
        </w:rPr>
        <w:t>.</w:t>
      </w:r>
      <w:r w:rsidR="00944704" w:rsidRPr="00BF00D2">
        <w:rPr>
          <w:sz w:val="20"/>
          <w:szCs w:val="20"/>
        </w:rPr>
        <w:t xml:space="preserve"> </w:t>
      </w:r>
      <w:r w:rsidR="00C62113" w:rsidRPr="00BF00D2">
        <w:rPr>
          <w:sz w:val="20"/>
          <w:szCs w:val="20"/>
        </w:rPr>
        <w:t xml:space="preserve">Below this depth, sediment has been dominated by soil or original base of lake. </w:t>
      </w:r>
      <w:r w:rsidR="003B18F5" w:rsidRPr="00BF00D2">
        <w:rPr>
          <w:sz w:val="20"/>
          <w:szCs w:val="20"/>
        </w:rPr>
        <w:t xml:space="preserve">Area bordering former mining areas is left without </w:t>
      </w:r>
      <w:r w:rsidR="00BE1629" w:rsidRPr="00BF00D2">
        <w:rPr>
          <w:sz w:val="20"/>
          <w:szCs w:val="20"/>
        </w:rPr>
        <w:t xml:space="preserve">vegetation and with different contour. Depending on the gradient of bank contour this will facilitated </w:t>
      </w:r>
      <w:r w:rsidR="003B18F5" w:rsidRPr="00BF00D2">
        <w:rPr>
          <w:sz w:val="20"/>
          <w:szCs w:val="20"/>
        </w:rPr>
        <w:t>surface runoff of rainwater into the lake that carries along overburden that causes sedimentation</w:t>
      </w:r>
      <w:r w:rsidR="00BE1629" w:rsidRPr="00BF00D2">
        <w:rPr>
          <w:sz w:val="20"/>
          <w:szCs w:val="20"/>
        </w:rPr>
        <w:t xml:space="preserve"> at different rate</w:t>
      </w:r>
      <w:r w:rsidR="00C62113" w:rsidRPr="00BF00D2">
        <w:rPr>
          <w:sz w:val="20"/>
          <w:szCs w:val="20"/>
        </w:rPr>
        <w:t xml:space="preserve">. </w:t>
      </w:r>
      <w:r w:rsidR="00BE1629" w:rsidRPr="00BF00D2">
        <w:rPr>
          <w:sz w:val="20"/>
          <w:szCs w:val="20"/>
        </w:rPr>
        <w:t>This may be could be reasonable explanation for</w:t>
      </w:r>
      <w:r w:rsidR="00926E52" w:rsidRPr="00BF00D2">
        <w:rPr>
          <w:sz w:val="20"/>
          <w:szCs w:val="20"/>
        </w:rPr>
        <w:t xml:space="preserve"> </w:t>
      </w:r>
      <w:r w:rsidR="00C62113" w:rsidRPr="00BF00D2">
        <w:rPr>
          <w:sz w:val="20"/>
          <w:szCs w:val="20"/>
        </w:rPr>
        <w:t xml:space="preserve">dissimilarity of depth in the sediment. </w:t>
      </w:r>
      <w:r w:rsidR="0024364D" w:rsidRPr="00BF00D2">
        <w:rPr>
          <w:sz w:val="20"/>
          <w:szCs w:val="20"/>
        </w:rPr>
        <w:t>Location S1 located almost at the center of lake while S2 located away from the edge of lake but</w:t>
      </w:r>
      <w:r w:rsidR="00F40D98" w:rsidRPr="00BF00D2">
        <w:rPr>
          <w:sz w:val="20"/>
          <w:szCs w:val="20"/>
        </w:rPr>
        <w:t xml:space="preserve"> closest to the central of lake</w:t>
      </w:r>
      <w:r w:rsidR="00F53789" w:rsidRPr="00BF00D2">
        <w:rPr>
          <w:sz w:val="20"/>
          <w:szCs w:val="20"/>
        </w:rPr>
        <w:t xml:space="preserve">. </w:t>
      </w:r>
      <w:r w:rsidR="00944704" w:rsidRPr="00BF00D2">
        <w:rPr>
          <w:sz w:val="20"/>
          <w:szCs w:val="20"/>
        </w:rPr>
        <w:t>Comparable sedimentation rate for both location could be explained possibly receiving</w:t>
      </w:r>
      <w:r w:rsidR="004C7074" w:rsidRPr="00BF00D2">
        <w:rPr>
          <w:sz w:val="20"/>
          <w:szCs w:val="20"/>
        </w:rPr>
        <w:t xml:space="preserve"> constant water flow thus created </w:t>
      </w:r>
      <w:r w:rsidR="00C62113" w:rsidRPr="00BF00D2">
        <w:rPr>
          <w:sz w:val="20"/>
          <w:szCs w:val="20"/>
        </w:rPr>
        <w:t>thickness of sediment a</w:t>
      </w:r>
      <w:r w:rsidR="0024364D" w:rsidRPr="00BF00D2">
        <w:rPr>
          <w:sz w:val="20"/>
          <w:szCs w:val="20"/>
        </w:rPr>
        <w:t>t the both location almost same and have</w:t>
      </w:r>
      <w:r w:rsidR="009D3DD3" w:rsidRPr="00BF00D2">
        <w:rPr>
          <w:sz w:val="20"/>
          <w:szCs w:val="20"/>
        </w:rPr>
        <w:t xml:space="preserve"> better movement of water velocity with a little obstacle</w:t>
      </w:r>
      <w:r w:rsidR="00F53789" w:rsidRPr="00BF00D2">
        <w:rPr>
          <w:sz w:val="20"/>
          <w:szCs w:val="20"/>
        </w:rPr>
        <w:t>.</w:t>
      </w:r>
      <w:r w:rsidR="00FB10B4" w:rsidRPr="00BF00D2">
        <w:rPr>
          <w:sz w:val="20"/>
          <w:szCs w:val="20"/>
        </w:rPr>
        <w:t xml:space="preserve"> </w:t>
      </w:r>
    </w:p>
    <w:p w:rsidR="004E2A96" w:rsidRPr="00BF00D2" w:rsidRDefault="004E2A96" w:rsidP="00612BD0">
      <w:pPr>
        <w:autoSpaceDE w:val="0"/>
        <w:autoSpaceDN w:val="0"/>
        <w:adjustRightInd w:val="0"/>
        <w:jc w:val="both"/>
        <w:rPr>
          <w:sz w:val="20"/>
          <w:szCs w:val="20"/>
        </w:rPr>
      </w:pPr>
      <w:r w:rsidRPr="00BF00D2">
        <w:rPr>
          <w:sz w:val="20"/>
          <w:szCs w:val="20"/>
        </w:rPr>
        <w:t xml:space="preserve"> </w:t>
      </w:r>
    </w:p>
    <w:p w:rsidR="00885E1B" w:rsidRPr="00BF00D2" w:rsidRDefault="0007034C" w:rsidP="00612BD0">
      <w:pPr>
        <w:jc w:val="both"/>
        <w:rPr>
          <w:sz w:val="20"/>
          <w:szCs w:val="20"/>
        </w:rPr>
      </w:pPr>
      <w:r w:rsidRPr="00BF00D2">
        <w:rPr>
          <w:sz w:val="20"/>
          <w:szCs w:val="20"/>
        </w:rPr>
        <w:t xml:space="preserve">In comparison to </w:t>
      </w:r>
      <w:r w:rsidR="00F07AAB" w:rsidRPr="00BF00D2">
        <w:rPr>
          <w:sz w:val="20"/>
          <w:szCs w:val="20"/>
        </w:rPr>
        <w:t xml:space="preserve">study </w:t>
      </w:r>
      <w:r w:rsidRPr="00BF00D2">
        <w:rPr>
          <w:sz w:val="20"/>
          <w:szCs w:val="20"/>
        </w:rPr>
        <w:t>by T</w:t>
      </w:r>
      <w:r w:rsidR="00F07AAB" w:rsidRPr="00BF00D2">
        <w:rPr>
          <w:sz w:val="20"/>
          <w:szCs w:val="20"/>
        </w:rPr>
        <w:t xml:space="preserve">heng </w:t>
      </w:r>
      <w:r w:rsidR="00F07AAB" w:rsidRPr="00BF00D2">
        <w:rPr>
          <w:i/>
          <w:sz w:val="20"/>
          <w:szCs w:val="20"/>
        </w:rPr>
        <w:t>et al</w:t>
      </w:r>
      <w:r w:rsidR="00F07AAB" w:rsidRPr="00BF00D2">
        <w:rPr>
          <w:sz w:val="20"/>
          <w:szCs w:val="20"/>
        </w:rPr>
        <w:t xml:space="preserve">. (2003) </w:t>
      </w:r>
      <w:r w:rsidR="00421531" w:rsidRPr="00BF00D2">
        <w:rPr>
          <w:sz w:val="20"/>
          <w:szCs w:val="20"/>
        </w:rPr>
        <w:t xml:space="preserve">[14] </w:t>
      </w:r>
      <w:r w:rsidR="00F07AAB" w:rsidRPr="00BF00D2">
        <w:rPr>
          <w:sz w:val="20"/>
          <w:szCs w:val="20"/>
        </w:rPr>
        <w:t>at the coastal water of Sabah, Malaysia showed low sedimentation rate at Sipitang which is 0.027 cm y</w:t>
      </w:r>
      <w:r w:rsidR="00F07AAB" w:rsidRPr="00BF00D2">
        <w:rPr>
          <w:sz w:val="20"/>
          <w:szCs w:val="20"/>
          <w:vertAlign w:val="superscript"/>
        </w:rPr>
        <w:t>-1</w:t>
      </w:r>
      <w:r w:rsidR="00F07AAB" w:rsidRPr="00BF00D2">
        <w:rPr>
          <w:sz w:val="20"/>
          <w:szCs w:val="20"/>
        </w:rPr>
        <w:t xml:space="preserve"> and high sedimentation rate at Teluk Kimanis which is 5.53 cm y</w:t>
      </w:r>
      <w:r w:rsidR="00F07AAB" w:rsidRPr="00BF00D2">
        <w:rPr>
          <w:sz w:val="20"/>
          <w:szCs w:val="20"/>
          <w:vertAlign w:val="superscript"/>
        </w:rPr>
        <w:t xml:space="preserve">1 </w:t>
      </w:r>
      <w:r w:rsidR="00F07AAB" w:rsidRPr="00BF00D2">
        <w:rPr>
          <w:sz w:val="20"/>
          <w:szCs w:val="20"/>
        </w:rPr>
        <w:t xml:space="preserve">as compared to the present study. </w:t>
      </w:r>
      <w:r w:rsidR="00612BD0" w:rsidRPr="00BF00D2">
        <w:rPr>
          <w:sz w:val="20"/>
          <w:szCs w:val="20"/>
        </w:rPr>
        <w:t>P</w:t>
      </w:r>
      <w:r w:rsidR="00F40D98" w:rsidRPr="00BF00D2">
        <w:rPr>
          <w:sz w:val="20"/>
          <w:szCs w:val="20"/>
        </w:rPr>
        <w:t>resent study showed comparable</w:t>
      </w:r>
      <w:r w:rsidRPr="00BF00D2">
        <w:rPr>
          <w:sz w:val="20"/>
          <w:szCs w:val="20"/>
        </w:rPr>
        <w:t xml:space="preserve"> </w:t>
      </w:r>
      <w:r w:rsidR="00885E1B" w:rsidRPr="00BF00D2">
        <w:rPr>
          <w:sz w:val="20"/>
          <w:szCs w:val="20"/>
        </w:rPr>
        <w:t xml:space="preserve">sedimentation rate with </w:t>
      </w:r>
      <w:r w:rsidRPr="00BF00D2">
        <w:rPr>
          <w:sz w:val="20"/>
          <w:szCs w:val="20"/>
        </w:rPr>
        <w:t>Al - Oteibeh</w:t>
      </w:r>
      <w:r w:rsidR="007E49CE" w:rsidRPr="00BF00D2">
        <w:rPr>
          <w:sz w:val="20"/>
          <w:szCs w:val="20"/>
        </w:rPr>
        <w:t xml:space="preserve"> Lake</w:t>
      </w:r>
      <w:r w:rsidRPr="00BF00D2">
        <w:rPr>
          <w:sz w:val="20"/>
          <w:szCs w:val="20"/>
        </w:rPr>
        <w:t>, Syria</w:t>
      </w:r>
      <w:r w:rsidR="007E49CE" w:rsidRPr="00BF00D2">
        <w:rPr>
          <w:sz w:val="20"/>
          <w:szCs w:val="20"/>
        </w:rPr>
        <w:t xml:space="preserve"> </w:t>
      </w:r>
      <w:r w:rsidR="00F40D98" w:rsidRPr="00BF00D2">
        <w:rPr>
          <w:sz w:val="20"/>
          <w:szCs w:val="20"/>
        </w:rPr>
        <w:t xml:space="preserve">which is 0.100 – 0.79 </w:t>
      </w:r>
      <w:r w:rsidRPr="00BF00D2">
        <w:rPr>
          <w:sz w:val="20"/>
          <w:szCs w:val="20"/>
        </w:rPr>
        <w:t>cm y</w:t>
      </w:r>
      <w:r w:rsidRPr="00BF00D2">
        <w:rPr>
          <w:sz w:val="20"/>
          <w:szCs w:val="20"/>
          <w:vertAlign w:val="superscript"/>
        </w:rPr>
        <w:t>-1</w:t>
      </w:r>
      <w:r w:rsidR="00F40D98" w:rsidRPr="00BF00D2">
        <w:rPr>
          <w:sz w:val="20"/>
          <w:szCs w:val="20"/>
        </w:rPr>
        <w:t xml:space="preserve"> and</w:t>
      </w:r>
      <w:r w:rsidRPr="00BF00D2">
        <w:rPr>
          <w:sz w:val="20"/>
          <w:szCs w:val="20"/>
        </w:rPr>
        <w:t xml:space="preserve"> Lago Verde crater lake, Mexico which is </w:t>
      </w:r>
      <w:r w:rsidR="007E49CE" w:rsidRPr="00BF00D2">
        <w:rPr>
          <w:sz w:val="20"/>
          <w:szCs w:val="20"/>
        </w:rPr>
        <w:t>0.09 – 0.23 cm y</w:t>
      </w:r>
      <w:r w:rsidR="007E49CE" w:rsidRPr="00BF00D2">
        <w:rPr>
          <w:sz w:val="20"/>
          <w:szCs w:val="20"/>
          <w:vertAlign w:val="superscript"/>
        </w:rPr>
        <w:t>-1</w:t>
      </w:r>
      <w:r w:rsidR="00F40D98" w:rsidRPr="00BF00D2">
        <w:rPr>
          <w:sz w:val="20"/>
          <w:szCs w:val="20"/>
        </w:rPr>
        <w:t xml:space="preserve"> </w:t>
      </w:r>
      <w:r w:rsidR="00612BD0" w:rsidRPr="00BF00D2">
        <w:rPr>
          <w:sz w:val="20"/>
          <w:szCs w:val="20"/>
        </w:rPr>
        <w:t>[</w:t>
      </w:r>
      <w:r w:rsidR="00AB7489" w:rsidRPr="00BF00D2">
        <w:rPr>
          <w:sz w:val="20"/>
          <w:szCs w:val="20"/>
        </w:rPr>
        <w:t xml:space="preserve">2, </w:t>
      </w:r>
      <w:r w:rsidR="00421531" w:rsidRPr="00BF00D2">
        <w:rPr>
          <w:sz w:val="20"/>
          <w:szCs w:val="20"/>
        </w:rPr>
        <w:t>15</w:t>
      </w:r>
      <w:r w:rsidR="00612BD0" w:rsidRPr="00BF00D2">
        <w:rPr>
          <w:sz w:val="20"/>
          <w:szCs w:val="20"/>
        </w:rPr>
        <w:t>].</w:t>
      </w:r>
      <w:r w:rsidR="00F07AAB" w:rsidRPr="00BF00D2">
        <w:rPr>
          <w:sz w:val="20"/>
          <w:szCs w:val="20"/>
        </w:rPr>
        <w:t xml:space="preserve"> </w:t>
      </w:r>
    </w:p>
    <w:p w:rsidR="00160D63" w:rsidRPr="00BF00D2" w:rsidRDefault="00160D63" w:rsidP="00C62113">
      <w:pPr>
        <w:spacing w:line="480" w:lineRule="auto"/>
        <w:jc w:val="both"/>
      </w:pPr>
    </w:p>
    <w:p w:rsidR="002E77F9" w:rsidRPr="00BF00D2" w:rsidRDefault="002E77F9" w:rsidP="00875064">
      <w:pPr>
        <w:spacing w:line="480" w:lineRule="auto"/>
        <w:rPr>
          <w:noProof/>
        </w:rPr>
      </w:pPr>
      <w:r w:rsidRPr="00BF00D2">
        <w:rPr>
          <w:noProof/>
        </w:rPr>
        <w:t xml:space="preserve"> </w:t>
      </w:r>
      <w:r w:rsidR="00875064" w:rsidRPr="00BF00D2">
        <w:rPr>
          <w:noProof/>
        </w:rPr>
        <w:t xml:space="preserve"> </w:t>
      </w:r>
      <w:r w:rsidRPr="00BF00D2">
        <w:rPr>
          <w:noProof/>
        </w:rPr>
        <w:t xml:space="preserve">    </w:t>
      </w:r>
      <w:r w:rsidR="00340080" w:rsidRPr="00BF00D2">
        <w:rPr>
          <w:noProof/>
        </w:rPr>
        <w:drawing>
          <wp:inline distT="0" distB="0" distL="0" distR="0">
            <wp:extent cx="1794382" cy="1824355"/>
            <wp:effectExtent l="19050" t="0" r="15368" b="4445"/>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F00D2">
        <w:rPr>
          <w:noProof/>
        </w:rPr>
        <w:t xml:space="preserve">      </w:t>
      </w:r>
      <w:r w:rsidR="00F40D98" w:rsidRPr="00BF00D2">
        <w:rPr>
          <w:noProof/>
        </w:rPr>
        <w:t xml:space="preserve">   </w:t>
      </w:r>
      <w:r w:rsidRPr="00BF00D2">
        <w:rPr>
          <w:noProof/>
        </w:rPr>
        <w:t xml:space="preserve">   </w:t>
      </w:r>
      <w:r w:rsidR="00612BD0" w:rsidRPr="00BF00D2">
        <w:rPr>
          <w:noProof/>
        </w:rPr>
        <w:tab/>
      </w:r>
      <w:r w:rsidR="00612BD0" w:rsidRPr="00BF00D2">
        <w:rPr>
          <w:noProof/>
        </w:rPr>
        <w:tab/>
      </w:r>
      <w:r w:rsidRPr="00BF00D2">
        <w:rPr>
          <w:noProof/>
        </w:rPr>
        <w:t xml:space="preserve">      </w:t>
      </w:r>
      <w:r w:rsidR="00340080" w:rsidRPr="00BF00D2">
        <w:rPr>
          <w:noProof/>
        </w:rPr>
        <w:drawing>
          <wp:inline distT="0" distB="0" distL="0" distR="0">
            <wp:extent cx="1812080" cy="1822063"/>
            <wp:effectExtent l="19050" t="0" r="16720" b="6737"/>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77F9" w:rsidRPr="00BF00D2" w:rsidRDefault="002E77F9" w:rsidP="00612BD0">
      <w:pPr>
        <w:jc w:val="center"/>
        <w:rPr>
          <w:noProof/>
          <w:sz w:val="18"/>
          <w:szCs w:val="18"/>
        </w:rPr>
      </w:pPr>
      <w:r w:rsidRPr="00BF00D2">
        <w:rPr>
          <w:noProof/>
          <w:sz w:val="18"/>
          <w:szCs w:val="18"/>
        </w:rPr>
        <w:t>Figure 2: Profile of sedimentation rate in sediment cores</w:t>
      </w:r>
    </w:p>
    <w:p w:rsidR="00612BD0" w:rsidRPr="00BF00D2" w:rsidRDefault="00612BD0" w:rsidP="00612BD0">
      <w:pPr>
        <w:jc w:val="center"/>
        <w:rPr>
          <w:noProof/>
          <w:sz w:val="20"/>
          <w:szCs w:val="20"/>
        </w:rPr>
      </w:pPr>
    </w:p>
    <w:p w:rsidR="009D3DD3" w:rsidRPr="00BF00D2" w:rsidRDefault="002E77F9" w:rsidP="002A06E5">
      <w:pPr>
        <w:jc w:val="both"/>
        <w:rPr>
          <w:i/>
          <w:sz w:val="20"/>
          <w:szCs w:val="20"/>
        </w:rPr>
      </w:pPr>
      <w:r w:rsidRPr="00BF00D2">
        <w:rPr>
          <w:i/>
          <w:sz w:val="20"/>
          <w:szCs w:val="20"/>
        </w:rPr>
        <w:t xml:space="preserve">Sediment Chronology </w:t>
      </w:r>
    </w:p>
    <w:p w:rsidR="00160D63" w:rsidRPr="00BF00D2" w:rsidRDefault="00C13FFB" w:rsidP="00BE372C">
      <w:pPr>
        <w:autoSpaceDE w:val="0"/>
        <w:autoSpaceDN w:val="0"/>
        <w:adjustRightInd w:val="0"/>
        <w:jc w:val="both"/>
        <w:rPr>
          <w:sz w:val="20"/>
          <w:szCs w:val="20"/>
        </w:rPr>
      </w:pPr>
      <w:r w:rsidRPr="00BF00D2">
        <w:rPr>
          <w:sz w:val="20"/>
          <w:szCs w:val="20"/>
        </w:rPr>
        <w:t>C</w:t>
      </w:r>
      <w:r w:rsidR="009D3DD3" w:rsidRPr="00BF00D2">
        <w:rPr>
          <w:sz w:val="20"/>
          <w:szCs w:val="20"/>
        </w:rPr>
        <w:t>hronology</w:t>
      </w:r>
      <w:r w:rsidRPr="00BF00D2">
        <w:rPr>
          <w:sz w:val="20"/>
          <w:szCs w:val="20"/>
        </w:rPr>
        <w:t xml:space="preserve"> of sediment</w:t>
      </w:r>
      <w:r w:rsidR="009D3DD3" w:rsidRPr="00BF00D2">
        <w:rPr>
          <w:sz w:val="20"/>
          <w:szCs w:val="20"/>
        </w:rPr>
        <w:t xml:space="preserve"> was constructed using the CRS model</w:t>
      </w:r>
      <w:r w:rsidR="00EC08FE" w:rsidRPr="00BF00D2">
        <w:rPr>
          <w:sz w:val="20"/>
          <w:szCs w:val="20"/>
        </w:rPr>
        <w:t xml:space="preserve">. </w:t>
      </w:r>
      <w:r w:rsidR="00AA7447" w:rsidRPr="00BF00D2">
        <w:rPr>
          <w:sz w:val="20"/>
          <w:szCs w:val="20"/>
        </w:rPr>
        <w:t>This is d</w:t>
      </w:r>
      <w:r w:rsidR="009D3DD3" w:rsidRPr="00BF00D2">
        <w:rPr>
          <w:sz w:val="20"/>
          <w:szCs w:val="20"/>
        </w:rPr>
        <w:t xml:space="preserve">ue to </w:t>
      </w:r>
      <w:r w:rsidR="00EC08FE" w:rsidRPr="00BF00D2">
        <w:rPr>
          <w:sz w:val="20"/>
          <w:szCs w:val="20"/>
        </w:rPr>
        <w:t xml:space="preserve">the fact that </w:t>
      </w:r>
      <w:r w:rsidR="009D3DD3" w:rsidRPr="00BF00D2">
        <w:rPr>
          <w:sz w:val="20"/>
          <w:szCs w:val="20"/>
        </w:rPr>
        <w:t>som</w:t>
      </w:r>
      <w:r w:rsidR="00EC08FE" w:rsidRPr="00BF00D2">
        <w:rPr>
          <w:sz w:val="20"/>
          <w:szCs w:val="20"/>
        </w:rPr>
        <w:t>e sediment cores showed non–</w:t>
      </w:r>
      <w:r w:rsidR="009D3DD3" w:rsidRPr="00BF00D2">
        <w:rPr>
          <w:sz w:val="20"/>
          <w:szCs w:val="20"/>
        </w:rPr>
        <w:t>linea</w:t>
      </w:r>
      <w:r w:rsidR="003A0814" w:rsidRPr="00BF00D2">
        <w:rPr>
          <w:sz w:val="20"/>
          <w:szCs w:val="20"/>
        </w:rPr>
        <w:t>r characteristics. U</w:t>
      </w:r>
      <w:r w:rsidR="00BE372C" w:rsidRPr="00BF00D2">
        <w:rPr>
          <w:sz w:val="20"/>
          <w:szCs w:val="20"/>
        </w:rPr>
        <w:t>sing CRS model, those non–</w:t>
      </w:r>
      <w:r w:rsidR="009D3DD3" w:rsidRPr="00BF00D2">
        <w:rPr>
          <w:sz w:val="20"/>
          <w:szCs w:val="20"/>
        </w:rPr>
        <w:t>linear features be interpreted by assuming a constant net rate of Pb-210</w:t>
      </w:r>
      <w:r w:rsidR="009D3DD3" w:rsidRPr="00BF00D2">
        <w:rPr>
          <w:sz w:val="20"/>
          <w:szCs w:val="20"/>
          <w:vertAlign w:val="subscript"/>
        </w:rPr>
        <w:t>exc</w:t>
      </w:r>
      <w:r w:rsidR="009D3DD3" w:rsidRPr="00BF00D2">
        <w:rPr>
          <w:sz w:val="20"/>
          <w:szCs w:val="20"/>
        </w:rPr>
        <w:t xml:space="preserve"> supply from t</w:t>
      </w:r>
      <w:r w:rsidR="00612BD0" w:rsidRPr="00BF00D2">
        <w:rPr>
          <w:sz w:val="20"/>
          <w:szCs w:val="20"/>
        </w:rPr>
        <w:t>he lake waters to the sediment [</w:t>
      </w:r>
      <w:r w:rsidR="00421531" w:rsidRPr="00BF00D2">
        <w:rPr>
          <w:sz w:val="20"/>
          <w:szCs w:val="20"/>
        </w:rPr>
        <w:t>6</w:t>
      </w:r>
      <w:r w:rsidR="00612BD0" w:rsidRPr="00BF00D2">
        <w:rPr>
          <w:sz w:val="20"/>
          <w:szCs w:val="20"/>
        </w:rPr>
        <w:t>]</w:t>
      </w:r>
      <w:r w:rsidR="009D3DD3" w:rsidRPr="00BF00D2">
        <w:rPr>
          <w:sz w:val="20"/>
          <w:szCs w:val="20"/>
        </w:rPr>
        <w:t>.</w:t>
      </w:r>
      <w:r w:rsidR="00160D63" w:rsidRPr="00BF00D2">
        <w:rPr>
          <w:sz w:val="20"/>
          <w:szCs w:val="20"/>
        </w:rPr>
        <w:t xml:space="preserve"> Using</w:t>
      </w:r>
      <w:r w:rsidR="009D3DD3" w:rsidRPr="00BF00D2">
        <w:rPr>
          <w:sz w:val="20"/>
          <w:szCs w:val="20"/>
        </w:rPr>
        <w:t xml:space="preserve"> </w:t>
      </w:r>
      <w:r w:rsidR="00BE372C" w:rsidRPr="00BF00D2">
        <w:rPr>
          <w:sz w:val="20"/>
          <w:szCs w:val="20"/>
        </w:rPr>
        <w:t>the model</w:t>
      </w:r>
      <w:r w:rsidR="009D3DD3" w:rsidRPr="00BF00D2">
        <w:rPr>
          <w:sz w:val="20"/>
          <w:szCs w:val="20"/>
        </w:rPr>
        <w:t>, the supply of Pb-210</w:t>
      </w:r>
      <w:r w:rsidR="009D3DD3" w:rsidRPr="00BF00D2">
        <w:rPr>
          <w:sz w:val="20"/>
          <w:szCs w:val="20"/>
          <w:vertAlign w:val="subscript"/>
        </w:rPr>
        <w:t>exc</w:t>
      </w:r>
      <w:r w:rsidR="009D3DD3" w:rsidRPr="00BF00D2">
        <w:rPr>
          <w:sz w:val="20"/>
          <w:szCs w:val="20"/>
        </w:rPr>
        <w:t xml:space="preserve"> to the sediment surface is assumed constant and varying sedimentation rate between each depth. The model assumes no alteration after deposition of Pb-210, although terms of mixing and other diagenetic process can be incorporated</w:t>
      </w:r>
      <w:r w:rsidR="002A06E5" w:rsidRPr="00BF00D2">
        <w:rPr>
          <w:sz w:val="20"/>
          <w:szCs w:val="20"/>
        </w:rPr>
        <w:t xml:space="preserve"> into the calculation of dates [</w:t>
      </w:r>
      <w:r w:rsidR="00421531" w:rsidRPr="00BF00D2">
        <w:rPr>
          <w:sz w:val="20"/>
          <w:szCs w:val="20"/>
        </w:rPr>
        <w:t>16</w:t>
      </w:r>
      <w:r w:rsidR="002A06E5" w:rsidRPr="00BF00D2">
        <w:rPr>
          <w:sz w:val="20"/>
          <w:szCs w:val="20"/>
        </w:rPr>
        <w:t>].</w:t>
      </w:r>
      <w:r w:rsidR="009D3DD3" w:rsidRPr="00BF00D2">
        <w:rPr>
          <w:sz w:val="20"/>
          <w:szCs w:val="20"/>
        </w:rPr>
        <w:t xml:space="preserve"> The dating model for CRS calculation i</w:t>
      </w:r>
      <w:r w:rsidR="000E21D4" w:rsidRPr="00BF00D2">
        <w:rPr>
          <w:sz w:val="20"/>
          <w:szCs w:val="20"/>
        </w:rPr>
        <w:t>s expressed as in the equation 3</w:t>
      </w:r>
      <w:r w:rsidR="009D3DD3" w:rsidRPr="00BF00D2">
        <w:rPr>
          <w:sz w:val="20"/>
          <w:szCs w:val="20"/>
        </w:rPr>
        <w:t xml:space="preserve">. </w:t>
      </w:r>
      <w:r w:rsidR="00885E1B" w:rsidRPr="00BF00D2">
        <w:rPr>
          <w:sz w:val="20"/>
          <w:szCs w:val="20"/>
        </w:rPr>
        <w:t xml:space="preserve">Depth profiles of Pb-210 activity and metals concentration were determined from same cores. </w:t>
      </w:r>
      <w:r w:rsidR="00160D63" w:rsidRPr="00BF00D2">
        <w:rPr>
          <w:sz w:val="20"/>
          <w:szCs w:val="20"/>
        </w:rPr>
        <w:t>Sediment depth converted to time based and</w:t>
      </w:r>
      <w:r w:rsidR="00160D63" w:rsidRPr="00BF00D2">
        <w:rPr>
          <w:sz w:val="20"/>
          <w:szCs w:val="20"/>
          <w:vertAlign w:val="subscript"/>
        </w:rPr>
        <w:t xml:space="preserve"> </w:t>
      </w:r>
      <w:r w:rsidR="00160D63" w:rsidRPr="00BF00D2">
        <w:rPr>
          <w:sz w:val="20"/>
          <w:szCs w:val="20"/>
        </w:rPr>
        <w:t xml:space="preserve">used to date the sediment age then compare to metals contaminant within the period of time. </w:t>
      </w:r>
      <w:r w:rsidR="009D3DD3" w:rsidRPr="00BF00D2">
        <w:rPr>
          <w:sz w:val="20"/>
          <w:szCs w:val="20"/>
        </w:rPr>
        <w:t>The Pb-210 geochronology allowed the dating of sed</w:t>
      </w:r>
      <w:r w:rsidR="007E49CE" w:rsidRPr="00BF00D2">
        <w:rPr>
          <w:sz w:val="20"/>
          <w:szCs w:val="20"/>
        </w:rPr>
        <w:t>iments up to</w:t>
      </w:r>
      <w:r w:rsidR="009D3DD3" w:rsidRPr="00BF00D2">
        <w:rPr>
          <w:sz w:val="20"/>
          <w:szCs w:val="20"/>
        </w:rPr>
        <w:t xml:space="preserve"> depth of 18 cm, </w:t>
      </w:r>
      <w:r w:rsidR="004C7074" w:rsidRPr="00BF00D2">
        <w:rPr>
          <w:sz w:val="20"/>
          <w:szCs w:val="20"/>
        </w:rPr>
        <w:t>corresponding to a period of ~ 4</w:t>
      </w:r>
      <w:r w:rsidR="009D3DD3" w:rsidRPr="00BF00D2">
        <w:rPr>
          <w:sz w:val="20"/>
          <w:szCs w:val="20"/>
        </w:rPr>
        <w:t>0 years</w:t>
      </w:r>
      <w:r w:rsidR="00926E52" w:rsidRPr="00BF00D2">
        <w:rPr>
          <w:sz w:val="20"/>
          <w:szCs w:val="20"/>
        </w:rPr>
        <w:t xml:space="preserve"> as showed in Table </w:t>
      </w:r>
      <w:r w:rsidR="002E77F9" w:rsidRPr="00BF00D2">
        <w:rPr>
          <w:sz w:val="20"/>
          <w:szCs w:val="20"/>
        </w:rPr>
        <w:t>4</w:t>
      </w:r>
      <w:r w:rsidR="0071166D" w:rsidRPr="00BF00D2">
        <w:rPr>
          <w:sz w:val="20"/>
          <w:szCs w:val="20"/>
        </w:rPr>
        <w:t xml:space="preserve">. </w:t>
      </w:r>
      <w:r w:rsidR="00160D63" w:rsidRPr="00BF00D2">
        <w:rPr>
          <w:sz w:val="20"/>
          <w:szCs w:val="20"/>
        </w:rPr>
        <w:t>Age of sediment core calculated using Pb-210 dating method yields reasonably precise date from ~1940 to present. S1 and S2 showed age of sediment nearly to each other. Age of sediment for core S1 and S2 showed sediment ages ranged 1940 to 2004 and 1939 – 2003 respectively.</w:t>
      </w:r>
    </w:p>
    <w:p w:rsidR="00075953" w:rsidRPr="00BF00D2" w:rsidRDefault="00075953" w:rsidP="002A06E5">
      <w:pPr>
        <w:jc w:val="both"/>
        <w:rPr>
          <w:sz w:val="20"/>
          <w:szCs w:val="20"/>
        </w:rPr>
      </w:pPr>
    </w:p>
    <w:p w:rsidR="00160D63" w:rsidRPr="00BF00D2" w:rsidRDefault="00160D63" w:rsidP="00075953">
      <w:pPr>
        <w:jc w:val="center"/>
        <w:rPr>
          <w:sz w:val="18"/>
          <w:szCs w:val="18"/>
        </w:rPr>
      </w:pPr>
      <w:r w:rsidRPr="00BF00D2">
        <w:rPr>
          <w:sz w:val="18"/>
          <w:szCs w:val="18"/>
        </w:rPr>
        <w:t>Table 4: Chronology of sediment age with function of depth</w:t>
      </w:r>
    </w:p>
    <w:tbl>
      <w:tblPr>
        <w:tblW w:w="0" w:type="auto"/>
        <w:jc w:val="center"/>
        <w:tblBorders>
          <w:top w:val="single" w:sz="8" w:space="0" w:color="000000"/>
          <w:bottom w:val="single" w:sz="8" w:space="0" w:color="000000"/>
        </w:tblBorders>
        <w:tblLayout w:type="fixed"/>
        <w:tblLook w:val="04A0"/>
      </w:tblPr>
      <w:tblGrid>
        <w:gridCol w:w="2790"/>
        <w:gridCol w:w="1800"/>
        <w:gridCol w:w="1980"/>
      </w:tblGrid>
      <w:tr w:rsidR="00160D63" w:rsidRPr="00BF00D2">
        <w:trPr>
          <w:jc w:val="center"/>
        </w:trPr>
        <w:tc>
          <w:tcPr>
            <w:tcW w:w="2790" w:type="dxa"/>
            <w:tcBorders>
              <w:top w:val="single" w:sz="8" w:space="0" w:color="000000"/>
              <w:left w:val="nil"/>
              <w:bottom w:val="single" w:sz="8" w:space="0" w:color="000000"/>
              <w:right w:val="nil"/>
            </w:tcBorders>
          </w:tcPr>
          <w:p w:rsidR="00160D63" w:rsidRPr="00BF00D2" w:rsidRDefault="00160D63" w:rsidP="00410C88">
            <w:pPr>
              <w:spacing w:line="360" w:lineRule="auto"/>
              <w:jc w:val="center"/>
              <w:rPr>
                <w:b/>
                <w:bCs/>
                <w:sz w:val="20"/>
                <w:szCs w:val="20"/>
              </w:rPr>
            </w:pPr>
            <w:r w:rsidRPr="00BF00D2">
              <w:rPr>
                <w:b/>
                <w:bCs/>
                <w:sz w:val="20"/>
                <w:szCs w:val="20"/>
              </w:rPr>
              <w:t>Depth (cm)</w:t>
            </w:r>
            <w:r w:rsidR="001926FA" w:rsidRPr="00BF00D2">
              <w:rPr>
                <w:b/>
                <w:bCs/>
                <w:sz w:val="20"/>
                <w:szCs w:val="20"/>
              </w:rPr>
              <w:t xml:space="preserve"> </w:t>
            </w:r>
            <w:r w:rsidRPr="00BF00D2">
              <w:rPr>
                <w:b/>
                <w:bCs/>
                <w:sz w:val="20"/>
                <w:szCs w:val="20"/>
              </w:rPr>
              <w:t>/ Point</w:t>
            </w:r>
          </w:p>
        </w:tc>
        <w:tc>
          <w:tcPr>
            <w:tcW w:w="1800" w:type="dxa"/>
            <w:tcBorders>
              <w:top w:val="single" w:sz="8" w:space="0" w:color="000000"/>
              <w:left w:val="nil"/>
              <w:bottom w:val="single" w:sz="8" w:space="0" w:color="000000"/>
              <w:right w:val="nil"/>
            </w:tcBorders>
          </w:tcPr>
          <w:p w:rsidR="00160D63" w:rsidRPr="00BF00D2" w:rsidRDefault="00160D63" w:rsidP="00410C88">
            <w:pPr>
              <w:spacing w:line="360" w:lineRule="auto"/>
              <w:jc w:val="center"/>
              <w:rPr>
                <w:b/>
                <w:bCs/>
                <w:sz w:val="20"/>
                <w:szCs w:val="20"/>
              </w:rPr>
            </w:pPr>
            <w:r w:rsidRPr="00BF00D2">
              <w:rPr>
                <w:b/>
                <w:bCs/>
                <w:sz w:val="20"/>
                <w:szCs w:val="20"/>
              </w:rPr>
              <w:t>S1</w:t>
            </w:r>
          </w:p>
        </w:tc>
        <w:tc>
          <w:tcPr>
            <w:tcW w:w="1980" w:type="dxa"/>
            <w:tcBorders>
              <w:top w:val="single" w:sz="8" w:space="0" w:color="000000"/>
              <w:left w:val="nil"/>
              <w:bottom w:val="single" w:sz="8" w:space="0" w:color="000000"/>
              <w:right w:val="nil"/>
            </w:tcBorders>
          </w:tcPr>
          <w:p w:rsidR="00160D63" w:rsidRPr="00BF00D2" w:rsidRDefault="00160D63" w:rsidP="00410C88">
            <w:pPr>
              <w:spacing w:line="360" w:lineRule="auto"/>
              <w:jc w:val="center"/>
              <w:rPr>
                <w:b/>
                <w:bCs/>
                <w:sz w:val="20"/>
                <w:szCs w:val="20"/>
              </w:rPr>
            </w:pPr>
            <w:r w:rsidRPr="00BF00D2">
              <w:rPr>
                <w:b/>
                <w:bCs/>
                <w:sz w:val="20"/>
                <w:szCs w:val="20"/>
              </w:rPr>
              <w:t>S2</w:t>
            </w:r>
          </w:p>
        </w:tc>
      </w:tr>
      <w:tr w:rsidR="00160D63" w:rsidRPr="00BF00D2" w:rsidTr="000F1AE8">
        <w:trPr>
          <w:jc w:val="center"/>
        </w:trPr>
        <w:tc>
          <w:tcPr>
            <w:tcW w:w="2790" w:type="dxa"/>
            <w:tcBorders>
              <w:left w:val="nil"/>
              <w:right w:val="nil"/>
            </w:tcBorders>
            <w:shd w:val="clear" w:color="auto" w:fill="auto"/>
          </w:tcPr>
          <w:p w:rsidR="00160D63" w:rsidRPr="00BF00D2" w:rsidRDefault="00160D63" w:rsidP="00410C88">
            <w:pPr>
              <w:spacing w:line="360" w:lineRule="auto"/>
              <w:jc w:val="center"/>
              <w:rPr>
                <w:bCs/>
                <w:sz w:val="20"/>
                <w:szCs w:val="20"/>
              </w:rPr>
            </w:pPr>
            <w:r w:rsidRPr="00BF00D2">
              <w:rPr>
                <w:bCs/>
                <w:sz w:val="20"/>
                <w:szCs w:val="20"/>
              </w:rPr>
              <w:t>2</w:t>
            </w:r>
          </w:p>
        </w:tc>
        <w:tc>
          <w:tcPr>
            <w:tcW w:w="180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2004</w:t>
            </w:r>
          </w:p>
        </w:tc>
        <w:tc>
          <w:tcPr>
            <w:tcW w:w="198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2003</w:t>
            </w:r>
          </w:p>
        </w:tc>
      </w:tr>
      <w:tr w:rsidR="00160D63" w:rsidRPr="00BF00D2" w:rsidTr="000F1AE8">
        <w:trPr>
          <w:jc w:val="center"/>
        </w:trPr>
        <w:tc>
          <w:tcPr>
            <w:tcW w:w="2790" w:type="dxa"/>
            <w:shd w:val="clear" w:color="auto" w:fill="auto"/>
          </w:tcPr>
          <w:p w:rsidR="00160D63" w:rsidRPr="00BF00D2" w:rsidRDefault="00160D63" w:rsidP="00410C88">
            <w:pPr>
              <w:spacing w:line="360" w:lineRule="auto"/>
              <w:jc w:val="center"/>
              <w:rPr>
                <w:bCs/>
                <w:sz w:val="20"/>
                <w:szCs w:val="20"/>
              </w:rPr>
            </w:pPr>
            <w:r w:rsidRPr="00BF00D2">
              <w:rPr>
                <w:bCs/>
                <w:sz w:val="20"/>
                <w:szCs w:val="20"/>
              </w:rPr>
              <w:t>4</w:t>
            </w:r>
          </w:p>
        </w:tc>
        <w:tc>
          <w:tcPr>
            <w:tcW w:w="1800" w:type="dxa"/>
            <w:shd w:val="clear" w:color="auto" w:fill="auto"/>
          </w:tcPr>
          <w:p w:rsidR="00160D63" w:rsidRPr="00BF00D2" w:rsidRDefault="00160D63" w:rsidP="00410C88">
            <w:pPr>
              <w:spacing w:line="360" w:lineRule="auto"/>
              <w:jc w:val="center"/>
              <w:rPr>
                <w:sz w:val="20"/>
                <w:szCs w:val="20"/>
              </w:rPr>
            </w:pPr>
            <w:r w:rsidRPr="00BF00D2">
              <w:rPr>
                <w:sz w:val="20"/>
                <w:szCs w:val="20"/>
              </w:rPr>
              <w:t>2000</w:t>
            </w:r>
          </w:p>
        </w:tc>
        <w:tc>
          <w:tcPr>
            <w:tcW w:w="1980" w:type="dxa"/>
            <w:shd w:val="clear" w:color="auto" w:fill="auto"/>
          </w:tcPr>
          <w:p w:rsidR="00160D63" w:rsidRPr="00BF00D2" w:rsidRDefault="00160D63" w:rsidP="00410C88">
            <w:pPr>
              <w:spacing w:line="360" w:lineRule="auto"/>
              <w:jc w:val="center"/>
              <w:rPr>
                <w:sz w:val="20"/>
                <w:szCs w:val="20"/>
              </w:rPr>
            </w:pPr>
            <w:r w:rsidRPr="00BF00D2">
              <w:rPr>
                <w:sz w:val="20"/>
                <w:szCs w:val="20"/>
              </w:rPr>
              <w:t>1998</w:t>
            </w:r>
          </w:p>
        </w:tc>
      </w:tr>
      <w:tr w:rsidR="00160D63" w:rsidRPr="00BF00D2" w:rsidTr="000F1AE8">
        <w:trPr>
          <w:jc w:val="center"/>
        </w:trPr>
        <w:tc>
          <w:tcPr>
            <w:tcW w:w="2790" w:type="dxa"/>
            <w:tcBorders>
              <w:left w:val="nil"/>
              <w:right w:val="nil"/>
            </w:tcBorders>
            <w:shd w:val="clear" w:color="auto" w:fill="auto"/>
          </w:tcPr>
          <w:p w:rsidR="00160D63" w:rsidRPr="00BF00D2" w:rsidRDefault="00160D63" w:rsidP="00410C88">
            <w:pPr>
              <w:spacing w:line="360" w:lineRule="auto"/>
              <w:jc w:val="center"/>
              <w:rPr>
                <w:bCs/>
                <w:sz w:val="20"/>
                <w:szCs w:val="20"/>
              </w:rPr>
            </w:pPr>
            <w:r w:rsidRPr="00BF00D2">
              <w:rPr>
                <w:bCs/>
                <w:sz w:val="20"/>
                <w:szCs w:val="20"/>
              </w:rPr>
              <w:t>6</w:t>
            </w:r>
          </w:p>
        </w:tc>
        <w:tc>
          <w:tcPr>
            <w:tcW w:w="180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1994</w:t>
            </w:r>
          </w:p>
        </w:tc>
        <w:tc>
          <w:tcPr>
            <w:tcW w:w="198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1991</w:t>
            </w:r>
          </w:p>
        </w:tc>
      </w:tr>
      <w:tr w:rsidR="00160D63" w:rsidRPr="00BF00D2" w:rsidTr="000F1AE8">
        <w:trPr>
          <w:jc w:val="center"/>
        </w:trPr>
        <w:tc>
          <w:tcPr>
            <w:tcW w:w="2790" w:type="dxa"/>
            <w:shd w:val="clear" w:color="auto" w:fill="auto"/>
          </w:tcPr>
          <w:p w:rsidR="00160D63" w:rsidRPr="00BF00D2" w:rsidRDefault="00160D63" w:rsidP="00410C88">
            <w:pPr>
              <w:spacing w:line="360" w:lineRule="auto"/>
              <w:jc w:val="center"/>
              <w:rPr>
                <w:bCs/>
                <w:sz w:val="20"/>
                <w:szCs w:val="20"/>
              </w:rPr>
            </w:pPr>
            <w:r w:rsidRPr="00BF00D2">
              <w:rPr>
                <w:bCs/>
                <w:sz w:val="20"/>
                <w:szCs w:val="20"/>
              </w:rPr>
              <w:t>8</w:t>
            </w:r>
          </w:p>
        </w:tc>
        <w:tc>
          <w:tcPr>
            <w:tcW w:w="1800" w:type="dxa"/>
            <w:shd w:val="clear" w:color="auto" w:fill="auto"/>
          </w:tcPr>
          <w:p w:rsidR="00160D63" w:rsidRPr="00BF00D2" w:rsidRDefault="00160D63" w:rsidP="00410C88">
            <w:pPr>
              <w:spacing w:line="360" w:lineRule="auto"/>
              <w:jc w:val="center"/>
              <w:rPr>
                <w:sz w:val="20"/>
                <w:szCs w:val="20"/>
              </w:rPr>
            </w:pPr>
            <w:r w:rsidRPr="00BF00D2">
              <w:rPr>
                <w:sz w:val="20"/>
                <w:szCs w:val="20"/>
              </w:rPr>
              <w:t>1990</w:t>
            </w:r>
          </w:p>
        </w:tc>
        <w:tc>
          <w:tcPr>
            <w:tcW w:w="1980" w:type="dxa"/>
            <w:shd w:val="clear" w:color="auto" w:fill="auto"/>
          </w:tcPr>
          <w:p w:rsidR="00160D63" w:rsidRPr="00BF00D2" w:rsidRDefault="00160D63" w:rsidP="00410C88">
            <w:pPr>
              <w:spacing w:line="360" w:lineRule="auto"/>
              <w:jc w:val="center"/>
              <w:rPr>
                <w:sz w:val="20"/>
                <w:szCs w:val="20"/>
              </w:rPr>
            </w:pPr>
            <w:r w:rsidRPr="00BF00D2">
              <w:rPr>
                <w:sz w:val="20"/>
                <w:szCs w:val="20"/>
              </w:rPr>
              <w:t>1989</w:t>
            </w:r>
          </w:p>
        </w:tc>
      </w:tr>
      <w:tr w:rsidR="00160D63" w:rsidRPr="00BF00D2" w:rsidTr="000F1AE8">
        <w:trPr>
          <w:jc w:val="center"/>
        </w:trPr>
        <w:tc>
          <w:tcPr>
            <w:tcW w:w="2790" w:type="dxa"/>
            <w:tcBorders>
              <w:left w:val="nil"/>
              <w:right w:val="nil"/>
            </w:tcBorders>
            <w:shd w:val="clear" w:color="auto" w:fill="auto"/>
          </w:tcPr>
          <w:p w:rsidR="00160D63" w:rsidRPr="00BF00D2" w:rsidRDefault="00160D63" w:rsidP="00410C88">
            <w:pPr>
              <w:spacing w:line="360" w:lineRule="auto"/>
              <w:jc w:val="center"/>
              <w:rPr>
                <w:bCs/>
                <w:sz w:val="20"/>
                <w:szCs w:val="20"/>
              </w:rPr>
            </w:pPr>
            <w:r w:rsidRPr="00BF00D2">
              <w:rPr>
                <w:bCs/>
                <w:sz w:val="20"/>
                <w:szCs w:val="20"/>
              </w:rPr>
              <w:t>10</w:t>
            </w:r>
          </w:p>
        </w:tc>
        <w:tc>
          <w:tcPr>
            <w:tcW w:w="180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1984</w:t>
            </w:r>
          </w:p>
        </w:tc>
        <w:tc>
          <w:tcPr>
            <w:tcW w:w="198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1980</w:t>
            </w:r>
          </w:p>
        </w:tc>
      </w:tr>
      <w:tr w:rsidR="00160D63" w:rsidRPr="00BF00D2" w:rsidTr="000F1AE8">
        <w:trPr>
          <w:jc w:val="center"/>
        </w:trPr>
        <w:tc>
          <w:tcPr>
            <w:tcW w:w="2790" w:type="dxa"/>
            <w:shd w:val="clear" w:color="auto" w:fill="auto"/>
          </w:tcPr>
          <w:p w:rsidR="00160D63" w:rsidRPr="00BF00D2" w:rsidRDefault="00160D63" w:rsidP="00410C88">
            <w:pPr>
              <w:spacing w:line="360" w:lineRule="auto"/>
              <w:jc w:val="center"/>
              <w:rPr>
                <w:bCs/>
                <w:sz w:val="20"/>
                <w:szCs w:val="20"/>
              </w:rPr>
            </w:pPr>
            <w:r w:rsidRPr="00BF00D2">
              <w:rPr>
                <w:bCs/>
                <w:sz w:val="20"/>
                <w:szCs w:val="20"/>
              </w:rPr>
              <w:t>12</w:t>
            </w:r>
          </w:p>
        </w:tc>
        <w:tc>
          <w:tcPr>
            <w:tcW w:w="1800" w:type="dxa"/>
            <w:shd w:val="clear" w:color="auto" w:fill="auto"/>
          </w:tcPr>
          <w:p w:rsidR="00160D63" w:rsidRPr="00BF00D2" w:rsidRDefault="00160D63" w:rsidP="00410C88">
            <w:pPr>
              <w:spacing w:line="360" w:lineRule="auto"/>
              <w:jc w:val="center"/>
              <w:rPr>
                <w:sz w:val="20"/>
                <w:szCs w:val="20"/>
              </w:rPr>
            </w:pPr>
            <w:r w:rsidRPr="00BF00D2">
              <w:rPr>
                <w:sz w:val="20"/>
                <w:szCs w:val="20"/>
              </w:rPr>
              <w:t>1978</w:t>
            </w:r>
          </w:p>
        </w:tc>
        <w:tc>
          <w:tcPr>
            <w:tcW w:w="1980" w:type="dxa"/>
            <w:shd w:val="clear" w:color="auto" w:fill="auto"/>
          </w:tcPr>
          <w:p w:rsidR="00160D63" w:rsidRPr="00BF00D2" w:rsidRDefault="00160D63" w:rsidP="00410C88">
            <w:pPr>
              <w:spacing w:line="360" w:lineRule="auto"/>
              <w:jc w:val="center"/>
              <w:rPr>
                <w:sz w:val="20"/>
                <w:szCs w:val="20"/>
              </w:rPr>
            </w:pPr>
            <w:r w:rsidRPr="00BF00D2">
              <w:rPr>
                <w:sz w:val="20"/>
                <w:szCs w:val="20"/>
              </w:rPr>
              <w:t>1977</w:t>
            </w:r>
          </w:p>
        </w:tc>
      </w:tr>
      <w:tr w:rsidR="00160D63" w:rsidRPr="00BF00D2" w:rsidTr="000F1AE8">
        <w:trPr>
          <w:jc w:val="center"/>
        </w:trPr>
        <w:tc>
          <w:tcPr>
            <w:tcW w:w="2790" w:type="dxa"/>
            <w:tcBorders>
              <w:left w:val="nil"/>
              <w:right w:val="nil"/>
            </w:tcBorders>
            <w:shd w:val="clear" w:color="auto" w:fill="auto"/>
          </w:tcPr>
          <w:p w:rsidR="00160D63" w:rsidRPr="00BF00D2" w:rsidRDefault="00160D63" w:rsidP="00410C88">
            <w:pPr>
              <w:spacing w:line="360" w:lineRule="auto"/>
              <w:jc w:val="center"/>
              <w:rPr>
                <w:bCs/>
                <w:sz w:val="20"/>
                <w:szCs w:val="20"/>
              </w:rPr>
            </w:pPr>
            <w:r w:rsidRPr="00BF00D2">
              <w:rPr>
                <w:bCs/>
                <w:sz w:val="20"/>
                <w:szCs w:val="20"/>
              </w:rPr>
              <w:t>14</w:t>
            </w:r>
          </w:p>
        </w:tc>
        <w:tc>
          <w:tcPr>
            <w:tcW w:w="180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1970</w:t>
            </w:r>
          </w:p>
        </w:tc>
        <w:tc>
          <w:tcPr>
            <w:tcW w:w="198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1968</w:t>
            </w:r>
          </w:p>
        </w:tc>
      </w:tr>
      <w:tr w:rsidR="00160D63" w:rsidRPr="00BF00D2" w:rsidTr="000F1AE8">
        <w:trPr>
          <w:jc w:val="center"/>
        </w:trPr>
        <w:tc>
          <w:tcPr>
            <w:tcW w:w="2790" w:type="dxa"/>
            <w:shd w:val="clear" w:color="auto" w:fill="auto"/>
          </w:tcPr>
          <w:p w:rsidR="00160D63" w:rsidRPr="00BF00D2" w:rsidRDefault="00160D63" w:rsidP="00410C88">
            <w:pPr>
              <w:spacing w:line="360" w:lineRule="auto"/>
              <w:jc w:val="center"/>
              <w:rPr>
                <w:bCs/>
                <w:sz w:val="20"/>
                <w:szCs w:val="20"/>
              </w:rPr>
            </w:pPr>
            <w:r w:rsidRPr="00BF00D2">
              <w:rPr>
                <w:bCs/>
                <w:sz w:val="20"/>
                <w:szCs w:val="20"/>
              </w:rPr>
              <w:t>16</w:t>
            </w:r>
          </w:p>
        </w:tc>
        <w:tc>
          <w:tcPr>
            <w:tcW w:w="1800" w:type="dxa"/>
            <w:shd w:val="clear" w:color="auto" w:fill="auto"/>
          </w:tcPr>
          <w:p w:rsidR="00160D63" w:rsidRPr="00BF00D2" w:rsidRDefault="00160D63" w:rsidP="00410C88">
            <w:pPr>
              <w:spacing w:line="360" w:lineRule="auto"/>
              <w:jc w:val="center"/>
              <w:rPr>
                <w:sz w:val="20"/>
                <w:szCs w:val="20"/>
              </w:rPr>
            </w:pPr>
            <w:r w:rsidRPr="00BF00D2">
              <w:rPr>
                <w:sz w:val="20"/>
                <w:szCs w:val="20"/>
              </w:rPr>
              <w:t>1959</w:t>
            </w:r>
          </w:p>
        </w:tc>
        <w:tc>
          <w:tcPr>
            <w:tcW w:w="1980" w:type="dxa"/>
            <w:shd w:val="clear" w:color="auto" w:fill="auto"/>
          </w:tcPr>
          <w:p w:rsidR="00160D63" w:rsidRPr="00BF00D2" w:rsidRDefault="00160D63" w:rsidP="00410C88">
            <w:pPr>
              <w:spacing w:line="360" w:lineRule="auto"/>
              <w:jc w:val="center"/>
              <w:rPr>
                <w:sz w:val="20"/>
                <w:szCs w:val="20"/>
              </w:rPr>
            </w:pPr>
            <w:r w:rsidRPr="00BF00D2">
              <w:rPr>
                <w:sz w:val="20"/>
                <w:szCs w:val="20"/>
              </w:rPr>
              <w:t>1957</w:t>
            </w:r>
          </w:p>
        </w:tc>
      </w:tr>
      <w:tr w:rsidR="00160D63" w:rsidRPr="00BF00D2" w:rsidTr="000F1AE8">
        <w:trPr>
          <w:jc w:val="center"/>
        </w:trPr>
        <w:tc>
          <w:tcPr>
            <w:tcW w:w="2790" w:type="dxa"/>
            <w:tcBorders>
              <w:left w:val="nil"/>
              <w:right w:val="nil"/>
            </w:tcBorders>
            <w:shd w:val="clear" w:color="auto" w:fill="auto"/>
          </w:tcPr>
          <w:p w:rsidR="00160D63" w:rsidRPr="00BF00D2" w:rsidRDefault="00160D63" w:rsidP="00410C88">
            <w:pPr>
              <w:spacing w:line="360" w:lineRule="auto"/>
              <w:jc w:val="center"/>
              <w:rPr>
                <w:bCs/>
                <w:sz w:val="20"/>
                <w:szCs w:val="20"/>
              </w:rPr>
            </w:pPr>
            <w:r w:rsidRPr="00BF00D2">
              <w:rPr>
                <w:bCs/>
                <w:sz w:val="20"/>
                <w:szCs w:val="20"/>
              </w:rPr>
              <w:t>18</w:t>
            </w:r>
          </w:p>
        </w:tc>
        <w:tc>
          <w:tcPr>
            <w:tcW w:w="180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1940</w:t>
            </w:r>
          </w:p>
        </w:tc>
        <w:tc>
          <w:tcPr>
            <w:tcW w:w="1980" w:type="dxa"/>
            <w:tcBorders>
              <w:left w:val="nil"/>
              <w:right w:val="nil"/>
            </w:tcBorders>
            <w:shd w:val="clear" w:color="auto" w:fill="auto"/>
          </w:tcPr>
          <w:p w:rsidR="00160D63" w:rsidRPr="00BF00D2" w:rsidRDefault="00160D63" w:rsidP="00410C88">
            <w:pPr>
              <w:spacing w:line="360" w:lineRule="auto"/>
              <w:jc w:val="center"/>
              <w:rPr>
                <w:sz w:val="20"/>
                <w:szCs w:val="20"/>
              </w:rPr>
            </w:pPr>
            <w:r w:rsidRPr="00BF00D2">
              <w:rPr>
                <w:sz w:val="20"/>
                <w:szCs w:val="20"/>
              </w:rPr>
              <w:t>1939</w:t>
            </w:r>
          </w:p>
        </w:tc>
      </w:tr>
    </w:tbl>
    <w:p w:rsidR="00BE1629" w:rsidRPr="00BF00D2" w:rsidRDefault="00BE1629" w:rsidP="002A06E5">
      <w:pPr>
        <w:jc w:val="both"/>
        <w:rPr>
          <w:sz w:val="20"/>
          <w:szCs w:val="20"/>
        </w:rPr>
      </w:pPr>
    </w:p>
    <w:p w:rsidR="00125053" w:rsidRPr="00BF00D2" w:rsidRDefault="00F40D98" w:rsidP="002A06E5">
      <w:pPr>
        <w:jc w:val="both"/>
        <w:rPr>
          <w:sz w:val="20"/>
          <w:szCs w:val="20"/>
        </w:rPr>
      </w:pPr>
      <w:r w:rsidRPr="00BF00D2">
        <w:rPr>
          <w:sz w:val="20"/>
          <w:szCs w:val="20"/>
        </w:rPr>
        <w:t>Depth profiles</w:t>
      </w:r>
      <w:r w:rsidR="00D74A9E" w:rsidRPr="00BF00D2">
        <w:rPr>
          <w:sz w:val="20"/>
          <w:szCs w:val="20"/>
        </w:rPr>
        <w:t xml:space="preserve"> </w:t>
      </w:r>
      <w:r w:rsidRPr="00BF00D2">
        <w:rPr>
          <w:sz w:val="20"/>
          <w:szCs w:val="20"/>
        </w:rPr>
        <w:t xml:space="preserve">of </w:t>
      </w:r>
      <w:r w:rsidR="00410C88" w:rsidRPr="00BF00D2">
        <w:rPr>
          <w:sz w:val="20"/>
          <w:szCs w:val="20"/>
        </w:rPr>
        <w:t xml:space="preserve">anthropogenic </w:t>
      </w:r>
      <w:r w:rsidRPr="00BF00D2">
        <w:rPr>
          <w:sz w:val="20"/>
          <w:szCs w:val="20"/>
        </w:rPr>
        <w:t>m</w:t>
      </w:r>
      <w:r w:rsidR="00D74A9E" w:rsidRPr="00BF00D2">
        <w:rPr>
          <w:sz w:val="20"/>
          <w:szCs w:val="20"/>
        </w:rPr>
        <w:t xml:space="preserve">etal elements </w:t>
      </w:r>
      <w:r w:rsidR="00160D63" w:rsidRPr="00BF00D2">
        <w:rPr>
          <w:sz w:val="20"/>
          <w:szCs w:val="20"/>
        </w:rPr>
        <w:t xml:space="preserve">concentration </w:t>
      </w:r>
      <w:r w:rsidR="00D74A9E" w:rsidRPr="00BF00D2">
        <w:rPr>
          <w:sz w:val="20"/>
          <w:szCs w:val="20"/>
        </w:rPr>
        <w:t>with age</w:t>
      </w:r>
      <w:r w:rsidR="00160D63" w:rsidRPr="00BF00D2">
        <w:rPr>
          <w:sz w:val="20"/>
          <w:szCs w:val="20"/>
        </w:rPr>
        <w:t xml:space="preserve"> </w:t>
      </w:r>
      <w:r w:rsidR="00410C88" w:rsidRPr="00BF00D2">
        <w:rPr>
          <w:sz w:val="20"/>
          <w:szCs w:val="20"/>
        </w:rPr>
        <w:t xml:space="preserve">are </w:t>
      </w:r>
      <w:r w:rsidR="00160D63" w:rsidRPr="00BF00D2">
        <w:rPr>
          <w:sz w:val="20"/>
          <w:szCs w:val="20"/>
        </w:rPr>
        <w:t xml:space="preserve">showed in Figure 3 and Figure 4. </w:t>
      </w:r>
      <w:r w:rsidR="00D74A9E" w:rsidRPr="00BF00D2">
        <w:rPr>
          <w:sz w:val="20"/>
          <w:szCs w:val="20"/>
        </w:rPr>
        <w:t xml:space="preserve"> </w:t>
      </w:r>
      <w:r w:rsidR="009D3DD3" w:rsidRPr="00BF00D2">
        <w:rPr>
          <w:sz w:val="20"/>
          <w:szCs w:val="20"/>
        </w:rPr>
        <w:t xml:space="preserve">Range of Arsenic </w:t>
      </w:r>
      <w:r w:rsidR="00227D60" w:rsidRPr="00BF00D2">
        <w:rPr>
          <w:sz w:val="20"/>
          <w:szCs w:val="20"/>
        </w:rPr>
        <w:t xml:space="preserve">(As) </w:t>
      </w:r>
      <w:r w:rsidR="00D74A9E" w:rsidRPr="00BF00D2">
        <w:rPr>
          <w:sz w:val="20"/>
          <w:szCs w:val="20"/>
        </w:rPr>
        <w:t xml:space="preserve">and Zinc (Zn) </w:t>
      </w:r>
      <w:r w:rsidR="009D3DD3" w:rsidRPr="00BF00D2">
        <w:rPr>
          <w:sz w:val="20"/>
          <w:szCs w:val="20"/>
        </w:rPr>
        <w:t>concentration</w:t>
      </w:r>
      <w:r w:rsidR="006B6973" w:rsidRPr="00BF00D2">
        <w:rPr>
          <w:sz w:val="20"/>
          <w:szCs w:val="20"/>
        </w:rPr>
        <w:t xml:space="preserve"> with</w:t>
      </w:r>
      <w:r w:rsidR="00227D60" w:rsidRPr="00BF00D2">
        <w:rPr>
          <w:sz w:val="20"/>
          <w:szCs w:val="20"/>
        </w:rPr>
        <w:t xml:space="preserve"> mean value</w:t>
      </w:r>
      <w:r w:rsidR="009D3DD3" w:rsidRPr="00BF00D2">
        <w:rPr>
          <w:sz w:val="20"/>
          <w:szCs w:val="20"/>
        </w:rPr>
        <w:t xml:space="preserve"> for S1 </w:t>
      </w:r>
      <w:r w:rsidR="003A0814" w:rsidRPr="00BF00D2">
        <w:rPr>
          <w:sz w:val="20"/>
          <w:szCs w:val="20"/>
        </w:rPr>
        <w:t xml:space="preserve">and S2 </w:t>
      </w:r>
      <w:r w:rsidR="00F949AB" w:rsidRPr="00BF00D2">
        <w:rPr>
          <w:sz w:val="20"/>
          <w:szCs w:val="20"/>
        </w:rPr>
        <w:t>showed in Table 5</w:t>
      </w:r>
      <w:r w:rsidR="00D74A9E" w:rsidRPr="00BF00D2">
        <w:rPr>
          <w:sz w:val="20"/>
          <w:szCs w:val="20"/>
        </w:rPr>
        <w:t xml:space="preserve">. </w:t>
      </w:r>
      <w:r w:rsidR="00E32502" w:rsidRPr="00BF00D2">
        <w:rPr>
          <w:sz w:val="20"/>
          <w:szCs w:val="20"/>
        </w:rPr>
        <w:t>Dati</w:t>
      </w:r>
      <w:r w:rsidR="00566BEA" w:rsidRPr="00BF00D2">
        <w:rPr>
          <w:sz w:val="20"/>
          <w:szCs w:val="20"/>
        </w:rPr>
        <w:t>ng method</w:t>
      </w:r>
      <w:r w:rsidR="00E32502" w:rsidRPr="00BF00D2">
        <w:rPr>
          <w:sz w:val="20"/>
          <w:szCs w:val="20"/>
        </w:rPr>
        <w:t xml:space="preserve"> showed small changes </w:t>
      </w:r>
      <w:r w:rsidR="00566BEA" w:rsidRPr="00BF00D2">
        <w:rPr>
          <w:sz w:val="20"/>
          <w:szCs w:val="20"/>
        </w:rPr>
        <w:t xml:space="preserve">of sediment age </w:t>
      </w:r>
      <w:r w:rsidR="00E32502" w:rsidRPr="00BF00D2">
        <w:rPr>
          <w:sz w:val="20"/>
          <w:szCs w:val="20"/>
        </w:rPr>
        <w:t>with</w:t>
      </w:r>
      <w:r w:rsidR="00566BEA" w:rsidRPr="00BF00D2">
        <w:rPr>
          <w:sz w:val="20"/>
          <w:szCs w:val="20"/>
        </w:rPr>
        <w:t>in</w:t>
      </w:r>
      <w:r w:rsidR="00E32502" w:rsidRPr="00BF00D2">
        <w:rPr>
          <w:sz w:val="20"/>
          <w:szCs w:val="20"/>
        </w:rPr>
        <w:t xml:space="preserve"> similar period </w:t>
      </w:r>
      <w:r w:rsidR="006B6973" w:rsidRPr="00BF00D2">
        <w:rPr>
          <w:sz w:val="20"/>
          <w:szCs w:val="20"/>
        </w:rPr>
        <w:t xml:space="preserve">and profile concentration of metals particularly were not same at each location. </w:t>
      </w:r>
      <w:r w:rsidR="00A56DD0" w:rsidRPr="00BF00D2">
        <w:rPr>
          <w:sz w:val="20"/>
          <w:szCs w:val="20"/>
        </w:rPr>
        <w:t>Constant concentration of As could</w:t>
      </w:r>
      <w:r w:rsidR="009D3DD3" w:rsidRPr="00BF00D2">
        <w:rPr>
          <w:sz w:val="20"/>
          <w:szCs w:val="20"/>
        </w:rPr>
        <w:t xml:space="preserve"> be observed </w:t>
      </w:r>
      <w:r w:rsidR="00227D60" w:rsidRPr="00BF00D2">
        <w:rPr>
          <w:sz w:val="20"/>
          <w:szCs w:val="20"/>
        </w:rPr>
        <w:t xml:space="preserve">in </w:t>
      </w:r>
      <w:r w:rsidR="00A56DD0" w:rsidRPr="00BF00D2">
        <w:rPr>
          <w:sz w:val="20"/>
          <w:szCs w:val="20"/>
        </w:rPr>
        <w:t xml:space="preserve">the bottom </w:t>
      </w:r>
      <w:r w:rsidR="009D3DD3" w:rsidRPr="00BF00D2">
        <w:rPr>
          <w:sz w:val="20"/>
          <w:szCs w:val="20"/>
        </w:rPr>
        <w:t>sediment</w:t>
      </w:r>
      <w:r w:rsidR="007C53C9" w:rsidRPr="00BF00D2">
        <w:rPr>
          <w:sz w:val="20"/>
          <w:szCs w:val="20"/>
        </w:rPr>
        <w:t xml:space="preserve"> </w:t>
      </w:r>
      <w:r w:rsidR="00C13FFB" w:rsidRPr="00BF00D2">
        <w:rPr>
          <w:sz w:val="20"/>
          <w:szCs w:val="20"/>
        </w:rPr>
        <w:t>at both locations from year of ~1939 – 1980</w:t>
      </w:r>
      <w:r w:rsidR="009D3DD3" w:rsidRPr="00BF00D2">
        <w:rPr>
          <w:sz w:val="20"/>
          <w:szCs w:val="20"/>
        </w:rPr>
        <w:t xml:space="preserve"> possibly due to past mining activities.</w:t>
      </w:r>
      <w:r w:rsidR="00BA4DD9" w:rsidRPr="00BF00D2">
        <w:rPr>
          <w:sz w:val="20"/>
          <w:szCs w:val="20"/>
        </w:rPr>
        <w:t xml:space="preserve"> However, concentration of As increase</w:t>
      </w:r>
      <w:r w:rsidR="00C13FFB" w:rsidRPr="00BF00D2">
        <w:rPr>
          <w:sz w:val="20"/>
          <w:szCs w:val="20"/>
        </w:rPr>
        <w:t>d</w:t>
      </w:r>
      <w:r w:rsidR="00BA4DD9" w:rsidRPr="00BF00D2">
        <w:rPr>
          <w:sz w:val="20"/>
          <w:szCs w:val="20"/>
        </w:rPr>
        <w:t xml:space="preserve"> beginning </w:t>
      </w:r>
      <w:r w:rsidR="00C13FFB" w:rsidRPr="00BF00D2">
        <w:rPr>
          <w:sz w:val="20"/>
          <w:szCs w:val="20"/>
        </w:rPr>
        <w:t xml:space="preserve">from year of </w:t>
      </w:r>
      <w:r w:rsidR="00BA4DD9" w:rsidRPr="00BF00D2">
        <w:rPr>
          <w:sz w:val="20"/>
          <w:szCs w:val="20"/>
        </w:rPr>
        <w:t>~ 1984 to a recent years</w:t>
      </w:r>
      <w:r w:rsidR="00566BEA" w:rsidRPr="00BF00D2">
        <w:rPr>
          <w:sz w:val="20"/>
          <w:szCs w:val="20"/>
        </w:rPr>
        <w:t xml:space="preserve"> possibly</w:t>
      </w:r>
      <w:r w:rsidR="00BA4DD9" w:rsidRPr="00BF00D2">
        <w:rPr>
          <w:sz w:val="20"/>
          <w:szCs w:val="20"/>
        </w:rPr>
        <w:t xml:space="preserve"> </w:t>
      </w:r>
      <w:r w:rsidR="00E32502" w:rsidRPr="00BF00D2">
        <w:rPr>
          <w:sz w:val="20"/>
          <w:szCs w:val="20"/>
        </w:rPr>
        <w:t>coincident with</w:t>
      </w:r>
      <w:r w:rsidR="00BA4DD9" w:rsidRPr="00BF00D2">
        <w:rPr>
          <w:sz w:val="20"/>
          <w:szCs w:val="20"/>
        </w:rPr>
        <w:t xml:space="preserve"> </w:t>
      </w:r>
      <w:r w:rsidR="00E32502" w:rsidRPr="00BF00D2">
        <w:rPr>
          <w:sz w:val="20"/>
          <w:szCs w:val="20"/>
        </w:rPr>
        <w:t xml:space="preserve">intensive </w:t>
      </w:r>
      <w:r w:rsidR="007C53C9" w:rsidRPr="00BF00D2">
        <w:rPr>
          <w:sz w:val="20"/>
          <w:szCs w:val="20"/>
        </w:rPr>
        <w:t>development</w:t>
      </w:r>
      <w:r w:rsidR="00C13FFB" w:rsidRPr="00BF00D2">
        <w:rPr>
          <w:sz w:val="20"/>
          <w:szCs w:val="20"/>
        </w:rPr>
        <w:t xml:space="preserve"> in the region of</w:t>
      </w:r>
      <w:r w:rsidR="00BA4DD9" w:rsidRPr="00BF00D2">
        <w:rPr>
          <w:sz w:val="20"/>
          <w:szCs w:val="20"/>
        </w:rPr>
        <w:t xml:space="preserve"> the study area</w:t>
      </w:r>
      <w:r w:rsidR="00E32502" w:rsidRPr="00BF00D2">
        <w:rPr>
          <w:sz w:val="20"/>
          <w:szCs w:val="20"/>
        </w:rPr>
        <w:t xml:space="preserve"> also increasing in industrialization and agriculture activities in late ~1990. </w:t>
      </w:r>
      <w:r w:rsidR="00BA4DD9" w:rsidRPr="00BF00D2">
        <w:rPr>
          <w:sz w:val="20"/>
          <w:szCs w:val="20"/>
        </w:rPr>
        <w:t>Increasing of As concentration c</w:t>
      </w:r>
      <w:r w:rsidR="00F8785E" w:rsidRPr="00BF00D2">
        <w:rPr>
          <w:sz w:val="20"/>
          <w:szCs w:val="20"/>
        </w:rPr>
        <w:t>ould be</w:t>
      </w:r>
      <w:r w:rsidR="00566BEA" w:rsidRPr="00BF00D2">
        <w:rPr>
          <w:sz w:val="20"/>
          <w:szCs w:val="20"/>
        </w:rPr>
        <w:t xml:space="preserve"> influence by </w:t>
      </w:r>
      <w:r w:rsidR="00F8785E" w:rsidRPr="00BF00D2">
        <w:rPr>
          <w:sz w:val="20"/>
          <w:szCs w:val="20"/>
        </w:rPr>
        <w:t xml:space="preserve">atmospheric </w:t>
      </w:r>
      <w:r w:rsidR="00BA4DD9" w:rsidRPr="00BF00D2">
        <w:rPr>
          <w:sz w:val="20"/>
          <w:szCs w:val="20"/>
        </w:rPr>
        <w:t xml:space="preserve">deposition </w:t>
      </w:r>
      <w:r w:rsidR="00F8785E" w:rsidRPr="00BF00D2">
        <w:rPr>
          <w:sz w:val="20"/>
          <w:szCs w:val="20"/>
        </w:rPr>
        <w:t xml:space="preserve">as well as </w:t>
      </w:r>
      <w:r w:rsidR="00BA4DD9" w:rsidRPr="00BF00D2">
        <w:rPr>
          <w:sz w:val="20"/>
          <w:szCs w:val="20"/>
        </w:rPr>
        <w:t xml:space="preserve">combustion, </w:t>
      </w:r>
      <w:r w:rsidR="00F8785E" w:rsidRPr="00BF00D2">
        <w:rPr>
          <w:sz w:val="20"/>
          <w:szCs w:val="20"/>
        </w:rPr>
        <w:t xml:space="preserve">road construction and agricultural activities. Low concentration of As observed in </w:t>
      </w:r>
      <w:r w:rsidR="00C13FFB" w:rsidRPr="00BF00D2">
        <w:rPr>
          <w:sz w:val="20"/>
          <w:szCs w:val="20"/>
        </w:rPr>
        <w:t xml:space="preserve">the surface layer of </w:t>
      </w:r>
      <w:r w:rsidR="00F8785E" w:rsidRPr="00BF00D2">
        <w:rPr>
          <w:sz w:val="20"/>
          <w:szCs w:val="20"/>
        </w:rPr>
        <w:t>sediment core S1 possibly caused by physical mixing during sampling or bioturbation by benthic microorganisms</w:t>
      </w:r>
      <w:r w:rsidR="00AA7447" w:rsidRPr="00BF00D2">
        <w:rPr>
          <w:sz w:val="20"/>
          <w:szCs w:val="20"/>
        </w:rPr>
        <w:t xml:space="preserve"> </w:t>
      </w:r>
      <w:r w:rsidR="002A06E5" w:rsidRPr="00BF00D2">
        <w:rPr>
          <w:sz w:val="20"/>
          <w:szCs w:val="20"/>
        </w:rPr>
        <w:t>[</w:t>
      </w:r>
      <w:r w:rsidR="00421531" w:rsidRPr="00BF00D2">
        <w:rPr>
          <w:sz w:val="20"/>
          <w:szCs w:val="20"/>
        </w:rPr>
        <w:t>17</w:t>
      </w:r>
      <w:r w:rsidR="002A06E5" w:rsidRPr="00BF00D2">
        <w:rPr>
          <w:sz w:val="20"/>
          <w:szCs w:val="20"/>
        </w:rPr>
        <w:t>].</w:t>
      </w:r>
    </w:p>
    <w:p w:rsidR="00410C88" w:rsidRPr="00BF00D2" w:rsidRDefault="00410C88" w:rsidP="002A06E5">
      <w:pPr>
        <w:jc w:val="both"/>
        <w:rPr>
          <w:sz w:val="20"/>
          <w:szCs w:val="20"/>
        </w:rPr>
      </w:pPr>
    </w:p>
    <w:p w:rsidR="00EF1676" w:rsidRPr="00BF00D2" w:rsidRDefault="00AA7447" w:rsidP="00075953">
      <w:pPr>
        <w:jc w:val="both"/>
        <w:rPr>
          <w:sz w:val="20"/>
          <w:szCs w:val="20"/>
        </w:rPr>
      </w:pPr>
      <w:r w:rsidRPr="00BF00D2">
        <w:rPr>
          <w:sz w:val="20"/>
          <w:szCs w:val="20"/>
        </w:rPr>
        <w:t>C</w:t>
      </w:r>
      <w:r w:rsidR="00EF1676" w:rsidRPr="00BF00D2">
        <w:rPr>
          <w:sz w:val="20"/>
          <w:szCs w:val="20"/>
        </w:rPr>
        <w:t xml:space="preserve">oncentration </w:t>
      </w:r>
      <w:r w:rsidRPr="00BF00D2">
        <w:rPr>
          <w:sz w:val="20"/>
          <w:szCs w:val="20"/>
        </w:rPr>
        <w:t xml:space="preserve">of As </w:t>
      </w:r>
      <w:r w:rsidR="00EF1676" w:rsidRPr="00BF00D2">
        <w:rPr>
          <w:sz w:val="20"/>
          <w:szCs w:val="20"/>
        </w:rPr>
        <w:t xml:space="preserve">in the sediment lake is sensitive to redox changes as well as easily to distinguished either due to remobilization or loading changes </w:t>
      </w:r>
      <w:r w:rsidR="002A06E5" w:rsidRPr="00BF00D2">
        <w:rPr>
          <w:sz w:val="20"/>
          <w:szCs w:val="20"/>
        </w:rPr>
        <w:t>[</w:t>
      </w:r>
      <w:r w:rsidR="00421531" w:rsidRPr="00BF00D2">
        <w:rPr>
          <w:sz w:val="20"/>
          <w:szCs w:val="20"/>
        </w:rPr>
        <w:t>1</w:t>
      </w:r>
      <w:r w:rsidR="002A06E5" w:rsidRPr="00BF00D2">
        <w:rPr>
          <w:sz w:val="20"/>
          <w:szCs w:val="20"/>
        </w:rPr>
        <w:t>]</w:t>
      </w:r>
      <w:r w:rsidR="00EF1676" w:rsidRPr="00BF00D2">
        <w:rPr>
          <w:sz w:val="20"/>
          <w:szCs w:val="20"/>
        </w:rPr>
        <w:t xml:space="preserve">. </w:t>
      </w:r>
      <w:r w:rsidR="004A269F" w:rsidRPr="00BF00D2">
        <w:rPr>
          <w:sz w:val="20"/>
          <w:szCs w:val="20"/>
        </w:rPr>
        <w:t xml:space="preserve">Being </w:t>
      </w:r>
      <w:r w:rsidR="00EF1676" w:rsidRPr="00BF00D2">
        <w:rPr>
          <w:sz w:val="20"/>
          <w:szCs w:val="20"/>
        </w:rPr>
        <w:t>a mult</w:t>
      </w:r>
      <w:r w:rsidR="004A269F" w:rsidRPr="00BF00D2">
        <w:rPr>
          <w:sz w:val="20"/>
          <w:szCs w:val="20"/>
        </w:rPr>
        <w:t>iple oxidation state element, As is</w:t>
      </w:r>
      <w:r w:rsidR="00EF1676" w:rsidRPr="00BF00D2">
        <w:rPr>
          <w:sz w:val="20"/>
          <w:szCs w:val="20"/>
        </w:rPr>
        <w:t xml:space="preserve"> sensitive to redox changes condition </w:t>
      </w:r>
      <w:r w:rsidR="004A269F" w:rsidRPr="00BF00D2">
        <w:rPr>
          <w:sz w:val="20"/>
          <w:szCs w:val="20"/>
        </w:rPr>
        <w:t>in similar manner as</w:t>
      </w:r>
      <w:r w:rsidR="00EF1676" w:rsidRPr="00BF00D2">
        <w:rPr>
          <w:sz w:val="20"/>
          <w:szCs w:val="20"/>
        </w:rPr>
        <w:t xml:space="preserve"> Fe and Mn. </w:t>
      </w:r>
      <w:r w:rsidR="004A269F" w:rsidRPr="00BF00D2">
        <w:rPr>
          <w:sz w:val="20"/>
          <w:szCs w:val="20"/>
        </w:rPr>
        <w:t>Since as</w:t>
      </w:r>
      <w:r w:rsidR="00EF1676" w:rsidRPr="00BF00D2">
        <w:rPr>
          <w:sz w:val="20"/>
          <w:szCs w:val="20"/>
        </w:rPr>
        <w:t xml:space="preserve"> sensitive elements, As in the deeper sediment could be released into pore water via changes from As (V) to As (III) that </w:t>
      </w:r>
      <w:r w:rsidRPr="00BF00D2">
        <w:rPr>
          <w:sz w:val="20"/>
          <w:szCs w:val="20"/>
        </w:rPr>
        <w:t xml:space="preserve">is </w:t>
      </w:r>
      <w:r w:rsidR="002A06E5" w:rsidRPr="00BF00D2">
        <w:rPr>
          <w:sz w:val="20"/>
          <w:szCs w:val="20"/>
        </w:rPr>
        <w:t>more mobile, soluble and toxic [</w:t>
      </w:r>
      <w:r w:rsidR="00421531" w:rsidRPr="00BF00D2">
        <w:rPr>
          <w:sz w:val="20"/>
          <w:szCs w:val="20"/>
        </w:rPr>
        <w:t>18</w:t>
      </w:r>
      <w:r w:rsidR="002A06E5" w:rsidRPr="00BF00D2">
        <w:rPr>
          <w:sz w:val="20"/>
          <w:szCs w:val="20"/>
        </w:rPr>
        <w:t>]</w:t>
      </w:r>
      <w:r w:rsidR="00EF1676" w:rsidRPr="00BF00D2">
        <w:rPr>
          <w:sz w:val="20"/>
          <w:szCs w:val="20"/>
        </w:rPr>
        <w:t>. Some studies suggested high concentration of As at the upper layer could be affected by redox condition and adsorption of As ont</w:t>
      </w:r>
      <w:r w:rsidR="002A06E5" w:rsidRPr="00BF00D2">
        <w:rPr>
          <w:sz w:val="20"/>
          <w:szCs w:val="20"/>
        </w:rPr>
        <w:t>o Fe or Mn oxides particulate [</w:t>
      </w:r>
      <w:r w:rsidR="00421531" w:rsidRPr="00BF00D2">
        <w:rPr>
          <w:sz w:val="20"/>
          <w:szCs w:val="20"/>
        </w:rPr>
        <w:t>2</w:t>
      </w:r>
      <w:r w:rsidR="002A06E5" w:rsidRPr="00BF00D2">
        <w:rPr>
          <w:sz w:val="20"/>
          <w:szCs w:val="20"/>
        </w:rPr>
        <w:t>]</w:t>
      </w:r>
      <w:r w:rsidR="00EF1676" w:rsidRPr="00BF00D2">
        <w:rPr>
          <w:sz w:val="20"/>
          <w:szCs w:val="20"/>
        </w:rPr>
        <w:t>. Thus, by considering of this factor, high concentration of As in the upper sediment core S2 could be possibly affected by redox condition.</w:t>
      </w:r>
    </w:p>
    <w:p w:rsidR="00410C88" w:rsidRPr="00BF00D2" w:rsidRDefault="00410C88" w:rsidP="00075953">
      <w:pPr>
        <w:jc w:val="both"/>
        <w:rPr>
          <w:sz w:val="20"/>
          <w:szCs w:val="20"/>
        </w:rPr>
      </w:pPr>
    </w:p>
    <w:p w:rsidR="00410C88" w:rsidRPr="00BF00D2" w:rsidRDefault="00410C88" w:rsidP="00075953">
      <w:pPr>
        <w:jc w:val="both"/>
        <w:rPr>
          <w:sz w:val="20"/>
          <w:szCs w:val="20"/>
        </w:rPr>
      </w:pPr>
    </w:p>
    <w:p w:rsidR="00875064" w:rsidRPr="00BF00D2" w:rsidRDefault="00875064" w:rsidP="00075953">
      <w:pPr>
        <w:jc w:val="both"/>
        <w:rPr>
          <w:sz w:val="20"/>
          <w:szCs w:val="20"/>
        </w:rPr>
      </w:pPr>
    </w:p>
    <w:p w:rsidR="00160D63" w:rsidRPr="00BF00D2" w:rsidRDefault="00F949AB" w:rsidP="00875064">
      <w:pPr>
        <w:jc w:val="center"/>
        <w:rPr>
          <w:sz w:val="18"/>
          <w:szCs w:val="18"/>
        </w:rPr>
      </w:pPr>
      <w:r w:rsidRPr="00BF00D2">
        <w:rPr>
          <w:sz w:val="18"/>
          <w:szCs w:val="18"/>
        </w:rPr>
        <w:lastRenderedPageBreak/>
        <w:t>Table 5</w:t>
      </w:r>
      <w:r w:rsidR="00160D63" w:rsidRPr="00BF00D2">
        <w:rPr>
          <w:sz w:val="18"/>
          <w:szCs w:val="18"/>
        </w:rPr>
        <w:t xml:space="preserve">: </w:t>
      </w:r>
      <w:r w:rsidR="00101450" w:rsidRPr="00BF00D2">
        <w:rPr>
          <w:sz w:val="18"/>
          <w:szCs w:val="18"/>
        </w:rPr>
        <w:t xml:space="preserve">As and Zn concentration </w:t>
      </w:r>
      <w:r w:rsidR="004E12B0" w:rsidRPr="00BF00D2">
        <w:rPr>
          <w:sz w:val="18"/>
          <w:szCs w:val="18"/>
        </w:rPr>
        <w:t>in sediment cores</w:t>
      </w:r>
    </w:p>
    <w:tbl>
      <w:tblPr>
        <w:tblW w:w="0" w:type="auto"/>
        <w:jc w:val="center"/>
        <w:tblBorders>
          <w:top w:val="single" w:sz="8" w:space="0" w:color="000000"/>
          <w:bottom w:val="single" w:sz="8" w:space="0" w:color="000000"/>
        </w:tblBorders>
        <w:tblLook w:val="04A0"/>
      </w:tblPr>
      <w:tblGrid>
        <w:gridCol w:w="1258"/>
        <w:gridCol w:w="2004"/>
        <w:gridCol w:w="2651"/>
        <w:gridCol w:w="2301"/>
      </w:tblGrid>
      <w:tr w:rsidR="00A01BE8" w:rsidRPr="00BF00D2">
        <w:trPr>
          <w:gridBefore w:val="1"/>
          <w:trHeight w:val="71"/>
          <w:jc w:val="center"/>
        </w:trPr>
        <w:tc>
          <w:tcPr>
            <w:tcW w:w="2004" w:type="dxa"/>
            <w:tcBorders>
              <w:top w:val="single" w:sz="8" w:space="0" w:color="000000"/>
              <w:left w:val="nil"/>
              <w:bottom w:val="single" w:sz="8" w:space="0" w:color="000000"/>
              <w:right w:val="nil"/>
            </w:tcBorders>
          </w:tcPr>
          <w:p w:rsidR="00A01BE8" w:rsidRPr="00BF00D2" w:rsidRDefault="00A01BE8" w:rsidP="00C1439E">
            <w:pPr>
              <w:jc w:val="center"/>
              <w:rPr>
                <w:b/>
                <w:bCs/>
                <w:noProof/>
                <w:sz w:val="20"/>
                <w:szCs w:val="20"/>
              </w:rPr>
            </w:pPr>
            <w:r w:rsidRPr="00BF00D2">
              <w:rPr>
                <w:b/>
                <w:bCs/>
                <w:noProof/>
                <w:sz w:val="20"/>
                <w:szCs w:val="20"/>
              </w:rPr>
              <w:t>Location</w:t>
            </w:r>
          </w:p>
        </w:tc>
        <w:tc>
          <w:tcPr>
            <w:tcW w:w="2651" w:type="dxa"/>
            <w:tcBorders>
              <w:top w:val="single" w:sz="8" w:space="0" w:color="000000"/>
              <w:left w:val="nil"/>
              <w:bottom w:val="single" w:sz="8" w:space="0" w:color="000000"/>
              <w:right w:val="nil"/>
            </w:tcBorders>
          </w:tcPr>
          <w:p w:rsidR="00A01BE8" w:rsidRPr="00BF00D2" w:rsidRDefault="00A01BE8" w:rsidP="00C1439E">
            <w:pPr>
              <w:jc w:val="center"/>
              <w:rPr>
                <w:b/>
                <w:bCs/>
                <w:noProof/>
                <w:sz w:val="20"/>
                <w:szCs w:val="20"/>
              </w:rPr>
            </w:pPr>
            <w:r w:rsidRPr="00BF00D2">
              <w:rPr>
                <w:b/>
                <w:bCs/>
                <w:noProof/>
                <w:sz w:val="20"/>
                <w:szCs w:val="20"/>
              </w:rPr>
              <w:t>S1</w:t>
            </w:r>
          </w:p>
        </w:tc>
        <w:tc>
          <w:tcPr>
            <w:tcW w:w="2301" w:type="dxa"/>
            <w:tcBorders>
              <w:top w:val="single" w:sz="8" w:space="0" w:color="000000"/>
              <w:left w:val="nil"/>
              <w:bottom w:val="single" w:sz="8" w:space="0" w:color="000000"/>
              <w:right w:val="nil"/>
            </w:tcBorders>
          </w:tcPr>
          <w:p w:rsidR="00A01BE8" w:rsidRPr="00BF00D2" w:rsidRDefault="00A01BE8" w:rsidP="00C1439E">
            <w:pPr>
              <w:jc w:val="center"/>
              <w:rPr>
                <w:b/>
                <w:bCs/>
                <w:noProof/>
                <w:sz w:val="20"/>
                <w:szCs w:val="20"/>
              </w:rPr>
            </w:pPr>
            <w:r w:rsidRPr="00BF00D2">
              <w:rPr>
                <w:b/>
                <w:bCs/>
                <w:noProof/>
                <w:sz w:val="20"/>
                <w:szCs w:val="20"/>
              </w:rPr>
              <w:t>S</w:t>
            </w:r>
            <w:r w:rsidR="005E1C3E" w:rsidRPr="00BF00D2">
              <w:rPr>
                <w:b/>
                <w:bCs/>
                <w:noProof/>
                <w:sz w:val="20"/>
                <w:szCs w:val="20"/>
              </w:rPr>
              <w:t>2</w:t>
            </w:r>
          </w:p>
        </w:tc>
      </w:tr>
      <w:tr w:rsidR="00A01BE8" w:rsidRPr="00BF00D2" w:rsidTr="00410C88">
        <w:trPr>
          <w:jc w:val="center"/>
        </w:trPr>
        <w:tc>
          <w:tcPr>
            <w:tcW w:w="1258" w:type="dxa"/>
            <w:vMerge w:val="restart"/>
            <w:tcBorders>
              <w:left w:val="nil"/>
              <w:right w:val="nil"/>
            </w:tcBorders>
            <w:shd w:val="clear" w:color="auto" w:fill="auto"/>
          </w:tcPr>
          <w:p w:rsidR="00A01BE8" w:rsidRPr="00BF00D2" w:rsidRDefault="00A01BE8" w:rsidP="00C1439E">
            <w:pPr>
              <w:jc w:val="center"/>
              <w:rPr>
                <w:bCs/>
                <w:noProof/>
                <w:sz w:val="20"/>
                <w:szCs w:val="20"/>
              </w:rPr>
            </w:pPr>
            <w:r w:rsidRPr="00BF00D2">
              <w:rPr>
                <w:bCs/>
                <w:noProof/>
                <w:sz w:val="20"/>
                <w:szCs w:val="20"/>
              </w:rPr>
              <w:t>As (ppm)</w:t>
            </w:r>
          </w:p>
        </w:tc>
        <w:tc>
          <w:tcPr>
            <w:tcW w:w="2004" w:type="dxa"/>
            <w:tcBorders>
              <w:left w:val="nil"/>
              <w:right w:val="nil"/>
            </w:tcBorders>
            <w:shd w:val="clear" w:color="auto" w:fill="auto"/>
          </w:tcPr>
          <w:p w:rsidR="00A01BE8" w:rsidRPr="00BF00D2" w:rsidRDefault="00A01BE8" w:rsidP="00C1439E">
            <w:pPr>
              <w:jc w:val="center"/>
              <w:rPr>
                <w:noProof/>
                <w:sz w:val="20"/>
                <w:szCs w:val="20"/>
              </w:rPr>
            </w:pPr>
            <w:r w:rsidRPr="00BF00D2">
              <w:rPr>
                <w:noProof/>
                <w:sz w:val="20"/>
                <w:szCs w:val="20"/>
              </w:rPr>
              <w:t>Range</w:t>
            </w:r>
          </w:p>
        </w:tc>
        <w:tc>
          <w:tcPr>
            <w:tcW w:w="2651" w:type="dxa"/>
            <w:tcBorders>
              <w:left w:val="nil"/>
              <w:right w:val="nil"/>
            </w:tcBorders>
            <w:shd w:val="clear" w:color="auto" w:fill="auto"/>
          </w:tcPr>
          <w:p w:rsidR="00A01BE8" w:rsidRPr="00BF00D2" w:rsidRDefault="00A01BE8" w:rsidP="00C1439E">
            <w:pPr>
              <w:jc w:val="center"/>
              <w:rPr>
                <w:noProof/>
                <w:sz w:val="20"/>
                <w:szCs w:val="20"/>
              </w:rPr>
            </w:pPr>
            <w:r w:rsidRPr="00BF00D2">
              <w:rPr>
                <w:noProof/>
                <w:sz w:val="20"/>
                <w:szCs w:val="20"/>
              </w:rPr>
              <w:t>39.88 – 49.55</w:t>
            </w:r>
          </w:p>
        </w:tc>
        <w:tc>
          <w:tcPr>
            <w:tcW w:w="2301" w:type="dxa"/>
            <w:tcBorders>
              <w:left w:val="nil"/>
              <w:right w:val="nil"/>
            </w:tcBorders>
            <w:shd w:val="clear" w:color="auto" w:fill="auto"/>
          </w:tcPr>
          <w:p w:rsidR="00A01BE8" w:rsidRPr="00BF00D2" w:rsidRDefault="00A01BE8" w:rsidP="00C1439E">
            <w:pPr>
              <w:jc w:val="center"/>
              <w:rPr>
                <w:noProof/>
                <w:sz w:val="20"/>
                <w:szCs w:val="20"/>
              </w:rPr>
            </w:pPr>
            <w:r w:rsidRPr="00BF00D2">
              <w:rPr>
                <w:noProof/>
                <w:sz w:val="20"/>
                <w:szCs w:val="20"/>
              </w:rPr>
              <w:t>33.41 – 104.77</w:t>
            </w:r>
          </w:p>
        </w:tc>
      </w:tr>
      <w:tr w:rsidR="00A01BE8" w:rsidRPr="00BF00D2" w:rsidTr="00410C88">
        <w:trPr>
          <w:jc w:val="center"/>
        </w:trPr>
        <w:tc>
          <w:tcPr>
            <w:tcW w:w="1258" w:type="dxa"/>
            <w:vMerge/>
            <w:tcBorders>
              <w:bottom w:val="nil"/>
            </w:tcBorders>
            <w:shd w:val="clear" w:color="auto" w:fill="auto"/>
          </w:tcPr>
          <w:p w:rsidR="00A01BE8" w:rsidRPr="00BF00D2" w:rsidRDefault="00A01BE8" w:rsidP="00C1439E">
            <w:pPr>
              <w:jc w:val="center"/>
              <w:rPr>
                <w:bCs/>
                <w:noProof/>
                <w:sz w:val="20"/>
                <w:szCs w:val="20"/>
              </w:rPr>
            </w:pPr>
          </w:p>
        </w:tc>
        <w:tc>
          <w:tcPr>
            <w:tcW w:w="2004" w:type="dxa"/>
            <w:tcBorders>
              <w:bottom w:val="nil"/>
            </w:tcBorders>
            <w:shd w:val="clear" w:color="auto" w:fill="auto"/>
          </w:tcPr>
          <w:p w:rsidR="00A01BE8" w:rsidRPr="00BF00D2" w:rsidRDefault="00A01BE8" w:rsidP="00C1439E">
            <w:pPr>
              <w:jc w:val="center"/>
              <w:rPr>
                <w:noProof/>
                <w:sz w:val="20"/>
                <w:szCs w:val="20"/>
              </w:rPr>
            </w:pPr>
            <w:r w:rsidRPr="00BF00D2">
              <w:rPr>
                <w:noProof/>
                <w:sz w:val="20"/>
                <w:szCs w:val="20"/>
              </w:rPr>
              <w:t xml:space="preserve">Mean </w:t>
            </w:r>
          </w:p>
        </w:tc>
        <w:tc>
          <w:tcPr>
            <w:tcW w:w="2651" w:type="dxa"/>
            <w:shd w:val="clear" w:color="auto" w:fill="auto"/>
          </w:tcPr>
          <w:p w:rsidR="00A01BE8" w:rsidRPr="00BF00D2" w:rsidRDefault="00A01BE8" w:rsidP="00C1439E">
            <w:pPr>
              <w:jc w:val="center"/>
              <w:rPr>
                <w:noProof/>
                <w:sz w:val="20"/>
                <w:szCs w:val="20"/>
              </w:rPr>
            </w:pPr>
            <w:r w:rsidRPr="00BF00D2">
              <w:rPr>
                <w:noProof/>
                <w:sz w:val="20"/>
                <w:szCs w:val="20"/>
              </w:rPr>
              <w:t>43.90</w:t>
            </w:r>
          </w:p>
        </w:tc>
        <w:tc>
          <w:tcPr>
            <w:tcW w:w="2301" w:type="dxa"/>
            <w:shd w:val="clear" w:color="auto" w:fill="auto"/>
          </w:tcPr>
          <w:p w:rsidR="00A01BE8" w:rsidRPr="00BF00D2" w:rsidRDefault="00A01BE8" w:rsidP="00C1439E">
            <w:pPr>
              <w:jc w:val="center"/>
              <w:rPr>
                <w:noProof/>
                <w:sz w:val="20"/>
                <w:szCs w:val="20"/>
              </w:rPr>
            </w:pPr>
            <w:r w:rsidRPr="00BF00D2">
              <w:rPr>
                <w:noProof/>
                <w:sz w:val="20"/>
                <w:szCs w:val="20"/>
              </w:rPr>
              <w:t>54.51</w:t>
            </w:r>
          </w:p>
        </w:tc>
      </w:tr>
      <w:tr w:rsidR="00A01BE8" w:rsidRPr="00BF00D2" w:rsidTr="00410C88">
        <w:trPr>
          <w:jc w:val="center"/>
        </w:trPr>
        <w:tc>
          <w:tcPr>
            <w:tcW w:w="1258" w:type="dxa"/>
            <w:vMerge w:val="restart"/>
            <w:tcBorders>
              <w:top w:val="nil"/>
              <w:left w:val="nil"/>
              <w:bottom w:val="nil"/>
              <w:right w:val="nil"/>
            </w:tcBorders>
            <w:shd w:val="clear" w:color="auto" w:fill="auto"/>
          </w:tcPr>
          <w:p w:rsidR="00A01BE8" w:rsidRPr="00BF00D2" w:rsidRDefault="00A01BE8" w:rsidP="00C1439E">
            <w:pPr>
              <w:jc w:val="center"/>
              <w:rPr>
                <w:bCs/>
                <w:noProof/>
                <w:sz w:val="20"/>
                <w:szCs w:val="20"/>
              </w:rPr>
            </w:pPr>
            <w:r w:rsidRPr="00BF00D2">
              <w:rPr>
                <w:bCs/>
                <w:noProof/>
                <w:sz w:val="20"/>
                <w:szCs w:val="20"/>
              </w:rPr>
              <w:t>Zn (ppm)</w:t>
            </w:r>
          </w:p>
        </w:tc>
        <w:tc>
          <w:tcPr>
            <w:tcW w:w="2004" w:type="dxa"/>
            <w:tcBorders>
              <w:top w:val="nil"/>
              <w:left w:val="nil"/>
              <w:bottom w:val="nil"/>
              <w:right w:val="nil"/>
            </w:tcBorders>
            <w:shd w:val="clear" w:color="auto" w:fill="auto"/>
          </w:tcPr>
          <w:p w:rsidR="00A01BE8" w:rsidRPr="00BF00D2" w:rsidRDefault="00A01BE8" w:rsidP="00C1439E">
            <w:pPr>
              <w:jc w:val="center"/>
              <w:rPr>
                <w:noProof/>
                <w:sz w:val="20"/>
                <w:szCs w:val="20"/>
              </w:rPr>
            </w:pPr>
            <w:r w:rsidRPr="00BF00D2">
              <w:rPr>
                <w:noProof/>
                <w:sz w:val="20"/>
                <w:szCs w:val="20"/>
              </w:rPr>
              <w:t>Range</w:t>
            </w:r>
          </w:p>
        </w:tc>
        <w:tc>
          <w:tcPr>
            <w:tcW w:w="2651" w:type="dxa"/>
            <w:tcBorders>
              <w:left w:val="nil"/>
              <w:right w:val="nil"/>
            </w:tcBorders>
            <w:shd w:val="clear" w:color="auto" w:fill="auto"/>
          </w:tcPr>
          <w:p w:rsidR="00A01BE8" w:rsidRPr="00BF00D2" w:rsidRDefault="00A01BE8" w:rsidP="00C1439E">
            <w:pPr>
              <w:jc w:val="center"/>
              <w:rPr>
                <w:rFonts w:eastAsia="Calibri"/>
                <w:sz w:val="20"/>
                <w:szCs w:val="20"/>
              </w:rPr>
            </w:pPr>
            <w:r w:rsidRPr="00BF00D2">
              <w:rPr>
                <w:rFonts w:eastAsia="Calibri"/>
                <w:sz w:val="20"/>
                <w:szCs w:val="20"/>
              </w:rPr>
              <w:t>229.42 – 336.03</w:t>
            </w:r>
          </w:p>
        </w:tc>
        <w:tc>
          <w:tcPr>
            <w:tcW w:w="2301" w:type="dxa"/>
            <w:tcBorders>
              <w:left w:val="nil"/>
              <w:right w:val="nil"/>
            </w:tcBorders>
            <w:shd w:val="clear" w:color="auto" w:fill="auto"/>
          </w:tcPr>
          <w:p w:rsidR="00A01BE8" w:rsidRPr="00BF00D2" w:rsidRDefault="00A01BE8" w:rsidP="00C1439E">
            <w:pPr>
              <w:jc w:val="center"/>
              <w:rPr>
                <w:noProof/>
                <w:sz w:val="20"/>
                <w:szCs w:val="20"/>
              </w:rPr>
            </w:pPr>
            <w:r w:rsidRPr="00BF00D2">
              <w:rPr>
                <w:noProof/>
                <w:sz w:val="20"/>
                <w:szCs w:val="20"/>
              </w:rPr>
              <w:t>136.74 – 150.72</w:t>
            </w:r>
          </w:p>
        </w:tc>
      </w:tr>
      <w:tr w:rsidR="00A01BE8" w:rsidRPr="00BF00D2">
        <w:trPr>
          <w:jc w:val="center"/>
        </w:trPr>
        <w:tc>
          <w:tcPr>
            <w:tcW w:w="1258" w:type="dxa"/>
            <w:vMerge/>
            <w:tcBorders>
              <w:top w:val="nil"/>
              <w:bottom w:val="single" w:sz="8" w:space="0" w:color="000000"/>
            </w:tcBorders>
          </w:tcPr>
          <w:p w:rsidR="00A01BE8" w:rsidRPr="00BF00D2" w:rsidRDefault="00A01BE8" w:rsidP="00C1439E">
            <w:pPr>
              <w:jc w:val="center"/>
              <w:rPr>
                <w:bCs/>
                <w:noProof/>
                <w:sz w:val="20"/>
                <w:szCs w:val="20"/>
              </w:rPr>
            </w:pPr>
          </w:p>
        </w:tc>
        <w:tc>
          <w:tcPr>
            <w:tcW w:w="2004" w:type="dxa"/>
            <w:tcBorders>
              <w:top w:val="nil"/>
              <w:bottom w:val="single" w:sz="8" w:space="0" w:color="000000"/>
            </w:tcBorders>
          </w:tcPr>
          <w:p w:rsidR="00A01BE8" w:rsidRPr="00BF00D2" w:rsidRDefault="00A01BE8" w:rsidP="00C1439E">
            <w:pPr>
              <w:jc w:val="center"/>
              <w:rPr>
                <w:noProof/>
                <w:sz w:val="20"/>
                <w:szCs w:val="20"/>
              </w:rPr>
            </w:pPr>
            <w:r w:rsidRPr="00BF00D2">
              <w:rPr>
                <w:noProof/>
                <w:sz w:val="20"/>
                <w:szCs w:val="20"/>
              </w:rPr>
              <w:t xml:space="preserve">Mean </w:t>
            </w:r>
          </w:p>
        </w:tc>
        <w:tc>
          <w:tcPr>
            <w:tcW w:w="2651" w:type="dxa"/>
          </w:tcPr>
          <w:p w:rsidR="00A01BE8" w:rsidRPr="00BF00D2" w:rsidRDefault="00A01BE8" w:rsidP="00C1439E">
            <w:pPr>
              <w:jc w:val="center"/>
              <w:rPr>
                <w:sz w:val="20"/>
                <w:szCs w:val="20"/>
              </w:rPr>
            </w:pPr>
            <w:r w:rsidRPr="00BF00D2">
              <w:rPr>
                <w:sz w:val="20"/>
                <w:szCs w:val="20"/>
              </w:rPr>
              <w:t>266.64</w:t>
            </w:r>
          </w:p>
        </w:tc>
        <w:tc>
          <w:tcPr>
            <w:tcW w:w="2301" w:type="dxa"/>
          </w:tcPr>
          <w:p w:rsidR="00A01BE8" w:rsidRPr="00BF00D2" w:rsidRDefault="00A01BE8" w:rsidP="00C1439E">
            <w:pPr>
              <w:jc w:val="center"/>
              <w:rPr>
                <w:noProof/>
                <w:sz w:val="20"/>
                <w:szCs w:val="20"/>
              </w:rPr>
            </w:pPr>
            <w:r w:rsidRPr="00BF00D2">
              <w:rPr>
                <w:noProof/>
                <w:sz w:val="20"/>
                <w:szCs w:val="20"/>
              </w:rPr>
              <w:t>143.68</w:t>
            </w:r>
          </w:p>
        </w:tc>
      </w:tr>
    </w:tbl>
    <w:p w:rsidR="00A01BE8" w:rsidRPr="00BF00D2" w:rsidRDefault="00A01BE8" w:rsidP="00075953">
      <w:pPr>
        <w:jc w:val="both"/>
        <w:rPr>
          <w:sz w:val="20"/>
          <w:szCs w:val="20"/>
        </w:rPr>
      </w:pPr>
    </w:p>
    <w:p w:rsidR="00CB2355" w:rsidRPr="00BF00D2" w:rsidRDefault="00D47891" w:rsidP="00075953">
      <w:pPr>
        <w:jc w:val="both"/>
        <w:rPr>
          <w:sz w:val="20"/>
          <w:szCs w:val="20"/>
        </w:rPr>
      </w:pPr>
      <w:r w:rsidRPr="00BF00D2">
        <w:rPr>
          <w:sz w:val="20"/>
          <w:szCs w:val="20"/>
        </w:rPr>
        <w:t xml:space="preserve">Depth profile of Zn showed </w:t>
      </w:r>
      <w:r w:rsidR="004A269F" w:rsidRPr="00BF00D2">
        <w:rPr>
          <w:sz w:val="20"/>
          <w:szCs w:val="20"/>
        </w:rPr>
        <w:t>almost double</w:t>
      </w:r>
      <w:r w:rsidR="00CB2355" w:rsidRPr="00BF00D2">
        <w:rPr>
          <w:sz w:val="20"/>
          <w:szCs w:val="20"/>
        </w:rPr>
        <w:t xml:space="preserve"> concentration of Zn in the sediment co</w:t>
      </w:r>
      <w:r w:rsidR="00566BEA" w:rsidRPr="00BF00D2">
        <w:rPr>
          <w:sz w:val="20"/>
          <w:szCs w:val="20"/>
        </w:rPr>
        <w:t>re S1 as c</w:t>
      </w:r>
      <w:r w:rsidR="004A269F" w:rsidRPr="00BF00D2">
        <w:rPr>
          <w:sz w:val="20"/>
          <w:szCs w:val="20"/>
        </w:rPr>
        <w:t>ompared to S2. This is suggests that</w:t>
      </w:r>
      <w:r w:rsidR="00566BEA" w:rsidRPr="00BF00D2">
        <w:rPr>
          <w:sz w:val="20"/>
          <w:szCs w:val="20"/>
        </w:rPr>
        <w:t xml:space="preserve"> </w:t>
      </w:r>
      <w:r w:rsidR="008F48B9" w:rsidRPr="00BF00D2">
        <w:rPr>
          <w:sz w:val="20"/>
          <w:szCs w:val="20"/>
        </w:rPr>
        <w:t xml:space="preserve">each </w:t>
      </w:r>
      <w:r w:rsidRPr="00BF00D2">
        <w:rPr>
          <w:sz w:val="20"/>
          <w:szCs w:val="20"/>
        </w:rPr>
        <w:t xml:space="preserve">location received </w:t>
      </w:r>
      <w:r w:rsidR="004A269F" w:rsidRPr="00BF00D2">
        <w:rPr>
          <w:sz w:val="20"/>
          <w:szCs w:val="20"/>
        </w:rPr>
        <w:t>different</w:t>
      </w:r>
      <w:r w:rsidRPr="00BF00D2">
        <w:rPr>
          <w:sz w:val="20"/>
          <w:szCs w:val="20"/>
        </w:rPr>
        <w:t xml:space="preserve"> </w:t>
      </w:r>
      <w:r w:rsidR="008F48B9" w:rsidRPr="00BF00D2">
        <w:rPr>
          <w:sz w:val="20"/>
          <w:szCs w:val="20"/>
        </w:rPr>
        <w:t xml:space="preserve">rate of metals </w:t>
      </w:r>
      <w:r w:rsidRPr="00BF00D2">
        <w:rPr>
          <w:sz w:val="20"/>
          <w:szCs w:val="20"/>
        </w:rPr>
        <w:t>input</w:t>
      </w:r>
      <w:r w:rsidR="004A269F" w:rsidRPr="00BF00D2">
        <w:rPr>
          <w:sz w:val="20"/>
          <w:szCs w:val="20"/>
        </w:rPr>
        <w:t>, since</w:t>
      </w:r>
      <w:r w:rsidR="008F48B9" w:rsidRPr="00BF00D2">
        <w:rPr>
          <w:sz w:val="20"/>
          <w:szCs w:val="20"/>
        </w:rPr>
        <w:t xml:space="preserve"> S1</w:t>
      </w:r>
      <w:r w:rsidR="004678CF" w:rsidRPr="00BF00D2">
        <w:rPr>
          <w:sz w:val="20"/>
          <w:szCs w:val="20"/>
        </w:rPr>
        <w:t xml:space="preserve"> </w:t>
      </w:r>
      <w:r w:rsidR="004A269F" w:rsidRPr="00BF00D2">
        <w:rPr>
          <w:sz w:val="20"/>
          <w:szCs w:val="20"/>
        </w:rPr>
        <w:t xml:space="preserve">being centrally location </w:t>
      </w:r>
      <w:r w:rsidR="00566BEA" w:rsidRPr="00BF00D2">
        <w:rPr>
          <w:sz w:val="20"/>
          <w:szCs w:val="20"/>
        </w:rPr>
        <w:t xml:space="preserve">possibly </w:t>
      </w:r>
      <w:r w:rsidR="004678CF" w:rsidRPr="00BF00D2">
        <w:rPr>
          <w:rFonts w:eastAsia="Calibri"/>
          <w:sz w:val="20"/>
          <w:szCs w:val="20"/>
        </w:rPr>
        <w:t xml:space="preserve">acted </w:t>
      </w:r>
      <w:r w:rsidR="004A269F" w:rsidRPr="00BF00D2">
        <w:rPr>
          <w:rFonts w:eastAsia="Calibri"/>
          <w:sz w:val="20"/>
          <w:szCs w:val="20"/>
        </w:rPr>
        <w:t xml:space="preserve">as depocenter </w:t>
      </w:r>
      <w:r w:rsidR="004678CF" w:rsidRPr="00BF00D2">
        <w:rPr>
          <w:rFonts w:eastAsia="Calibri"/>
          <w:sz w:val="20"/>
          <w:szCs w:val="20"/>
        </w:rPr>
        <w:t>sedimentary material</w:t>
      </w:r>
      <w:r w:rsidR="00F43696" w:rsidRPr="00BF00D2">
        <w:rPr>
          <w:rFonts w:eastAsia="Calibri"/>
          <w:sz w:val="20"/>
          <w:szCs w:val="20"/>
        </w:rPr>
        <w:t xml:space="preserve"> as mention</w:t>
      </w:r>
      <w:r w:rsidR="006B6973" w:rsidRPr="00BF00D2">
        <w:rPr>
          <w:rFonts w:eastAsia="Calibri"/>
          <w:sz w:val="20"/>
          <w:szCs w:val="20"/>
        </w:rPr>
        <w:t>ed</w:t>
      </w:r>
      <w:r w:rsidR="00F43696" w:rsidRPr="00BF00D2">
        <w:rPr>
          <w:rFonts w:eastAsia="Calibri"/>
          <w:sz w:val="20"/>
          <w:szCs w:val="20"/>
        </w:rPr>
        <w:t xml:space="preserve"> earlier</w:t>
      </w:r>
      <w:r w:rsidR="002A06E5" w:rsidRPr="00BF00D2">
        <w:rPr>
          <w:rFonts w:eastAsia="Calibri"/>
          <w:sz w:val="20"/>
          <w:szCs w:val="20"/>
        </w:rPr>
        <w:t xml:space="preserve"> [</w:t>
      </w:r>
      <w:r w:rsidR="00421531" w:rsidRPr="00BF00D2">
        <w:rPr>
          <w:rFonts w:eastAsia="Calibri"/>
          <w:sz w:val="20"/>
          <w:szCs w:val="20"/>
        </w:rPr>
        <w:t>19</w:t>
      </w:r>
      <w:r w:rsidR="002A06E5" w:rsidRPr="00BF00D2">
        <w:rPr>
          <w:rFonts w:eastAsia="Calibri"/>
          <w:sz w:val="20"/>
          <w:szCs w:val="20"/>
        </w:rPr>
        <w:t>]</w:t>
      </w:r>
      <w:r w:rsidR="008F48B9" w:rsidRPr="00BF00D2">
        <w:rPr>
          <w:sz w:val="20"/>
          <w:szCs w:val="20"/>
        </w:rPr>
        <w:t xml:space="preserve">. The other </w:t>
      </w:r>
      <w:r w:rsidR="00DD6784" w:rsidRPr="00BF00D2">
        <w:rPr>
          <w:sz w:val="20"/>
          <w:szCs w:val="20"/>
        </w:rPr>
        <w:t>factor</w:t>
      </w:r>
      <w:r w:rsidR="004A269F" w:rsidRPr="00BF00D2">
        <w:rPr>
          <w:sz w:val="20"/>
          <w:szCs w:val="20"/>
        </w:rPr>
        <w:t xml:space="preserve"> possibly due to</w:t>
      </w:r>
      <w:r w:rsidR="008F48B9" w:rsidRPr="00BF00D2">
        <w:rPr>
          <w:sz w:val="20"/>
          <w:szCs w:val="20"/>
        </w:rPr>
        <w:t xml:space="preserve"> </w:t>
      </w:r>
      <w:r w:rsidR="004A269F" w:rsidRPr="00BF00D2">
        <w:rPr>
          <w:sz w:val="20"/>
          <w:szCs w:val="20"/>
        </w:rPr>
        <w:t>different water flow rate causes</w:t>
      </w:r>
      <w:r w:rsidR="008F48B9" w:rsidRPr="00BF00D2">
        <w:rPr>
          <w:sz w:val="20"/>
          <w:szCs w:val="20"/>
        </w:rPr>
        <w:t xml:space="preserve"> precipitation </w:t>
      </w:r>
      <w:r w:rsidR="00DD6784" w:rsidRPr="00BF00D2">
        <w:rPr>
          <w:sz w:val="20"/>
          <w:szCs w:val="20"/>
        </w:rPr>
        <w:t>of pollutants</w:t>
      </w:r>
      <w:r w:rsidR="008F48B9" w:rsidRPr="00BF00D2">
        <w:rPr>
          <w:sz w:val="20"/>
          <w:szCs w:val="20"/>
        </w:rPr>
        <w:t xml:space="preserve"> </w:t>
      </w:r>
      <w:r w:rsidR="00566BEA" w:rsidRPr="00BF00D2">
        <w:rPr>
          <w:sz w:val="20"/>
          <w:szCs w:val="20"/>
        </w:rPr>
        <w:t xml:space="preserve">or variable pattern of sediment redistribution in the lake </w:t>
      </w:r>
      <w:r w:rsidR="002A06E5" w:rsidRPr="00BF00D2">
        <w:rPr>
          <w:sz w:val="20"/>
          <w:szCs w:val="20"/>
        </w:rPr>
        <w:t>[</w:t>
      </w:r>
      <w:r w:rsidR="00421531" w:rsidRPr="00BF00D2">
        <w:rPr>
          <w:sz w:val="20"/>
          <w:szCs w:val="20"/>
        </w:rPr>
        <w:t>15</w:t>
      </w:r>
      <w:r w:rsidR="002A06E5" w:rsidRPr="00BF00D2">
        <w:rPr>
          <w:sz w:val="20"/>
          <w:szCs w:val="20"/>
        </w:rPr>
        <w:t xml:space="preserve">, </w:t>
      </w:r>
      <w:r w:rsidR="00421531" w:rsidRPr="00BF00D2">
        <w:rPr>
          <w:sz w:val="20"/>
          <w:szCs w:val="20"/>
        </w:rPr>
        <w:t>20</w:t>
      </w:r>
      <w:r w:rsidR="002A06E5" w:rsidRPr="00BF00D2">
        <w:rPr>
          <w:sz w:val="20"/>
          <w:szCs w:val="20"/>
        </w:rPr>
        <w:t xml:space="preserve">]. </w:t>
      </w:r>
      <w:r w:rsidR="002F13EF" w:rsidRPr="00BF00D2">
        <w:rPr>
          <w:sz w:val="20"/>
          <w:szCs w:val="20"/>
        </w:rPr>
        <w:t>Contrasting pattern was observed for S1 and S2 which lower at the recent years and vi</w:t>
      </w:r>
      <w:r w:rsidR="00FE62EA" w:rsidRPr="00BF00D2">
        <w:rPr>
          <w:sz w:val="20"/>
          <w:szCs w:val="20"/>
        </w:rPr>
        <w:t>ce versa</w:t>
      </w:r>
      <w:r w:rsidR="002F13EF" w:rsidRPr="00BF00D2">
        <w:rPr>
          <w:sz w:val="20"/>
          <w:szCs w:val="20"/>
        </w:rPr>
        <w:t xml:space="preserve"> for S2 as showed in Figure 4.</w:t>
      </w:r>
      <w:r w:rsidR="00790683" w:rsidRPr="00BF00D2">
        <w:rPr>
          <w:sz w:val="20"/>
          <w:szCs w:val="20"/>
        </w:rPr>
        <w:t xml:space="preserve"> </w:t>
      </w:r>
      <w:r w:rsidR="002F13EF" w:rsidRPr="00BF00D2">
        <w:rPr>
          <w:sz w:val="20"/>
          <w:szCs w:val="20"/>
        </w:rPr>
        <w:t>Generally h</w:t>
      </w:r>
      <w:r w:rsidR="00A074F0" w:rsidRPr="00BF00D2">
        <w:rPr>
          <w:sz w:val="20"/>
          <w:szCs w:val="20"/>
        </w:rPr>
        <w:t>igh concentration of As and Zn during</w:t>
      </w:r>
      <w:r w:rsidR="0085192B" w:rsidRPr="00BF00D2">
        <w:rPr>
          <w:sz w:val="20"/>
          <w:szCs w:val="20"/>
        </w:rPr>
        <w:t xml:space="preserve"> the last</w:t>
      </w:r>
      <w:r w:rsidR="00A074F0" w:rsidRPr="00BF00D2">
        <w:rPr>
          <w:sz w:val="20"/>
          <w:szCs w:val="20"/>
        </w:rPr>
        <w:t xml:space="preserve"> few years possibly </w:t>
      </w:r>
      <w:r w:rsidR="0085192B" w:rsidRPr="00BF00D2">
        <w:rPr>
          <w:sz w:val="20"/>
          <w:szCs w:val="20"/>
        </w:rPr>
        <w:t xml:space="preserve">due to </w:t>
      </w:r>
      <w:r w:rsidR="00A074F0" w:rsidRPr="00BF00D2">
        <w:rPr>
          <w:sz w:val="20"/>
          <w:szCs w:val="20"/>
        </w:rPr>
        <w:t>increasing</w:t>
      </w:r>
      <w:r w:rsidR="0054272B" w:rsidRPr="00BF00D2">
        <w:rPr>
          <w:sz w:val="20"/>
          <w:szCs w:val="20"/>
        </w:rPr>
        <w:t xml:space="preserve"> use of fertilizer and pesticides in agriculture</w:t>
      </w:r>
      <w:r w:rsidR="0071166D" w:rsidRPr="00BF00D2">
        <w:rPr>
          <w:sz w:val="20"/>
          <w:szCs w:val="20"/>
        </w:rPr>
        <w:t xml:space="preserve"> such as in some synthetic phosphorus </w:t>
      </w:r>
      <w:r w:rsidR="002A06E5" w:rsidRPr="00BF00D2">
        <w:rPr>
          <w:sz w:val="20"/>
          <w:szCs w:val="20"/>
        </w:rPr>
        <w:t>fertilizer [</w:t>
      </w:r>
      <w:r w:rsidR="00421531" w:rsidRPr="00BF00D2">
        <w:rPr>
          <w:sz w:val="20"/>
          <w:szCs w:val="20"/>
        </w:rPr>
        <w:t>20</w:t>
      </w:r>
      <w:r w:rsidR="002A06E5" w:rsidRPr="00BF00D2">
        <w:rPr>
          <w:sz w:val="20"/>
          <w:szCs w:val="20"/>
        </w:rPr>
        <w:t xml:space="preserve">] </w:t>
      </w:r>
      <w:r w:rsidR="0054272B" w:rsidRPr="00BF00D2">
        <w:rPr>
          <w:sz w:val="20"/>
          <w:szCs w:val="20"/>
        </w:rPr>
        <w:t>and soil erosion due to human activities</w:t>
      </w:r>
      <w:r w:rsidR="00A074F0" w:rsidRPr="00BF00D2">
        <w:rPr>
          <w:sz w:val="20"/>
          <w:szCs w:val="20"/>
        </w:rPr>
        <w:t xml:space="preserve">. </w:t>
      </w:r>
      <w:r w:rsidR="002F13EF" w:rsidRPr="00BF00D2">
        <w:rPr>
          <w:sz w:val="20"/>
          <w:szCs w:val="20"/>
        </w:rPr>
        <w:t>R</w:t>
      </w:r>
      <w:r w:rsidR="0054272B" w:rsidRPr="00BF00D2">
        <w:rPr>
          <w:sz w:val="20"/>
          <w:szCs w:val="20"/>
        </w:rPr>
        <w:t xml:space="preserve">oad construction </w:t>
      </w:r>
      <w:r w:rsidR="002F13EF" w:rsidRPr="00BF00D2">
        <w:rPr>
          <w:sz w:val="20"/>
          <w:szCs w:val="20"/>
        </w:rPr>
        <w:t xml:space="preserve">and land development for housing areas as well as human settlement cause recent erosion in the study area and this coincide with the </w:t>
      </w:r>
      <w:r w:rsidR="0085192B" w:rsidRPr="00BF00D2">
        <w:rPr>
          <w:sz w:val="20"/>
          <w:szCs w:val="20"/>
        </w:rPr>
        <w:t xml:space="preserve">increase amount of metal introduced into the lake. </w:t>
      </w:r>
    </w:p>
    <w:p w:rsidR="00160D63" w:rsidRPr="00BF00D2" w:rsidRDefault="00160D63" w:rsidP="00B40C2A">
      <w:pPr>
        <w:spacing w:line="480" w:lineRule="auto"/>
        <w:rPr>
          <w:b/>
          <w:noProof/>
          <w:sz w:val="20"/>
          <w:szCs w:val="20"/>
        </w:rPr>
      </w:pPr>
      <w:r w:rsidRPr="00BF00D2">
        <w:rPr>
          <w:b/>
          <w:noProof/>
          <w:sz w:val="20"/>
          <w:szCs w:val="20"/>
        </w:rPr>
        <w:t xml:space="preserve">   </w:t>
      </w:r>
    </w:p>
    <w:p w:rsidR="00227D60" w:rsidRPr="00BF00D2" w:rsidRDefault="00BA63CD" w:rsidP="00B40C2A">
      <w:pPr>
        <w:spacing w:line="480" w:lineRule="auto"/>
        <w:rPr>
          <w:b/>
          <w:noProof/>
          <w:sz w:val="20"/>
          <w:szCs w:val="20"/>
        </w:rPr>
      </w:pPr>
      <w:r w:rsidRPr="00BF00D2">
        <w:rPr>
          <w:b/>
          <w:noProof/>
          <w:sz w:val="20"/>
          <w:szCs w:val="20"/>
        </w:rPr>
        <w:t xml:space="preserve">        </w:t>
      </w:r>
      <w:r w:rsidR="00340080" w:rsidRPr="00BF00D2">
        <w:rPr>
          <w:b/>
          <w:noProof/>
          <w:sz w:val="20"/>
          <w:szCs w:val="20"/>
        </w:rPr>
        <w:drawing>
          <wp:inline distT="0" distB="0" distL="0" distR="0">
            <wp:extent cx="1811244" cy="1822289"/>
            <wp:effectExtent l="19050" t="0" r="17556" b="6511"/>
            <wp:docPr id="5"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62113" w:rsidRPr="00BF00D2">
        <w:rPr>
          <w:b/>
          <w:noProof/>
          <w:sz w:val="20"/>
          <w:szCs w:val="20"/>
        </w:rPr>
        <w:tab/>
      </w:r>
      <w:r w:rsidR="0069177E" w:rsidRPr="00BF00D2">
        <w:rPr>
          <w:b/>
          <w:noProof/>
          <w:sz w:val="20"/>
          <w:szCs w:val="20"/>
        </w:rPr>
        <w:t xml:space="preserve"> </w:t>
      </w:r>
      <w:r w:rsidR="00C62113" w:rsidRPr="00BF00D2">
        <w:rPr>
          <w:b/>
          <w:noProof/>
          <w:sz w:val="20"/>
          <w:szCs w:val="20"/>
        </w:rPr>
        <w:t xml:space="preserve">      </w:t>
      </w:r>
      <w:r w:rsidR="00713FF0" w:rsidRPr="00BF00D2">
        <w:rPr>
          <w:b/>
          <w:noProof/>
          <w:sz w:val="20"/>
          <w:szCs w:val="20"/>
        </w:rPr>
        <w:t xml:space="preserve"> </w:t>
      </w:r>
      <w:r w:rsidR="002A06E5" w:rsidRPr="00BF00D2">
        <w:rPr>
          <w:b/>
          <w:noProof/>
          <w:sz w:val="20"/>
          <w:szCs w:val="20"/>
        </w:rPr>
        <w:tab/>
      </w:r>
      <w:r w:rsidR="002A06E5" w:rsidRPr="00BF00D2">
        <w:rPr>
          <w:b/>
          <w:noProof/>
          <w:sz w:val="20"/>
          <w:szCs w:val="20"/>
        </w:rPr>
        <w:tab/>
      </w:r>
      <w:r w:rsidRPr="00BF00D2">
        <w:rPr>
          <w:b/>
          <w:noProof/>
          <w:sz w:val="20"/>
          <w:szCs w:val="20"/>
        </w:rPr>
        <w:t xml:space="preserve">     </w:t>
      </w:r>
      <w:r w:rsidR="0069177E" w:rsidRPr="00BF00D2">
        <w:rPr>
          <w:b/>
          <w:noProof/>
          <w:sz w:val="20"/>
          <w:szCs w:val="20"/>
        </w:rPr>
        <w:t xml:space="preserve">  </w:t>
      </w:r>
      <w:r w:rsidR="00340080" w:rsidRPr="00BF00D2">
        <w:rPr>
          <w:b/>
          <w:noProof/>
          <w:sz w:val="20"/>
          <w:szCs w:val="20"/>
        </w:rPr>
        <w:drawing>
          <wp:inline distT="0" distB="0" distL="0" distR="0">
            <wp:extent cx="1814404" cy="1820130"/>
            <wp:effectExtent l="19050" t="0" r="14396" b="8670"/>
            <wp:docPr id="6"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13FF0" w:rsidRPr="00BF00D2">
        <w:rPr>
          <w:b/>
          <w:noProof/>
          <w:sz w:val="20"/>
          <w:szCs w:val="20"/>
        </w:rPr>
        <w:t xml:space="preserve"> </w:t>
      </w:r>
      <w:r w:rsidR="00227D60" w:rsidRPr="00BF00D2">
        <w:rPr>
          <w:b/>
          <w:noProof/>
          <w:sz w:val="20"/>
          <w:szCs w:val="20"/>
        </w:rPr>
        <w:t xml:space="preserve"> </w:t>
      </w:r>
    </w:p>
    <w:p w:rsidR="00160D63" w:rsidRPr="00BF00D2" w:rsidRDefault="00160D63" w:rsidP="002A06E5">
      <w:pPr>
        <w:spacing w:line="480" w:lineRule="auto"/>
        <w:jc w:val="center"/>
        <w:rPr>
          <w:noProof/>
          <w:sz w:val="18"/>
          <w:szCs w:val="18"/>
        </w:rPr>
      </w:pPr>
      <w:r w:rsidRPr="00BF00D2">
        <w:rPr>
          <w:noProof/>
          <w:sz w:val="18"/>
          <w:szCs w:val="18"/>
        </w:rPr>
        <w:t xml:space="preserve">Figure 3: Profile of As concentration </w:t>
      </w:r>
      <w:r w:rsidR="00855B00" w:rsidRPr="00BF00D2">
        <w:rPr>
          <w:noProof/>
          <w:sz w:val="18"/>
          <w:szCs w:val="18"/>
        </w:rPr>
        <w:t>with respect to sediment age</w:t>
      </w:r>
    </w:p>
    <w:p w:rsidR="0024364D" w:rsidRPr="00BF00D2" w:rsidRDefault="00C62113" w:rsidP="00B40C2A">
      <w:pPr>
        <w:spacing w:line="480" w:lineRule="auto"/>
        <w:rPr>
          <w:b/>
          <w:noProof/>
          <w:sz w:val="20"/>
          <w:szCs w:val="20"/>
        </w:rPr>
      </w:pPr>
      <w:r w:rsidRPr="00BF00D2">
        <w:rPr>
          <w:b/>
          <w:noProof/>
          <w:sz w:val="20"/>
          <w:szCs w:val="20"/>
        </w:rPr>
        <w:t xml:space="preserve">  </w:t>
      </w:r>
      <w:r w:rsidR="00BA63CD" w:rsidRPr="00BF00D2">
        <w:rPr>
          <w:b/>
          <w:noProof/>
          <w:sz w:val="20"/>
          <w:szCs w:val="20"/>
        </w:rPr>
        <w:t xml:space="preserve">      </w:t>
      </w:r>
      <w:r w:rsidR="00340080" w:rsidRPr="00BF00D2">
        <w:rPr>
          <w:b/>
          <w:noProof/>
          <w:sz w:val="20"/>
          <w:szCs w:val="20"/>
        </w:rPr>
        <w:drawing>
          <wp:inline distT="0" distB="0" distL="0" distR="0">
            <wp:extent cx="1811244" cy="1822289"/>
            <wp:effectExtent l="19050" t="0" r="17556" b="6511"/>
            <wp:docPr id="7"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13FF0" w:rsidRPr="00BF00D2">
        <w:rPr>
          <w:b/>
          <w:noProof/>
          <w:sz w:val="20"/>
          <w:szCs w:val="20"/>
        </w:rPr>
        <w:t xml:space="preserve">  </w:t>
      </w:r>
      <w:r w:rsidR="00227D60" w:rsidRPr="00BF00D2">
        <w:rPr>
          <w:b/>
          <w:noProof/>
          <w:sz w:val="20"/>
          <w:szCs w:val="20"/>
        </w:rPr>
        <w:t xml:space="preserve"> </w:t>
      </w:r>
      <w:r w:rsidR="0069177E" w:rsidRPr="00BF00D2">
        <w:rPr>
          <w:b/>
          <w:noProof/>
          <w:sz w:val="20"/>
          <w:szCs w:val="20"/>
        </w:rPr>
        <w:t xml:space="preserve">     </w:t>
      </w:r>
      <w:r w:rsidR="0069177E" w:rsidRPr="00BF00D2">
        <w:rPr>
          <w:b/>
          <w:noProof/>
          <w:sz w:val="20"/>
          <w:szCs w:val="20"/>
        </w:rPr>
        <w:tab/>
      </w:r>
      <w:r w:rsidR="00BA63CD" w:rsidRPr="00BF00D2">
        <w:rPr>
          <w:b/>
          <w:noProof/>
          <w:sz w:val="20"/>
          <w:szCs w:val="20"/>
        </w:rPr>
        <w:t xml:space="preserve">                      </w:t>
      </w:r>
      <w:r w:rsidR="00340080" w:rsidRPr="00BF00D2">
        <w:rPr>
          <w:b/>
          <w:noProof/>
          <w:sz w:val="20"/>
          <w:szCs w:val="20"/>
        </w:rPr>
        <w:drawing>
          <wp:inline distT="0" distB="0" distL="0" distR="0">
            <wp:extent cx="1814256" cy="1823182"/>
            <wp:effectExtent l="19050" t="0" r="14544" b="5618"/>
            <wp:docPr id="8"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3DD3" w:rsidRPr="00BF00D2" w:rsidRDefault="0024364D" w:rsidP="0024364D">
      <w:pPr>
        <w:tabs>
          <w:tab w:val="left" w:pos="6725"/>
        </w:tabs>
        <w:rPr>
          <w:sz w:val="20"/>
          <w:szCs w:val="20"/>
        </w:rPr>
      </w:pPr>
      <w:r w:rsidRPr="00BF00D2">
        <w:rPr>
          <w:sz w:val="20"/>
          <w:szCs w:val="20"/>
        </w:rPr>
        <w:tab/>
      </w:r>
    </w:p>
    <w:p w:rsidR="0053301A" w:rsidRPr="00BF00D2" w:rsidRDefault="00160D63" w:rsidP="002A06E5">
      <w:pPr>
        <w:jc w:val="center"/>
        <w:rPr>
          <w:sz w:val="18"/>
          <w:szCs w:val="18"/>
        </w:rPr>
      </w:pPr>
      <w:r w:rsidRPr="00BF00D2">
        <w:rPr>
          <w:sz w:val="18"/>
          <w:szCs w:val="18"/>
        </w:rPr>
        <w:t>Figure 4: Profile of Zn concentration</w:t>
      </w:r>
      <w:r w:rsidR="00855B00" w:rsidRPr="00BF00D2">
        <w:rPr>
          <w:sz w:val="18"/>
          <w:szCs w:val="18"/>
        </w:rPr>
        <w:t xml:space="preserve"> with respect to sediment age</w:t>
      </w:r>
    </w:p>
    <w:p w:rsidR="0053301A" w:rsidRPr="00BF00D2" w:rsidRDefault="0053301A" w:rsidP="00075953">
      <w:pPr>
        <w:rPr>
          <w:sz w:val="20"/>
          <w:szCs w:val="20"/>
        </w:rPr>
      </w:pPr>
    </w:p>
    <w:p w:rsidR="0053301A" w:rsidRPr="00BF00D2" w:rsidRDefault="0053301A" w:rsidP="00075953">
      <w:pPr>
        <w:rPr>
          <w:sz w:val="20"/>
          <w:szCs w:val="20"/>
        </w:rPr>
      </w:pPr>
    </w:p>
    <w:p w:rsidR="00101450" w:rsidRPr="00BF00D2" w:rsidRDefault="00101450" w:rsidP="00075953">
      <w:pPr>
        <w:jc w:val="both"/>
        <w:rPr>
          <w:sz w:val="20"/>
          <w:szCs w:val="20"/>
        </w:rPr>
      </w:pPr>
      <w:r w:rsidRPr="00BF00D2">
        <w:rPr>
          <w:sz w:val="20"/>
          <w:szCs w:val="20"/>
        </w:rPr>
        <w:t>Result of analysis showed As and Zn elements in sediment lake are good agreement with presence of these metal as earlier study by Ingham &amp; Bradford (1960)</w:t>
      </w:r>
      <w:r w:rsidR="00421531" w:rsidRPr="00BF00D2">
        <w:rPr>
          <w:sz w:val="20"/>
          <w:szCs w:val="20"/>
        </w:rPr>
        <w:t xml:space="preserve"> [8]</w:t>
      </w:r>
      <w:r w:rsidRPr="00BF00D2">
        <w:rPr>
          <w:sz w:val="20"/>
          <w:szCs w:val="20"/>
        </w:rPr>
        <w:t xml:space="preserve"> in the Geology of Kinta Valley. They were pointed out that As was found in contaminated tin-ore and removed by roasting and washing. The byproduct of As (arsenious oxide) </w:t>
      </w:r>
      <w:r w:rsidRPr="00BF00D2">
        <w:rPr>
          <w:sz w:val="20"/>
          <w:szCs w:val="20"/>
        </w:rPr>
        <w:lastRenderedPageBreak/>
        <w:t>sometimes collected for sale as an insecticide and weed killer. While, Zinc Sphalerite (ZnS) also found from several location in Kinta but there is no significant for economic value. The mineral was identified in a small quantity in limestone pipes.</w:t>
      </w:r>
    </w:p>
    <w:p w:rsidR="00075953" w:rsidRPr="00BF00D2" w:rsidRDefault="00075953" w:rsidP="00075953">
      <w:pPr>
        <w:jc w:val="center"/>
        <w:rPr>
          <w:b/>
          <w:sz w:val="20"/>
          <w:szCs w:val="20"/>
        </w:rPr>
      </w:pPr>
    </w:p>
    <w:p w:rsidR="001A63BD" w:rsidRPr="00BF00D2" w:rsidRDefault="001A63BD" w:rsidP="00BA63CD">
      <w:pPr>
        <w:jc w:val="center"/>
        <w:rPr>
          <w:b/>
          <w:sz w:val="20"/>
          <w:szCs w:val="20"/>
        </w:rPr>
      </w:pPr>
    </w:p>
    <w:p w:rsidR="00885E1B" w:rsidRPr="00BF00D2" w:rsidRDefault="007B6123" w:rsidP="00BA63CD">
      <w:pPr>
        <w:jc w:val="center"/>
        <w:rPr>
          <w:b/>
          <w:sz w:val="20"/>
          <w:szCs w:val="20"/>
        </w:rPr>
      </w:pPr>
      <w:r w:rsidRPr="00BF00D2">
        <w:rPr>
          <w:b/>
          <w:sz w:val="20"/>
          <w:szCs w:val="20"/>
        </w:rPr>
        <w:t>Conclusion</w:t>
      </w:r>
    </w:p>
    <w:p w:rsidR="00160D63" w:rsidRPr="00BF00D2" w:rsidRDefault="00E44EF1" w:rsidP="00BA63CD">
      <w:pPr>
        <w:jc w:val="both"/>
        <w:rPr>
          <w:sz w:val="20"/>
          <w:szCs w:val="20"/>
        </w:rPr>
      </w:pPr>
      <w:r w:rsidRPr="00BF00D2">
        <w:rPr>
          <w:sz w:val="20"/>
          <w:szCs w:val="20"/>
        </w:rPr>
        <w:t xml:space="preserve">Pb-210 dating </w:t>
      </w:r>
      <w:r w:rsidR="00885E1B" w:rsidRPr="00BF00D2">
        <w:rPr>
          <w:sz w:val="20"/>
          <w:szCs w:val="20"/>
        </w:rPr>
        <w:t>method</w:t>
      </w:r>
      <w:r w:rsidRPr="00BF00D2">
        <w:rPr>
          <w:sz w:val="20"/>
          <w:szCs w:val="20"/>
        </w:rPr>
        <w:t xml:space="preserve"> </w:t>
      </w:r>
      <w:r w:rsidR="008F4560" w:rsidRPr="00BF00D2">
        <w:rPr>
          <w:sz w:val="20"/>
          <w:szCs w:val="20"/>
        </w:rPr>
        <w:t>is</w:t>
      </w:r>
      <w:r w:rsidR="0007034C" w:rsidRPr="00BF00D2">
        <w:rPr>
          <w:sz w:val="20"/>
          <w:szCs w:val="20"/>
        </w:rPr>
        <w:t xml:space="preserve"> applicable technique</w:t>
      </w:r>
      <w:r w:rsidR="00885E1B" w:rsidRPr="00BF00D2">
        <w:rPr>
          <w:sz w:val="20"/>
          <w:szCs w:val="20"/>
        </w:rPr>
        <w:t xml:space="preserve"> to establish </w:t>
      </w:r>
      <w:r w:rsidR="00FB10B4" w:rsidRPr="00BF00D2">
        <w:rPr>
          <w:sz w:val="20"/>
          <w:szCs w:val="20"/>
        </w:rPr>
        <w:t xml:space="preserve">recent </w:t>
      </w:r>
      <w:r w:rsidRPr="00BF00D2">
        <w:rPr>
          <w:sz w:val="20"/>
          <w:szCs w:val="20"/>
        </w:rPr>
        <w:t>sediment</w:t>
      </w:r>
      <w:r w:rsidR="00FB10B4" w:rsidRPr="00BF00D2">
        <w:rPr>
          <w:sz w:val="20"/>
          <w:szCs w:val="20"/>
        </w:rPr>
        <w:t>ation rate and sediment</w:t>
      </w:r>
      <w:r w:rsidRPr="00BF00D2">
        <w:rPr>
          <w:sz w:val="20"/>
          <w:szCs w:val="20"/>
        </w:rPr>
        <w:t xml:space="preserve"> chronology</w:t>
      </w:r>
      <w:r w:rsidR="0007034C" w:rsidRPr="00BF00D2">
        <w:rPr>
          <w:sz w:val="20"/>
          <w:szCs w:val="20"/>
        </w:rPr>
        <w:t xml:space="preserve"> in a former tin mining lake</w:t>
      </w:r>
      <w:r w:rsidRPr="00BF00D2">
        <w:rPr>
          <w:sz w:val="20"/>
          <w:szCs w:val="20"/>
        </w:rPr>
        <w:t>.</w:t>
      </w:r>
      <w:r w:rsidR="00FB10B4" w:rsidRPr="00BF00D2">
        <w:rPr>
          <w:sz w:val="20"/>
          <w:szCs w:val="20"/>
        </w:rPr>
        <w:t xml:space="preserve"> </w:t>
      </w:r>
      <w:r w:rsidR="00885E1B" w:rsidRPr="00BF00D2">
        <w:rPr>
          <w:sz w:val="20"/>
          <w:szCs w:val="20"/>
        </w:rPr>
        <w:t xml:space="preserve">Similar </w:t>
      </w:r>
      <w:r w:rsidR="004E2A96" w:rsidRPr="00BF00D2">
        <w:rPr>
          <w:sz w:val="20"/>
          <w:szCs w:val="20"/>
        </w:rPr>
        <w:t xml:space="preserve">sedimentation rate showed </w:t>
      </w:r>
      <w:r w:rsidR="00885E1B" w:rsidRPr="00BF00D2">
        <w:rPr>
          <w:sz w:val="20"/>
          <w:szCs w:val="20"/>
        </w:rPr>
        <w:t xml:space="preserve">constant flow rate of water yields same sedimentation rate </w:t>
      </w:r>
      <w:r w:rsidR="00FB10B4" w:rsidRPr="00BF00D2">
        <w:rPr>
          <w:sz w:val="20"/>
          <w:szCs w:val="20"/>
        </w:rPr>
        <w:t xml:space="preserve">at both locations. </w:t>
      </w:r>
      <w:r w:rsidRPr="00BF00D2">
        <w:rPr>
          <w:sz w:val="20"/>
          <w:szCs w:val="20"/>
        </w:rPr>
        <w:t xml:space="preserve"> An attempt has</w:t>
      </w:r>
      <w:r w:rsidR="00FB10B4" w:rsidRPr="00BF00D2">
        <w:rPr>
          <w:sz w:val="20"/>
          <w:szCs w:val="20"/>
        </w:rPr>
        <w:t xml:space="preserve"> been</w:t>
      </w:r>
      <w:r w:rsidRPr="00BF00D2">
        <w:rPr>
          <w:sz w:val="20"/>
          <w:szCs w:val="20"/>
        </w:rPr>
        <w:t xml:space="preserve"> made to relate the metal</w:t>
      </w:r>
      <w:r w:rsidR="00FB10B4" w:rsidRPr="00BF00D2">
        <w:rPr>
          <w:sz w:val="20"/>
          <w:szCs w:val="20"/>
        </w:rPr>
        <w:t>s</w:t>
      </w:r>
      <w:r w:rsidRPr="00BF00D2">
        <w:rPr>
          <w:sz w:val="20"/>
          <w:szCs w:val="20"/>
        </w:rPr>
        <w:t xml:space="preserve"> pollution input with temporal changes in</w:t>
      </w:r>
      <w:r w:rsidR="00FB10B4" w:rsidRPr="00BF00D2">
        <w:rPr>
          <w:sz w:val="20"/>
          <w:szCs w:val="20"/>
        </w:rPr>
        <w:t xml:space="preserve"> a former tin mining lake</w:t>
      </w:r>
      <w:r w:rsidR="004E2A96" w:rsidRPr="00BF00D2">
        <w:rPr>
          <w:sz w:val="20"/>
          <w:szCs w:val="20"/>
        </w:rPr>
        <w:t xml:space="preserve"> and </w:t>
      </w:r>
      <w:r w:rsidR="00101450" w:rsidRPr="00BF00D2">
        <w:rPr>
          <w:sz w:val="20"/>
          <w:szCs w:val="20"/>
        </w:rPr>
        <w:t>chronology of metals input ha</w:t>
      </w:r>
      <w:r w:rsidR="00035966" w:rsidRPr="00BF00D2">
        <w:rPr>
          <w:sz w:val="20"/>
          <w:szCs w:val="20"/>
        </w:rPr>
        <w:t xml:space="preserve">s been successfully determined. </w:t>
      </w:r>
      <w:r w:rsidR="00EF1676" w:rsidRPr="00BF00D2">
        <w:rPr>
          <w:sz w:val="20"/>
          <w:szCs w:val="20"/>
        </w:rPr>
        <w:t xml:space="preserve">Increasing </w:t>
      </w:r>
      <w:r w:rsidR="00035966" w:rsidRPr="00BF00D2">
        <w:rPr>
          <w:sz w:val="20"/>
          <w:szCs w:val="20"/>
        </w:rPr>
        <w:t>concentrat</w:t>
      </w:r>
      <w:r w:rsidR="00EF1676" w:rsidRPr="00BF00D2">
        <w:rPr>
          <w:sz w:val="20"/>
          <w:szCs w:val="20"/>
        </w:rPr>
        <w:t>ion of As and Zn in recent years</w:t>
      </w:r>
      <w:r w:rsidR="00BC25F6" w:rsidRPr="00BF00D2">
        <w:rPr>
          <w:sz w:val="20"/>
          <w:szCs w:val="20"/>
        </w:rPr>
        <w:t xml:space="preserve"> possibly due to human act</w:t>
      </w:r>
      <w:r w:rsidR="00EF1676" w:rsidRPr="00BF00D2">
        <w:rPr>
          <w:sz w:val="20"/>
          <w:szCs w:val="20"/>
        </w:rPr>
        <w:t>ivities around</w:t>
      </w:r>
      <w:r w:rsidR="00BC25F6" w:rsidRPr="00BF00D2">
        <w:rPr>
          <w:sz w:val="20"/>
          <w:szCs w:val="20"/>
        </w:rPr>
        <w:t xml:space="preserve"> the lake area. </w:t>
      </w:r>
    </w:p>
    <w:p w:rsidR="00160D63" w:rsidRPr="00BF00D2" w:rsidRDefault="00160D63" w:rsidP="00075953">
      <w:pPr>
        <w:rPr>
          <w:sz w:val="20"/>
          <w:szCs w:val="20"/>
        </w:rPr>
      </w:pPr>
    </w:p>
    <w:p w:rsidR="007B6123" w:rsidRPr="00BF00D2" w:rsidRDefault="008505C9" w:rsidP="00075953">
      <w:pPr>
        <w:jc w:val="center"/>
        <w:rPr>
          <w:b/>
          <w:sz w:val="20"/>
          <w:szCs w:val="20"/>
        </w:rPr>
      </w:pPr>
      <w:r w:rsidRPr="00BF00D2">
        <w:rPr>
          <w:b/>
          <w:sz w:val="20"/>
          <w:szCs w:val="20"/>
        </w:rPr>
        <w:t>Acknowledgement</w:t>
      </w:r>
    </w:p>
    <w:p w:rsidR="008505C9" w:rsidRPr="00BF00D2" w:rsidRDefault="00790683" w:rsidP="0024364D">
      <w:pPr>
        <w:rPr>
          <w:sz w:val="20"/>
          <w:szCs w:val="20"/>
        </w:rPr>
      </w:pPr>
      <w:r w:rsidRPr="00BF00D2">
        <w:rPr>
          <w:sz w:val="20"/>
          <w:szCs w:val="20"/>
        </w:rPr>
        <w:t xml:space="preserve">The </w:t>
      </w:r>
      <w:r w:rsidR="00593BB7" w:rsidRPr="00BF00D2">
        <w:rPr>
          <w:sz w:val="20"/>
          <w:szCs w:val="20"/>
        </w:rPr>
        <w:t>author</w:t>
      </w:r>
      <w:r w:rsidR="00CA75E0" w:rsidRPr="00BF00D2">
        <w:rPr>
          <w:sz w:val="20"/>
          <w:szCs w:val="20"/>
        </w:rPr>
        <w:t>s</w:t>
      </w:r>
      <w:r w:rsidR="00593BB7" w:rsidRPr="00BF00D2">
        <w:rPr>
          <w:sz w:val="20"/>
          <w:szCs w:val="20"/>
        </w:rPr>
        <w:t xml:space="preserve"> gratefully acknowledge</w:t>
      </w:r>
      <w:r w:rsidRPr="00BF00D2">
        <w:rPr>
          <w:sz w:val="20"/>
          <w:szCs w:val="20"/>
        </w:rPr>
        <w:t xml:space="preserve"> the financia</w:t>
      </w:r>
      <w:r w:rsidR="00CA75E0" w:rsidRPr="00BF00D2">
        <w:rPr>
          <w:sz w:val="20"/>
          <w:szCs w:val="20"/>
        </w:rPr>
        <w:t>l support for this project from</w:t>
      </w:r>
      <w:r w:rsidR="00593BB7" w:rsidRPr="00BF00D2">
        <w:rPr>
          <w:sz w:val="20"/>
          <w:szCs w:val="20"/>
        </w:rPr>
        <w:t xml:space="preserve"> FRGS Research grant: 600 – IRDC/T/FRGS. 5/3/1333, UiTM and Malaysian </w:t>
      </w:r>
      <w:r w:rsidR="005E1C3E" w:rsidRPr="00BF00D2">
        <w:rPr>
          <w:sz w:val="20"/>
          <w:szCs w:val="20"/>
        </w:rPr>
        <w:t>Nuclear Agency (MNA).</w:t>
      </w:r>
    </w:p>
    <w:p w:rsidR="002B6618" w:rsidRPr="00BF00D2" w:rsidRDefault="002B6618" w:rsidP="00075953">
      <w:pPr>
        <w:jc w:val="center"/>
        <w:rPr>
          <w:b/>
          <w:sz w:val="20"/>
          <w:szCs w:val="20"/>
        </w:rPr>
      </w:pPr>
    </w:p>
    <w:p w:rsidR="00331ADF" w:rsidRPr="00BF00D2" w:rsidRDefault="00331ADF" w:rsidP="00075953">
      <w:pPr>
        <w:jc w:val="center"/>
        <w:rPr>
          <w:b/>
          <w:sz w:val="20"/>
          <w:szCs w:val="20"/>
        </w:rPr>
      </w:pPr>
    </w:p>
    <w:p w:rsidR="001A67DF" w:rsidRPr="00BF00D2" w:rsidRDefault="001A67DF" w:rsidP="00075953">
      <w:pPr>
        <w:jc w:val="center"/>
        <w:rPr>
          <w:b/>
          <w:sz w:val="20"/>
          <w:szCs w:val="20"/>
        </w:rPr>
      </w:pPr>
      <w:r w:rsidRPr="00BF00D2">
        <w:rPr>
          <w:b/>
          <w:sz w:val="20"/>
          <w:szCs w:val="20"/>
        </w:rPr>
        <w:t>Reference</w:t>
      </w:r>
      <w:r w:rsidR="00075953" w:rsidRPr="00BF00D2">
        <w:rPr>
          <w:b/>
          <w:sz w:val="20"/>
          <w:szCs w:val="20"/>
        </w:rPr>
        <w:t>s</w:t>
      </w:r>
    </w:p>
    <w:p w:rsidR="006366E4" w:rsidRPr="00BF00D2" w:rsidRDefault="0043553A" w:rsidP="00FE62EA">
      <w:pPr>
        <w:ind w:left="720" w:hanging="720"/>
        <w:jc w:val="both"/>
        <w:rPr>
          <w:sz w:val="18"/>
          <w:szCs w:val="18"/>
        </w:rPr>
      </w:pPr>
      <w:r w:rsidRPr="00BF00D2">
        <w:rPr>
          <w:sz w:val="18"/>
          <w:szCs w:val="18"/>
        </w:rPr>
        <w:t>1.</w:t>
      </w:r>
      <w:r w:rsidR="00636474" w:rsidRPr="00BF00D2">
        <w:rPr>
          <w:sz w:val="18"/>
          <w:szCs w:val="18"/>
        </w:rPr>
        <w:t xml:space="preserve"> </w:t>
      </w:r>
      <w:r w:rsidR="00A077C3" w:rsidRPr="00BF00D2">
        <w:rPr>
          <w:sz w:val="18"/>
          <w:szCs w:val="18"/>
        </w:rPr>
        <w:tab/>
      </w:r>
      <w:r w:rsidR="00607EF3" w:rsidRPr="00BF00D2">
        <w:rPr>
          <w:sz w:val="18"/>
          <w:szCs w:val="18"/>
        </w:rPr>
        <w:t xml:space="preserve">Al-Masri, </w:t>
      </w:r>
      <w:r w:rsidR="006366E4" w:rsidRPr="00BF00D2">
        <w:rPr>
          <w:sz w:val="18"/>
          <w:szCs w:val="18"/>
        </w:rPr>
        <w:t>M.S., Aba, H., Khalil, H., and Al – Hares, Z.</w:t>
      </w:r>
      <w:r w:rsidR="009779E3" w:rsidRPr="00BF00D2">
        <w:rPr>
          <w:sz w:val="18"/>
          <w:szCs w:val="18"/>
        </w:rPr>
        <w:t>,</w:t>
      </w:r>
      <w:r w:rsidR="006366E4" w:rsidRPr="00BF00D2">
        <w:rPr>
          <w:sz w:val="18"/>
          <w:szCs w:val="18"/>
        </w:rPr>
        <w:t xml:space="preserve"> (2002). Sedimentation Rates and </w:t>
      </w:r>
      <w:r w:rsidR="00636474" w:rsidRPr="00BF00D2">
        <w:rPr>
          <w:sz w:val="18"/>
          <w:szCs w:val="18"/>
        </w:rPr>
        <w:t xml:space="preserve"> </w:t>
      </w:r>
      <w:r w:rsidR="006366E4" w:rsidRPr="00BF00D2">
        <w:rPr>
          <w:sz w:val="18"/>
          <w:szCs w:val="18"/>
        </w:rPr>
        <w:t xml:space="preserve">Pollution History of a Dried Lake: Al-Oteibeh Lake. </w:t>
      </w:r>
      <w:r w:rsidR="006366E4" w:rsidRPr="00BF00D2">
        <w:rPr>
          <w:i/>
          <w:sz w:val="18"/>
          <w:szCs w:val="18"/>
        </w:rPr>
        <w:t>J</w:t>
      </w:r>
      <w:r w:rsidR="006366E4" w:rsidRPr="00BF00D2">
        <w:rPr>
          <w:sz w:val="18"/>
          <w:szCs w:val="18"/>
        </w:rPr>
        <w:t xml:space="preserve">. </w:t>
      </w:r>
      <w:r w:rsidR="006366E4" w:rsidRPr="00BF00D2">
        <w:rPr>
          <w:i/>
          <w:sz w:val="18"/>
          <w:szCs w:val="18"/>
        </w:rPr>
        <w:t>Sc. Total Environmental</w:t>
      </w:r>
      <w:r w:rsidR="006366E4" w:rsidRPr="00BF00D2">
        <w:rPr>
          <w:sz w:val="18"/>
          <w:szCs w:val="18"/>
        </w:rPr>
        <w:t>.,</w:t>
      </w:r>
      <w:r w:rsidR="00F005B8" w:rsidRPr="00BF00D2">
        <w:rPr>
          <w:sz w:val="18"/>
          <w:szCs w:val="18"/>
        </w:rPr>
        <w:t xml:space="preserve"> 293:</w:t>
      </w:r>
      <w:r w:rsidR="00075953" w:rsidRPr="00BF00D2">
        <w:rPr>
          <w:sz w:val="18"/>
          <w:szCs w:val="18"/>
        </w:rPr>
        <w:t xml:space="preserve"> 177</w:t>
      </w:r>
      <w:r w:rsidR="00A077C3" w:rsidRPr="00BF00D2">
        <w:rPr>
          <w:sz w:val="18"/>
          <w:szCs w:val="18"/>
        </w:rPr>
        <w:t>-</w:t>
      </w:r>
      <w:r w:rsidR="006366E4" w:rsidRPr="00BF00D2">
        <w:rPr>
          <w:sz w:val="18"/>
          <w:szCs w:val="18"/>
        </w:rPr>
        <w:t>189.</w:t>
      </w:r>
    </w:p>
    <w:p w:rsidR="00383536" w:rsidRPr="00BF00D2" w:rsidRDefault="0043553A" w:rsidP="00593BB7">
      <w:pPr>
        <w:ind w:left="720" w:hanging="720"/>
        <w:jc w:val="both"/>
        <w:rPr>
          <w:sz w:val="18"/>
          <w:szCs w:val="18"/>
        </w:rPr>
      </w:pPr>
      <w:r w:rsidRPr="00BF00D2">
        <w:rPr>
          <w:sz w:val="18"/>
          <w:szCs w:val="18"/>
        </w:rPr>
        <w:t>2.</w:t>
      </w:r>
      <w:r w:rsidR="00BD3590" w:rsidRPr="00BF00D2">
        <w:rPr>
          <w:sz w:val="18"/>
          <w:szCs w:val="18"/>
        </w:rPr>
        <w:t xml:space="preserve"> </w:t>
      </w:r>
      <w:r w:rsidR="00BD3590" w:rsidRPr="00BF00D2">
        <w:rPr>
          <w:sz w:val="18"/>
          <w:szCs w:val="18"/>
        </w:rPr>
        <w:tab/>
        <w:t>An huh, C., Sheng C.K., Ling, W.C., and Mei, L.P. (1996). Lead- 210 and plutonium fallout in Taiwan as recorded at a subalpine lake</w:t>
      </w:r>
      <w:r w:rsidR="00BD3590" w:rsidRPr="00BF00D2">
        <w:rPr>
          <w:i/>
          <w:sz w:val="18"/>
          <w:szCs w:val="18"/>
        </w:rPr>
        <w:t>, J. of Southeast Asia Earth Sciences .</w:t>
      </w:r>
      <w:r w:rsidR="00BD3590" w:rsidRPr="00BF00D2">
        <w:rPr>
          <w:sz w:val="18"/>
          <w:szCs w:val="18"/>
        </w:rPr>
        <w:t>, 14, 373-376</w:t>
      </w:r>
      <w:r w:rsidR="00075953" w:rsidRPr="00BF00D2">
        <w:rPr>
          <w:sz w:val="18"/>
          <w:szCs w:val="18"/>
        </w:rPr>
        <w:t>.</w:t>
      </w:r>
    </w:p>
    <w:p w:rsidR="001A67DF" w:rsidRPr="00BF00D2" w:rsidRDefault="0043553A" w:rsidP="00593BB7">
      <w:pPr>
        <w:ind w:left="720" w:hanging="720"/>
        <w:jc w:val="both"/>
        <w:rPr>
          <w:sz w:val="18"/>
          <w:szCs w:val="18"/>
        </w:rPr>
      </w:pPr>
      <w:r w:rsidRPr="00BF00D2">
        <w:rPr>
          <w:sz w:val="18"/>
          <w:szCs w:val="18"/>
        </w:rPr>
        <w:t>3.</w:t>
      </w:r>
      <w:r w:rsidR="00636474" w:rsidRPr="00BF00D2">
        <w:rPr>
          <w:sz w:val="18"/>
          <w:szCs w:val="18"/>
        </w:rPr>
        <w:t xml:space="preserve"> </w:t>
      </w:r>
      <w:r w:rsidR="00A077C3" w:rsidRPr="00BF00D2">
        <w:rPr>
          <w:sz w:val="18"/>
          <w:szCs w:val="18"/>
        </w:rPr>
        <w:tab/>
      </w:r>
      <w:r w:rsidR="00035966" w:rsidRPr="00BF00D2">
        <w:rPr>
          <w:sz w:val="18"/>
          <w:szCs w:val="18"/>
        </w:rPr>
        <w:t>Appleby, P.G.</w:t>
      </w:r>
      <w:r w:rsidR="009779E3" w:rsidRPr="00BF00D2">
        <w:rPr>
          <w:sz w:val="18"/>
          <w:szCs w:val="18"/>
        </w:rPr>
        <w:t>,</w:t>
      </w:r>
      <w:r w:rsidR="00F53568" w:rsidRPr="00BF00D2">
        <w:rPr>
          <w:sz w:val="18"/>
          <w:szCs w:val="18"/>
        </w:rPr>
        <w:t xml:space="preserve"> (</w:t>
      </w:r>
      <w:r w:rsidR="001A67DF" w:rsidRPr="00BF00D2">
        <w:rPr>
          <w:sz w:val="18"/>
          <w:szCs w:val="18"/>
        </w:rPr>
        <w:t>2000) Radiometric dating of sediment reco</w:t>
      </w:r>
      <w:r w:rsidR="00A077C3" w:rsidRPr="00BF00D2">
        <w:rPr>
          <w:sz w:val="18"/>
          <w:szCs w:val="18"/>
        </w:rPr>
        <w:t>rds in European mountain lakes.</w:t>
      </w:r>
      <w:r w:rsidR="00636474" w:rsidRPr="00BF00D2">
        <w:rPr>
          <w:sz w:val="18"/>
          <w:szCs w:val="18"/>
        </w:rPr>
        <w:t xml:space="preserve"> </w:t>
      </w:r>
      <w:r w:rsidR="001A67DF" w:rsidRPr="00BF00D2">
        <w:rPr>
          <w:sz w:val="18"/>
          <w:szCs w:val="18"/>
        </w:rPr>
        <w:t xml:space="preserve">J. </w:t>
      </w:r>
      <w:r w:rsidR="001A67DF" w:rsidRPr="00BF00D2">
        <w:rPr>
          <w:i/>
          <w:sz w:val="18"/>
          <w:szCs w:val="18"/>
        </w:rPr>
        <w:t>Limnol</w:t>
      </w:r>
      <w:r w:rsidR="001A67DF" w:rsidRPr="00BF00D2">
        <w:rPr>
          <w:sz w:val="18"/>
          <w:szCs w:val="18"/>
        </w:rPr>
        <w:t>., 59: 1 – 14.</w:t>
      </w:r>
    </w:p>
    <w:p w:rsidR="00612BD0" w:rsidRPr="00BF00D2" w:rsidRDefault="0043553A" w:rsidP="00593BB7">
      <w:pPr>
        <w:autoSpaceDE w:val="0"/>
        <w:autoSpaceDN w:val="0"/>
        <w:adjustRightInd w:val="0"/>
        <w:ind w:left="720" w:hanging="720"/>
        <w:jc w:val="both"/>
        <w:rPr>
          <w:bCs/>
          <w:sz w:val="18"/>
          <w:szCs w:val="18"/>
        </w:rPr>
      </w:pPr>
      <w:r w:rsidRPr="00BF00D2">
        <w:rPr>
          <w:bCs/>
          <w:sz w:val="18"/>
          <w:szCs w:val="18"/>
        </w:rPr>
        <w:t>4.</w:t>
      </w:r>
      <w:r w:rsidR="00636474" w:rsidRPr="00BF00D2">
        <w:rPr>
          <w:bCs/>
          <w:sz w:val="18"/>
          <w:szCs w:val="18"/>
        </w:rPr>
        <w:t xml:space="preserve"> </w:t>
      </w:r>
      <w:r w:rsidR="00A077C3" w:rsidRPr="00BF00D2">
        <w:rPr>
          <w:bCs/>
          <w:sz w:val="18"/>
          <w:szCs w:val="18"/>
        </w:rPr>
        <w:tab/>
      </w:r>
      <w:r w:rsidR="009779E3" w:rsidRPr="00BF00D2">
        <w:rPr>
          <w:bCs/>
          <w:sz w:val="18"/>
          <w:szCs w:val="18"/>
        </w:rPr>
        <w:t xml:space="preserve">Balamurugan </w:t>
      </w:r>
      <w:r w:rsidR="002B6618" w:rsidRPr="00BF00D2">
        <w:rPr>
          <w:bCs/>
          <w:sz w:val="18"/>
          <w:szCs w:val="18"/>
        </w:rPr>
        <w:t xml:space="preserve">(1991). </w:t>
      </w:r>
      <w:r w:rsidR="004916B4" w:rsidRPr="00BF00D2">
        <w:rPr>
          <w:bCs/>
          <w:sz w:val="18"/>
          <w:szCs w:val="18"/>
        </w:rPr>
        <w:t>Tin Mining and Sediment Supply in P</w:t>
      </w:r>
      <w:r w:rsidR="00A077C3" w:rsidRPr="00BF00D2">
        <w:rPr>
          <w:bCs/>
          <w:sz w:val="18"/>
          <w:szCs w:val="18"/>
        </w:rPr>
        <w:t xml:space="preserve">eninsular Malaysia with Special </w:t>
      </w:r>
      <w:r w:rsidR="004916B4" w:rsidRPr="00BF00D2">
        <w:rPr>
          <w:bCs/>
          <w:sz w:val="18"/>
          <w:szCs w:val="18"/>
        </w:rPr>
        <w:t>Reference to the Kelang River Basin</w:t>
      </w:r>
      <w:r w:rsidR="009779E3" w:rsidRPr="00BF00D2">
        <w:rPr>
          <w:bCs/>
          <w:sz w:val="18"/>
          <w:szCs w:val="18"/>
        </w:rPr>
        <w:t>.</w:t>
      </w:r>
      <w:r w:rsidR="00106A02" w:rsidRPr="00BF00D2">
        <w:rPr>
          <w:bCs/>
          <w:sz w:val="18"/>
          <w:szCs w:val="18"/>
        </w:rPr>
        <w:t xml:space="preserve"> </w:t>
      </w:r>
      <w:r w:rsidR="00106A02" w:rsidRPr="00BF00D2">
        <w:rPr>
          <w:bCs/>
          <w:i/>
          <w:sz w:val="18"/>
          <w:szCs w:val="18"/>
        </w:rPr>
        <w:t>J.</w:t>
      </w:r>
      <w:r w:rsidR="00106A02" w:rsidRPr="00BF00D2">
        <w:rPr>
          <w:bCs/>
          <w:sz w:val="18"/>
          <w:szCs w:val="18"/>
        </w:rPr>
        <w:t xml:space="preserve"> </w:t>
      </w:r>
      <w:r w:rsidR="00F005B8" w:rsidRPr="00BF00D2">
        <w:rPr>
          <w:bCs/>
          <w:i/>
          <w:sz w:val="18"/>
          <w:szCs w:val="18"/>
        </w:rPr>
        <w:t>The Environmentalist</w:t>
      </w:r>
      <w:r w:rsidR="00F005B8" w:rsidRPr="00BF00D2">
        <w:rPr>
          <w:bCs/>
          <w:sz w:val="18"/>
          <w:szCs w:val="18"/>
        </w:rPr>
        <w:t>., 11:</w:t>
      </w:r>
      <w:r w:rsidR="00F53568" w:rsidRPr="00BF00D2">
        <w:rPr>
          <w:bCs/>
          <w:sz w:val="18"/>
          <w:szCs w:val="18"/>
        </w:rPr>
        <w:t xml:space="preserve"> 281-291</w:t>
      </w:r>
      <w:r w:rsidR="00075953" w:rsidRPr="00BF00D2">
        <w:rPr>
          <w:bCs/>
          <w:sz w:val="18"/>
          <w:szCs w:val="18"/>
        </w:rPr>
        <w:t>.</w:t>
      </w:r>
    </w:p>
    <w:p w:rsidR="00FE62EA" w:rsidRPr="00BF00D2" w:rsidRDefault="0043553A" w:rsidP="00593BB7">
      <w:pPr>
        <w:tabs>
          <w:tab w:val="left" w:pos="1515"/>
        </w:tabs>
        <w:jc w:val="both"/>
        <w:rPr>
          <w:sz w:val="18"/>
          <w:szCs w:val="18"/>
        </w:rPr>
      </w:pPr>
      <w:r w:rsidRPr="00BF00D2">
        <w:rPr>
          <w:bCs/>
          <w:sz w:val="18"/>
          <w:szCs w:val="18"/>
        </w:rPr>
        <w:t xml:space="preserve">5. </w:t>
      </w:r>
      <w:r w:rsidR="00075953" w:rsidRPr="00BF00D2">
        <w:rPr>
          <w:bCs/>
          <w:sz w:val="18"/>
          <w:szCs w:val="18"/>
        </w:rPr>
        <w:t xml:space="preserve">          </w:t>
      </w:r>
      <w:r w:rsidR="00612BD0" w:rsidRPr="00BF00D2">
        <w:rPr>
          <w:sz w:val="18"/>
          <w:szCs w:val="18"/>
        </w:rPr>
        <w:t xml:space="preserve">Binford, W. Michael., Kahl S. Jeffry, and Norton A. Stephen (1993). Interpretation of Pb-210 profile and </w:t>
      </w:r>
      <w:r w:rsidR="00075953" w:rsidRPr="00BF00D2">
        <w:rPr>
          <w:sz w:val="18"/>
          <w:szCs w:val="18"/>
        </w:rPr>
        <w:t xml:space="preserve">      </w:t>
      </w:r>
      <w:r w:rsidR="00FE62EA" w:rsidRPr="00BF00D2">
        <w:rPr>
          <w:sz w:val="18"/>
          <w:szCs w:val="18"/>
        </w:rPr>
        <w:t xml:space="preserve">    </w:t>
      </w:r>
    </w:p>
    <w:p w:rsidR="00075953" w:rsidRPr="00BF00D2" w:rsidRDefault="00FE62EA" w:rsidP="00593BB7">
      <w:pPr>
        <w:tabs>
          <w:tab w:val="left" w:pos="1515"/>
        </w:tabs>
        <w:jc w:val="both"/>
        <w:rPr>
          <w:sz w:val="18"/>
          <w:szCs w:val="18"/>
        </w:rPr>
      </w:pPr>
      <w:r w:rsidRPr="00BF00D2">
        <w:rPr>
          <w:sz w:val="18"/>
          <w:szCs w:val="18"/>
        </w:rPr>
        <w:t xml:space="preserve">               </w:t>
      </w:r>
      <w:r w:rsidR="00612BD0" w:rsidRPr="00BF00D2">
        <w:rPr>
          <w:sz w:val="18"/>
          <w:szCs w:val="18"/>
        </w:rPr>
        <w:t xml:space="preserve">verification of the CRS dating method in PIRLA project lake sediment cores. </w:t>
      </w:r>
      <w:r w:rsidR="00612BD0" w:rsidRPr="00BF00D2">
        <w:rPr>
          <w:i/>
          <w:sz w:val="18"/>
          <w:szCs w:val="18"/>
        </w:rPr>
        <w:t>J. Paleolimnology</w:t>
      </w:r>
      <w:r w:rsidR="00612BD0" w:rsidRPr="00BF00D2">
        <w:rPr>
          <w:sz w:val="18"/>
          <w:szCs w:val="18"/>
        </w:rPr>
        <w:t>, 9, 275-</w:t>
      </w:r>
    </w:p>
    <w:p w:rsidR="00612BD0" w:rsidRPr="00BF00D2" w:rsidRDefault="00075953" w:rsidP="00593BB7">
      <w:pPr>
        <w:tabs>
          <w:tab w:val="left" w:pos="1515"/>
        </w:tabs>
        <w:jc w:val="both"/>
        <w:rPr>
          <w:bCs/>
          <w:sz w:val="18"/>
          <w:szCs w:val="18"/>
        </w:rPr>
      </w:pPr>
      <w:r w:rsidRPr="00BF00D2">
        <w:rPr>
          <w:sz w:val="18"/>
          <w:szCs w:val="18"/>
        </w:rPr>
        <w:t xml:space="preserve">              </w:t>
      </w:r>
      <w:r w:rsidR="00612BD0" w:rsidRPr="00BF00D2">
        <w:rPr>
          <w:sz w:val="18"/>
          <w:szCs w:val="18"/>
        </w:rPr>
        <w:t xml:space="preserve">296. </w:t>
      </w:r>
    </w:p>
    <w:p w:rsidR="004916B4" w:rsidRPr="00BF00D2" w:rsidRDefault="0043553A" w:rsidP="00593BB7">
      <w:pPr>
        <w:ind w:left="720" w:hanging="720"/>
        <w:jc w:val="both"/>
        <w:rPr>
          <w:sz w:val="18"/>
          <w:szCs w:val="18"/>
        </w:rPr>
      </w:pPr>
      <w:r w:rsidRPr="00BF00D2">
        <w:rPr>
          <w:sz w:val="18"/>
          <w:szCs w:val="18"/>
        </w:rPr>
        <w:t>6.</w:t>
      </w:r>
      <w:r w:rsidR="00636474" w:rsidRPr="00BF00D2">
        <w:rPr>
          <w:sz w:val="18"/>
          <w:szCs w:val="18"/>
        </w:rPr>
        <w:t xml:space="preserve"> </w:t>
      </w:r>
      <w:r w:rsidR="00A077C3" w:rsidRPr="00BF00D2">
        <w:rPr>
          <w:sz w:val="18"/>
          <w:szCs w:val="18"/>
        </w:rPr>
        <w:tab/>
      </w:r>
      <w:r w:rsidR="009779E3" w:rsidRPr="00BF00D2">
        <w:rPr>
          <w:sz w:val="18"/>
          <w:szCs w:val="18"/>
        </w:rPr>
        <w:t>Blais, M. J., Kalff, J., Cornett,</w:t>
      </w:r>
      <w:r w:rsidR="004916B4" w:rsidRPr="00BF00D2">
        <w:rPr>
          <w:sz w:val="18"/>
          <w:szCs w:val="18"/>
        </w:rPr>
        <w:t xml:space="preserve"> R.</w:t>
      </w:r>
      <w:r w:rsidR="009779E3" w:rsidRPr="00BF00D2">
        <w:rPr>
          <w:sz w:val="18"/>
          <w:szCs w:val="18"/>
        </w:rPr>
        <w:t xml:space="preserve">J., and Evans, </w:t>
      </w:r>
      <w:r w:rsidR="004916B4" w:rsidRPr="00BF00D2">
        <w:rPr>
          <w:sz w:val="18"/>
          <w:szCs w:val="18"/>
        </w:rPr>
        <w:t>R.</w:t>
      </w:r>
      <w:r w:rsidR="009779E3" w:rsidRPr="00BF00D2">
        <w:rPr>
          <w:sz w:val="18"/>
          <w:szCs w:val="18"/>
        </w:rPr>
        <w:t xml:space="preserve"> D., </w:t>
      </w:r>
      <w:r w:rsidR="004916B4" w:rsidRPr="00BF00D2">
        <w:rPr>
          <w:sz w:val="18"/>
          <w:szCs w:val="18"/>
        </w:rPr>
        <w:t>(1995).</w:t>
      </w:r>
      <w:r w:rsidR="009779E3" w:rsidRPr="00BF00D2">
        <w:rPr>
          <w:sz w:val="18"/>
          <w:szCs w:val="18"/>
        </w:rPr>
        <w:t xml:space="preserve"> </w:t>
      </w:r>
      <w:r w:rsidR="004916B4" w:rsidRPr="00BF00D2">
        <w:rPr>
          <w:sz w:val="18"/>
          <w:szCs w:val="18"/>
        </w:rPr>
        <w:t xml:space="preserve">Evaluation of </w:t>
      </w:r>
      <w:r w:rsidR="004916B4" w:rsidRPr="00BF00D2">
        <w:rPr>
          <w:sz w:val="18"/>
          <w:szCs w:val="18"/>
          <w:vertAlign w:val="superscript"/>
        </w:rPr>
        <w:t>210</w:t>
      </w:r>
      <w:r w:rsidR="00A077C3" w:rsidRPr="00BF00D2">
        <w:rPr>
          <w:sz w:val="18"/>
          <w:szCs w:val="18"/>
        </w:rPr>
        <w:t>Pb dating in</w:t>
      </w:r>
      <w:r w:rsidR="00636474" w:rsidRPr="00BF00D2">
        <w:rPr>
          <w:sz w:val="18"/>
          <w:szCs w:val="18"/>
        </w:rPr>
        <w:t xml:space="preserve"> </w:t>
      </w:r>
      <w:r w:rsidR="004916B4" w:rsidRPr="00BF00D2">
        <w:rPr>
          <w:sz w:val="18"/>
          <w:szCs w:val="18"/>
        </w:rPr>
        <w:t xml:space="preserve">lake sediments using stable Pb, </w:t>
      </w:r>
      <w:r w:rsidR="004916B4" w:rsidRPr="00BF00D2">
        <w:rPr>
          <w:i/>
          <w:sz w:val="18"/>
          <w:szCs w:val="18"/>
        </w:rPr>
        <w:t xml:space="preserve">Ambrosia </w:t>
      </w:r>
      <w:r w:rsidR="004916B4" w:rsidRPr="00BF00D2">
        <w:rPr>
          <w:sz w:val="18"/>
          <w:szCs w:val="18"/>
        </w:rPr>
        <w:t xml:space="preserve">pollen, and </w:t>
      </w:r>
      <w:r w:rsidR="004916B4" w:rsidRPr="00BF00D2">
        <w:rPr>
          <w:sz w:val="18"/>
          <w:szCs w:val="18"/>
          <w:vertAlign w:val="superscript"/>
        </w:rPr>
        <w:t>137</w:t>
      </w:r>
      <w:r w:rsidR="004916B4" w:rsidRPr="00BF00D2">
        <w:rPr>
          <w:sz w:val="18"/>
          <w:szCs w:val="18"/>
        </w:rPr>
        <w:t>Cs</w:t>
      </w:r>
      <w:r w:rsidR="00106A02" w:rsidRPr="00BF00D2">
        <w:rPr>
          <w:sz w:val="18"/>
          <w:szCs w:val="18"/>
        </w:rPr>
        <w:t>.</w:t>
      </w:r>
      <w:r w:rsidR="004916B4" w:rsidRPr="00BF00D2">
        <w:rPr>
          <w:i/>
          <w:sz w:val="18"/>
          <w:szCs w:val="18"/>
        </w:rPr>
        <w:t xml:space="preserve"> J. of </w:t>
      </w:r>
      <w:r w:rsidR="004916B4" w:rsidRPr="00BF00D2">
        <w:rPr>
          <w:sz w:val="18"/>
          <w:szCs w:val="18"/>
        </w:rPr>
        <w:t xml:space="preserve"> </w:t>
      </w:r>
      <w:r w:rsidR="004916B4" w:rsidRPr="00BF00D2">
        <w:rPr>
          <w:i/>
          <w:sz w:val="18"/>
          <w:szCs w:val="18"/>
        </w:rPr>
        <w:t>Paleolimnology</w:t>
      </w:r>
      <w:r w:rsidR="00F005B8" w:rsidRPr="00BF00D2">
        <w:rPr>
          <w:sz w:val="18"/>
          <w:szCs w:val="18"/>
        </w:rPr>
        <w:t>.,13:</w:t>
      </w:r>
      <w:r w:rsidR="00A077C3" w:rsidRPr="00BF00D2">
        <w:rPr>
          <w:sz w:val="18"/>
          <w:szCs w:val="18"/>
        </w:rPr>
        <w:t xml:space="preserve"> 169 -</w:t>
      </w:r>
      <w:r w:rsidR="00636474" w:rsidRPr="00BF00D2">
        <w:rPr>
          <w:sz w:val="18"/>
          <w:szCs w:val="18"/>
        </w:rPr>
        <w:t xml:space="preserve"> </w:t>
      </w:r>
      <w:r w:rsidR="004916B4" w:rsidRPr="00BF00D2">
        <w:rPr>
          <w:sz w:val="18"/>
          <w:szCs w:val="18"/>
        </w:rPr>
        <w:t xml:space="preserve">178. </w:t>
      </w:r>
    </w:p>
    <w:p w:rsidR="00536194" w:rsidRPr="00BF00D2" w:rsidRDefault="0043553A" w:rsidP="00FE62EA">
      <w:pPr>
        <w:ind w:left="720" w:hanging="720"/>
        <w:jc w:val="both"/>
        <w:rPr>
          <w:sz w:val="18"/>
          <w:szCs w:val="18"/>
        </w:rPr>
      </w:pPr>
      <w:r w:rsidRPr="00BF00D2">
        <w:rPr>
          <w:sz w:val="18"/>
          <w:szCs w:val="18"/>
        </w:rPr>
        <w:t>7.</w:t>
      </w:r>
      <w:r w:rsidR="00636474" w:rsidRPr="00BF00D2">
        <w:rPr>
          <w:sz w:val="18"/>
          <w:szCs w:val="18"/>
        </w:rPr>
        <w:t xml:space="preserve"> </w:t>
      </w:r>
      <w:r w:rsidR="00A077C3" w:rsidRPr="00BF00D2">
        <w:rPr>
          <w:sz w:val="18"/>
          <w:szCs w:val="18"/>
        </w:rPr>
        <w:tab/>
      </w:r>
      <w:r w:rsidR="009779E3" w:rsidRPr="00BF00D2">
        <w:rPr>
          <w:sz w:val="18"/>
          <w:szCs w:val="18"/>
        </w:rPr>
        <w:t xml:space="preserve">Bonotto, </w:t>
      </w:r>
      <w:r w:rsidR="00536194" w:rsidRPr="00BF00D2">
        <w:rPr>
          <w:sz w:val="18"/>
          <w:szCs w:val="18"/>
        </w:rPr>
        <w:t>D.M and Lima, J.L.N.D.</w:t>
      </w:r>
      <w:r w:rsidR="009779E3" w:rsidRPr="00BF00D2">
        <w:rPr>
          <w:sz w:val="18"/>
          <w:szCs w:val="18"/>
        </w:rPr>
        <w:t>,</w:t>
      </w:r>
      <w:r w:rsidR="00536194" w:rsidRPr="00BF00D2">
        <w:rPr>
          <w:sz w:val="18"/>
          <w:szCs w:val="18"/>
        </w:rPr>
        <w:t xml:space="preserve"> (2006). Pb-210 derived chronology in sediment cores evidencing the anthropogenic occupation history at Corumbatai River basin, Brazil. </w:t>
      </w:r>
      <w:r w:rsidR="00536194" w:rsidRPr="00BF00D2">
        <w:rPr>
          <w:i/>
          <w:sz w:val="18"/>
          <w:szCs w:val="18"/>
        </w:rPr>
        <w:t>J.</w:t>
      </w:r>
      <w:r w:rsidR="00FE62EA" w:rsidRPr="00BF00D2">
        <w:rPr>
          <w:i/>
          <w:sz w:val="18"/>
          <w:szCs w:val="18"/>
        </w:rPr>
        <w:t xml:space="preserve"> </w:t>
      </w:r>
      <w:r w:rsidR="00536194" w:rsidRPr="00BF00D2">
        <w:rPr>
          <w:i/>
          <w:sz w:val="18"/>
          <w:szCs w:val="18"/>
        </w:rPr>
        <w:t>Environ Geol</w:t>
      </w:r>
      <w:r w:rsidR="00536194" w:rsidRPr="00BF00D2">
        <w:rPr>
          <w:sz w:val="18"/>
          <w:szCs w:val="18"/>
        </w:rPr>
        <w:t xml:space="preserve">, 50: 595-611. </w:t>
      </w:r>
    </w:p>
    <w:p w:rsidR="00EB433D" w:rsidRPr="00BF00D2" w:rsidRDefault="0043553A" w:rsidP="00593BB7">
      <w:pPr>
        <w:ind w:left="720" w:hanging="720"/>
        <w:jc w:val="both"/>
        <w:rPr>
          <w:sz w:val="18"/>
          <w:szCs w:val="18"/>
        </w:rPr>
      </w:pPr>
      <w:r w:rsidRPr="00BF00D2">
        <w:rPr>
          <w:sz w:val="18"/>
          <w:szCs w:val="18"/>
        </w:rPr>
        <w:t>8.</w:t>
      </w:r>
      <w:r w:rsidR="00A077C3" w:rsidRPr="00BF00D2">
        <w:rPr>
          <w:sz w:val="18"/>
          <w:szCs w:val="18"/>
        </w:rPr>
        <w:tab/>
      </w:r>
      <w:r w:rsidR="00636474" w:rsidRPr="00BF00D2">
        <w:rPr>
          <w:sz w:val="18"/>
          <w:szCs w:val="18"/>
        </w:rPr>
        <w:t xml:space="preserve"> </w:t>
      </w:r>
      <w:r w:rsidR="00EB433D" w:rsidRPr="00BF00D2">
        <w:rPr>
          <w:sz w:val="18"/>
          <w:szCs w:val="18"/>
        </w:rPr>
        <w:t>Conrad, C. F., Fugate, D., Daus, J.,</w:t>
      </w:r>
      <w:r w:rsidR="009779E3" w:rsidRPr="00BF00D2">
        <w:rPr>
          <w:sz w:val="18"/>
          <w:szCs w:val="18"/>
        </w:rPr>
        <w:t xml:space="preserve"> Brause, C.J.C. and Kuehl, S.A.,</w:t>
      </w:r>
      <w:r w:rsidR="00A077C3" w:rsidRPr="00BF00D2">
        <w:rPr>
          <w:sz w:val="18"/>
          <w:szCs w:val="18"/>
        </w:rPr>
        <w:t xml:space="preserve"> (2007). Assessment</w:t>
      </w:r>
      <w:r w:rsidR="00EB433D" w:rsidRPr="00BF00D2">
        <w:rPr>
          <w:sz w:val="18"/>
          <w:szCs w:val="18"/>
        </w:rPr>
        <w:t>of</w:t>
      </w:r>
      <w:r w:rsidR="00636474" w:rsidRPr="00BF00D2">
        <w:rPr>
          <w:sz w:val="18"/>
          <w:szCs w:val="18"/>
        </w:rPr>
        <w:t xml:space="preserve"> </w:t>
      </w:r>
      <w:r w:rsidR="00EB433D" w:rsidRPr="00BF00D2">
        <w:rPr>
          <w:sz w:val="18"/>
          <w:szCs w:val="18"/>
        </w:rPr>
        <w:t>the historical trace metals contamination of sediments in the Elizabeth River, Virginia. J.</w:t>
      </w:r>
      <w:r w:rsidR="00636474" w:rsidRPr="00BF00D2">
        <w:rPr>
          <w:i/>
          <w:sz w:val="18"/>
          <w:szCs w:val="18"/>
        </w:rPr>
        <w:t xml:space="preserve"> </w:t>
      </w:r>
      <w:r w:rsidR="00EB433D" w:rsidRPr="00BF00D2">
        <w:rPr>
          <w:i/>
          <w:sz w:val="18"/>
          <w:szCs w:val="18"/>
        </w:rPr>
        <w:t>Marine Bulletin</w:t>
      </w:r>
      <w:r w:rsidR="00EB433D" w:rsidRPr="00BF00D2">
        <w:rPr>
          <w:sz w:val="18"/>
          <w:szCs w:val="18"/>
        </w:rPr>
        <w:t>.</w:t>
      </w:r>
      <w:r w:rsidR="006366E4" w:rsidRPr="00BF00D2">
        <w:rPr>
          <w:sz w:val="18"/>
          <w:szCs w:val="18"/>
        </w:rPr>
        <w:t>,</w:t>
      </w:r>
      <w:r w:rsidR="00EB433D" w:rsidRPr="00BF00D2">
        <w:rPr>
          <w:sz w:val="18"/>
          <w:szCs w:val="18"/>
        </w:rPr>
        <w:t xml:space="preserve"> 54: 385 - 395.</w:t>
      </w:r>
    </w:p>
    <w:p w:rsidR="00EB433D" w:rsidRPr="00BF00D2" w:rsidRDefault="0043553A" w:rsidP="00593BB7">
      <w:pPr>
        <w:ind w:left="720" w:hanging="720"/>
        <w:jc w:val="both"/>
        <w:rPr>
          <w:sz w:val="18"/>
          <w:szCs w:val="18"/>
        </w:rPr>
      </w:pPr>
      <w:r w:rsidRPr="00BF00D2">
        <w:rPr>
          <w:sz w:val="18"/>
          <w:szCs w:val="18"/>
        </w:rPr>
        <w:t>9.</w:t>
      </w:r>
      <w:r w:rsidR="00636474" w:rsidRPr="00BF00D2">
        <w:rPr>
          <w:sz w:val="18"/>
          <w:szCs w:val="18"/>
        </w:rPr>
        <w:t xml:space="preserve"> </w:t>
      </w:r>
      <w:r w:rsidR="00A077C3" w:rsidRPr="00BF00D2">
        <w:rPr>
          <w:sz w:val="18"/>
          <w:szCs w:val="18"/>
        </w:rPr>
        <w:tab/>
      </w:r>
      <w:r w:rsidR="00F005B8" w:rsidRPr="00BF00D2">
        <w:rPr>
          <w:sz w:val="18"/>
          <w:szCs w:val="18"/>
        </w:rPr>
        <w:t xml:space="preserve">Howarth, R.J., Evans, G., Croudace, I.W. and Chundy, A.B., (2005). Sources and timing of </w:t>
      </w:r>
      <w:r w:rsidR="00636474" w:rsidRPr="00BF00D2">
        <w:rPr>
          <w:sz w:val="18"/>
          <w:szCs w:val="18"/>
        </w:rPr>
        <w:t xml:space="preserve"> </w:t>
      </w:r>
      <w:r w:rsidR="00F005B8" w:rsidRPr="00BF00D2">
        <w:rPr>
          <w:sz w:val="18"/>
          <w:szCs w:val="18"/>
        </w:rPr>
        <w:t xml:space="preserve">anthropogenic pollution in the Ensenada de San Simon (inner Ria de Vigo), Galicia, NW </w:t>
      </w:r>
      <w:r w:rsidR="00636474" w:rsidRPr="00BF00D2">
        <w:rPr>
          <w:sz w:val="18"/>
          <w:szCs w:val="18"/>
        </w:rPr>
        <w:t xml:space="preserve"> </w:t>
      </w:r>
      <w:r w:rsidR="00F005B8" w:rsidRPr="00BF00D2">
        <w:rPr>
          <w:sz w:val="18"/>
          <w:szCs w:val="18"/>
        </w:rPr>
        <w:t>Spain: an application of mixture – modeling and n</w:t>
      </w:r>
      <w:r w:rsidR="00075953" w:rsidRPr="00BF00D2">
        <w:rPr>
          <w:sz w:val="18"/>
          <w:szCs w:val="18"/>
        </w:rPr>
        <w:t xml:space="preserve">onlinear optimization to recent </w:t>
      </w:r>
      <w:r w:rsidR="00636474" w:rsidRPr="00BF00D2">
        <w:rPr>
          <w:sz w:val="18"/>
          <w:szCs w:val="18"/>
        </w:rPr>
        <w:t xml:space="preserve"> </w:t>
      </w:r>
      <w:r w:rsidR="00F005B8" w:rsidRPr="00BF00D2">
        <w:rPr>
          <w:sz w:val="18"/>
          <w:szCs w:val="18"/>
        </w:rPr>
        <w:t xml:space="preserve">sedimentation. </w:t>
      </w:r>
      <w:r w:rsidR="00F005B8" w:rsidRPr="00BF00D2">
        <w:rPr>
          <w:i/>
          <w:sz w:val="18"/>
          <w:szCs w:val="18"/>
        </w:rPr>
        <w:t>J</w:t>
      </w:r>
      <w:r w:rsidR="00F005B8" w:rsidRPr="00BF00D2">
        <w:rPr>
          <w:sz w:val="18"/>
          <w:szCs w:val="18"/>
        </w:rPr>
        <w:t xml:space="preserve">. </w:t>
      </w:r>
      <w:r w:rsidR="00F005B8" w:rsidRPr="00BF00D2">
        <w:rPr>
          <w:i/>
          <w:sz w:val="18"/>
          <w:szCs w:val="18"/>
        </w:rPr>
        <w:t>Science of the Total Environment</w:t>
      </w:r>
      <w:r w:rsidR="00F005B8" w:rsidRPr="00BF00D2">
        <w:rPr>
          <w:sz w:val="18"/>
          <w:szCs w:val="18"/>
        </w:rPr>
        <w:t>, 340: 149 - 176.</w:t>
      </w:r>
    </w:p>
    <w:p w:rsidR="00C70009" w:rsidRPr="00BF00D2" w:rsidRDefault="0043553A" w:rsidP="00593BB7">
      <w:pPr>
        <w:ind w:left="720" w:hanging="720"/>
        <w:jc w:val="both"/>
        <w:rPr>
          <w:sz w:val="18"/>
          <w:szCs w:val="18"/>
        </w:rPr>
      </w:pPr>
      <w:r w:rsidRPr="00BF00D2">
        <w:rPr>
          <w:sz w:val="18"/>
          <w:szCs w:val="18"/>
        </w:rPr>
        <w:t>10.</w:t>
      </w:r>
      <w:r w:rsidR="00636474" w:rsidRPr="00BF00D2">
        <w:rPr>
          <w:sz w:val="18"/>
          <w:szCs w:val="18"/>
        </w:rPr>
        <w:t xml:space="preserve"> </w:t>
      </w:r>
      <w:r w:rsidR="00A077C3" w:rsidRPr="00BF00D2">
        <w:rPr>
          <w:sz w:val="18"/>
          <w:szCs w:val="18"/>
        </w:rPr>
        <w:tab/>
      </w:r>
      <w:r w:rsidR="00593BB7" w:rsidRPr="00BF00D2">
        <w:rPr>
          <w:sz w:val="18"/>
          <w:szCs w:val="18"/>
        </w:rPr>
        <w:t>Ingham, F.T and Bradford, E.</w:t>
      </w:r>
      <w:r w:rsidR="00EB433D" w:rsidRPr="00BF00D2">
        <w:rPr>
          <w:sz w:val="18"/>
          <w:szCs w:val="18"/>
        </w:rPr>
        <w:t>F., (1961). The Geology and</w:t>
      </w:r>
      <w:r w:rsidR="00A077C3" w:rsidRPr="00BF00D2">
        <w:rPr>
          <w:sz w:val="18"/>
          <w:szCs w:val="18"/>
        </w:rPr>
        <w:t xml:space="preserve"> Mineral Resources of the Kinta</w:t>
      </w:r>
      <w:r w:rsidR="00636474" w:rsidRPr="00BF00D2">
        <w:rPr>
          <w:sz w:val="18"/>
          <w:szCs w:val="18"/>
        </w:rPr>
        <w:t xml:space="preserve"> </w:t>
      </w:r>
      <w:r w:rsidR="00EB433D" w:rsidRPr="00BF00D2">
        <w:rPr>
          <w:sz w:val="18"/>
          <w:szCs w:val="18"/>
        </w:rPr>
        <w:t>Valley, Perak. Federation of Malaya Ministry of Rural Development, Malaya</w:t>
      </w:r>
      <w:r w:rsidR="00106A02" w:rsidRPr="00BF00D2">
        <w:rPr>
          <w:sz w:val="18"/>
          <w:szCs w:val="18"/>
        </w:rPr>
        <w:t>.</w:t>
      </w:r>
      <w:r w:rsidR="00EB433D" w:rsidRPr="00BF00D2">
        <w:rPr>
          <w:sz w:val="18"/>
          <w:szCs w:val="18"/>
        </w:rPr>
        <w:t>, 286 – 304</w:t>
      </w:r>
      <w:r w:rsidR="00F005B8" w:rsidRPr="00BF00D2">
        <w:rPr>
          <w:sz w:val="18"/>
          <w:szCs w:val="18"/>
        </w:rPr>
        <w:t xml:space="preserve"> pp</w:t>
      </w:r>
      <w:r w:rsidR="00EB433D" w:rsidRPr="00BF00D2">
        <w:rPr>
          <w:sz w:val="18"/>
          <w:szCs w:val="18"/>
        </w:rPr>
        <w:t xml:space="preserve">. </w:t>
      </w:r>
    </w:p>
    <w:p w:rsidR="00C70009" w:rsidRPr="00BF00D2" w:rsidRDefault="0043553A" w:rsidP="00593BB7">
      <w:pPr>
        <w:tabs>
          <w:tab w:val="left" w:pos="180"/>
        </w:tabs>
        <w:ind w:left="720" w:hanging="720"/>
        <w:jc w:val="both"/>
        <w:rPr>
          <w:sz w:val="18"/>
          <w:szCs w:val="18"/>
        </w:rPr>
      </w:pPr>
      <w:r w:rsidRPr="00BF00D2">
        <w:rPr>
          <w:sz w:val="18"/>
          <w:szCs w:val="18"/>
        </w:rPr>
        <w:t>11.</w:t>
      </w:r>
      <w:r w:rsidR="00A077C3" w:rsidRPr="00BF00D2">
        <w:rPr>
          <w:sz w:val="18"/>
          <w:szCs w:val="18"/>
        </w:rPr>
        <w:tab/>
      </w:r>
      <w:r w:rsidR="00636474" w:rsidRPr="00BF00D2">
        <w:rPr>
          <w:sz w:val="18"/>
          <w:szCs w:val="18"/>
        </w:rPr>
        <w:t xml:space="preserve"> </w:t>
      </w:r>
      <w:r w:rsidR="00C70009" w:rsidRPr="00BF00D2">
        <w:rPr>
          <w:sz w:val="18"/>
          <w:szCs w:val="18"/>
        </w:rPr>
        <w:t>Khalik</w:t>
      </w:r>
      <w:r w:rsidR="00F427DB" w:rsidRPr="00BF00D2">
        <w:rPr>
          <w:sz w:val="18"/>
          <w:szCs w:val="18"/>
        </w:rPr>
        <w:t xml:space="preserve"> A.W., Zaharudin, A. Noor, A.M.S., Rosnan, Y., and Carpenter, R., (</w:t>
      </w:r>
      <w:r w:rsidR="00593BB7" w:rsidRPr="00BF00D2">
        <w:rPr>
          <w:sz w:val="18"/>
          <w:szCs w:val="18"/>
        </w:rPr>
        <w:t>2004</w:t>
      </w:r>
      <w:r w:rsidR="00F427DB" w:rsidRPr="00BF00D2">
        <w:rPr>
          <w:sz w:val="18"/>
          <w:szCs w:val="18"/>
        </w:rPr>
        <w:t xml:space="preserve">). </w:t>
      </w:r>
      <w:r w:rsidR="00593BB7" w:rsidRPr="00BF00D2">
        <w:rPr>
          <w:sz w:val="18"/>
          <w:szCs w:val="18"/>
        </w:rPr>
        <w:t xml:space="preserve">Metal diagenesis and transport in coastal sediments around Penang Island, Malaysia. </w:t>
      </w:r>
      <w:r w:rsidR="00593BB7" w:rsidRPr="00BF00D2">
        <w:rPr>
          <w:i/>
          <w:sz w:val="18"/>
          <w:szCs w:val="18"/>
        </w:rPr>
        <w:t>J. Nuclear and Related Technologies</w:t>
      </w:r>
      <w:r w:rsidR="00593BB7" w:rsidRPr="00BF00D2">
        <w:rPr>
          <w:sz w:val="18"/>
          <w:szCs w:val="18"/>
        </w:rPr>
        <w:t>,</w:t>
      </w:r>
      <w:r w:rsidR="002B6618" w:rsidRPr="00BF00D2">
        <w:rPr>
          <w:sz w:val="18"/>
          <w:szCs w:val="18"/>
        </w:rPr>
        <w:t xml:space="preserve"> 1: 1 </w:t>
      </w:r>
      <w:r w:rsidR="00593BB7" w:rsidRPr="00BF00D2">
        <w:rPr>
          <w:sz w:val="18"/>
          <w:szCs w:val="18"/>
        </w:rPr>
        <w:t>30.</w:t>
      </w:r>
    </w:p>
    <w:p w:rsidR="004916B4" w:rsidRPr="00BF00D2" w:rsidRDefault="0043553A" w:rsidP="00593BB7">
      <w:pPr>
        <w:ind w:left="720" w:hanging="720"/>
        <w:jc w:val="both"/>
        <w:rPr>
          <w:sz w:val="18"/>
          <w:szCs w:val="18"/>
        </w:rPr>
      </w:pPr>
      <w:r w:rsidRPr="00BF00D2">
        <w:rPr>
          <w:sz w:val="18"/>
          <w:szCs w:val="18"/>
        </w:rPr>
        <w:t>12.</w:t>
      </w:r>
      <w:r w:rsidR="00636474" w:rsidRPr="00BF00D2">
        <w:rPr>
          <w:sz w:val="18"/>
          <w:szCs w:val="18"/>
        </w:rPr>
        <w:t xml:space="preserve"> </w:t>
      </w:r>
      <w:r w:rsidR="00A077C3" w:rsidRPr="00BF00D2">
        <w:rPr>
          <w:sz w:val="18"/>
          <w:szCs w:val="18"/>
        </w:rPr>
        <w:tab/>
      </w:r>
      <w:r w:rsidR="004916B4" w:rsidRPr="00BF00D2">
        <w:rPr>
          <w:sz w:val="18"/>
          <w:szCs w:val="18"/>
        </w:rPr>
        <w:t xml:space="preserve">Lima, </w:t>
      </w:r>
      <w:r w:rsidR="009779E3" w:rsidRPr="00BF00D2">
        <w:rPr>
          <w:sz w:val="18"/>
          <w:szCs w:val="18"/>
        </w:rPr>
        <w:t>A.L</w:t>
      </w:r>
      <w:r w:rsidR="004916B4" w:rsidRPr="00BF00D2">
        <w:rPr>
          <w:sz w:val="18"/>
          <w:szCs w:val="18"/>
        </w:rPr>
        <w:t>., Hubeny, J.</w:t>
      </w:r>
      <w:r w:rsidR="006E10BC" w:rsidRPr="00BF00D2">
        <w:rPr>
          <w:sz w:val="18"/>
          <w:szCs w:val="18"/>
        </w:rPr>
        <w:t>, Bradford</w:t>
      </w:r>
      <w:r w:rsidR="004916B4" w:rsidRPr="00BF00D2">
        <w:rPr>
          <w:sz w:val="18"/>
          <w:szCs w:val="18"/>
        </w:rPr>
        <w:t>, Reddy</w:t>
      </w:r>
      <w:r w:rsidR="006E10BC" w:rsidRPr="00BF00D2">
        <w:rPr>
          <w:sz w:val="18"/>
          <w:szCs w:val="18"/>
        </w:rPr>
        <w:t>, C.M., King, J.W., Hughen, K.A., and Eglinton,</w:t>
      </w:r>
      <w:r w:rsidR="00075953" w:rsidRPr="00BF00D2">
        <w:rPr>
          <w:sz w:val="18"/>
          <w:szCs w:val="18"/>
        </w:rPr>
        <w:t xml:space="preserve"> </w:t>
      </w:r>
      <w:r w:rsidR="006E10BC" w:rsidRPr="00BF00D2">
        <w:rPr>
          <w:sz w:val="18"/>
          <w:szCs w:val="18"/>
        </w:rPr>
        <w:t>T.</w:t>
      </w:r>
      <w:r w:rsidR="00075953" w:rsidRPr="00BF00D2">
        <w:rPr>
          <w:sz w:val="18"/>
          <w:szCs w:val="18"/>
        </w:rPr>
        <w:t xml:space="preserve">I., </w:t>
      </w:r>
      <w:r w:rsidR="004916B4" w:rsidRPr="00BF00D2">
        <w:rPr>
          <w:sz w:val="18"/>
          <w:szCs w:val="18"/>
        </w:rPr>
        <w:t>(2005). High-resolution historical records from Pettaq</w:t>
      </w:r>
      <w:r w:rsidR="00A077C3" w:rsidRPr="00BF00D2">
        <w:rPr>
          <w:sz w:val="18"/>
          <w:szCs w:val="18"/>
        </w:rPr>
        <w:t xml:space="preserve">uamscutt River basin sediments: </w:t>
      </w:r>
      <w:r w:rsidR="004916B4" w:rsidRPr="00BF00D2">
        <w:rPr>
          <w:sz w:val="18"/>
          <w:szCs w:val="18"/>
        </w:rPr>
        <w:t>1. Pb-210 and varve chronologies validate record of C</w:t>
      </w:r>
      <w:r w:rsidR="00A077C3" w:rsidRPr="00BF00D2">
        <w:rPr>
          <w:sz w:val="18"/>
          <w:szCs w:val="18"/>
        </w:rPr>
        <w:t xml:space="preserve">s-137 released by the Chernobyl </w:t>
      </w:r>
      <w:r w:rsidR="004916B4" w:rsidRPr="00BF00D2">
        <w:rPr>
          <w:sz w:val="18"/>
          <w:szCs w:val="18"/>
        </w:rPr>
        <w:t xml:space="preserve">accident. </w:t>
      </w:r>
      <w:r w:rsidR="004916B4" w:rsidRPr="00BF00D2">
        <w:rPr>
          <w:i/>
          <w:sz w:val="18"/>
          <w:szCs w:val="18"/>
        </w:rPr>
        <w:t>J. Geochimica et Cosmochimica</w:t>
      </w:r>
      <w:r w:rsidR="00075953" w:rsidRPr="00BF00D2">
        <w:rPr>
          <w:sz w:val="18"/>
          <w:szCs w:val="18"/>
        </w:rPr>
        <w:t>, 69</w:t>
      </w:r>
      <w:r w:rsidR="00F005B8" w:rsidRPr="00BF00D2">
        <w:rPr>
          <w:sz w:val="18"/>
          <w:szCs w:val="18"/>
        </w:rPr>
        <w:t>:</w:t>
      </w:r>
      <w:r w:rsidR="004916B4" w:rsidRPr="00BF00D2">
        <w:rPr>
          <w:sz w:val="18"/>
          <w:szCs w:val="18"/>
        </w:rPr>
        <w:t xml:space="preserve">1803-1812. </w:t>
      </w:r>
    </w:p>
    <w:p w:rsidR="00636474" w:rsidRPr="00BF00D2" w:rsidRDefault="0043553A" w:rsidP="002B6618">
      <w:pPr>
        <w:autoSpaceDE w:val="0"/>
        <w:autoSpaceDN w:val="0"/>
        <w:adjustRightInd w:val="0"/>
        <w:ind w:left="720" w:hanging="720"/>
        <w:jc w:val="both"/>
        <w:rPr>
          <w:b/>
          <w:bCs/>
          <w:sz w:val="18"/>
          <w:szCs w:val="18"/>
        </w:rPr>
      </w:pPr>
      <w:r w:rsidRPr="00BF00D2">
        <w:rPr>
          <w:sz w:val="18"/>
          <w:szCs w:val="18"/>
        </w:rPr>
        <w:t>13.</w:t>
      </w:r>
      <w:r w:rsidR="00636474" w:rsidRPr="00BF00D2">
        <w:rPr>
          <w:sz w:val="18"/>
          <w:szCs w:val="18"/>
        </w:rPr>
        <w:t xml:space="preserve"> </w:t>
      </w:r>
      <w:r w:rsidR="00A077C3" w:rsidRPr="00BF00D2">
        <w:rPr>
          <w:sz w:val="18"/>
          <w:szCs w:val="18"/>
        </w:rPr>
        <w:tab/>
      </w:r>
      <w:r w:rsidR="009D0470" w:rsidRPr="00BF00D2">
        <w:rPr>
          <w:sz w:val="18"/>
          <w:szCs w:val="18"/>
        </w:rPr>
        <w:t>Li, A., Rockne, K.J., Starchio, N.C., Mills, W.J., Song, W., Ford, J.C., Buckley, D.R.</w:t>
      </w:r>
      <w:r w:rsidR="006E10BC" w:rsidRPr="00BF00D2">
        <w:rPr>
          <w:sz w:val="18"/>
          <w:szCs w:val="18"/>
        </w:rPr>
        <w:t>,</w:t>
      </w:r>
      <w:r w:rsidR="006E10BC" w:rsidRPr="00BF00D2">
        <w:rPr>
          <w:b/>
          <w:bCs/>
          <w:sz w:val="18"/>
          <w:szCs w:val="18"/>
        </w:rPr>
        <w:t xml:space="preserve"> </w:t>
      </w:r>
      <w:r w:rsidR="006E10BC" w:rsidRPr="00BF00D2">
        <w:rPr>
          <w:bCs/>
          <w:sz w:val="18"/>
          <w:szCs w:val="18"/>
        </w:rPr>
        <w:t>(2006). Chronology of PBDE air deposition in the Great Lakes from sedimentary records.</w:t>
      </w:r>
      <w:r w:rsidR="002B6618" w:rsidRPr="00BF00D2">
        <w:rPr>
          <w:bCs/>
          <w:sz w:val="18"/>
          <w:szCs w:val="18"/>
        </w:rPr>
        <w:t xml:space="preserve"> </w:t>
      </w:r>
      <w:r w:rsidR="006E10BC" w:rsidRPr="00BF00D2">
        <w:rPr>
          <w:bCs/>
          <w:sz w:val="18"/>
          <w:szCs w:val="18"/>
        </w:rPr>
        <w:t xml:space="preserve">Final Report </w:t>
      </w:r>
      <w:r w:rsidR="006E10BC" w:rsidRPr="00BF00D2">
        <w:rPr>
          <w:sz w:val="18"/>
          <w:szCs w:val="18"/>
        </w:rPr>
        <w:t xml:space="preserve">Great Lake Atmospheric Deposition Program Office Air and Radiation </w:t>
      </w:r>
    </w:p>
    <w:p w:rsidR="006E10BC" w:rsidRPr="00BF00D2" w:rsidRDefault="00636474" w:rsidP="00593BB7">
      <w:pPr>
        <w:autoSpaceDE w:val="0"/>
        <w:autoSpaceDN w:val="0"/>
        <w:adjustRightInd w:val="0"/>
        <w:jc w:val="both"/>
        <w:rPr>
          <w:sz w:val="18"/>
          <w:szCs w:val="18"/>
        </w:rPr>
      </w:pPr>
      <w:r w:rsidRPr="00BF00D2">
        <w:rPr>
          <w:sz w:val="18"/>
          <w:szCs w:val="18"/>
        </w:rPr>
        <w:t xml:space="preserve">      </w:t>
      </w:r>
      <w:r w:rsidR="00A077C3" w:rsidRPr="00BF00D2">
        <w:rPr>
          <w:sz w:val="18"/>
          <w:szCs w:val="18"/>
        </w:rPr>
        <w:tab/>
      </w:r>
      <w:r w:rsidR="006E10BC" w:rsidRPr="00BF00D2">
        <w:rPr>
          <w:sz w:val="18"/>
          <w:szCs w:val="18"/>
        </w:rPr>
        <w:t>DivisionUSEPA Region V. University of Illinois, Chicago.</w:t>
      </w:r>
    </w:p>
    <w:p w:rsidR="006E10BC" w:rsidRPr="00BF00D2" w:rsidRDefault="0043553A" w:rsidP="00593BB7">
      <w:pPr>
        <w:ind w:left="720" w:hanging="720"/>
        <w:jc w:val="both"/>
        <w:rPr>
          <w:sz w:val="18"/>
          <w:szCs w:val="18"/>
        </w:rPr>
      </w:pPr>
      <w:r w:rsidRPr="00BF00D2">
        <w:rPr>
          <w:sz w:val="18"/>
          <w:szCs w:val="18"/>
        </w:rPr>
        <w:t>14.</w:t>
      </w:r>
      <w:r w:rsidR="002A06E5" w:rsidRPr="00BF00D2">
        <w:rPr>
          <w:sz w:val="18"/>
          <w:szCs w:val="18"/>
        </w:rPr>
        <w:tab/>
        <w:t>Long, D.T., Giesy, J.P., Simpson, S.J. and Fett, J.D. Inland Lake sediment trends: Sediment analysis results for five Michigan Lakes. Environmental Isotope &amp; Geochemical Laboratories , Michigan State University, Tech. Rep. 1999-2000.</w:t>
      </w:r>
    </w:p>
    <w:p w:rsidR="00B1762D" w:rsidRPr="00BF00D2" w:rsidRDefault="0043553A" w:rsidP="00593BB7">
      <w:pPr>
        <w:ind w:left="720" w:hanging="720"/>
        <w:jc w:val="both"/>
        <w:rPr>
          <w:sz w:val="18"/>
          <w:szCs w:val="18"/>
        </w:rPr>
      </w:pPr>
      <w:r w:rsidRPr="00BF00D2">
        <w:rPr>
          <w:sz w:val="18"/>
          <w:szCs w:val="18"/>
        </w:rPr>
        <w:t>15.</w:t>
      </w:r>
      <w:r w:rsidR="00636474" w:rsidRPr="00BF00D2">
        <w:rPr>
          <w:sz w:val="18"/>
          <w:szCs w:val="18"/>
        </w:rPr>
        <w:t xml:space="preserve"> </w:t>
      </w:r>
      <w:r w:rsidR="00A077C3" w:rsidRPr="00BF00D2">
        <w:rPr>
          <w:sz w:val="18"/>
          <w:szCs w:val="18"/>
        </w:rPr>
        <w:tab/>
      </w:r>
      <w:r w:rsidR="00EB433D" w:rsidRPr="00BF00D2">
        <w:rPr>
          <w:sz w:val="18"/>
          <w:szCs w:val="18"/>
        </w:rPr>
        <w:t>Ruiz-Fernandez, A.C., Marcel, C.H</w:t>
      </w:r>
      <w:r w:rsidR="006E10BC" w:rsidRPr="00BF00D2">
        <w:rPr>
          <w:sz w:val="18"/>
          <w:szCs w:val="18"/>
        </w:rPr>
        <w:t>.</w:t>
      </w:r>
      <w:r w:rsidR="00EB433D" w:rsidRPr="00BF00D2">
        <w:rPr>
          <w:sz w:val="18"/>
          <w:szCs w:val="18"/>
        </w:rPr>
        <w:t>, Paez-Osuna, F., Ghaleb, B. and Caballero, M., (2007).</w:t>
      </w:r>
      <w:r w:rsidR="00A077C3" w:rsidRPr="00BF00D2">
        <w:rPr>
          <w:sz w:val="18"/>
          <w:szCs w:val="18"/>
        </w:rPr>
        <w:t xml:space="preserve"> </w:t>
      </w:r>
      <w:r w:rsidR="00EB433D" w:rsidRPr="00BF00D2">
        <w:rPr>
          <w:sz w:val="18"/>
          <w:szCs w:val="18"/>
        </w:rPr>
        <w:t>Pb</w:t>
      </w:r>
      <w:r w:rsidR="006E10BC" w:rsidRPr="00BF00D2">
        <w:rPr>
          <w:sz w:val="18"/>
          <w:szCs w:val="18"/>
        </w:rPr>
        <w:t>-210</w:t>
      </w:r>
      <w:r w:rsidR="00EB433D" w:rsidRPr="00BF00D2">
        <w:rPr>
          <w:sz w:val="18"/>
          <w:szCs w:val="18"/>
        </w:rPr>
        <w:t xml:space="preserve"> chronology and trace metal geochemistry at Los Tuxtlas, Mexico, as evidenced by a</w:t>
      </w:r>
      <w:r w:rsidR="00A077C3" w:rsidRPr="00BF00D2">
        <w:rPr>
          <w:sz w:val="18"/>
          <w:szCs w:val="18"/>
        </w:rPr>
        <w:t xml:space="preserve"> </w:t>
      </w:r>
      <w:r w:rsidR="00EB433D" w:rsidRPr="00BF00D2">
        <w:rPr>
          <w:sz w:val="18"/>
          <w:szCs w:val="18"/>
        </w:rPr>
        <w:t xml:space="preserve">sedimentary record from the Lago Verde crater  lake. </w:t>
      </w:r>
      <w:r w:rsidR="00EB433D" w:rsidRPr="00BF00D2">
        <w:rPr>
          <w:i/>
          <w:sz w:val="18"/>
          <w:szCs w:val="18"/>
        </w:rPr>
        <w:t>J. Quaternary Research</w:t>
      </w:r>
      <w:r w:rsidR="00636474" w:rsidRPr="00BF00D2">
        <w:rPr>
          <w:sz w:val="18"/>
          <w:szCs w:val="18"/>
        </w:rPr>
        <w:t>, 67: 181-</w:t>
      </w:r>
      <w:r w:rsidR="00EB433D" w:rsidRPr="00BF00D2">
        <w:rPr>
          <w:sz w:val="18"/>
          <w:szCs w:val="18"/>
        </w:rPr>
        <w:t>192.</w:t>
      </w:r>
    </w:p>
    <w:p w:rsidR="00636474" w:rsidRPr="00BF00D2" w:rsidRDefault="0043553A" w:rsidP="002B6618">
      <w:pPr>
        <w:ind w:left="720" w:hanging="720"/>
        <w:jc w:val="both"/>
        <w:rPr>
          <w:sz w:val="18"/>
          <w:szCs w:val="18"/>
        </w:rPr>
      </w:pPr>
      <w:r w:rsidRPr="00BF00D2">
        <w:rPr>
          <w:sz w:val="18"/>
          <w:szCs w:val="18"/>
        </w:rPr>
        <w:t>16.</w:t>
      </w:r>
      <w:r w:rsidR="00636474" w:rsidRPr="00BF00D2">
        <w:rPr>
          <w:sz w:val="18"/>
          <w:szCs w:val="18"/>
        </w:rPr>
        <w:t xml:space="preserve"> </w:t>
      </w:r>
      <w:r w:rsidR="00A077C3" w:rsidRPr="00BF00D2">
        <w:rPr>
          <w:sz w:val="18"/>
          <w:szCs w:val="18"/>
        </w:rPr>
        <w:tab/>
      </w:r>
      <w:r w:rsidR="00B1762D" w:rsidRPr="00BF00D2">
        <w:rPr>
          <w:sz w:val="18"/>
          <w:szCs w:val="18"/>
        </w:rPr>
        <w:t>Ruiz-Fernandez, A,C., Paez-Osuna, F., Urrutia-Facugauchi, J., and Preda, M.</w:t>
      </w:r>
      <w:r w:rsidR="00636474" w:rsidRPr="00BF00D2">
        <w:rPr>
          <w:sz w:val="18"/>
          <w:szCs w:val="18"/>
        </w:rPr>
        <w:t>,</w:t>
      </w:r>
      <w:r w:rsidR="00B1762D" w:rsidRPr="00BF00D2">
        <w:rPr>
          <w:sz w:val="18"/>
          <w:szCs w:val="18"/>
        </w:rPr>
        <w:t xml:space="preserve"> (2005). Pb</w:t>
      </w:r>
      <w:r w:rsidR="006E10BC" w:rsidRPr="00BF00D2">
        <w:rPr>
          <w:sz w:val="18"/>
          <w:szCs w:val="18"/>
        </w:rPr>
        <w:t>-210</w:t>
      </w:r>
      <w:r w:rsidR="00B1762D" w:rsidRPr="00BF00D2">
        <w:rPr>
          <w:sz w:val="18"/>
          <w:szCs w:val="18"/>
        </w:rPr>
        <w:t xml:space="preserve"> geochronology of sediment accumulation rates in Mexico City Metropolitan Zone as </w:t>
      </w:r>
      <w:r w:rsidR="00636474" w:rsidRPr="00BF00D2">
        <w:rPr>
          <w:sz w:val="18"/>
          <w:szCs w:val="18"/>
        </w:rPr>
        <w:t xml:space="preserve">      </w:t>
      </w:r>
    </w:p>
    <w:p w:rsidR="007A0237" w:rsidRPr="00BF00D2" w:rsidRDefault="00636474" w:rsidP="00593BB7">
      <w:pPr>
        <w:jc w:val="both"/>
        <w:rPr>
          <w:sz w:val="18"/>
          <w:szCs w:val="18"/>
        </w:rPr>
      </w:pPr>
      <w:r w:rsidRPr="00BF00D2">
        <w:rPr>
          <w:sz w:val="18"/>
          <w:szCs w:val="18"/>
        </w:rPr>
        <w:t xml:space="preserve">       </w:t>
      </w:r>
      <w:r w:rsidR="00A077C3" w:rsidRPr="00BF00D2">
        <w:rPr>
          <w:sz w:val="18"/>
          <w:szCs w:val="18"/>
        </w:rPr>
        <w:tab/>
      </w:r>
      <w:r w:rsidRPr="00BF00D2">
        <w:rPr>
          <w:sz w:val="18"/>
          <w:szCs w:val="18"/>
        </w:rPr>
        <w:t xml:space="preserve"> </w:t>
      </w:r>
      <w:r w:rsidR="00B1762D" w:rsidRPr="00BF00D2">
        <w:rPr>
          <w:sz w:val="18"/>
          <w:szCs w:val="18"/>
        </w:rPr>
        <w:t>recorded at Espajo de los Liri</w:t>
      </w:r>
      <w:r w:rsidR="00F005B8" w:rsidRPr="00BF00D2">
        <w:rPr>
          <w:sz w:val="18"/>
          <w:szCs w:val="18"/>
        </w:rPr>
        <w:t xml:space="preserve">os lake sediment, J. </w:t>
      </w:r>
      <w:r w:rsidR="00F005B8" w:rsidRPr="00BF00D2">
        <w:rPr>
          <w:i/>
          <w:sz w:val="18"/>
          <w:szCs w:val="18"/>
        </w:rPr>
        <w:t>Catena,</w:t>
      </w:r>
      <w:r w:rsidR="00F005B8" w:rsidRPr="00BF00D2">
        <w:rPr>
          <w:sz w:val="18"/>
          <w:szCs w:val="18"/>
        </w:rPr>
        <w:t xml:space="preserve"> 61:</w:t>
      </w:r>
      <w:r w:rsidR="00B1762D" w:rsidRPr="00BF00D2">
        <w:rPr>
          <w:sz w:val="18"/>
          <w:szCs w:val="18"/>
        </w:rPr>
        <w:t xml:space="preserve"> 31-48.</w:t>
      </w:r>
    </w:p>
    <w:p w:rsidR="00F005B8" w:rsidRPr="00BF00D2" w:rsidRDefault="0043553A" w:rsidP="00593BB7">
      <w:pPr>
        <w:ind w:left="720" w:hanging="720"/>
        <w:jc w:val="both"/>
        <w:rPr>
          <w:sz w:val="18"/>
          <w:szCs w:val="18"/>
        </w:rPr>
      </w:pPr>
      <w:r w:rsidRPr="00BF00D2">
        <w:rPr>
          <w:sz w:val="18"/>
          <w:szCs w:val="18"/>
        </w:rPr>
        <w:lastRenderedPageBreak/>
        <w:t>17.</w:t>
      </w:r>
      <w:r w:rsidR="00636474" w:rsidRPr="00BF00D2">
        <w:rPr>
          <w:sz w:val="18"/>
          <w:szCs w:val="18"/>
        </w:rPr>
        <w:t xml:space="preserve"> </w:t>
      </w:r>
      <w:r w:rsidR="00A077C3" w:rsidRPr="00BF00D2">
        <w:rPr>
          <w:sz w:val="18"/>
          <w:szCs w:val="18"/>
        </w:rPr>
        <w:tab/>
      </w:r>
      <w:r w:rsidR="0048540E" w:rsidRPr="00BF00D2">
        <w:rPr>
          <w:sz w:val="18"/>
          <w:szCs w:val="18"/>
        </w:rPr>
        <w:t>Sanchez – Cabeza, J.A., Masque, P., Ani – Rogolta, I., Merino, J., Alvisi, F., Palanques, A., Puig, P.</w:t>
      </w:r>
      <w:r w:rsidR="00636474" w:rsidRPr="00BF00D2">
        <w:rPr>
          <w:sz w:val="18"/>
          <w:szCs w:val="18"/>
        </w:rPr>
        <w:t>,</w:t>
      </w:r>
      <w:r w:rsidR="0048540E" w:rsidRPr="00BF00D2">
        <w:rPr>
          <w:sz w:val="18"/>
          <w:szCs w:val="18"/>
        </w:rPr>
        <w:t xml:space="preserve"> (1999). Sediment Accumulation Rates in the Southern Barcelona Continental Margin (NW Mediterranean Sea) Derived from Pb-210 and Cs-137 Chronology.</w:t>
      </w:r>
      <w:r w:rsidR="00A077C3" w:rsidRPr="00BF00D2">
        <w:rPr>
          <w:sz w:val="18"/>
          <w:szCs w:val="18"/>
        </w:rPr>
        <w:t xml:space="preserve"> </w:t>
      </w:r>
      <w:r w:rsidR="00A077C3" w:rsidRPr="00BF00D2">
        <w:rPr>
          <w:i/>
          <w:sz w:val="18"/>
          <w:szCs w:val="18"/>
        </w:rPr>
        <w:t>J.</w:t>
      </w:r>
      <w:r w:rsidR="00A077C3" w:rsidRPr="00BF00D2">
        <w:rPr>
          <w:sz w:val="18"/>
          <w:szCs w:val="18"/>
        </w:rPr>
        <w:t xml:space="preserve"> </w:t>
      </w:r>
      <w:r w:rsidR="00F005B8" w:rsidRPr="00BF00D2">
        <w:rPr>
          <w:i/>
          <w:sz w:val="18"/>
          <w:szCs w:val="18"/>
        </w:rPr>
        <w:t>Oceanography</w:t>
      </w:r>
      <w:r w:rsidR="00F005B8" w:rsidRPr="00BF00D2">
        <w:rPr>
          <w:sz w:val="18"/>
          <w:szCs w:val="18"/>
        </w:rPr>
        <w:t>, 44:</w:t>
      </w:r>
      <w:r w:rsidR="0048540E" w:rsidRPr="00BF00D2">
        <w:rPr>
          <w:sz w:val="18"/>
          <w:szCs w:val="18"/>
        </w:rPr>
        <w:t xml:space="preserve"> 313 – 332.</w:t>
      </w:r>
    </w:p>
    <w:p w:rsidR="00EB433D" w:rsidRPr="00BF00D2" w:rsidRDefault="0043553A" w:rsidP="00593BB7">
      <w:pPr>
        <w:ind w:left="720" w:hanging="720"/>
        <w:jc w:val="both"/>
        <w:rPr>
          <w:sz w:val="18"/>
          <w:szCs w:val="18"/>
        </w:rPr>
      </w:pPr>
      <w:r w:rsidRPr="00BF00D2">
        <w:rPr>
          <w:sz w:val="18"/>
          <w:szCs w:val="18"/>
        </w:rPr>
        <w:t>18.</w:t>
      </w:r>
      <w:r w:rsidR="00A077C3" w:rsidRPr="00BF00D2">
        <w:rPr>
          <w:sz w:val="18"/>
          <w:szCs w:val="18"/>
        </w:rPr>
        <w:t xml:space="preserve"> </w:t>
      </w:r>
      <w:r w:rsidR="00A077C3" w:rsidRPr="00BF00D2">
        <w:rPr>
          <w:sz w:val="18"/>
          <w:szCs w:val="18"/>
        </w:rPr>
        <w:tab/>
      </w:r>
      <w:r w:rsidR="00EB433D" w:rsidRPr="00BF00D2">
        <w:rPr>
          <w:sz w:val="18"/>
          <w:szCs w:val="18"/>
        </w:rPr>
        <w:t xml:space="preserve">Siong, W.B., </w:t>
      </w:r>
      <w:r w:rsidR="00636474" w:rsidRPr="00BF00D2">
        <w:rPr>
          <w:sz w:val="18"/>
          <w:szCs w:val="18"/>
        </w:rPr>
        <w:t>Khalik, A.W.,</w:t>
      </w:r>
      <w:r w:rsidR="00EB433D" w:rsidRPr="00BF00D2">
        <w:rPr>
          <w:sz w:val="18"/>
          <w:szCs w:val="18"/>
        </w:rPr>
        <w:t xml:space="preserve"> Hamzah, M.S., Rahman, S.A., Elias, M.S. and Salim, N.A.A.,</w:t>
      </w:r>
      <w:r w:rsidR="00A077C3" w:rsidRPr="00BF00D2">
        <w:rPr>
          <w:sz w:val="18"/>
          <w:szCs w:val="18"/>
        </w:rPr>
        <w:t xml:space="preserve"> </w:t>
      </w:r>
      <w:r w:rsidR="00EB433D" w:rsidRPr="00BF00D2">
        <w:rPr>
          <w:sz w:val="18"/>
          <w:szCs w:val="18"/>
        </w:rPr>
        <w:t xml:space="preserve">(2007). Certified reference materials for analytical quality control in Neutron Activation Analysis. </w:t>
      </w:r>
      <w:r w:rsidR="00106A02" w:rsidRPr="00BF00D2">
        <w:rPr>
          <w:i/>
          <w:sz w:val="18"/>
          <w:szCs w:val="18"/>
        </w:rPr>
        <w:t>J</w:t>
      </w:r>
      <w:r w:rsidR="00106A02" w:rsidRPr="00BF00D2">
        <w:rPr>
          <w:sz w:val="18"/>
          <w:szCs w:val="18"/>
        </w:rPr>
        <w:t xml:space="preserve">. </w:t>
      </w:r>
      <w:r w:rsidR="00106A02" w:rsidRPr="00BF00D2">
        <w:rPr>
          <w:i/>
          <w:sz w:val="18"/>
          <w:szCs w:val="18"/>
        </w:rPr>
        <w:t>Malaysian Analytical Sc</w:t>
      </w:r>
      <w:r w:rsidR="00106A02" w:rsidRPr="00BF00D2">
        <w:rPr>
          <w:sz w:val="18"/>
          <w:szCs w:val="18"/>
        </w:rPr>
        <w:t xml:space="preserve">, 11: </w:t>
      </w:r>
      <w:r w:rsidR="00EB433D" w:rsidRPr="00BF00D2">
        <w:rPr>
          <w:sz w:val="18"/>
          <w:szCs w:val="18"/>
        </w:rPr>
        <w:t>17-22</w:t>
      </w:r>
    </w:p>
    <w:p w:rsidR="00EB433D" w:rsidRPr="00BF00D2" w:rsidRDefault="0043553A" w:rsidP="00593BB7">
      <w:pPr>
        <w:ind w:left="720" w:hanging="720"/>
        <w:jc w:val="both"/>
        <w:rPr>
          <w:sz w:val="18"/>
          <w:szCs w:val="18"/>
        </w:rPr>
      </w:pPr>
      <w:r w:rsidRPr="00BF00D2">
        <w:rPr>
          <w:sz w:val="18"/>
          <w:szCs w:val="18"/>
        </w:rPr>
        <w:t>19.</w:t>
      </w:r>
      <w:r w:rsidR="00A077C3" w:rsidRPr="00BF00D2">
        <w:rPr>
          <w:sz w:val="18"/>
          <w:szCs w:val="18"/>
        </w:rPr>
        <w:t xml:space="preserve"> </w:t>
      </w:r>
      <w:r w:rsidR="00A077C3" w:rsidRPr="00BF00D2">
        <w:rPr>
          <w:sz w:val="18"/>
          <w:szCs w:val="18"/>
        </w:rPr>
        <w:tab/>
      </w:r>
      <w:r w:rsidR="00EB433D" w:rsidRPr="00BF00D2">
        <w:rPr>
          <w:sz w:val="18"/>
          <w:szCs w:val="18"/>
        </w:rPr>
        <w:t>Schottler, S.P. and Engstrom, D.R., (2006). A chronological assessment of Lake</w:t>
      </w:r>
      <w:r w:rsidR="00075953" w:rsidRPr="00BF00D2">
        <w:rPr>
          <w:sz w:val="18"/>
          <w:szCs w:val="18"/>
        </w:rPr>
        <w:t xml:space="preserve"> </w:t>
      </w:r>
      <w:r w:rsidR="00EB433D" w:rsidRPr="00BF00D2">
        <w:rPr>
          <w:sz w:val="18"/>
          <w:szCs w:val="18"/>
        </w:rPr>
        <w:t>Okeechobee (Florida) sediment using multiple dating markers. J.</w:t>
      </w:r>
      <w:r w:rsidR="00EB433D" w:rsidRPr="00BF00D2">
        <w:rPr>
          <w:i/>
          <w:sz w:val="18"/>
          <w:szCs w:val="18"/>
        </w:rPr>
        <w:t xml:space="preserve"> Paleolimnol</w:t>
      </w:r>
      <w:r w:rsidR="00A077C3" w:rsidRPr="00BF00D2">
        <w:rPr>
          <w:sz w:val="18"/>
          <w:szCs w:val="18"/>
        </w:rPr>
        <w:t>, 36: 19 -</w:t>
      </w:r>
      <w:r w:rsidR="00EB433D" w:rsidRPr="00BF00D2">
        <w:rPr>
          <w:sz w:val="18"/>
          <w:szCs w:val="18"/>
        </w:rPr>
        <w:t>36.</w:t>
      </w:r>
    </w:p>
    <w:p w:rsidR="00EB433D" w:rsidRPr="00BF00D2" w:rsidRDefault="0043553A" w:rsidP="00593BB7">
      <w:pPr>
        <w:ind w:left="720" w:hanging="720"/>
        <w:jc w:val="both"/>
        <w:rPr>
          <w:sz w:val="18"/>
          <w:szCs w:val="18"/>
        </w:rPr>
      </w:pPr>
      <w:r w:rsidRPr="00BF00D2">
        <w:rPr>
          <w:sz w:val="18"/>
          <w:szCs w:val="18"/>
        </w:rPr>
        <w:t>20.</w:t>
      </w:r>
      <w:r w:rsidR="00A077C3" w:rsidRPr="00BF00D2">
        <w:rPr>
          <w:sz w:val="18"/>
          <w:szCs w:val="18"/>
        </w:rPr>
        <w:t xml:space="preserve"> </w:t>
      </w:r>
      <w:r w:rsidR="00A077C3" w:rsidRPr="00BF00D2">
        <w:rPr>
          <w:sz w:val="18"/>
          <w:szCs w:val="18"/>
        </w:rPr>
        <w:tab/>
      </w:r>
      <w:r w:rsidR="00EB433D" w:rsidRPr="00BF00D2">
        <w:rPr>
          <w:sz w:val="18"/>
          <w:szCs w:val="18"/>
        </w:rPr>
        <w:t>Theng, T.L., Zaharuddin, A., and Che Abd Rahim, M., (200</w:t>
      </w:r>
      <w:r w:rsidR="00A077C3" w:rsidRPr="00BF00D2">
        <w:rPr>
          <w:sz w:val="18"/>
          <w:szCs w:val="18"/>
        </w:rPr>
        <w:t xml:space="preserve">3). Estimation of Sedimentation  </w:t>
      </w:r>
      <w:r w:rsidR="00EB433D" w:rsidRPr="00BF00D2">
        <w:rPr>
          <w:sz w:val="18"/>
          <w:szCs w:val="18"/>
        </w:rPr>
        <w:t>Rate Using Pb-210 and Po-210 at the Coastal</w:t>
      </w:r>
      <w:r w:rsidR="00106A02" w:rsidRPr="00BF00D2">
        <w:rPr>
          <w:sz w:val="18"/>
          <w:szCs w:val="18"/>
        </w:rPr>
        <w:t xml:space="preserve"> Water of Sabah, Malaysia. </w:t>
      </w:r>
      <w:r w:rsidR="00106A02" w:rsidRPr="00BF00D2">
        <w:rPr>
          <w:i/>
          <w:sz w:val="18"/>
          <w:szCs w:val="18"/>
        </w:rPr>
        <w:t>J</w:t>
      </w:r>
      <w:r w:rsidR="00106A02" w:rsidRPr="00BF00D2">
        <w:rPr>
          <w:sz w:val="18"/>
          <w:szCs w:val="18"/>
        </w:rPr>
        <w:t>.</w:t>
      </w:r>
      <w:r w:rsidR="00EB433D" w:rsidRPr="00BF00D2">
        <w:rPr>
          <w:sz w:val="18"/>
          <w:szCs w:val="18"/>
        </w:rPr>
        <w:t xml:space="preserve"> </w:t>
      </w:r>
      <w:r w:rsidR="00EB433D" w:rsidRPr="00BF00D2">
        <w:rPr>
          <w:i/>
          <w:sz w:val="18"/>
          <w:szCs w:val="18"/>
        </w:rPr>
        <w:t>Radioanalytica</w:t>
      </w:r>
      <w:r w:rsidR="00A077C3" w:rsidRPr="00BF00D2">
        <w:rPr>
          <w:i/>
          <w:sz w:val="18"/>
          <w:szCs w:val="18"/>
        </w:rPr>
        <w:t xml:space="preserve">l </w:t>
      </w:r>
      <w:r w:rsidR="00EB433D" w:rsidRPr="00BF00D2">
        <w:rPr>
          <w:i/>
          <w:sz w:val="18"/>
          <w:szCs w:val="18"/>
        </w:rPr>
        <w:t>and Nuclear Chemistry</w:t>
      </w:r>
      <w:r w:rsidR="00EB433D" w:rsidRPr="00BF00D2">
        <w:rPr>
          <w:sz w:val="18"/>
          <w:szCs w:val="18"/>
        </w:rPr>
        <w:t>, 1: 115 – 120.</w:t>
      </w:r>
    </w:p>
    <w:p w:rsidR="00075953" w:rsidRPr="00BF00D2" w:rsidRDefault="0043553A" w:rsidP="00593BB7">
      <w:pPr>
        <w:jc w:val="both"/>
        <w:rPr>
          <w:sz w:val="18"/>
          <w:szCs w:val="18"/>
        </w:rPr>
      </w:pPr>
      <w:r w:rsidRPr="00BF00D2">
        <w:rPr>
          <w:sz w:val="18"/>
          <w:szCs w:val="18"/>
        </w:rPr>
        <w:t>21.</w:t>
      </w:r>
      <w:r w:rsidR="00A077C3" w:rsidRPr="00BF00D2">
        <w:rPr>
          <w:sz w:val="18"/>
          <w:szCs w:val="18"/>
        </w:rPr>
        <w:t xml:space="preserve"> </w:t>
      </w:r>
      <w:r w:rsidR="00A077C3" w:rsidRPr="00BF00D2">
        <w:rPr>
          <w:sz w:val="18"/>
          <w:szCs w:val="18"/>
        </w:rPr>
        <w:tab/>
      </w:r>
      <w:r w:rsidR="00EB433D" w:rsidRPr="00BF00D2">
        <w:rPr>
          <w:sz w:val="18"/>
          <w:szCs w:val="18"/>
        </w:rPr>
        <w:t>Yang, H. and Rose, N., (2005). Trace element pollution records in some UK lake sediments,</w:t>
      </w:r>
      <w:r w:rsidR="00A077C3" w:rsidRPr="00BF00D2">
        <w:rPr>
          <w:sz w:val="18"/>
          <w:szCs w:val="18"/>
        </w:rPr>
        <w:t xml:space="preserve"> </w:t>
      </w:r>
      <w:r w:rsidR="00EB433D" w:rsidRPr="00BF00D2">
        <w:rPr>
          <w:sz w:val="18"/>
          <w:szCs w:val="18"/>
        </w:rPr>
        <w:t>their h</w:t>
      </w:r>
      <w:r w:rsidR="00075953" w:rsidRPr="00BF00D2">
        <w:rPr>
          <w:sz w:val="18"/>
          <w:szCs w:val="18"/>
        </w:rPr>
        <w:t>istory,</w:t>
      </w:r>
    </w:p>
    <w:p w:rsidR="00EB433D" w:rsidRPr="00BF00D2" w:rsidRDefault="00EB433D" w:rsidP="00593BB7">
      <w:pPr>
        <w:tabs>
          <w:tab w:val="left" w:pos="630"/>
          <w:tab w:val="left" w:pos="720"/>
        </w:tabs>
        <w:ind w:firstLine="720"/>
        <w:jc w:val="both"/>
        <w:rPr>
          <w:sz w:val="18"/>
          <w:szCs w:val="18"/>
        </w:rPr>
      </w:pPr>
      <w:r w:rsidRPr="00BF00D2">
        <w:rPr>
          <w:sz w:val="18"/>
          <w:szCs w:val="18"/>
        </w:rPr>
        <w:t>influence factors and regional differences. J.</w:t>
      </w:r>
      <w:r w:rsidRPr="00BF00D2">
        <w:rPr>
          <w:i/>
          <w:sz w:val="18"/>
          <w:szCs w:val="18"/>
        </w:rPr>
        <w:t xml:space="preserve"> Environment International</w:t>
      </w:r>
      <w:r w:rsidRPr="00BF00D2">
        <w:rPr>
          <w:sz w:val="18"/>
          <w:szCs w:val="18"/>
        </w:rPr>
        <w:t xml:space="preserve">, 31: 63–75. </w:t>
      </w:r>
    </w:p>
    <w:p w:rsidR="00F01117" w:rsidRPr="00BF00D2" w:rsidRDefault="0043553A" w:rsidP="00593BB7">
      <w:pPr>
        <w:ind w:left="720" w:hanging="720"/>
        <w:jc w:val="both"/>
        <w:rPr>
          <w:sz w:val="18"/>
          <w:szCs w:val="18"/>
        </w:rPr>
      </w:pPr>
      <w:r w:rsidRPr="00BF00D2">
        <w:rPr>
          <w:sz w:val="18"/>
          <w:szCs w:val="18"/>
        </w:rPr>
        <w:t>22.</w:t>
      </w:r>
      <w:r w:rsidR="00F01117" w:rsidRPr="00BF00D2">
        <w:rPr>
          <w:sz w:val="18"/>
          <w:szCs w:val="18"/>
        </w:rPr>
        <w:tab/>
        <w:t xml:space="preserve">Zaborska, A., Carroll, J., Papucci, C., Pempkowiak, J. (2007). Intercomparison of alpha and gamma spectrometry techniques used in Pb-210 geochronology. </w:t>
      </w:r>
      <w:r w:rsidR="00F01117" w:rsidRPr="00BF00D2">
        <w:rPr>
          <w:i/>
          <w:sz w:val="18"/>
          <w:szCs w:val="18"/>
        </w:rPr>
        <w:t>J. Environment Radioactivity</w:t>
      </w:r>
      <w:r w:rsidR="00F01117" w:rsidRPr="00BF00D2">
        <w:rPr>
          <w:sz w:val="18"/>
          <w:szCs w:val="18"/>
        </w:rPr>
        <w:t>, 93, 38-50.</w:t>
      </w:r>
    </w:p>
    <w:p w:rsidR="00106A02" w:rsidRPr="00BF00D2" w:rsidRDefault="00106A02" w:rsidP="00E24A4E">
      <w:pPr>
        <w:rPr>
          <w:sz w:val="18"/>
          <w:szCs w:val="18"/>
        </w:rPr>
      </w:pPr>
    </w:p>
    <w:p w:rsidR="00331ADF" w:rsidRPr="00BF00D2" w:rsidRDefault="00331ADF" w:rsidP="00E24A4E"/>
    <w:sectPr w:rsidR="00331ADF" w:rsidRPr="00BF00D2" w:rsidSect="00217A48">
      <w:pgSz w:w="12240" w:h="15840"/>
      <w:pgMar w:top="1987"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6D" w:rsidRDefault="009C3F6D" w:rsidP="00A077C3">
      <w:r>
        <w:separator/>
      </w:r>
    </w:p>
  </w:endnote>
  <w:endnote w:type="continuationSeparator" w:id="1">
    <w:p w:rsidR="009C3F6D" w:rsidRDefault="009C3F6D" w:rsidP="00A07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6D" w:rsidRDefault="009C3F6D" w:rsidP="00A077C3">
      <w:r>
        <w:separator/>
      </w:r>
    </w:p>
  </w:footnote>
  <w:footnote w:type="continuationSeparator" w:id="1">
    <w:p w:rsidR="009C3F6D" w:rsidRDefault="009C3F6D" w:rsidP="00A07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5B29"/>
    <w:multiLevelType w:val="hybridMultilevel"/>
    <w:tmpl w:val="FCEC8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E12FD9"/>
    <w:multiLevelType w:val="hybridMultilevel"/>
    <w:tmpl w:val="5650D79E"/>
    <w:lvl w:ilvl="0" w:tplc="0409000F">
      <w:start w:val="1"/>
      <w:numFmt w:val="decimal"/>
      <w:lvlText w:val="%1."/>
      <w:lvlJc w:val="left"/>
      <w:pPr>
        <w:tabs>
          <w:tab w:val="num" w:pos="540"/>
        </w:tabs>
        <w:ind w:left="540" w:hanging="360"/>
      </w:pPr>
    </w:lvl>
    <w:lvl w:ilvl="1" w:tplc="56183826">
      <w:start w:val="180"/>
      <w:numFmt w:val="decimal"/>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7833F9"/>
    <w:multiLevelType w:val="hybridMultilevel"/>
    <w:tmpl w:val="F93AE380"/>
    <w:lvl w:ilvl="0" w:tplc="09A07F16">
      <w:start w:val="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04CA1"/>
    <w:multiLevelType w:val="hybridMultilevel"/>
    <w:tmpl w:val="223EFFB2"/>
    <w:lvl w:ilvl="0" w:tplc="0584F00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0E436E6"/>
    <w:multiLevelType w:val="hybridMultilevel"/>
    <w:tmpl w:val="2CCE3C60"/>
    <w:lvl w:ilvl="0" w:tplc="B01A8C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E1A0A"/>
    <w:rsid w:val="00006E1C"/>
    <w:rsid w:val="000247C6"/>
    <w:rsid w:val="00024CDA"/>
    <w:rsid w:val="0002583D"/>
    <w:rsid w:val="00026E85"/>
    <w:rsid w:val="00032E74"/>
    <w:rsid w:val="00035966"/>
    <w:rsid w:val="0006651D"/>
    <w:rsid w:val="0007034C"/>
    <w:rsid w:val="00075953"/>
    <w:rsid w:val="00087383"/>
    <w:rsid w:val="00090305"/>
    <w:rsid w:val="00092378"/>
    <w:rsid w:val="00092A9E"/>
    <w:rsid w:val="00093377"/>
    <w:rsid w:val="000C1E17"/>
    <w:rsid w:val="000E0379"/>
    <w:rsid w:val="000E21D4"/>
    <w:rsid w:val="000F1AE8"/>
    <w:rsid w:val="000F31C2"/>
    <w:rsid w:val="000F7E8C"/>
    <w:rsid w:val="00101450"/>
    <w:rsid w:val="00105599"/>
    <w:rsid w:val="00106A02"/>
    <w:rsid w:val="00107D12"/>
    <w:rsid w:val="00113659"/>
    <w:rsid w:val="00125053"/>
    <w:rsid w:val="00145B9A"/>
    <w:rsid w:val="00154D79"/>
    <w:rsid w:val="00160D63"/>
    <w:rsid w:val="00161D61"/>
    <w:rsid w:val="00164E29"/>
    <w:rsid w:val="0017189E"/>
    <w:rsid w:val="001926FA"/>
    <w:rsid w:val="001941BD"/>
    <w:rsid w:val="001A63BD"/>
    <w:rsid w:val="001A67DF"/>
    <w:rsid w:val="001B44B2"/>
    <w:rsid w:val="001C2ECC"/>
    <w:rsid w:val="001E37AF"/>
    <w:rsid w:val="001F22A6"/>
    <w:rsid w:val="00203B4B"/>
    <w:rsid w:val="002053CB"/>
    <w:rsid w:val="00212C50"/>
    <w:rsid w:val="00217A48"/>
    <w:rsid w:val="00227D60"/>
    <w:rsid w:val="0023450A"/>
    <w:rsid w:val="0024364D"/>
    <w:rsid w:val="00291B04"/>
    <w:rsid w:val="00297A4A"/>
    <w:rsid w:val="002A06E5"/>
    <w:rsid w:val="002A3E79"/>
    <w:rsid w:val="002B0B3A"/>
    <w:rsid w:val="002B6618"/>
    <w:rsid w:val="002D0CF4"/>
    <w:rsid w:val="002D3374"/>
    <w:rsid w:val="002E4E30"/>
    <w:rsid w:val="002E77F9"/>
    <w:rsid w:val="002F13EF"/>
    <w:rsid w:val="00323739"/>
    <w:rsid w:val="00331ADF"/>
    <w:rsid w:val="00334BC4"/>
    <w:rsid w:val="00340080"/>
    <w:rsid w:val="00346AC3"/>
    <w:rsid w:val="003536AC"/>
    <w:rsid w:val="0035566A"/>
    <w:rsid w:val="00380CF6"/>
    <w:rsid w:val="00383536"/>
    <w:rsid w:val="003A0814"/>
    <w:rsid w:val="003B18F5"/>
    <w:rsid w:val="003C0E90"/>
    <w:rsid w:val="003E0261"/>
    <w:rsid w:val="003F04F0"/>
    <w:rsid w:val="003F634E"/>
    <w:rsid w:val="00405307"/>
    <w:rsid w:val="004108AB"/>
    <w:rsid w:val="00410C88"/>
    <w:rsid w:val="00411DB7"/>
    <w:rsid w:val="00421531"/>
    <w:rsid w:val="00423EE2"/>
    <w:rsid w:val="00427C6E"/>
    <w:rsid w:val="0043553A"/>
    <w:rsid w:val="0044062B"/>
    <w:rsid w:val="00451F00"/>
    <w:rsid w:val="004554C9"/>
    <w:rsid w:val="00456498"/>
    <w:rsid w:val="00466CB0"/>
    <w:rsid w:val="004678CF"/>
    <w:rsid w:val="00473DA1"/>
    <w:rsid w:val="0048540E"/>
    <w:rsid w:val="00486936"/>
    <w:rsid w:val="004916B4"/>
    <w:rsid w:val="004A22B3"/>
    <w:rsid w:val="004A269F"/>
    <w:rsid w:val="004C1848"/>
    <w:rsid w:val="004C7074"/>
    <w:rsid w:val="004D37D3"/>
    <w:rsid w:val="004E12B0"/>
    <w:rsid w:val="004E2A96"/>
    <w:rsid w:val="004F1849"/>
    <w:rsid w:val="004F2CED"/>
    <w:rsid w:val="005039AF"/>
    <w:rsid w:val="00532E39"/>
    <w:rsid w:val="0053301A"/>
    <w:rsid w:val="00536194"/>
    <w:rsid w:val="005425F3"/>
    <w:rsid w:val="0054272B"/>
    <w:rsid w:val="00566BEA"/>
    <w:rsid w:val="00584939"/>
    <w:rsid w:val="00593BB7"/>
    <w:rsid w:val="005A32AC"/>
    <w:rsid w:val="005A4C01"/>
    <w:rsid w:val="005A5A1F"/>
    <w:rsid w:val="005C76FB"/>
    <w:rsid w:val="005E1C3E"/>
    <w:rsid w:val="006026E4"/>
    <w:rsid w:val="00607EF3"/>
    <w:rsid w:val="00611EC2"/>
    <w:rsid w:val="00612BD0"/>
    <w:rsid w:val="00613997"/>
    <w:rsid w:val="00636474"/>
    <w:rsid w:val="006366E4"/>
    <w:rsid w:val="00642855"/>
    <w:rsid w:val="00656E67"/>
    <w:rsid w:val="00663A40"/>
    <w:rsid w:val="00672B02"/>
    <w:rsid w:val="006765E2"/>
    <w:rsid w:val="00686738"/>
    <w:rsid w:val="0069177E"/>
    <w:rsid w:val="00696950"/>
    <w:rsid w:val="006B251D"/>
    <w:rsid w:val="006B6973"/>
    <w:rsid w:val="006D30BC"/>
    <w:rsid w:val="006D6F95"/>
    <w:rsid w:val="006E10BC"/>
    <w:rsid w:val="006E2DDA"/>
    <w:rsid w:val="007111DD"/>
    <w:rsid w:val="0071166D"/>
    <w:rsid w:val="00713FF0"/>
    <w:rsid w:val="007205CE"/>
    <w:rsid w:val="00725877"/>
    <w:rsid w:val="007268F5"/>
    <w:rsid w:val="00746B50"/>
    <w:rsid w:val="00755F8B"/>
    <w:rsid w:val="007676DE"/>
    <w:rsid w:val="00774230"/>
    <w:rsid w:val="0078006C"/>
    <w:rsid w:val="007831BF"/>
    <w:rsid w:val="00790683"/>
    <w:rsid w:val="00791696"/>
    <w:rsid w:val="007A0237"/>
    <w:rsid w:val="007A6A26"/>
    <w:rsid w:val="007B6123"/>
    <w:rsid w:val="007C53C9"/>
    <w:rsid w:val="007D00A6"/>
    <w:rsid w:val="007E49CE"/>
    <w:rsid w:val="00806A76"/>
    <w:rsid w:val="0081345F"/>
    <w:rsid w:val="00833BB8"/>
    <w:rsid w:val="00834C29"/>
    <w:rsid w:val="008505C9"/>
    <w:rsid w:val="0085192B"/>
    <w:rsid w:val="00853C06"/>
    <w:rsid w:val="00855B00"/>
    <w:rsid w:val="00866BCC"/>
    <w:rsid w:val="00875064"/>
    <w:rsid w:val="00875BAA"/>
    <w:rsid w:val="0088144B"/>
    <w:rsid w:val="00885E1B"/>
    <w:rsid w:val="008B3FD5"/>
    <w:rsid w:val="008B58EC"/>
    <w:rsid w:val="008C659E"/>
    <w:rsid w:val="008C786B"/>
    <w:rsid w:val="008D3456"/>
    <w:rsid w:val="008E2422"/>
    <w:rsid w:val="008F18D9"/>
    <w:rsid w:val="008F4560"/>
    <w:rsid w:val="008F48B9"/>
    <w:rsid w:val="00924714"/>
    <w:rsid w:val="00926E52"/>
    <w:rsid w:val="00934A2A"/>
    <w:rsid w:val="00937CCB"/>
    <w:rsid w:val="00942D71"/>
    <w:rsid w:val="00944704"/>
    <w:rsid w:val="009455EA"/>
    <w:rsid w:val="0094580F"/>
    <w:rsid w:val="00955ED8"/>
    <w:rsid w:val="00964510"/>
    <w:rsid w:val="00972FFA"/>
    <w:rsid w:val="009779E3"/>
    <w:rsid w:val="00982806"/>
    <w:rsid w:val="00987A0E"/>
    <w:rsid w:val="00995FC7"/>
    <w:rsid w:val="009A2200"/>
    <w:rsid w:val="009B51A1"/>
    <w:rsid w:val="009C0B99"/>
    <w:rsid w:val="009C3F6D"/>
    <w:rsid w:val="009C3F81"/>
    <w:rsid w:val="009C3FB5"/>
    <w:rsid w:val="009D0470"/>
    <w:rsid w:val="009D1441"/>
    <w:rsid w:val="009D3DD3"/>
    <w:rsid w:val="009D688A"/>
    <w:rsid w:val="009E3EF3"/>
    <w:rsid w:val="009F6D75"/>
    <w:rsid w:val="00A01BE8"/>
    <w:rsid w:val="00A074F0"/>
    <w:rsid w:val="00A077C3"/>
    <w:rsid w:val="00A107BF"/>
    <w:rsid w:val="00A17CD9"/>
    <w:rsid w:val="00A223E0"/>
    <w:rsid w:val="00A35723"/>
    <w:rsid w:val="00A4188A"/>
    <w:rsid w:val="00A428FF"/>
    <w:rsid w:val="00A44FC8"/>
    <w:rsid w:val="00A525AA"/>
    <w:rsid w:val="00A56DD0"/>
    <w:rsid w:val="00A7419D"/>
    <w:rsid w:val="00A76675"/>
    <w:rsid w:val="00A97BEF"/>
    <w:rsid w:val="00AA18E1"/>
    <w:rsid w:val="00AA44CE"/>
    <w:rsid w:val="00AA7447"/>
    <w:rsid w:val="00AB4028"/>
    <w:rsid w:val="00AB7489"/>
    <w:rsid w:val="00AC4266"/>
    <w:rsid w:val="00AE0E08"/>
    <w:rsid w:val="00AE75DA"/>
    <w:rsid w:val="00B04446"/>
    <w:rsid w:val="00B05220"/>
    <w:rsid w:val="00B1762D"/>
    <w:rsid w:val="00B25D3A"/>
    <w:rsid w:val="00B25FDE"/>
    <w:rsid w:val="00B33B29"/>
    <w:rsid w:val="00B40C2A"/>
    <w:rsid w:val="00B60110"/>
    <w:rsid w:val="00B65B41"/>
    <w:rsid w:val="00B84D88"/>
    <w:rsid w:val="00BA1CD3"/>
    <w:rsid w:val="00BA1D8D"/>
    <w:rsid w:val="00BA4DD9"/>
    <w:rsid w:val="00BA51BB"/>
    <w:rsid w:val="00BA63CD"/>
    <w:rsid w:val="00BC25F6"/>
    <w:rsid w:val="00BC44A9"/>
    <w:rsid w:val="00BC5E27"/>
    <w:rsid w:val="00BC64CB"/>
    <w:rsid w:val="00BC6640"/>
    <w:rsid w:val="00BD1D07"/>
    <w:rsid w:val="00BD2D65"/>
    <w:rsid w:val="00BD3590"/>
    <w:rsid w:val="00BE1629"/>
    <w:rsid w:val="00BE1A0A"/>
    <w:rsid w:val="00BE372C"/>
    <w:rsid w:val="00BF00D2"/>
    <w:rsid w:val="00BF71EB"/>
    <w:rsid w:val="00C053E2"/>
    <w:rsid w:val="00C13FFB"/>
    <w:rsid w:val="00C1439E"/>
    <w:rsid w:val="00C15BC2"/>
    <w:rsid w:val="00C3361B"/>
    <w:rsid w:val="00C55F89"/>
    <w:rsid w:val="00C601C6"/>
    <w:rsid w:val="00C62113"/>
    <w:rsid w:val="00C70009"/>
    <w:rsid w:val="00CA6663"/>
    <w:rsid w:val="00CA75E0"/>
    <w:rsid w:val="00CB2355"/>
    <w:rsid w:val="00CE0197"/>
    <w:rsid w:val="00CE0E7F"/>
    <w:rsid w:val="00CE585C"/>
    <w:rsid w:val="00D12914"/>
    <w:rsid w:val="00D13F70"/>
    <w:rsid w:val="00D20D8C"/>
    <w:rsid w:val="00D47891"/>
    <w:rsid w:val="00D62185"/>
    <w:rsid w:val="00D65793"/>
    <w:rsid w:val="00D74A9E"/>
    <w:rsid w:val="00D82823"/>
    <w:rsid w:val="00D83AB7"/>
    <w:rsid w:val="00D857DA"/>
    <w:rsid w:val="00D85EA9"/>
    <w:rsid w:val="00D86038"/>
    <w:rsid w:val="00D86B76"/>
    <w:rsid w:val="00D97428"/>
    <w:rsid w:val="00DA1CA1"/>
    <w:rsid w:val="00DC4CC8"/>
    <w:rsid w:val="00DD01FA"/>
    <w:rsid w:val="00DD6784"/>
    <w:rsid w:val="00E0431A"/>
    <w:rsid w:val="00E13D4D"/>
    <w:rsid w:val="00E15A1F"/>
    <w:rsid w:val="00E2221C"/>
    <w:rsid w:val="00E24A4E"/>
    <w:rsid w:val="00E25B0E"/>
    <w:rsid w:val="00E27D34"/>
    <w:rsid w:val="00E32502"/>
    <w:rsid w:val="00E370B4"/>
    <w:rsid w:val="00E40335"/>
    <w:rsid w:val="00E44EF1"/>
    <w:rsid w:val="00E60FC4"/>
    <w:rsid w:val="00E7015D"/>
    <w:rsid w:val="00E76CD1"/>
    <w:rsid w:val="00EA46AF"/>
    <w:rsid w:val="00EA746B"/>
    <w:rsid w:val="00EB433D"/>
    <w:rsid w:val="00EC08FE"/>
    <w:rsid w:val="00EC49F7"/>
    <w:rsid w:val="00EF1676"/>
    <w:rsid w:val="00EF46E5"/>
    <w:rsid w:val="00EF4AD2"/>
    <w:rsid w:val="00F005B8"/>
    <w:rsid w:val="00F01117"/>
    <w:rsid w:val="00F042D3"/>
    <w:rsid w:val="00F07AAB"/>
    <w:rsid w:val="00F3183A"/>
    <w:rsid w:val="00F33713"/>
    <w:rsid w:val="00F40362"/>
    <w:rsid w:val="00F40D98"/>
    <w:rsid w:val="00F425B7"/>
    <w:rsid w:val="00F427DB"/>
    <w:rsid w:val="00F43696"/>
    <w:rsid w:val="00F44649"/>
    <w:rsid w:val="00F53568"/>
    <w:rsid w:val="00F53789"/>
    <w:rsid w:val="00F54128"/>
    <w:rsid w:val="00F5571C"/>
    <w:rsid w:val="00F55E24"/>
    <w:rsid w:val="00F71DEF"/>
    <w:rsid w:val="00F75E52"/>
    <w:rsid w:val="00F76F19"/>
    <w:rsid w:val="00F8785E"/>
    <w:rsid w:val="00F949AB"/>
    <w:rsid w:val="00FA20FD"/>
    <w:rsid w:val="00FA551A"/>
    <w:rsid w:val="00FB10B4"/>
    <w:rsid w:val="00FE62EA"/>
    <w:rsid w:val="00FF0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81"/>
    <w:rPr>
      <w:sz w:val="24"/>
      <w:szCs w:val="24"/>
    </w:rPr>
  </w:style>
  <w:style w:type="paragraph" w:styleId="Heading1">
    <w:name w:val="heading 1"/>
    <w:basedOn w:val="Normal"/>
    <w:next w:val="Normal"/>
    <w:link w:val="Heading1Char"/>
    <w:qFormat/>
    <w:rsid w:val="009C3F81"/>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9C3F81"/>
    <w:pPr>
      <w:spacing w:before="100" w:beforeAutospacing="1" w:after="100" w:afterAutospacing="1"/>
      <w:outlineLvl w:val="1"/>
    </w:pPr>
    <w:rPr>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F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3F81"/>
    <w:rPr>
      <w:b/>
      <w:bCs/>
      <w:color w:val="000000"/>
      <w:sz w:val="36"/>
      <w:szCs w:val="36"/>
    </w:rPr>
  </w:style>
  <w:style w:type="paragraph" w:styleId="Caption">
    <w:name w:val="caption"/>
    <w:basedOn w:val="Normal"/>
    <w:next w:val="Normal"/>
    <w:qFormat/>
    <w:rsid w:val="009C3F81"/>
    <w:rPr>
      <w:b/>
      <w:bCs/>
      <w:sz w:val="20"/>
      <w:szCs w:val="20"/>
    </w:rPr>
  </w:style>
  <w:style w:type="paragraph" w:styleId="Title">
    <w:name w:val="Title"/>
    <w:basedOn w:val="Normal"/>
    <w:link w:val="TitleChar"/>
    <w:qFormat/>
    <w:rsid w:val="009C3F81"/>
    <w:pPr>
      <w:jc w:val="center"/>
    </w:pPr>
    <w:rPr>
      <w:b/>
      <w:bCs/>
    </w:rPr>
  </w:style>
  <w:style w:type="character" w:customStyle="1" w:styleId="TitleChar">
    <w:name w:val="Title Char"/>
    <w:basedOn w:val="DefaultParagraphFont"/>
    <w:link w:val="Title"/>
    <w:rsid w:val="009C3F81"/>
    <w:rPr>
      <w:b/>
      <w:bCs/>
      <w:sz w:val="24"/>
      <w:szCs w:val="24"/>
    </w:rPr>
  </w:style>
  <w:style w:type="paragraph" w:styleId="Subtitle">
    <w:name w:val="Subtitle"/>
    <w:basedOn w:val="Normal"/>
    <w:next w:val="Normal"/>
    <w:link w:val="SubtitleChar"/>
    <w:qFormat/>
    <w:rsid w:val="009C3F81"/>
    <w:pPr>
      <w:spacing w:after="60"/>
      <w:jc w:val="center"/>
      <w:outlineLvl w:val="1"/>
    </w:pPr>
    <w:rPr>
      <w:rFonts w:ascii="Cambria" w:hAnsi="Cambria"/>
    </w:rPr>
  </w:style>
  <w:style w:type="character" w:customStyle="1" w:styleId="SubtitleChar">
    <w:name w:val="Subtitle Char"/>
    <w:basedOn w:val="DefaultParagraphFont"/>
    <w:link w:val="Subtitle"/>
    <w:rsid w:val="009C3F81"/>
    <w:rPr>
      <w:rFonts w:ascii="Cambria" w:eastAsia="Times New Roman" w:hAnsi="Cambria" w:cs="Times New Roman"/>
      <w:sz w:val="24"/>
      <w:szCs w:val="24"/>
    </w:rPr>
  </w:style>
  <w:style w:type="character" w:styleId="Emphasis">
    <w:name w:val="Emphasis"/>
    <w:basedOn w:val="DefaultParagraphFont"/>
    <w:uiPriority w:val="20"/>
    <w:qFormat/>
    <w:rsid w:val="009C3F81"/>
    <w:rPr>
      <w:i/>
      <w:iCs/>
    </w:rPr>
  </w:style>
  <w:style w:type="table" w:styleId="TableGrid">
    <w:name w:val="Table Grid"/>
    <w:basedOn w:val="TableNormal"/>
    <w:uiPriority w:val="59"/>
    <w:rsid w:val="001136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C76FB"/>
    <w:rPr>
      <w:color w:val="0000FF"/>
      <w:u w:val="single"/>
    </w:rPr>
  </w:style>
  <w:style w:type="table" w:customStyle="1" w:styleId="MediumList21">
    <w:name w:val="Medium List 21"/>
    <w:basedOn w:val="TableNormal"/>
    <w:uiPriority w:val="66"/>
    <w:rsid w:val="00F40D9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F40D9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AA74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AA744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6">
    <w:name w:val="Light Grid Accent 6"/>
    <w:basedOn w:val="TableNormal"/>
    <w:uiPriority w:val="62"/>
    <w:rsid w:val="00AA744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eader">
    <w:name w:val="header"/>
    <w:basedOn w:val="Normal"/>
    <w:link w:val="HeaderChar"/>
    <w:uiPriority w:val="99"/>
    <w:semiHidden/>
    <w:unhideWhenUsed/>
    <w:rsid w:val="00A077C3"/>
    <w:pPr>
      <w:tabs>
        <w:tab w:val="center" w:pos="4680"/>
        <w:tab w:val="right" w:pos="9360"/>
      </w:tabs>
    </w:pPr>
  </w:style>
  <w:style w:type="character" w:customStyle="1" w:styleId="HeaderChar">
    <w:name w:val="Header Char"/>
    <w:basedOn w:val="DefaultParagraphFont"/>
    <w:link w:val="Header"/>
    <w:uiPriority w:val="99"/>
    <w:semiHidden/>
    <w:rsid w:val="00A077C3"/>
    <w:rPr>
      <w:sz w:val="24"/>
      <w:szCs w:val="24"/>
    </w:rPr>
  </w:style>
  <w:style w:type="paragraph" w:styleId="Footer">
    <w:name w:val="footer"/>
    <w:basedOn w:val="Normal"/>
    <w:link w:val="FooterChar"/>
    <w:uiPriority w:val="99"/>
    <w:semiHidden/>
    <w:unhideWhenUsed/>
    <w:rsid w:val="00A077C3"/>
    <w:pPr>
      <w:tabs>
        <w:tab w:val="center" w:pos="4680"/>
        <w:tab w:val="right" w:pos="9360"/>
      </w:tabs>
    </w:pPr>
  </w:style>
  <w:style w:type="character" w:customStyle="1" w:styleId="FooterChar">
    <w:name w:val="Footer Char"/>
    <w:basedOn w:val="DefaultParagraphFont"/>
    <w:link w:val="Footer"/>
    <w:uiPriority w:val="99"/>
    <w:semiHidden/>
    <w:rsid w:val="00A077C3"/>
    <w:rPr>
      <w:sz w:val="24"/>
      <w:szCs w:val="24"/>
    </w:rPr>
  </w:style>
  <w:style w:type="paragraph" w:styleId="BalloonText">
    <w:name w:val="Balloon Text"/>
    <w:basedOn w:val="Normal"/>
    <w:link w:val="BalloonTextChar"/>
    <w:uiPriority w:val="99"/>
    <w:semiHidden/>
    <w:unhideWhenUsed/>
    <w:rsid w:val="00BC5E27"/>
    <w:rPr>
      <w:rFonts w:ascii="Tahoma" w:hAnsi="Tahoma" w:cs="Tahoma"/>
      <w:sz w:val="16"/>
      <w:szCs w:val="16"/>
    </w:rPr>
  </w:style>
  <w:style w:type="character" w:customStyle="1" w:styleId="BalloonTextChar">
    <w:name w:val="Balloon Text Char"/>
    <w:basedOn w:val="DefaultParagraphFont"/>
    <w:link w:val="BalloonText"/>
    <w:uiPriority w:val="99"/>
    <w:semiHidden/>
    <w:rsid w:val="00BC5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359524">
      <w:bodyDiv w:val="1"/>
      <w:marLeft w:val="0"/>
      <w:marRight w:val="0"/>
      <w:marTop w:val="0"/>
      <w:marBottom w:val="0"/>
      <w:divBdr>
        <w:top w:val="none" w:sz="0" w:space="0" w:color="auto"/>
        <w:left w:val="none" w:sz="0" w:space="0" w:color="auto"/>
        <w:bottom w:val="none" w:sz="0" w:space="0" w:color="auto"/>
        <w:right w:val="none" w:sz="0" w:space="0" w:color="auto"/>
      </w:divBdr>
    </w:div>
    <w:div w:id="890575139">
      <w:bodyDiv w:val="1"/>
      <w:marLeft w:val="0"/>
      <w:marRight w:val="0"/>
      <w:marTop w:val="0"/>
      <w:marBottom w:val="0"/>
      <w:divBdr>
        <w:top w:val="none" w:sz="0" w:space="0" w:color="auto"/>
        <w:left w:val="none" w:sz="0" w:space="0" w:color="auto"/>
        <w:bottom w:val="none" w:sz="0" w:space="0" w:color="auto"/>
        <w:right w:val="none" w:sz="0" w:space="0" w:color="auto"/>
      </w:divBdr>
    </w:div>
    <w:div w:id="1269972110">
      <w:bodyDiv w:val="1"/>
      <w:marLeft w:val="0"/>
      <w:marRight w:val="0"/>
      <w:marTop w:val="0"/>
      <w:marBottom w:val="0"/>
      <w:divBdr>
        <w:top w:val="none" w:sz="0" w:space="0" w:color="auto"/>
        <w:left w:val="none" w:sz="0" w:space="0" w:color="auto"/>
        <w:bottom w:val="none" w:sz="0" w:space="0" w:color="auto"/>
        <w:right w:val="none" w:sz="0" w:space="0" w:color="auto"/>
      </w:divBdr>
    </w:div>
    <w:div w:id="1440761649">
      <w:bodyDiv w:val="1"/>
      <w:marLeft w:val="0"/>
      <w:marRight w:val="0"/>
      <w:marTop w:val="0"/>
      <w:marBottom w:val="0"/>
      <w:divBdr>
        <w:top w:val="none" w:sz="0" w:space="0" w:color="auto"/>
        <w:left w:val="none" w:sz="0" w:space="0" w:color="auto"/>
        <w:bottom w:val="none" w:sz="0" w:space="0" w:color="auto"/>
        <w:right w:val="none" w:sz="0" w:space="0" w:color="auto"/>
      </w:divBdr>
    </w:div>
    <w:div w:id="1906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ahmad183@salam.uitm.edu.my"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My%20Documents\latest%201\dating\avg%20Pb-210\avgPb-210%20S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DMIN\My%20Documents\latest%201\dating\avg%20Pb-210\avgPb-210%20S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DMIN\My%20Documents\latest%201\dating\avg%20Pb-210\avgPb-210%20S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DMIN\My%20Documents\latest%201\dating\avg%20Pb-210\avgPb-210%20S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DMIN\My%20Documents\latest%201\RESULT%20NAA\s1.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ADMIN\My%20Documents\latest%201\RESULT%20NAA\station%202.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ADMIN\My%20Documents\latest%201\RESULT%20NAA\s1.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ADMIN\My%20Documents\latest%201\RESULT%20NAA\station%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6834913283975381"/>
          <c:y val="0.29598163865880461"/>
          <c:w val="0.63723929437743165"/>
          <c:h val="0.65309199986365363"/>
        </c:manualLayout>
      </c:layout>
      <c:scatterChart>
        <c:scatterStyle val="lineMarker"/>
        <c:ser>
          <c:idx val="0"/>
          <c:order val="0"/>
          <c:spPr>
            <a:ln w="28575">
              <a:noFill/>
            </a:ln>
          </c:spPr>
          <c:marker>
            <c:symbol val="diamond"/>
            <c:size val="6"/>
            <c:spPr>
              <a:solidFill>
                <a:srgbClr val="C00000"/>
              </a:solidFill>
              <a:ln>
                <a:solidFill>
                  <a:schemeClr val="tx1"/>
                </a:solidFill>
              </a:ln>
            </c:spPr>
          </c:marker>
          <c:trendline>
            <c:trendlineType val="linear"/>
            <c:forward val="8"/>
            <c:backward val="5"/>
          </c:trendline>
          <c:xVal>
            <c:numRef>
              <c:f>'mix, decay'!$D$2:$D$4</c:f>
              <c:numCache>
                <c:formatCode>General</c:formatCode>
                <c:ptCount val="3"/>
                <c:pt idx="0">
                  <c:v>283.32040000000001</c:v>
                </c:pt>
                <c:pt idx="1">
                  <c:v>276.42644999999936</c:v>
                </c:pt>
                <c:pt idx="2">
                  <c:v>305.86255</c:v>
                </c:pt>
              </c:numCache>
            </c:numRef>
          </c:xVal>
          <c:yVal>
            <c:numRef>
              <c:f>'mix, decay'!$B$2:$B$4</c:f>
              <c:numCache>
                <c:formatCode>General</c:formatCode>
                <c:ptCount val="3"/>
                <c:pt idx="0">
                  <c:v>2</c:v>
                </c:pt>
                <c:pt idx="1">
                  <c:v>4</c:v>
                </c:pt>
                <c:pt idx="2">
                  <c:v>6</c:v>
                </c:pt>
              </c:numCache>
            </c:numRef>
          </c:yVal>
        </c:ser>
        <c:ser>
          <c:idx val="1"/>
          <c:order val="1"/>
          <c:spPr>
            <a:ln w="28575">
              <a:noFill/>
            </a:ln>
          </c:spPr>
          <c:marker>
            <c:symbol val="diamond"/>
            <c:size val="6"/>
            <c:spPr>
              <a:ln>
                <a:solidFill>
                  <a:schemeClr val="tx1"/>
                </a:solidFill>
              </a:ln>
            </c:spPr>
          </c:marker>
          <c:trendline>
            <c:trendlineType val="linear"/>
            <c:forward val="6"/>
          </c:trendline>
          <c:xVal>
            <c:numRef>
              <c:f>'mix, decay'!$D$4:$D$12</c:f>
              <c:numCache>
                <c:formatCode>General</c:formatCode>
                <c:ptCount val="9"/>
                <c:pt idx="0">
                  <c:v>305.86255</c:v>
                </c:pt>
                <c:pt idx="1">
                  <c:v>280.06804999999969</c:v>
                </c:pt>
                <c:pt idx="2">
                  <c:v>272.28169999999949</c:v>
                </c:pt>
                <c:pt idx="3">
                  <c:v>275.28599999999943</c:v>
                </c:pt>
                <c:pt idx="4">
                  <c:v>275.61360000000002</c:v>
                </c:pt>
                <c:pt idx="5">
                  <c:v>268.03089999999969</c:v>
                </c:pt>
                <c:pt idx="6">
                  <c:v>271.42759999999925</c:v>
                </c:pt>
                <c:pt idx="7">
                  <c:v>244.78764999999999</c:v>
                </c:pt>
                <c:pt idx="8">
                  <c:v>205.69049999999999</c:v>
                </c:pt>
              </c:numCache>
            </c:numRef>
          </c:xVal>
          <c:yVal>
            <c:numRef>
              <c:f>'mix, decay'!$B$4:$B$12</c:f>
              <c:numCache>
                <c:formatCode>General</c:formatCode>
                <c:ptCount val="9"/>
                <c:pt idx="0">
                  <c:v>6</c:v>
                </c:pt>
                <c:pt idx="1">
                  <c:v>8</c:v>
                </c:pt>
                <c:pt idx="2">
                  <c:v>10</c:v>
                </c:pt>
                <c:pt idx="3">
                  <c:v>12</c:v>
                </c:pt>
                <c:pt idx="4">
                  <c:v>14</c:v>
                </c:pt>
                <c:pt idx="5">
                  <c:v>16</c:v>
                </c:pt>
                <c:pt idx="6">
                  <c:v>18</c:v>
                </c:pt>
                <c:pt idx="7">
                  <c:v>20</c:v>
                </c:pt>
                <c:pt idx="8">
                  <c:v>22</c:v>
                </c:pt>
              </c:numCache>
            </c:numRef>
          </c:yVal>
        </c:ser>
        <c:ser>
          <c:idx val="2"/>
          <c:order val="2"/>
          <c:spPr>
            <a:ln w="28575">
              <a:noFill/>
            </a:ln>
          </c:spPr>
          <c:marker>
            <c:symbol val="diamond"/>
            <c:size val="6"/>
            <c:spPr>
              <a:solidFill>
                <a:srgbClr val="C00000"/>
              </a:solidFill>
              <a:ln>
                <a:solidFill>
                  <a:schemeClr val="tx1"/>
                </a:solidFill>
              </a:ln>
            </c:spPr>
          </c:marker>
          <c:trendline>
            <c:trendlineType val="linear"/>
            <c:forward val="2"/>
          </c:trendline>
          <c:xVal>
            <c:numRef>
              <c:f>'mix, decay'!$D$13:$D$14</c:f>
              <c:numCache>
                <c:formatCode>General</c:formatCode>
                <c:ptCount val="2"/>
                <c:pt idx="0">
                  <c:v>207.15559999999999</c:v>
                </c:pt>
                <c:pt idx="1">
                  <c:v>210.16469999999998</c:v>
                </c:pt>
              </c:numCache>
            </c:numRef>
          </c:xVal>
          <c:yVal>
            <c:numRef>
              <c:f>'mix, decay'!$B$13:$B$14</c:f>
              <c:numCache>
                <c:formatCode>General</c:formatCode>
                <c:ptCount val="2"/>
                <c:pt idx="0">
                  <c:v>24</c:v>
                </c:pt>
                <c:pt idx="1">
                  <c:v>26</c:v>
                </c:pt>
              </c:numCache>
            </c:numRef>
          </c:yVal>
        </c:ser>
        <c:ser>
          <c:idx val="3"/>
          <c:order val="3"/>
          <c:spPr>
            <a:ln w="28575">
              <a:noFill/>
            </a:ln>
          </c:spPr>
          <c:marker>
            <c:symbol val="diamond"/>
            <c:size val="6"/>
            <c:spPr>
              <a:solidFill>
                <a:srgbClr val="C00000"/>
              </a:solidFill>
              <a:ln>
                <a:solidFill>
                  <a:schemeClr val="tx1"/>
                </a:solidFill>
              </a:ln>
            </c:spPr>
          </c:marker>
          <c:xVal>
            <c:numRef>
              <c:f>'mix, decay'!$D$15</c:f>
              <c:numCache>
                <c:formatCode>General</c:formatCode>
                <c:ptCount val="1"/>
                <c:pt idx="0">
                  <c:v>175.48135000000025</c:v>
                </c:pt>
              </c:numCache>
            </c:numRef>
          </c:xVal>
          <c:yVal>
            <c:numRef>
              <c:f>'mix, decay'!$B$15</c:f>
              <c:numCache>
                <c:formatCode>General</c:formatCode>
                <c:ptCount val="1"/>
                <c:pt idx="0">
                  <c:v>28</c:v>
                </c:pt>
              </c:numCache>
            </c:numRef>
          </c:yVal>
        </c:ser>
        <c:axId val="106085760"/>
        <c:axId val="106096512"/>
      </c:scatterChart>
      <c:valAx>
        <c:axId val="106085760"/>
        <c:scaling>
          <c:orientation val="minMax"/>
          <c:min val="0"/>
        </c:scaling>
        <c:axPos val="t"/>
        <c:title>
          <c:tx>
            <c:rich>
              <a:bodyPr/>
              <a:lstStyle/>
              <a:p>
                <a:pPr>
                  <a:defRPr sz="900" b="1" i="0" u="none" strike="noStrike" baseline="0">
                    <a:solidFill>
                      <a:srgbClr val="000000"/>
                    </a:solidFill>
                    <a:latin typeface="Times New Roman"/>
                    <a:ea typeface="Times New Roman"/>
                    <a:cs typeface="Times New Roman"/>
                  </a:defRPr>
                </a:pPr>
                <a:r>
                  <a:rPr lang="en-US" sz="900"/>
                  <a:t>Pb-210 Activity (Bq kg</a:t>
                </a:r>
                <a:r>
                  <a:rPr lang="en-US" sz="900" baseline="28000"/>
                  <a:t>-1</a:t>
                </a:r>
                <a:r>
                  <a:rPr lang="en-US" sz="900"/>
                  <a:t>)</a:t>
                </a:r>
              </a:p>
            </c:rich>
          </c:tx>
          <c:layout>
            <c:manualLayout>
              <c:xMode val="edge"/>
              <c:yMode val="edge"/>
              <c:x val="0.28773622047244096"/>
              <c:y val="4.7020271402244934E-2"/>
            </c:manualLayout>
          </c:layout>
        </c:title>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096512"/>
        <c:crosses val="autoZero"/>
        <c:crossBetween val="midCat"/>
      </c:valAx>
      <c:valAx>
        <c:axId val="106096512"/>
        <c:scaling>
          <c:orientation val="maxMin"/>
          <c:min val="2"/>
        </c:scaling>
        <c:axPos val="l"/>
        <c:majorGridlines>
          <c:spPr>
            <a:ln>
              <a:solidFill>
                <a:sysClr val="windowText" lastClr="000000">
                  <a:tint val="75000"/>
                  <a:shade val="95000"/>
                  <a:satMod val="105000"/>
                </a:sysClr>
              </a:solidFill>
              <a:prstDash val="solid"/>
            </a:ln>
          </c:spPr>
        </c:majorGridlines>
        <c:title>
          <c:tx>
            <c:rich>
              <a:bodyPr/>
              <a:lstStyle/>
              <a:p>
                <a:pPr>
                  <a:defRPr sz="900" b="1" i="0" u="none" strike="noStrike" baseline="0">
                    <a:solidFill>
                      <a:srgbClr val="000000"/>
                    </a:solidFill>
                    <a:latin typeface="Times New Roman"/>
                    <a:ea typeface="Times New Roman"/>
                    <a:cs typeface="Times New Roman"/>
                  </a:defRPr>
                </a:pPr>
                <a:r>
                  <a:rPr lang="en-US" sz="900"/>
                  <a:t>Depth (cm)</a:t>
                </a:r>
              </a:p>
            </c:rich>
          </c:tx>
          <c:layout>
            <c:manualLayout>
              <c:xMode val="edge"/>
              <c:yMode val="edge"/>
              <c:x val="2.2625443878338775E-2"/>
              <c:y val="0.37950254090579166"/>
            </c:manualLayout>
          </c:layout>
        </c:title>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085760"/>
        <c:crosses val="autoZero"/>
        <c:crossBetween val="midCat"/>
        <c:majorUnit val="4"/>
      </c:valAx>
      <c:spPr>
        <a:noFill/>
        <a:ln w="25400">
          <a:noFill/>
        </a:ln>
      </c:spPr>
    </c:plotArea>
    <c:plotVisOnly val="1"/>
    <c:dispBlanksAs val="gap"/>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plotArea>
      <c:layout>
        <c:manualLayout>
          <c:layoutTarget val="inner"/>
          <c:xMode val="edge"/>
          <c:yMode val="edge"/>
          <c:x val="0.2772662462433686"/>
          <c:y val="0.2840139268305748"/>
          <c:w val="0.62831198999443216"/>
          <c:h val="0.68469355616262262"/>
        </c:manualLayout>
      </c:layout>
      <c:scatterChart>
        <c:scatterStyle val="lineMarker"/>
        <c:ser>
          <c:idx val="0"/>
          <c:order val="0"/>
          <c:spPr>
            <a:ln w="28575">
              <a:noFill/>
            </a:ln>
          </c:spPr>
          <c:marker>
            <c:symbol val="diamond"/>
            <c:size val="6"/>
            <c:spPr>
              <a:ln>
                <a:solidFill>
                  <a:schemeClr val="tx1"/>
                </a:solidFill>
              </a:ln>
            </c:spPr>
          </c:marker>
          <c:trendline>
            <c:trendlineType val="linear"/>
          </c:trendline>
          <c:xVal>
            <c:numRef>
              <c:f>'graph decay'!$D$3:$D$5</c:f>
              <c:numCache>
                <c:formatCode>General</c:formatCode>
                <c:ptCount val="3"/>
                <c:pt idx="0">
                  <c:v>329.15010000000001</c:v>
                </c:pt>
                <c:pt idx="1">
                  <c:v>343.63840000000005</c:v>
                </c:pt>
                <c:pt idx="2">
                  <c:v>367.51340000000005</c:v>
                </c:pt>
              </c:numCache>
            </c:numRef>
          </c:xVal>
          <c:yVal>
            <c:numRef>
              <c:f>'graph decay'!$B$3:$B$5</c:f>
              <c:numCache>
                <c:formatCode>General</c:formatCode>
                <c:ptCount val="3"/>
                <c:pt idx="0">
                  <c:v>2</c:v>
                </c:pt>
                <c:pt idx="1">
                  <c:v>4</c:v>
                </c:pt>
                <c:pt idx="2">
                  <c:v>6</c:v>
                </c:pt>
              </c:numCache>
            </c:numRef>
          </c:yVal>
        </c:ser>
        <c:ser>
          <c:idx val="1"/>
          <c:order val="1"/>
          <c:spPr>
            <a:ln w="28575">
              <a:noFill/>
            </a:ln>
          </c:spPr>
          <c:marker>
            <c:symbol val="diamond"/>
            <c:size val="6"/>
            <c:spPr>
              <a:ln>
                <a:solidFill>
                  <a:schemeClr val="tx1"/>
                </a:solidFill>
              </a:ln>
            </c:spPr>
          </c:marker>
          <c:trendline>
            <c:trendlineType val="linear"/>
            <c:backward val="9"/>
          </c:trendline>
          <c:xVal>
            <c:numRef>
              <c:f>'graph decay'!$D$5:$D$15</c:f>
              <c:numCache>
                <c:formatCode>General</c:formatCode>
                <c:ptCount val="11"/>
                <c:pt idx="0">
                  <c:v>367.51340000000005</c:v>
                </c:pt>
                <c:pt idx="1">
                  <c:v>326.31534999999963</c:v>
                </c:pt>
                <c:pt idx="2">
                  <c:v>346.23119999999892</c:v>
                </c:pt>
                <c:pt idx="3">
                  <c:v>304.86075</c:v>
                </c:pt>
                <c:pt idx="4">
                  <c:v>336.12954999999999</c:v>
                </c:pt>
                <c:pt idx="5">
                  <c:v>328.49214999999924</c:v>
                </c:pt>
                <c:pt idx="6">
                  <c:v>329.48254999999949</c:v>
                </c:pt>
                <c:pt idx="7">
                  <c:v>330.22139999999916</c:v>
                </c:pt>
                <c:pt idx="8">
                  <c:v>310.41784999999999</c:v>
                </c:pt>
                <c:pt idx="9">
                  <c:v>295.58134999999936</c:v>
                </c:pt>
                <c:pt idx="10">
                  <c:v>304.72329999999937</c:v>
                </c:pt>
              </c:numCache>
            </c:numRef>
          </c:xVal>
          <c:yVal>
            <c:numRef>
              <c:f>'graph decay'!$B$5:$B$15</c:f>
              <c:numCache>
                <c:formatCode>General</c:formatCode>
                <c:ptCount val="11"/>
                <c:pt idx="0">
                  <c:v>6</c:v>
                </c:pt>
                <c:pt idx="1">
                  <c:v>8</c:v>
                </c:pt>
                <c:pt idx="2">
                  <c:v>10</c:v>
                </c:pt>
                <c:pt idx="3">
                  <c:v>12</c:v>
                </c:pt>
                <c:pt idx="4">
                  <c:v>14</c:v>
                </c:pt>
                <c:pt idx="5">
                  <c:v>16</c:v>
                </c:pt>
                <c:pt idx="6">
                  <c:v>18</c:v>
                </c:pt>
                <c:pt idx="7">
                  <c:v>20</c:v>
                </c:pt>
                <c:pt idx="8">
                  <c:v>22</c:v>
                </c:pt>
                <c:pt idx="9">
                  <c:v>24</c:v>
                </c:pt>
                <c:pt idx="10">
                  <c:v>26</c:v>
                </c:pt>
              </c:numCache>
            </c:numRef>
          </c:yVal>
        </c:ser>
        <c:ser>
          <c:idx val="2"/>
          <c:order val="2"/>
          <c:spPr>
            <a:ln w="28575">
              <a:noFill/>
            </a:ln>
          </c:spPr>
          <c:marker>
            <c:symbol val="diamond"/>
            <c:size val="6"/>
            <c:spPr>
              <a:solidFill>
                <a:srgbClr val="C00000"/>
              </a:solidFill>
              <a:ln>
                <a:solidFill>
                  <a:schemeClr val="tx1"/>
                </a:solidFill>
              </a:ln>
            </c:spPr>
          </c:marker>
          <c:trendline>
            <c:trendlineType val="linear"/>
            <c:forward val="14"/>
            <c:backward val="9"/>
          </c:trendline>
          <c:xVal>
            <c:numRef>
              <c:f>'graph decay'!$D$14:$D$17</c:f>
              <c:numCache>
                <c:formatCode>General</c:formatCode>
                <c:ptCount val="4"/>
                <c:pt idx="0">
                  <c:v>295.58134999999936</c:v>
                </c:pt>
                <c:pt idx="1">
                  <c:v>304.72329999999937</c:v>
                </c:pt>
                <c:pt idx="2">
                  <c:v>301.0997999999995</c:v>
                </c:pt>
                <c:pt idx="3">
                  <c:v>299.04290000000032</c:v>
                </c:pt>
              </c:numCache>
            </c:numRef>
          </c:xVal>
          <c:yVal>
            <c:numRef>
              <c:f>'graph decay'!$B$14:$B$17</c:f>
              <c:numCache>
                <c:formatCode>General</c:formatCode>
                <c:ptCount val="4"/>
                <c:pt idx="0">
                  <c:v>24</c:v>
                </c:pt>
                <c:pt idx="1">
                  <c:v>26</c:v>
                </c:pt>
                <c:pt idx="2">
                  <c:v>28</c:v>
                </c:pt>
                <c:pt idx="3">
                  <c:v>30</c:v>
                </c:pt>
              </c:numCache>
            </c:numRef>
          </c:yVal>
        </c:ser>
        <c:axId val="107504768"/>
        <c:axId val="107506688"/>
      </c:scatterChart>
      <c:valAx>
        <c:axId val="107504768"/>
        <c:scaling>
          <c:orientation val="minMax"/>
          <c:max val="500"/>
          <c:min val="100"/>
        </c:scaling>
        <c:axPos val="t"/>
        <c:title>
          <c:tx>
            <c:rich>
              <a:bodyPr/>
              <a:lstStyle/>
              <a:p>
                <a:pPr>
                  <a:defRPr sz="900" b="1"/>
                </a:pPr>
                <a:r>
                  <a:rPr lang="en-US" sz="900" b="1"/>
                  <a:t>Pb-210 Activity (Bq kg</a:t>
                </a:r>
                <a:r>
                  <a:rPr lang="en-US" sz="900" b="1" baseline="30000"/>
                  <a:t>-1</a:t>
                </a:r>
                <a:r>
                  <a:rPr lang="en-US" sz="900" b="1"/>
                  <a:t>)</a:t>
                </a:r>
              </a:p>
            </c:rich>
          </c:tx>
          <c:layout>
            <c:manualLayout>
              <c:xMode val="edge"/>
              <c:yMode val="edge"/>
              <c:x val="0.26628956306932283"/>
              <c:y val="4.7542272829279322E-2"/>
            </c:manualLayout>
          </c:layout>
        </c:title>
        <c:numFmt formatCode="General" sourceLinked="1"/>
        <c:tickLblPos val="nextTo"/>
        <c:txPr>
          <a:bodyPr rot="0" vert="horz"/>
          <a:lstStyle/>
          <a:p>
            <a:pPr>
              <a:defRPr sz="800"/>
            </a:pPr>
            <a:endParaRPr lang="en-US"/>
          </a:p>
        </c:txPr>
        <c:crossAx val="107506688"/>
        <c:crosses val="autoZero"/>
        <c:crossBetween val="midCat"/>
        <c:majorUnit val="100"/>
      </c:valAx>
      <c:valAx>
        <c:axId val="107506688"/>
        <c:scaling>
          <c:orientation val="maxMin"/>
          <c:max val="34"/>
          <c:min val="2"/>
        </c:scaling>
        <c:axPos val="l"/>
        <c:majorGridlines/>
        <c:title>
          <c:tx>
            <c:rich>
              <a:bodyPr/>
              <a:lstStyle/>
              <a:p>
                <a:pPr>
                  <a:defRPr sz="900" b="1"/>
                </a:pPr>
                <a:r>
                  <a:rPr lang="en-US" sz="900" b="1"/>
                  <a:t>Depth (cm)</a:t>
                </a:r>
              </a:p>
            </c:rich>
          </c:tx>
          <c:layout>
            <c:manualLayout>
              <c:xMode val="edge"/>
              <c:yMode val="edge"/>
              <c:x val="2.7486902782570648E-2"/>
              <c:y val="0.44777631367507637"/>
            </c:manualLayout>
          </c:layout>
        </c:title>
        <c:numFmt formatCode="General" sourceLinked="1"/>
        <c:tickLblPos val="nextTo"/>
        <c:txPr>
          <a:bodyPr rot="0" vert="horz"/>
          <a:lstStyle/>
          <a:p>
            <a:pPr>
              <a:defRPr sz="800"/>
            </a:pPr>
            <a:endParaRPr lang="en-US"/>
          </a:p>
        </c:txPr>
        <c:crossAx val="107504768"/>
        <c:crosses val="autoZero"/>
        <c:crossBetween val="midCat"/>
        <c:majorUnit val="4"/>
      </c:valAx>
    </c:plotArea>
    <c:plotVisOnly val="1"/>
    <c:dispBlanksAs val="gap"/>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8741066020593664"/>
          <c:y val="0.25846773463661871"/>
          <c:w val="0.60781849384211584"/>
          <c:h val="0.55898316589736352"/>
        </c:manualLayout>
      </c:layout>
      <c:scatterChart>
        <c:scatterStyle val="lineMarker"/>
        <c:ser>
          <c:idx val="0"/>
          <c:order val="0"/>
          <c:spPr>
            <a:ln w="25400">
              <a:solidFill>
                <a:schemeClr val="tx1"/>
              </a:solidFill>
            </a:ln>
          </c:spPr>
          <c:marker>
            <c:spPr>
              <a:solidFill>
                <a:srgbClr val="C00000"/>
              </a:solidFill>
            </c:spPr>
          </c:marker>
          <c:trendline>
            <c:trendlineType val="linear"/>
            <c:dispRSqr val="1"/>
            <c:dispEq val="1"/>
            <c:trendlineLbl>
              <c:layout>
                <c:manualLayout>
                  <c:x val="0.37666919038966418"/>
                  <c:y val="0.18254909946601558"/>
                </c:manualLayout>
              </c:layout>
              <c:tx>
                <c:rich>
                  <a:bodyPr/>
                  <a:lstStyle/>
                  <a:p>
                    <a:pPr>
                      <a:defRPr sz="900" b="0" i="0" u="none" strike="noStrike" baseline="0">
                        <a:solidFill>
                          <a:srgbClr val="000000"/>
                        </a:solidFill>
                        <a:latin typeface="Times New Roman"/>
                        <a:ea typeface="Times New Roman"/>
                        <a:cs typeface="Times New Roman"/>
                      </a:defRPr>
                    </a:pPr>
                    <a:r>
                      <a:rPr lang="en-US" b="0" baseline="0"/>
                      <a:t>y = 0.258x + 2.440
R² = 0.963</a:t>
                    </a:r>
                    <a:endParaRPr lang="en-US" b="0"/>
                  </a:p>
                </c:rich>
              </c:tx>
              <c:numFmt formatCode="General" sourceLinked="0"/>
            </c:trendlineLbl>
          </c:trendline>
          <c:xVal>
            <c:numRef>
              <c:f>ALPHA!$I$13:$I$20</c:f>
              <c:numCache>
                <c:formatCode>0.0</c:formatCode>
                <c:ptCount val="8"/>
                <c:pt idx="0">
                  <c:v>3.4958831436288635</c:v>
                </c:pt>
                <c:pt idx="1">
                  <c:v>7.3048508615989052</c:v>
                </c:pt>
                <c:pt idx="2">
                  <c:v>13.501503667650868</c:v>
                </c:pt>
                <c:pt idx="3">
                  <c:v>19.119696835292167</c:v>
                </c:pt>
                <c:pt idx="4">
                  <c:v>25.250541602332312</c:v>
                </c:pt>
                <c:pt idx="5">
                  <c:v>33.156661085498108</c:v>
                </c:pt>
                <c:pt idx="6">
                  <c:v>43.773771381045869</c:v>
                </c:pt>
                <c:pt idx="7">
                  <c:v>57.671089256955781</c:v>
                </c:pt>
              </c:numCache>
            </c:numRef>
          </c:xVal>
          <c:yVal>
            <c:numRef>
              <c:f>ALPHA!$A$13:$A$25</c:f>
              <c:numCache>
                <c:formatCode>General</c:formatCode>
                <c:ptCount val="13"/>
                <c:pt idx="0">
                  <c:v>2</c:v>
                </c:pt>
                <c:pt idx="1">
                  <c:v>4</c:v>
                </c:pt>
                <c:pt idx="2">
                  <c:v>6</c:v>
                </c:pt>
                <c:pt idx="3">
                  <c:v>8</c:v>
                </c:pt>
                <c:pt idx="4">
                  <c:v>10</c:v>
                </c:pt>
                <c:pt idx="5">
                  <c:v>12</c:v>
                </c:pt>
                <c:pt idx="6">
                  <c:v>14</c:v>
                </c:pt>
                <c:pt idx="7">
                  <c:v>16</c:v>
                </c:pt>
                <c:pt idx="8">
                  <c:v>18</c:v>
                </c:pt>
                <c:pt idx="9">
                  <c:v>20</c:v>
                </c:pt>
                <c:pt idx="10" formatCode="0">
                  <c:v>22</c:v>
                </c:pt>
                <c:pt idx="11" formatCode="0">
                  <c:v>24</c:v>
                </c:pt>
                <c:pt idx="12" formatCode="0">
                  <c:v>26</c:v>
                </c:pt>
              </c:numCache>
            </c:numRef>
          </c:yVal>
        </c:ser>
        <c:axId val="107535360"/>
        <c:axId val="107431040"/>
      </c:scatterChart>
      <c:valAx>
        <c:axId val="107535360"/>
        <c:scaling>
          <c:orientation val="minMax"/>
        </c:scaling>
        <c:axPos val="t"/>
        <c:title>
          <c:tx>
            <c:rich>
              <a:bodyPr/>
              <a:lstStyle/>
              <a:p>
                <a:pPr>
                  <a:defRPr sz="900" b="1" i="0" u="none" strike="noStrike" baseline="0">
                    <a:solidFill>
                      <a:srgbClr val="000000"/>
                    </a:solidFill>
                    <a:latin typeface="Times New Roman"/>
                    <a:ea typeface="Times New Roman"/>
                    <a:cs typeface="Times New Roman"/>
                  </a:defRPr>
                </a:pPr>
                <a:r>
                  <a:rPr lang="en-US" sz="900"/>
                  <a:t>Estimated Age (Year)</a:t>
                </a:r>
              </a:p>
            </c:rich>
          </c:tx>
        </c:title>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7431040"/>
        <c:crosses val="autoZero"/>
        <c:crossBetween val="midCat"/>
      </c:valAx>
      <c:valAx>
        <c:axId val="107431040"/>
        <c:scaling>
          <c:orientation val="maxMin"/>
          <c:max val="20"/>
          <c:min val="0"/>
        </c:scaling>
        <c:axPos val="l"/>
        <c:majorGridlines/>
        <c:title>
          <c:tx>
            <c:rich>
              <a:bodyPr/>
              <a:lstStyle/>
              <a:p>
                <a:pPr>
                  <a:defRPr sz="900" b="1" i="0" u="none" strike="noStrike" baseline="0">
                    <a:solidFill>
                      <a:srgbClr val="000000"/>
                    </a:solidFill>
                    <a:latin typeface="Times New Roman"/>
                    <a:ea typeface="Times New Roman"/>
                    <a:cs typeface="Times New Roman"/>
                  </a:defRPr>
                </a:pPr>
                <a:r>
                  <a:rPr lang="en-US" sz="900"/>
                  <a:t>Depth (cm)</a:t>
                </a:r>
              </a:p>
            </c:rich>
          </c:tx>
          <c:layout>
            <c:manualLayout>
              <c:xMode val="edge"/>
              <c:yMode val="edge"/>
              <c:x val="3.4397839693115287E-2"/>
              <c:y val="0.38267173499864354"/>
            </c:manualLayout>
          </c:layout>
        </c:title>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7535360"/>
        <c:crosses val="autoZero"/>
        <c:crossBetween val="midCat"/>
        <c:majorUnit val="4"/>
      </c:valAx>
      <c:spPr>
        <a:noFill/>
        <a:ln w="25400">
          <a:noFill/>
        </a:ln>
      </c:spPr>
    </c:plotArea>
    <c:plotVisOnly val="1"/>
    <c:dispBlanksAs val="gap"/>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7680338465154541"/>
          <c:y val="0.26340097355671982"/>
          <c:w val="0.63364437654248751"/>
          <c:h val="0.55770555112329157"/>
        </c:manualLayout>
      </c:layout>
      <c:scatterChart>
        <c:scatterStyle val="lineMarker"/>
        <c:ser>
          <c:idx val="0"/>
          <c:order val="0"/>
          <c:spPr>
            <a:ln w="25400">
              <a:solidFill>
                <a:sysClr val="windowText" lastClr="000000"/>
              </a:solidFill>
            </a:ln>
          </c:spPr>
          <c:marker>
            <c:spPr>
              <a:solidFill>
                <a:srgbClr val="C00000"/>
              </a:solidFill>
            </c:spPr>
          </c:marker>
          <c:trendline>
            <c:trendlineType val="linear"/>
            <c:dispRSqr val="1"/>
            <c:dispEq val="1"/>
            <c:trendlineLbl>
              <c:layout>
                <c:manualLayout>
                  <c:x val="0.28432313749242882"/>
                  <c:y val="0.17155133141396994"/>
                </c:manualLayout>
              </c:layout>
              <c:tx>
                <c:rich>
                  <a:bodyPr/>
                  <a:lstStyle/>
                  <a:p>
                    <a:pPr>
                      <a:defRPr sz="900" b="1" i="0" u="none" strike="noStrike" baseline="0">
                        <a:solidFill>
                          <a:srgbClr val="000000"/>
                        </a:solidFill>
                        <a:latin typeface="Times New Roman"/>
                        <a:ea typeface="Times New Roman"/>
                        <a:cs typeface="Times New Roman"/>
                      </a:defRPr>
                    </a:pPr>
                    <a:r>
                      <a:rPr lang="en-US" b="0" baseline="0"/>
                      <a:t>y = 0.2307x + 2.7899
R² = 0.9459</a:t>
                    </a:r>
                    <a:endParaRPr lang="en-US" b="0"/>
                  </a:p>
                </c:rich>
              </c:tx>
              <c:numFmt formatCode="General" sourceLinked="0"/>
            </c:trendlineLbl>
          </c:trendline>
          <c:xVal>
            <c:numRef>
              <c:f>ALPHA!$I$13:$I$21</c:f>
              <c:numCache>
                <c:formatCode>0.0</c:formatCode>
                <c:ptCount val="9"/>
                <c:pt idx="0">
                  <c:v>2.7205649952483189</c:v>
                </c:pt>
                <c:pt idx="1">
                  <c:v>7.4008446563176475</c:v>
                </c:pt>
                <c:pt idx="2">
                  <c:v>16.553630168022401</c:v>
                </c:pt>
                <c:pt idx="3">
                  <c:v>20.780381843135824</c:v>
                </c:pt>
                <c:pt idx="4">
                  <c:v>30.504477265695137</c:v>
                </c:pt>
                <c:pt idx="5">
                  <c:v>31.664054783452801</c:v>
                </c:pt>
                <c:pt idx="6">
                  <c:v>42.432953646946693</c:v>
                </c:pt>
                <c:pt idx="7">
                  <c:v>54.5410797377533</c:v>
                </c:pt>
                <c:pt idx="8">
                  <c:v>74.724676557629678</c:v>
                </c:pt>
              </c:numCache>
            </c:numRef>
          </c:xVal>
          <c:yVal>
            <c:numRef>
              <c:f>ALPHA!$A$13:$A$21</c:f>
              <c:numCache>
                <c:formatCode>General</c:formatCode>
                <c:ptCount val="9"/>
                <c:pt idx="0">
                  <c:v>2</c:v>
                </c:pt>
                <c:pt idx="1">
                  <c:v>4</c:v>
                </c:pt>
                <c:pt idx="2">
                  <c:v>6</c:v>
                </c:pt>
                <c:pt idx="3">
                  <c:v>8</c:v>
                </c:pt>
                <c:pt idx="4">
                  <c:v>10</c:v>
                </c:pt>
                <c:pt idx="5">
                  <c:v>12</c:v>
                </c:pt>
                <c:pt idx="6">
                  <c:v>14</c:v>
                </c:pt>
                <c:pt idx="7">
                  <c:v>16</c:v>
                </c:pt>
                <c:pt idx="8">
                  <c:v>18</c:v>
                </c:pt>
              </c:numCache>
            </c:numRef>
          </c:yVal>
        </c:ser>
        <c:axId val="107463808"/>
        <c:axId val="107465728"/>
      </c:scatterChart>
      <c:valAx>
        <c:axId val="107463808"/>
        <c:scaling>
          <c:orientation val="minMax"/>
        </c:scaling>
        <c:axPos val="t"/>
        <c:title>
          <c:tx>
            <c:rich>
              <a:bodyPr/>
              <a:lstStyle/>
              <a:p>
                <a:pPr>
                  <a:defRPr sz="900" b="1" i="0" u="none" strike="noStrike" baseline="0">
                    <a:solidFill>
                      <a:srgbClr val="000000"/>
                    </a:solidFill>
                    <a:latin typeface="Times New Roman"/>
                    <a:ea typeface="Times New Roman"/>
                    <a:cs typeface="Times New Roman"/>
                  </a:defRPr>
                </a:pPr>
                <a:r>
                  <a:rPr lang="en-US" sz="900"/>
                  <a:t>Estimated Age (Year)</a:t>
                </a:r>
              </a:p>
            </c:rich>
          </c:tx>
        </c:title>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7465728"/>
        <c:crosses val="autoZero"/>
        <c:crossBetween val="midCat"/>
      </c:valAx>
      <c:valAx>
        <c:axId val="107465728"/>
        <c:scaling>
          <c:orientation val="maxMin"/>
          <c:max val="20"/>
        </c:scaling>
        <c:axPos val="l"/>
        <c:majorGridlines/>
        <c:title>
          <c:tx>
            <c:rich>
              <a:bodyPr/>
              <a:lstStyle/>
              <a:p>
                <a:pPr>
                  <a:defRPr sz="900" b="1" i="0" u="none" strike="noStrike" baseline="0">
                    <a:solidFill>
                      <a:srgbClr val="000000"/>
                    </a:solidFill>
                    <a:latin typeface="Times New Roman"/>
                    <a:ea typeface="Times New Roman"/>
                    <a:cs typeface="Times New Roman"/>
                  </a:defRPr>
                </a:pPr>
                <a:r>
                  <a:rPr lang="en-US" sz="900"/>
                  <a:t>Depth (cm)</a:t>
                </a:r>
              </a:p>
            </c:rich>
          </c:tx>
          <c:layout>
            <c:manualLayout>
              <c:xMode val="edge"/>
              <c:yMode val="edge"/>
              <c:x val="1.9900497512437873E-2"/>
              <c:y val="0.36078814091900557"/>
            </c:manualLayout>
          </c:layout>
        </c:title>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7463808"/>
        <c:crosses val="autoZero"/>
        <c:crossBetween val="midCat"/>
        <c:majorUnit val="4"/>
      </c:valAx>
    </c:plotArea>
    <c:plotVisOnly val="1"/>
    <c:dispBlanksAs val="gap"/>
  </c:chart>
  <c:txPr>
    <a:bodyPr/>
    <a:lstStyle/>
    <a:p>
      <a:pPr>
        <a:defRPr sz="1000" b="1" i="0" u="none" strike="noStrike" baseline="0">
          <a:solidFill>
            <a:srgbClr val="000000"/>
          </a:solidFill>
          <a:latin typeface="Times New Roman"/>
          <a:ea typeface="Times New Roman"/>
          <a:cs typeface="Times New Roman"/>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2626659531636326"/>
          <c:y val="0.18664488724020722"/>
          <c:w val="0.602535993680403"/>
          <c:h val="0.64765879380489255"/>
        </c:manualLayout>
      </c:layout>
      <c:scatterChart>
        <c:scatterStyle val="lineMarker"/>
        <c:ser>
          <c:idx val="0"/>
          <c:order val="0"/>
          <c:spPr>
            <a:ln w="25400">
              <a:solidFill>
                <a:schemeClr val="tx1"/>
              </a:solidFill>
            </a:ln>
          </c:spPr>
          <c:marker>
            <c:symbol val="diamond"/>
            <c:size val="6"/>
            <c:spPr>
              <a:solidFill>
                <a:sysClr val="window" lastClr="FFFFFF"/>
              </a:solidFill>
              <a:ln w="19050">
                <a:solidFill>
                  <a:srgbClr val="92D050"/>
                </a:solidFill>
              </a:ln>
            </c:spPr>
          </c:marker>
          <c:xVal>
            <c:numRef>
              <c:f>AS!$D$16:$D$23</c:f>
              <c:numCache>
                <c:formatCode>0.00</c:formatCode>
                <c:ptCount val="8"/>
                <c:pt idx="0">
                  <c:v>43.101500000000001</c:v>
                </c:pt>
                <c:pt idx="1">
                  <c:v>49.547499999999999</c:v>
                </c:pt>
                <c:pt idx="2">
                  <c:v>47.94</c:v>
                </c:pt>
                <c:pt idx="3">
                  <c:v>43.607000000000006</c:v>
                </c:pt>
                <c:pt idx="4">
                  <c:v>46.204500000000003</c:v>
                </c:pt>
                <c:pt idx="5">
                  <c:v>40.192500000000074</c:v>
                </c:pt>
                <c:pt idx="6">
                  <c:v>40.413499999999999</c:v>
                </c:pt>
                <c:pt idx="7">
                  <c:v>39.880999999999993</c:v>
                </c:pt>
              </c:numCache>
            </c:numRef>
          </c:xVal>
          <c:yVal>
            <c:numRef>
              <c:f>AS!$J$16:$J$23</c:f>
              <c:numCache>
                <c:formatCode>0</c:formatCode>
                <c:ptCount val="8"/>
                <c:pt idx="0">
                  <c:v>2003.5041168563682</c:v>
                </c:pt>
                <c:pt idx="1">
                  <c:v>1999.6951491383998</c:v>
                </c:pt>
                <c:pt idx="2">
                  <c:v>1993.4984963323473</c:v>
                </c:pt>
                <c:pt idx="3">
                  <c:v>1987.880303164708</c:v>
                </c:pt>
                <c:pt idx="4">
                  <c:v>1981.7494583976677</c:v>
                </c:pt>
                <c:pt idx="5">
                  <c:v>1973.8433389144984</c:v>
                </c:pt>
                <c:pt idx="6">
                  <c:v>1963.2262286189523</c:v>
                </c:pt>
                <c:pt idx="7">
                  <c:v>1949.3289107430451</c:v>
                </c:pt>
              </c:numCache>
            </c:numRef>
          </c:yVal>
        </c:ser>
        <c:axId val="108550016"/>
        <c:axId val="108556672"/>
      </c:scatterChart>
      <c:valAx>
        <c:axId val="108550016"/>
        <c:scaling>
          <c:orientation val="minMax"/>
          <c:max val="80"/>
          <c:min val="0"/>
        </c:scaling>
        <c:axPos val="b"/>
        <c:title>
          <c:tx>
            <c:rich>
              <a:bodyPr/>
              <a:lstStyle/>
              <a:p>
                <a:pPr>
                  <a:defRPr sz="900"/>
                </a:pPr>
                <a:r>
                  <a:rPr lang="en-US" sz="900"/>
                  <a:t>Concentration As (ppm)</a:t>
                </a:r>
              </a:p>
            </c:rich>
          </c:tx>
          <c:layout>
            <c:manualLayout>
              <c:xMode val="edge"/>
              <c:yMode val="edge"/>
              <c:x val="0.2499681471854861"/>
              <c:y val="4.0482545315638413E-2"/>
            </c:manualLayout>
          </c:layout>
        </c:title>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8556672"/>
        <c:crosses val="autoZero"/>
        <c:crossBetween val="midCat"/>
        <c:majorUnit val="20"/>
      </c:valAx>
      <c:valAx>
        <c:axId val="108556672"/>
        <c:scaling>
          <c:orientation val="minMax"/>
          <c:max val="2008"/>
          <c:min val="1938"/>
        </c:scaling>
        <c:axPos val="l"/>
        <c:majorGridlines/>
        <c:title>
          <c:tx>
            <c:rich>
              <a:bodyPr rot="-5400000" vert="horz"/>
              <a:lstStyle/>
              <a:p>
                <a:pPr>
                  <a:defRPr sz="900"/>
                </a:pPr>
                <a:r>
                  <a:rPr lang="en-US" sz="900"/>
                  <a:t>Year </a:t>
                </a:r>
              </a:p>
            </c:rich>
          </c:tx>
          <c:layout>
            <c:manualLayout>
              <c:xMode val="edge"/>
              <c:yMode val="edge"/>
              <c:x val="1.9417475728155397E-2"/>
              <c:y val="0.42252436755264933"/>
            </c:manualLayout>
          </c:layout>
        </c:title>
        <c:numFmt formatCode="0" sourceLinked="1"/>
        <c:tickLblPos val="nextTo"/>
        <c:txPr>
          <a:bodyPr/>
          <a:lstStyle/>
          <a:p>
            <a:pPr>
              <a:defRPr sz="800"/>
            </a:pPr>
            <a:endParaRPr lang="en-US"/>
          </a:p>
        </c:txPr>
        <c:crossAx val="108550016"/>
        <c:crosses val="autoZero"/>
        <c:crossBetween val="midCat"/>
        <c:majorUnit val="10"/>
      </c:valAx>
    </c:plotArea>
    <c:plotVisOnly val="1"/>
    <c:dispBlanksAs val="gap"/>
  </c:chart>
  <c:txPr>
    <a:bodyPr/>
    <a:lstStyle/>
    <a:p>
      <a:pPr>
        <a:defRPr>
          <a:latin typeface="Times New Roman" pitchFamily="18" charset="0"/>
          <a:cs typeface="Times New Roman" pitchFamily="18" charset="0"/>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3428034693632841"/>
          <c:y val="0.18377599173160383"/>
          <c:w val="0.57434909468803896"/>
          <c:h val="0.63335699617858876"/>
        </c:manualLayout>
      </c:layout>
      <c:scatterChart>
        <c:scatterStyle val="lineMarker"/>
        <c:ser>
          <c:idx val="0"/>
          <c:order val="0"/>
          <c:spPr>
            <a:ln w="25400">
              <a:solidFill>
                <a:schemeClr val="tx1"/>
              </a:solidFill>
            </a:ln>
          </c:spPr>
          <c:marker>
            <c:symbol val="diamond"/>
            <c:size val="6"/>
            <c:spPr>
              <a:solidFill>
                <a:sysClr val="window" lastClr="FFFFFF"/>
              </a:solidFill>
              <a:ln w="19050">
                <a:solidFill>
                  <a:srgbClr val="92D050"/>
                </a:solidFill>
              </a:ln>
            </c:spPr>
          </c:marker>
          <c:xVal>
            <c:numRef>
              <c:f>as!$E$3:$E$10</c:f>
              <c:numCache>
                <c:formatCode>0.00</c:formatCode>
                <c:ptCount val="8"/>
                <c:pt idx="0">
                  <c:v>104.773</c:v>
                </c:pt>
                <c:pt idx="1">
                  <c:v>89.463499999999996</c:v>
                </c:pt>
                <c:pt idx="2">
                  <c:v>70.698999999999998</c:v>
                </c:pt>
                <c:pt idx="3">
                  <c:v>51.563000000000002</c:v>
                </c:pt>
                <c:pt idx="4">
                  <c:v>36.343499999999999</c:v>
                </c:pt>
                <c:pt idx="5">
                  <c:v>34.3795</c:v>
                </c:pt>
                <c:pt idx="6">
                  <c:v>33.409000000000006</c:v>
                </c:pt>
                <c:pt idx="7">
                  <c:v>33.629500000000057</c:v>
                </c:pt>
              </c:numCache>
            </c:numRef>
          </c:xVal>
          <c:yVal>
            <c:numRef>
              <c:f>as!$K$3:$K$10</c:f>
              <c:numCache>
                <c:formatCode>0</c:formatCode>
                <c:ptCount val="8"/>
                <c:pt idx="0">
                  <c:v>2004.2794350047516</c:v>
                </c:pt>
                <c:pt idx="1">
                  <c:v>1999.5991553436841</c:v>
                </c:pt>
                <c:pt idx="2">
                  <c:v>1990.446369831978</c:v>
                </c:pt>
                <c:pt idx="3">
                  <c:v>1986.219618156864</c:v>
                </c:pt>
                <c:pt idx="4">
                  <c:v>1976.495522734305</c:v>
                </c:pt>
                <c:pt idx="5">
                  <c:v>1975.3359452165455</c:v>
                </c:pt>
                <c:pt idx="6">
                  <c:v>1964.5670463530528</c:v>
                </c:pt>
                <c:pt idx="7">
                  <c:v>1952.4589202622467</c:v>
                </c:pt>
              </c:numCache>
            </c:numRef>
          </c:yVal>
        </c:ser>
        <c:axId val="107548672"/>
        <c:axId val="107550208"/>
      </c:scatterChart>
      <c:valAx>
        <c:axId val="107548672"/>
        <c:scaling>
          <c:orientation val="minMax"/>
          <c:max val="150"/>
          <c:min val="0"/>
        </c:scaling>
        <c:axPos val="b"/>
        <c:title>
          <c:tx>
            <c:rich>
              <a:bodyPr/>
              <a:lstStyle/>
              <a:p>
                <a:pPr>
                  <a:defRPr sz="900" b="1">
                    <a:latin typeface="Times New Roman" pitchFamily="18" charset="0"/>
                    <a:cs typeface="Times New Roman" pitchFamily="18" charset="0"/>
                  </a:defRPr>
                </a:pPr>
                <a:r>
                  <a:rPr lang="en-US" sz="900" b="1">
                    <a:latin typeface="Times New Roman" pitchFamily="18" charset="0"/>
                    <a:cs typeface="Times New Roman" pitchFamily="18" charset="0"/>
                  </a:rPr>
                  <a:t>Concentration As (ppm)</a:t>
                </a:r>
              </a:p>
            </c:rich>
          </c:tx>
          <c:layout>
            <c:manualLayout>
              <c:xMode val="edge"/>
              <c:yMode val="edge"/>
              <c:x val="0.25631133671742806"/>
              <c:y val="2.9743380523030532E-2"/>
            </c:manualLayout>
          </c:layout>
        </c:title>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7550208"/>
        <c:crosses val="autoZero"/>
        <c:crossBetween val="midCat"/>
        <c:majorUnit val="50"/>
      </c:valAx>
      <c:valAx>
        <c:axId val="107550208"/>
        <c:scaling>
          <c:orientation val="minMax"/>
          <c:max val="2008"/>
          <c:min val="1948"/>
        </c:scaling>
        <c:axPos val="l"/>
        <c:majorGridlines/>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Year</a:t>
                </a:r>
              </a:p>
            </c:rich>
          </c:tx>
          <c:layout>
            <c:manualLayout>
              <c:xMode val="edge"/>
              <c:yMode val="edge"/>
              <c:x val="1.3008247065563505E-2"/>
              <c:y val="0.39993635510587205"/>
            </c:manualLayout>
          </c:layout>
        </c:title>
        <c:numFmt formatCode="0" sourceLinked="1"/>
        <c:tickLblPos val="nextTo"/>
        <c:txPr>
          <a:bodyPr/>
          <a:lstStyle/>
          <a:p>
            <a:pPr>
              <a:defRPr sz="800">
                <a:latin typeface="Times New Roman" pitchFamily="18" charset="0"/>
                <a:cs typeface="Times New Roman" pitchFamily="18" charset="0"/>
              </a:defRPr>
            </a:pPr>
            <a:endParaRPr lang="en-US"/>
          </a:p>
        </c:txPr>
        <c:crossAx val="107548672"/>
        <c:crosses val="autoZero"/>
        <c:crossBetween val="midCat"/>
        <c:majorUnit val="10"/>
      </c:valAx>
    </c:plotArea>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3597533318044126"/>
          <c:y val="0.19290476014441871"/>
          <c:w val="0.57017353413347771"/>
          <c:h val="0.64139901598264215"/>
        </c:manualLayout>
      </c:layout>
      <c:scatterChart>
        <c:scatterStyle val="lineMarker"/>
        <c:ser>
          <c:idx val="0"/>
          <c:order val="0"/>
          <c:spPr>
            <a:ln w="25400">
              <a:solidFill>
                <a:schemeClr val="tx1"/>
              </a:solidFill>
            </a:ln>
          </c:spPr>
          <c:marker>
            <c:symbol val="diamond"/>
            <c:size val="6"/>
            <c:spPr>
              <a:solidFill>
                <a:sysClr val="window" lastClr="FFFFFF"/>
              </a:solidFill>
              <a:ln w="19050">
                <a:solidFill>
                  <a:srgbClr val="92D050"/>
                </a:solidFill>
              </a:ln>
            </c:spPr>
          </c:marker>
          <c:xVal>
            <c:numRef>
              <c:f>zn!$F$4:$F$12</c:f>
              <c:numCache>
                <c:formatCode>0.00</c:formatCode>
                <c:ptCount val="9"/>
                <c:pt idx="0">
                  <c:v>312.0575</c:v>
                </c:pt>
                <c:pt idx="1">
                  <c:v>336.02649999999943</c:v>
                </c:pt>
                <c:pt idx="2">
                  <c:v>254.65350000000001</c:v>
                </c:pt>
                <c:pt idx="3">
                  <c:v>267.00549999999993</c:v>
                </c:pt>
                <c:pt idx="4">
                  <c:v>260.30399999999969</c:v>
                </c:pt>
                <c:pt idx="5">
                  <c:v>242.16750000000002</c:v>
                </c:pt>
                <c:pt idx="6">
                  <c:v>229.41899999999998</c:v>
                </c:pt>
                <c:pt idx="7">
                  <c:v>232.04250000000002</c:v>
                </c:pt>
                <c:pt idx="8">
                  <c:v>240.21949999999998</c:v>
                </c:pt>
              </c:numCache>
            </c:numRef>
          </c:xVal>
          <c:yVal>
            <c:numRef>
              <c:f>zn!$L$4:$L$12</c:f>
              <c:numCache>
                <c:formatCode>0</c:formatCode>
                <c:ptCount val="9"/>
                <c:pt idx="0">
                  <c:v>2003.5041168563682</c:v>
                </c:pt>
                <c:pt idx="1">
                  <c:v>1999.6951491383998</c:v>
                </c:pt>
                <c:pt idx="2">
                  <c:v>1993.4984963323473</c:v>
                </c:pt>
                <c:pt idx="3">
                  <c:v>1987.880303164708</c:v>
                </c:pt>
                <c:pt idx="4">
                  <c:v>1981.7494583976677</c:v>
                </c:pt>
                <c:pt idx="5">
                  <c:v>1973.8433389144984</c:v>
                </c:pt>
                <c:pt idx="6">
                  <c:v>1963.2262286189523</c:v>
                </c:pt>
                <c:pt idx="7">
                  <c:v>1949.3289107430451</c:v>
                </c:pt>
              </c:numCache>
            </c:numRef>
          </c:yVal>
        </c:ser>
        <c:axId val="107590016"/>
        <c:axId val="107592320"/>
      </c:scatterChart>
      <c:valAx>
        <c:axId val="107590016"/>
        <c:scaling>
          <c:orientation val="minMax"/>
        </c:scaling>
        <c:axPos val="b"/>
        <c:title>
          <c:tx>
            <c:rich>
              <a:bodyPr/>
              <a:lstStyle/>
              <a:p>
                <a:pPr>
                  <a:defRPr sz="900"/>
                </a:pPr>
                <a:r>
                  <a:rPr lang="en-US" sz="900"/>
                  <a:t>Concentration Zn (ppm)</a:t>
                </a:r>
              </a:p>
            </c:rich>
          </c:tx>
          <c:layout>
            <c:manualLayout>
              <c:xMode val="edge"/>
              <c:yMode val="edge"/>
              <c:x val="0.22977397242820372"/>
              <c:y val="4.0482545315638413E-2"/>
            </c:manualLayout>
          </c:layout>
        </c:title>
        <c:numFmt formatCode="General" sourceLinked="0"/>
        <c:tickLblPos val="nextTo"/>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07592320"/>
        <c:crosses val="autoZero"/>
        <c:crossBetween val="midCat"/>
      </c:valAx>
      <c:valAx>
        <c:axId val="107592320"/>
        <c:scaling>
          <c:orientation val="minMax"/>
          <c:max val="2008"/>
          <c:min val="1938"/>
        </c:scaling>
        <c:axPos val="l"/>
        <c:majorGridlines/>
        <c:title>
          <c:tx>
            <c:rich>
              <a:bodyPr rot="-5400000" vert="horz"/>
              <a:lstStyle/>
              <a:p>
                <a:pPr>
                  <a:defRPr sz="900"/>
                </a:pPr>
                <a:r>
                  <a:rPr lang="en-US" sz="900"/>
                  <a:t>Year </a:t>
                </a:r>
              </a:p>
            </c:rich>
          </c:tx>
          <c:layout>
            <c:manualLayout>
              <c:xMode val="edge"/>
              <c:yMode val="edge"/>
              <c:x val="1.578115842315831E-2"/>
              <c:y val="0.44130371027565296"/>
            </c:manualLayout>
          </c:layout>
        </c:title>
        <c:numFmt formatCode="0" sourceLinked="1"/>
        <c:tickLblPos val="nextTo"/>
        <c:txPr>
          <a:bodyPr/>
          <a:lstStyle/>
          <a:p>
            <a:pPr>
              <a:defRPr sz="800"/>
            </a:pPr>
            <a:endParaRPr lang="en-US"/>
          </a:p>
        </c:txPr>
        <c:crossAx val="107590016"/>
        <c:crosses val="autoZero"/>
        <c:crossBetween val="midCat"/>
        <c:majorUnit val="10"/>
      </c:valAx>
    </c:plotArea>
    <c:plotVisOnly val="1"/>
    <c:dispBlanksAs val="gap"/>
  </c:chart>
  <c:txPr>
    <a:bodyPr/>
    <a:lstStyle/>
    <a:p>
      <a:pPr>
        <a:defRPr>
          <a:latin typeface="Times New Roman" pitchFamily="18" charset="0"/>
          <a:cs typeface="Times New Roman" pitchFamily="18" charset="0"/>
        </a:defRPr>
      </a:pPr>
      <a:endParaRPr lang="en-US"/>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5769606299212597"/>
          <c:y val="0.18272259236826174"/>
          <c:w val="0.55230393700787461"/>
          <c:h val="0.64759792045225117"/>
        </c:manualLayout>
      </c:layout>
      <c:scatterChart>
        <c:scatterStyle val="lineMarker"/>
        <c:ser>
          <c:idx val="0"/>
          <c:order val="0"/>
          <c:spPr>
            <a:ln w="25400">
              <a:solidFill>
                <a:schemeClr val="tx1"/>
              </a:solidFill>
            </a:ln>
          </c:spPr>
          <c:marker>
            <c:symbol val="diamond"/>
            <c:size val="6"/>
            <c:spPr>
              <a:solidFill>
                <a:sysClr val="window" lastClr="FFFFFF"/>
              </a:solidFill>
              <a:ln w="19050">
                <a:solidFill>
                  <a:srgbClr val="92D050"/>
                </a:solidFill>
              </a:ln>
            </c:spPr>
          </c:marker>
          <c:xVal>
            <c:numRef>
              <c:f>Zn!$E$3:$E$10</c:f>
              <c:numCache>
                <c:formatCode>General</c:formatCode>
                <c:ptCount val="8"/>
                <c:pt idx="0">
                  <c:v>150.71649999999997</c:v>
                </c:pt>
                <c:pt idx="1">
                  <c:v>139.32550000000001</c:v>
                </c:pt>
                <c:pt idx="2">
                  <c:v>136.73499999999999</c:v>
                </c:pt>
                <c:pt idx="3">
                  <c:v>140.82500000000007</c:v>
                </c:pt>
                <c:pt idx="4">
                  <c:v>140.41300000000001</c:v>
                </c:pt>
                <c:pt idx="5">
                  <c:v>145.6225</c:v>
                </c:pt>
                <c:pt idx="6">
                  <c:v>142.37550000000002</c:v>
                </c:pt>
                <c:pt idx="7">
                  <c:v>147.11349999999999</c:v>
                </c:pt>
              </c:numCache>
            </c:numRef>
          </c:xVal>
          <c:yVal>
            <c:numRef>
              <c:f>Zn!$K$3:$K$10</c:f>
              <c:numCache>
                <c:formatCode>0</c:formatCode>
                <c:ptCount val="8"/>
                <c:pt idx="0">
                  <c:v>2004.2794350047516</c:v>
                </c:pt>
                <c:pt idx="1">
                  <c:v>1999.5991553436841</c:v>
                </c:pt>
                <c:pt idx="2">
                  <c:v>1990.446369831978</c:v>
                </c:pt>
                <c:pt idx="3">
                  <c:v>1986.219618156864</c:v>
                </c:pt>
                <c:pt idx="4">
                  <c:v>1976.495522734305</c:v>
                </c:pt>
                <c:pt idx="5">
                  <c:v>1975.3359452165455</c:v>
                </c:pt>
                <c:pt idx="6">
                  <c:v>1964.5670463530528</c:v>
                </c:pt>
                <c:pt idx="7">
                  <c:v>1952.4589202622467</c:v>
                </c:pt>
              </c:numCache>
            </c:numRef>
          </c:yVal>
        </c:ser>
        <c:axId val="107607552"/>
        <c:axId val="109252608"/>
      </c:scatterChart>
      <c:valAx>
        <c:axId val="107607552"/>
        <c:scaling>
          <c:orientation val="minMax"/>
          <c:max val="200"/>
          <c:min val="0"/>
        </c:scaling>
        <c:axPos val="b"/>
        <c:title>
          <c:tx>
            <c:rich>
              <a:bodyPr/>
              <a:lstStyle/>
              <a:p>
                <a:pPr>
                  <a:defRPr sz="900"/>
                </a:pPr>
                <a:r>
                  <a:rPr lang="en-US" sz="900"/>
                  <a:t>Concentration Zn (ppm)</a:t>
                </a:r>
              </a:p>
            </c:rich>
          </c:tx>
          <c:layout>
            <c:manualLayout>
              <c:xMode val="edge"/>
              <c:yMode val="edge"/>
              <c:x val="0.24421522309711344"/>
              <c:y val="3.1402685241267936E-2"/>
            </c:manualLayout>
          </c:layout>
        </c:title>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252608"/>
        <c:crosses val="autoZero"/>
        <c:crossBetween val="midCat"/>
        <c:majorUnit val="100"/>
      </c:valAx>
      <c:valAx>
        <c:axId val="109252608"/>
        <c:scaling>
          <c:orientation val="minMax"/>
          <c:max val="2008"/>
          <c:min val="1948"/>
        </c:scaling>
        <c:axPos val="l"/>
        <c:majorGridlines/>
        <c:title>
          <c:tx>
            <c:rich>
              <a:bodyPr rot="-5400000" vert="horz"/>
              <a:lstStyle/>
              <a:p>
                <a:pPr>
                  <a:defRPr sz="900"/>
                </a:pPr>
                <a:r>
                  <a:rPr lang="en-US" sz="900"/>
                  <a:t>Year</a:t>
                </a:r>
              </a:p>
            </c:rich>
          </c:tx>
          <c:layout>
            <c:manualLayout>
              <c:xMode val="edge"/>
              <c:yMode val="edge"/>
              <c:x val="2.7984251968503994E-2"/>
              <c:y val="0.43594891984655865"/>
            </c:manualLayout>
          </c:layout>
        </c:title>
        <c:numFmt formatCode="0" sourceLinked="1"/>
        <c:tickLblPos val="nextTo"/>
        <c:txPr>
          <a:bodyPr/>
          <a:lstStyle/>
          <a:p>
            <a:pPr>
              <a:defRPr sz="800"/>
            </a:pPr>
            <a:endParaRPr lang="en-US"/>
          </a:p>
        </c:txPr>
        <c:crossAx val="107607552"/>
        <c:crosses val="autoZero"/>
        <c:crossBetween val="midCat"/>
        <c:majorUnit val="10"/>
      </c:valAx>
    </c:plotArea>
    <c:plotVisOnly val="1"/>
    <c:dispBlanksAs val="gap"/>
  </c:chart>
  <c:txPr>
    <a:bodyPr/>
    <a:lstStyle/>
    <a:p>
      <a:pPr>
        <a:defRPr>
          <a:latin typeface="Times New Roman" pitchFamily="18" charset="0"/>
          <a:cs typeface="Times New Roman" pitchFamily="18" charset="0"/>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0.01017</cdr:x>
      <cdr:y>0.01515</cdr:y>
    </cdr:from>
    <cdr:to>
      <cdr:x>0.19487</cdr:x>
      <cdr:y>0.11872</cdr:y>
    </cdr:to>
    <cdr:sp macro="" textlink="">
      <cdr:nvSpPr>
        <cdr:cNvPr id="2" name="TextBox 1"/>
        <cdr:cNvSpPr txBox="1"/>
      </cdr:nvSpPr>
      <cdr:spPr>
        <a:xfrm xmlns:a="http://schemas.openxmlformats.org/drawingml/2006/main">
          <a:off x="21063" y="27639"/>
          <a:ext cx="382509" cy="1889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S1</a:t>
          </a:r>
        </a:p>
      </cdr:txBody>
    </cdr:sp>
  </cdr:relSizeAnchor>
</c:userShapes>
</file>

<file path=word/drawings/drawing2.xml><?xml version="1.0" encoding="utf-8"?>
<c:userShapes xmlns:c="http://schemas.openxmlformats.org/drawingml/2006/chart">
  <cdr:relSizeAnchor xmlns:cdr="http://schemas.openxmlformats.org/drawingml/2006/chartDrawing">
    <cdr:from>
      <cdr:x>0.00847</cdr:x>
      <cdr:y>0.00383</cdr:y>
    </cdr:from>
    <cdr:to>
      <cdr:x>0.17571</cdr:x>
      <cdr:y>0.11699</cdr:y>
    </cdr:to>
    <cdr:sp macro="" textlink="">
      <cdr:nvSpPr>
        <cdr:cNvPr id="2" name="TextBox 1"/>
        <cdr:cNvSpPr txBox="1"/>
      </cdr:nvSpPr>
      <cdr:spPr>
        <a:xfrm xmlns:a="http://schemas.openxmlformats.org/drawingml/2006/main">
          <a:off x="15380" y="6983"/>
          <a:ext cx="303667" cy="2063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S2</a:t>
          </a:r>
        </a:p>
      </cdr:txBody>
    </cdr:sp>
  </cdr:relSizeAnchor>
</c:userShapes>
</file>

<file path=word/drawings/drawing3.xml><?xml version="1.0" encoding="utf-8"?>
<c:userShapes xmlns:c="http://schemas.openxmlformats.org/drawingml/2006/chart">
  <cdr:relSizeAnchor xmlns:cdr="http://schemas.openxmlformats.org/drawingml/2006/chartDrawing">
    <cdr:from>
      <cdr:x>0.01639</cdr:x>
      <cdr:y>0</cdr:y>
    </cdr:from>
    <cdr:to>
      <cdr:x>0.21858</cdr:x>
      <cdr:y>0.10345</cdr:y>
    </cdr:to>
    <cdr:sp macro="" textlink="">
      <cdr:nvSpPr>
        <cdr:cNvPr id="2" name="TextBox 1"/>
        <cdr:cNvSpPr txBox="1"/>
      </cdr:nvSpPr>
      <cdr:spPr>
        <a:xfrm xmlns:a="http://schemas.openxmlformats.org/drawingml/2006/main">
          <a:off x="28575" y="0"/>
          <a:ext cx="352425"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b="1">
              <a:latin typeface="Times New Roman" pitchFamily="18" charset="0"/>
              <a:cs typeface="Times New Roman" pitchFamily="18" charset="0"/>
            </a:rPr>
            <a:t>S1</a:t>
          </a:r>
        </a:p>
      </cdr:txBody>
    </cdr:sp>
  </cdr:relSizeAnchor>
</c:userShapes>
</file>

<file path=word/drawings/drawing4.xml><?xml version="1.0" encoding="utf-8"?>
<c:userShapes xmlns:c="http://schemas.openxmlformats.org/drawingml/2006/chart">
  <cdr:relSizeAnchor xmlns:cdr="http://schemas.openxmlformats.org/drawingml/2006/chartDrawing">
    <cdr:from>
      <cdr:x>0.01415</cdr:x>
      <cdr:y>0.01626</cdr:y>
    </cdr:from>
    <cdr:to>
      <cdr:x>0.20895</cdr:x>
      <cdr:y>0.13615</cdr:y>
    </cdr:to>
    <cdr:sp macro="" textlink="">
      <cdr:nvSpPr>
        <cdr:cNvPr id="2" name="TextBox 1"/>
        <cdr:cNvSpPr txBox="1"/>
      </cdr:nvSpPr>
      <cdr:spPr>
        <a:xfrm xmlns:a="http://schemas.openxmlformats.org/drawingml/2006/main">
          <a:off x="27090" y="32989"/>
          <a:ext cx="372959" cy="24323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b="1">
              <a:latin typeface="Times New Roman" pitchFamily="18" charset="0"/>
              <a:cs typeface="Times New Roman" pitchFamily="18" charset="0"/>
            </a:rPr>
            <a:t>S2</a:t>
          </a:r>
        </a:p>
      </cdr:txBody>
    </cdr:sp>
  </cdr:relSizeAnchor>
</c:userShapes>
</file>

<file path=word/drawings/drawing5.xml><?xml version="1.0" encoding="utf-8"?>
<c:userShapes xmlns:c="http://schemas.openxmlformats.org/drawingml/2006/chart">
  <cdr:relSizeAnchor xmlns:cdr="http://schemas.openxmlformats.org/drawingml/2006/chartDrawing">
    <cdr:from>
      <cdr:x>5.09645E-7</cdr:x>
      <cdr:y>0</cdr:y>
    </cdr:from>
    <cdr:to>
      <cdr:x>0.17961</cdr:x>
      <cdr:y>0.11737</cdr:y>
    </cdr:to>
    <cdr:sp macro="" textlink="">
      <cdr:nvSpPr>
        <cdr:cNvPr id="2" name="TextBox 1"/>
        <cdr:cNvSpPr txBox="1"/>
      </cdr:nvSpPr>
      <cdr:spPr>
        <a:xfrm xmlns:a="http://schemas.openxmlformats.org/drawingml/2006/main">
          <a:off x="1" y="0"/>
          <a:ext cx="352424" cy="2381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S1</a:t>
          </a:r>
        </a:p>
      </cdr:txBody>
    </cdr:sp>
  </cdr:relSizeAnchor>
</c:userShapes>
</file>

<file path=word/drawings/drawing6.xml><?xml version="1.0" encoding="utf-8"?>
<c:userShapes xmlns:c="http://schemas.openxmlformats.org/drawingml/2006/chart">
  <cdr:relSizeAnchor xmlns:cdr="http://schemas.openxmlformats.org/drawingml/2006/chartDrawing">
    <cdr:from>
      <cdr:x>0.01038</cdr:x>
      <cdr:y>0</cdr:y>
    </cdr:from>
    <cdr:to>
      <cdr:x>0.18782</cdr:x>
      <cdr:y>0.10881</cdr:y>
    </cdr:to>
    <cdr:sp macro="" textlink="">
      <cdr:nvSpPr>
        <cdr:cNvPr id="2" name="TextBox 1"/>
        <cdr:cNvSpPr txBox="1"/>
      </cdr:nvSpPr>
      <cdr:spPr>
        <a:xfrm xmlns:a="http://schemas.openxmlformats.org/drawingml/2006/main">
          <a:off x="19476" y="0"/>
          <a:ext cx="332949" cy="2000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S2</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0.18932</cdr:x>
      <cdr:y>0.12207</cdr:y>
    </cdr:to>
    <cdr:sp macro="" textlink="">
      <cdr:nvSpPr>
        <cdr:cNvPr id="2" name="TextBox 1"/>
        <cdr:cNvSpPr txBox="1"/>
      </cdr:nvSpPr>
      <cdr:spPr>
        <a:xfrm xmlns:a="http://schemas.openxmlformats.org/drawingml/2006/main">
          <a:off x="0" y="0"/>
          <a:ext cx="371474"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S1</a:t>
          </a:r>
        </a:p>
      </cdr:txBody>
    </cdr:sp>
  </cdr:relSizeAnchor>
</c:userShapes>
</file>

<file path=word/drawings/drawing8.xml><?xml version="1.0" encoding="utf-8"?>
<c:userShapes xmlns:c="http://schemas.openxmlformats.org/drawingml/2006/chart">
  <cdr:relSizeAnchor xmlns:cdr="http://schemas.openxmlformats.org/drawingml/2006/chartDrawing">
    <cdr:from>
      <cdr:x>0.01091</cdr:x>
      <cdr:y>0.0081</cdr:y>
    </cdr:from>
    <cdr:to>
      <cdr:x>0.22</cdr:x>
      <cdr:y>0.11538</cdr:y>
    </cdr:to>
    <cdr:sp macro="" textlink="">
      <cdr:nvSpPr>
        <cdr:cNvPr id="2" name="TextBox 1"/>
        <cdr:cNvSpPr txBox="1"/>
      </cdr:nvSpPr>
      <cdr:spPr>
        <a:xfrm xmlns:a="http://schemas.openxmlformats.org/drawingml/2006/main">
          <a:off x="20782" y="16041"/>
          <a:ext cx="398318" cy="2125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S2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SEDIMENTATION RATE AND Pb-210 CHRONOLOGY OF SEDIMENT IN A RECENT FORMER TIN MINING LAKE ESTIMATED USING Pb-210 DATING TECHNIQUE</vt:lpstr>
    </vt:vector>
  </TitlesOfParts>
  <Company>USER</Company>
  <LinksUpToDate>false</LinksUpToDate>
  <CharactersWithSpaces>28582</CharactersWithSpaces>
  <SharedDoc>false</SharedDoc>
  <HLinks>
    <vt:vector size="6" baseType="variant">
      <vt:variant>
        <vt:i4>2424918</vt:i4>
      </vt:variant>
      <vt:variant>
        <vt:i4>0</vt:i4>
      </vt:variant>
      <vt:variant>
        <vt:i4>0</vt:i4>
      </vt:variant>
      <vt:variant>
        <vt:i4>5</vt:i4>
      </vt:variant>
      <vt:variant>
        <vt:lpwstr>mailto:ahmad183@salam.uitm.edu.my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SEDIMENTATION RATE AND Pb-210 CHRONOLOGY OF SEDIMENT IN A RECENT FORMER TIN MINING LAKE ESTIMATED USING Pb-210 DATING TECHNIQUE</dc:title>
  <dc:creator>USER</dc:creator>
  <cp:lastModifiedBy>Prof Pauzi</cp:lastModifiedBy>
  <cp:revision>2</cp:revision>
  <cp:lastPrinted>2011-06-13T07:10:00Z</cp:lastPrinted>
  <dcterms:created xsi:type="dcterms:W3CDTF">2011-08-24T07:53:00Z</dcterms:created>
  <dcterms:modified xsi:type="dcterms:W3CDTF">2011-08-24T07:53:00Z</dcterms:modified>
</cp:coreProperties>
</file>