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919" w:rsidRPr="00A07E1E" w:rsidRDefault="00CA5919" w:rsidP="00A07E1E"/>
    <w:p w:rsidR="008446E0" w:rsidRPr="00380D65" w:rsidRDefault="008446E0" w:rsidP="008446E0">
      <w:pPr>
        <w:autoSpaceDE w:val="0"/>
        <w:autoSpaceDN w:val="0"/>
        <w:adjustRightInd w:val="0"/>
        <w:ind w:right="32"/>
        <w:jc w:val="center"/>
        <w:rPr>
          <w:sz w:val="28"/>
          <w:szCs w:val="28"/>
        </w:rPr>
      </w:pPr>
      <w:r w:rsidRPr="00380D65">
        <w:rPr>
          <w:sz w:val="28"/>
          <w:szCs w:val="28"/>
        </w:rPr>
        <w:t>DETERMINATION OF ORGANOPHOSPHORUS PESTICIDES</w:t>
      </w:r>
    </w:p>
    <w:p w:rsidR="008446E0" w:rsidRPr="00380D65" w:rsidRDefault="008446E0" w:rsidP="008446E0">
      <w:pPr>
        <w:autoSpaceDE w:val="0"/>
        <w:autoSpaceDN w:val="0"/>
        <w:adjustRightInd w:val="0"/>
        <w:ind w:right="32"/>
        <w:jc w:val="center"/>
        <w:rPr>
          <w:sz w:val="28"/>
          <w:szCs w:val="28"/>
        </w:rPr>
      </w:pPr>
      <w:r w:rsidRPr="00380D65">
        <w:rPr>
          <w:sz w:val="28"/>
          <w:szCs w:val="28"/>
        </w:rPr>
        <w:t xml:space="preserve"> USING MOLECULARLY IMPRINTED POLYMER</w:t>
      </w:r>
    </w:p>
    <w:p w:rsidR="008446E0" w:rsidRPr="00380D65" w:rsidRDefault="008446E0" w:rsidP="008446E0">
      <w:pPr>
        <w:autoSpaceDE w:val="0"/>
        <w:autoSpaceDN w:val="0"/>
        <w:adjustRightInd w:val="0"/>
        <w:ind w:right="32"/>
        <w:jc w:val="center"/>
        <w:rPr>
          <w:sz w:val="28"/>
          <w:szCs w:val="28"/>
        </w:rPr>
      </w:pPr>
      <w:r w:rsidRPr="00380D65">
        <w:rPr>
          <w:sz w:val="28"/>
          <w:szCs w:val="28"/>
        </w:rPr>
        <w:t xml:space="preserve"> SOLID PHASE EXTRACTION</w:t>
      </w:r>
    </w:p>
    <w:p w:rsidR="00834433" w:rsidRDefault="00834433" w:rsidP="00834433">
      <w:pPr>
        <w:jc w:val="center"/>
      </w:pPr>
    </w:p>
    <w:p w:rsidR="00CA5919" w:rsidRPr="00834433" w:rsidRDefault="00834433" w:rsidP="00834433">
      <w:pPr>
        <w:jc w:val="center"/>
      </w:pPr>
      <w:r>
        <w:t>(</w:t>
      </w:r>
      <w:r w:rsidRPr="00834433">
        <w:t>Penentuan</w:t>
      </w:r>
      <w:r w:rsidR="001F34D0">
        <w:t xml:space="preserve"> </w:t>
      </w:r>
      <w:r w:rsidRPr="00834433">
        <w:t>Pestisid</w:t>
      </w:r>
      <w:r w:rsidR="001F34D0">
        <w:t xml:space="preserve"> </w:t>
      </w:r>
      <w:r w:rsidRPr="00834433">
        <w:t>Organofosforus</w:t>
      </w:r>
      <w:r w:rsidR="001F34D0">
        <w:t xml:space="preserve"> </w:t>
      </w:r>
      <w:r w:rsidRPr="00834433">
        <w:t>Menggunakan</w:t>
      </w:r>
      <w:r w:rsidR="001F34D0">
        <w:t xml:space="preserve"> </w:t>
      </w:r>
      <w:r w:rsidRPr="00834433">
        <w:t>Pengesktrakan</w:t>
      </w:r>
      <w:r w:rsidR="001F34D0">
        <w:t xml:space="preserve"> </w:t>
      </w:r>
      <w:r w:rsidRPr="00834433">
        <w:t>Fasa</w:t>
      </w:r>
      <w:r w:rsidR="001F34D0">
        <w:t xml:space="preserve"> </w:t>
      </w:r>
      <w:r w:rsidRPr="00834433">
        <w:t>Pepeal</w:t>
      </w:r>
      <w:r w:rsidR="001F34D0">
        <w:t xml:space="preserve"> </w:t>
      </w:r>
      <w:r w:rsidRPr="00834433">
        <w:t>dengan</w:t>
      </w:r>
      <w:r w:rsidR="001F34D0">
        <w:t xml:space="preserve"> </w:t>
      </w:r>
      <w:r w:rsidRPr="00834433">
        <w:t>Polimer Cap</w:t>
      </w:r>
      <w:r>
        <w:t>)</w:t>
      </w:r>
    </w:p>
    <w:p w:rsidR="00D73701" w:rsidRPr="00380D65" w:rsidRDefault="00D73701" w:rsidP="00380D65">
      <w:pPr>
        <w:jc w:val="center"/>
        <w:rPr>
          <w:b/>
          <w:sz w:val="20"/>
          <w:szCs w:val="20"/>
        </w:rPr>
      </w:pPr>
    </w:p>
    <w:p w:rsidR="00A07E1E" w:rsidRPr="00380D65" w:rsidRDefault="00D73701" w:rsidP="00A07E1E">
      <w:pPr>
        <w:jc w:val="center"/>
        <w:rPr>
          <w:sz w:val="20"/>
          <w:szCs w:val="20"/>
        </w:rPr>
      </w:pPr>
      <w:r w:rsidRPr="00380D65">
        <w:rPr>
          <w:sz w:val="20"/>
          <w:szCs w:val="20"/>
        </w:rPr>
        <w:t>Mohd</w:t>
      </w:r>
      <w:r w:rsidR="001F34D0" w:rsidRPr="00380D65">
        <w:rPr>
          <w:sz w:val="20"/>
          <w:szCs w:val="20"/>
        </w:rPr>
        <w:t xml:space="preserve"> </w:t>
      </w:r>
      <w:r w:rsidRPr="00380D65">
        <w:rPr>
          <w:sz w:val="20"/>
          <w:szCs w:val="20"/>
        </w:rPr>
        <w:t>Marsin Sanagi</w:t>
      </w:r>
      <w:r w:rsidR="00B776DA" w:rsidRPr="00380D65">
        <w:rPr>
          <w:sz w:val="20"/>
          <w:szCs w:val="20"/>
          <w:vertAlign w:val="superscript"/>
        </w:rPr>
        <w:t>1,2</w:t>
      </w:r>
      <w:r w:rsidRPr="00380D65">
        <w:rPr>
          <w:i/>
          <w:sz w:val="20"/>
          <w:szCs w:val="20"/>
        </w:rPr>
        <w:t>*</w:t>
      </w:r>
      <w:r w:rsidR="00380D65">
        <w:rPr>
          <w:sz w:val="20"/>
          <w:szCs w:val="20"/>
        </w:rPr>
        <w:t xml:space="preserve">, </w:t>
      </w:r>
      <w:r w:rsidRPr="00380D65">
        <w:rPr>
          <w:sz w:val="20"/>
          <w:szCs w:val="20"/>
        </w:rPr>
        <w:t>Syairah Salleh</w:t>
      </w:r>
      <w:r w:rsidRPr="00380D65">
        <w:rPr>
          <w:sz w:val="20"/>
          <w:szCs w:val="20"/>
          <w:vertAlign w:val="superscript"/>
        </w:rPr>
        <w:t>2</w:t>
      </w:r>
      <w:r w:rsidRPr="00380D65">
        <w:rPr>
          <w:sz w:val="20"/>
          <w:szCs w:val="20"/>
        </w:rPr>
        <w:t>, Wan Aini Wan Ibrahim</w:t>
      </w:r>
      <w:r w:rsidRPr="00380D65">
        <w:rPr>
          <w:sz w:val="20"/>
          <w:szCs w:val="20"/>
          <w:vertAlign w:val="superscript"/>
        </w:rPr>
        <w:t>1</w:t>
      </w:r>
      <w:r w:rsidR="00B776DA" w:rsidRPr="00380D65">
        <w:rPr>
          <w:sz w:val="20"/>
          <w:szCs w:val="20"/>
          <w:vertAlign w:val="superscript"/>
        </w:rPr>
        <w:t>,2</w:t>
      </w:r>
      <w:r w:rsidR="00380D65" w:rsidRPr="00380D65">
        <w:rPr>
          <w:sz w:val="20"/>
          <w:szCs w:val="20"/>
        </w:rPr>
        <w:t xml:space="preserve">, </w:t>
      </w:r>
      <w:r w:rsidRPr="00380D65">
        <w:rPr>
          <w:sz w:val="20"/>
          <w:szCs w:val="20"/>
        </w:rPr>
        <w:t>Ahmedy Abu Naim</w:t>
      </w:r>
      <w:r w:rsidRPr="00380D65">
        <w:rPr>
          <w:sz w:val="20"/>
          <w:szCs w:val="20"/>
          <w:vertAlign w:val="superscript"/>
        </w:rPr>
        <w:t>1</w:t>
      </w:r>
    </w:p>
    <w:p w:rsidR="00D73701" w:rsidRPr="00380D65" w:rsidRDefault="00D73701" w:rsidP="00D73701">
      <w:pPr>
        <w:jc w:val="center"/>
        <w:rPr>
          <w:b/>
          <w:sz w:val="18"/>
          <w:szCs w:val="18"/>
        </w:rPr>
      </w:pPr>
    </w:p>
    <w:p w:rsidR="00D73701" w:rsidRDefault="00D73701" w:rsidP="00D73701">
      <w:pPr>
        <w:jc w:val="center"/>
        <w:rPr>
          <w:i/>
          <w:sz w:val="18"/>
          <w:szCs w:val="18"/>
        </w:rPr>
      </w:pPr>
      <w:r w:rsidRPr="008E4058">
        <w:rPr>
          <w:rFonts w:eastAsia="Calibri"/>
          <w:i/>
          <w:sz w:val="18"/>
          <w:szCs w:val="18"/>
          <w:vertAlign w:val="superscript"/>
        </w:rPr>
        <w:t>1</w:t>
      </w:r>
      <w:r w:rsidRPr="008E4058">
        <w:rPr>
          <w:i/>
          <w:sz w:val="18"/>
          <w:szCs w:val="18"/>
        </w:rPr>
        <w:t>Ibnu</w:t>
      </w:r>
      <w:r w:rsidR="00470476">
        <w:rPr>
          <w:i/>
          <w:sz w:val="18"/>
          <w:szCs w:val="18"/>
        </w:rPr>
        <w:t>S</w:t>
      </w:r>
      <w:r w:rsidRPr="008E4058">
        <w:rPr>
          <w:i/>
          <w:sz w:val="18"/>
          <w:szCs w:val="18"/>
        </w:rPr>
        <w:t>ina Institute for Fundamental Science Studies,</w:t>
      </w:r>
      <w:r w:rsidR="00B776DA">
        <w:rPr>
          <w:i/>
          <w:sz w:val="18"/>
          <w:szCs w:val="18"/>
        </w:rPr>
        <w:t xml:space="preserve"> Nanotechnology Research Alliance,</w:t>
      </w:r>
    </w:p>
    <w:p w:rsidR="00B776DA" w:rsidRPr="008E4058" w:rsidRDefault="00B776DA" w:rsidP="00B776DA">
      <w:pPr>
        <w:jc w:val="center"/>
        <w:rPr>
          <w:i/>
          <w:sz w:val="18"/>
          <w:szCs w:val="18"/>
        </w:rPr>
      </w:pPr>
      <w:r w:rsidRPr="008E4058">
        <w:rPr>
          <w:i/>
          <w:sz w:val="18"/>
          <w:szCs w:val="18"/>
        </w:rPr>
        <w:t xml:space="preserve">UniversitiTeknologi Malaysia, 81310 </w:t>
      </w:r>
      <w:r>
        <w:rPr>
          <w:i/>
          <w:sz w:val="18"/>
          <w:szCs w:val="18"/>
        </w:rPr>
        <w:t>UTM</w:t>
      </w:r>
      <w:r w:rsidRPr="008E4058">
        <w:rPr>
          <w:i/>
          <w:sz w:val="18"/>
          <w:szCs w:val="18"/>
        </w:rPr>
        <w:t xml:space="preserve"> Johor</w:t>
      </w:r>
      <w:r>
        <w:rPr>
          <w:i/>
          <w:sz w:val="18"/>
          <w:szCs w:val="18"/>
        </w:rPr>
        <w:t>Bahru, Johor,</w:t>
      </w:r>
      <w:r w:rsidR="00470476">
        <w:rPr>
          <w:i/>
          <w:sz w:val="18"/>
          <w:szCs w:val="18"/>
        </w:rPr>
        <w:t xml:space="preserve"> Malaysia</w:t>
      </w:r>
    </w:p>
    <w:p w:rsidR="00B776DA" w:rsidRPr="008E4058" w:rsidRDefault="00B776DA" w:rsidP="00D73701">
      <w:pPr>
        <w:jc w:val="center"/>
        <w:rPr>
          <w:i/>
          <w:sz w:val="18"/>
          <w:szCs w:val="18"/>
        </w:rPr>
      </w:pPr>
    </w:p>
    <w:p w:rsidR="00D73701" w:rsidRPr="008E4058" w:rsidRDefault="00D73701" w:rsidP="00D73701">
      <w:pPr>
        <w:jc w:val="center"/>
        <w:rPr>
          <w:i/>
          <w:sz w:val="18"/>
          <w:szCs w:val="18"/>
        </w:rPr>
      </w:pPr>
      <w:r w:rsidRPr="008E4058">
        <w:rPr>
          <w:rFonts w:eastAsia="Calibri"/>
          <w:i/>
          <w:sz w:val="18"/>
          <w:szCs w:val="18"/>
          <w:vertAlign w:val="superscript"/>
        </w:rPr>
        <w:t>2</w:t>
      </w:r>
      <w:r w:rsidRPr="008E4058">
        <w:rPr>
          <w:i/>
          <w:sz w:val="18"/>
          <w:szCs w:val="18"/>
        </w:rPr>
        <w:t>Department of Chemistry, Faculty of Science,</w:t>
      </w:r>
    </w:p>
    <w:p w:rsidR="00D73701" w:rsidRPr="008E4058" w:rsidRDefault="00D73701" w:rsidP="00D73701">
      <w:pPr>
        <w:jc w:val="center"/>
        <w:rPr>
          <w:i/>
          <w:sz w:val="18"/>
          <w:szCs w:val="18"/>
        </w:rPr>
      </w:pPr>
      <w:r w:rsidRPr="008E4058">
        <w:rPr>
          <w:i/>
          <w:sz w:val="18"/>
          <w:szCs w:val="18"/>
        </w:rPr>
        <w:t xml:space="preserve">UniversitiTeknologi Malaysia, 81310 </w:t>
      </w:r>
      <w:r w:rsidR="00B776DA">
        <w:rPr>
          <w:i/>
          <w:sz w:val="18"/>
          <w:szCs w:val="18"/>
        </w:rPr>
        <w:t>UTM</w:t>
      </w:r>
      <w:r w:rsidRPr="008E4058">
        <w:rPr>
          <w:i/>
          <w:sz w:val="18"/>
          <w:szCs w:val="18"/>
        </w:rPr>
        <w:t xml:space="preserve"> Johor</w:t>
      </w:r>
      <w:r w:rsidR="00B776DA">
        <w:rPr>
          <w:i/>
          <w:sz w:val="18"/>
          <w:szCs w:val="18"/>
        </w:rPr>
        <w:t>Bahru, Johor,</w:t>
      </w:r>
      <w:r w:rsidR="00170067">
        <w:rPr>
          <w:i/>
          <w:sz w:val="18"/>
          <w:szCs w:val="18"/>
        </w:rPr>
        <w:t xml:space="preserve"> Malaysia</w:t>
      </w:r>
    </w:p>
    <w:p w:rsidR="00A07E1E" w:rsidRPr="00C066C9" w:rsidRDefault="00A07E1E" w:rsidP="00A07E1E">
      <w:pPr>
        <w:jc w:val="center"/>
      </w:pPr>
    </w:p>
    <w:p w:rsidR="00A07E1E" w:rsidRPr="00D73701" w:rsidRDefault="00A07E1E" w:rsidP="00A07E1E">
      <w:pPr>
        <w:jc w:val="center"/>
        <w:rPr>
          <w:i/>
          <w:sz w:val="20"/>
          <w:szCs w:val="20"/>
        </w:rPr>
      </w:pPr>
      <w:r w:rsidRPr="00D73701">
        <w:rPr>
          <w:i/>
          <w:sz w:val="20"/>
          <w:szCs w:val="20"/>
        </w:rPr>
        <w:t>*</w:t>
      </w:r>
      <w:r w:rsidR="00380D65">
        <w:rPr>
          <w:i/>
          <w:sz w:val="20"/>
          <w:szCs w:val="20"/>
        </w:rPr>
        <w:t>Corresponding author</w:t>
      </w:r>
      <w:r w:rsidRPr="00D73701">
        <w:rPr>
          <w:i/>
          <w:sz w:val="20"/>
          <w:szCs w:val="20"/>
        </w:rPr>
        <w:t xml:space="preserve">: </w:t>
      </w:r>
      <w:r w:rsidR="00D73701" w:rsidRPr="00D73701">
        <w:rPr>
          <w:i/>
          <w:sz w:val="20"/>
          <w:szCs w:val="20"/>
        </w:rPr>
        <w:t>marsin@kimia.fsutm.my</w:t>
      </w:r>
    </w:p>
    <w:p w:rsidR="00D73701" w:rsidRPr="00380D65" w:rsidRDefault="00D73701" w:rsidP="00380D65">
      <w:pPr>
        <w:autoSpaceDE w:val="0"/>
        <w:autoSpaceDN w:val="0"/>
        <w:adjustRightInd w:val="0"/>
        <w:jc w:val="center"/>
        <w:rPr>
          <w:iCs/>
          <w:sz w:val="18"/>
          <w:szCs w:val="18"/>
          <w:lang w:val="en-GB"/>
        </w:rPr>
      </w:pPr>
    </w:p>
    <w:p w:rsidR="00A07E1E" w:rsidRPr="00380D65" w:rsidRDefault="00A07E1E" w:rsidP="00380D65">
      <w:pPr>
        <w:autoSpaceDE w:val="0"/>
        <w:autoSpaceDN w:val="0"/>
        <w:adjustRightInd w:val="0"/>
        <w:jc w:val="center"/>
        <w:rPr>
          <w:iCs/>
          <w:sz w:val="18"/>
          <w:szCs w:val="18"/>
        </w:rPr>
      </w:pPr>
    </w:p>
    <w:p w:rsidR="00A07E1E" w:rsidRPr="00380D65" w:rsidRDefault="00CA5919" w:rsidP="00380D65">
      <w:pPr>
        <w:autoSpaceDE w:val="0"/>
        <w:autoSpaceDN w:val="0"/>
        <w:adjustRightInd w:val="0"/>
        <w:jc w:val="center"/>
        <w:rPr>
          <w:b/>
          <w:iCs/>
          <w:sz w:val="18"/>
          <w:szCs w:val="18"/>
        </w:rPr>
      </w:pPr>
      <w:r w:rsidRPr="00380D65">
        <w:rPr>
          <w:b/>
          <w:iCs/>
          <w:sz w:val="18"/>
          <w:szCs w:val="18"/>
        </w:rPr>
        <w:t>Abstract</w:t>
      </w:r>
    </w:p>
    <w:p w:rsidR="004B00B4" w:rsidRPr="00380D65" w:rsidRDefault="004B00B4" w:rsidP="004B00B4">
      <w:pPr>
        <w:autoSpaceDE w:val="0"/>
        <w:autoSpaceDN w:val="0"/>
        <w:adjustRightInd w:val="0"/>
        <w:jc w:val="both"/>
        <w:rPr>
          <w:sz w:val="18"/>
          <w:szCs w:val="18"/>
        </w:rPr>
      </w:pPr>
      <w:r w:rsidRPr="00380D65">
        <w:rPr>
          <w:sz w:val="18"/>
          <w:szCs w:val="18"/>
        </w:rPr>
        <w:t>Molecularly imprinted polymer solid phase extraction (MIP-SPE) method has been developed for the determination of organophosphorus pesticides (OPPs) in water samples. The MIP was prepared by thermo-polymerization method using methacrylic acid (MAA) as functional monomer, ethylene glycol dimethacrylate (EGDMA) as crosslinker, acetonitrile as porogenic solvent and quinalphos as the template molecule. The three OPPs (diazinon, quinalphos and chlorpyrifos) were selected as target analytes as they are widely used in agriculture sector.  Various parameters affecting the extraction efficiency of the imprinted polymers have been evaluated to optimize the selective preconcentration of OPPs from aqueous samples.  The characteristics of the MIP-SPE method were validated by high performance liquid chromatography (HPLC). The accuracy and selectivity of the MIP-SPE process developed were verified using non-imprinted polymer solid phase extraction (NIP-SPE) and a commercial C</w:t>
      </w:r>
      <w:r w:rsidRPr="00380D65">
        <w:rPr>
          <w:sz w:val="18"/>
          <w:szCs w:val="18"/>
          <w:vertAlign w:val="subscript"/>
        </w:rPr>
        <w:t>18</w:t>
      </w:r>
      <w:r w:rsidRPr="00380D65">
        <w:rPr>
          <w:sz w:val="18"/>
          <w:szCs w:val="18"/>
        </w:rPr>
        <w:t>-SPE was used for comparison. The recoveries of the target analytes obtained using the MIPs as the solid phase sorbent ranged from 83% to 98% (RSDs 1.05 - 1.98%; n=3) for water sample.  The developed MIP-SPE method demonstrates that it could be applied for the determination of OPPs in water samples.</w:t>
      </w:r>
    </w:p>
    <w:p w:rsidR="004B00B4" w:rsidRPr="00380D65" w:rsidRDefault="004B00B4" w:rsidP="004B00B4">
      <w:pPr>
        <w:autoSpaceDE w:val="0"/>
        <w:autoSpaceDN w:val="0"/>
        <w:adjustRightInd w:val="0"/>
        <w:jc w:val="both"/>
        <w:rPr>
          <w:sz w:val="18"/>
          <w:szCs w:val="18"/>
        </w:rPr>
      </w:pPr>
    </w:p>
    <w:p w:rsidR="0025403B" w:rsidRPr="00380D65" w:rsidRDefault="0025403B" w:rsidP="00B33907">
      <w:pPr>
        <w:pStyle w:val="BodyText"/>
        <w:tabs>
          <w:tab w:val="left" w:pos="-450"/>
          <w:tab w:val="left" w:pos="8820"/>
        </w:tabs>
        <w:spacing w:after="0"/>
        <w:ind w:right="350"/>
        <w:jc w:val="both"/>
        <w:rPr>
          <w:i/>
          <w:iCs/>
          <w:sz w:val="18"/>
          <w:szCs w:val="18"/>
          <w:lang w:val="ms-MY"/>
        </w:rPr>
      </w:pPr>
      <w:r w:rsidRPr="00380D65">
        <w:rPr>
          <w:b/>
          <w:sz w:val="18"/>
          <w:szCs w:val="18"/>
          <w:lang w:val="ms-MY"/>
        </w:rPr>
        <w:t xml:space="preserve">Key Words: </w:t>
      </w:r>
      <w:r w:rsidRPr="00380D65">
        <w:rPr>
          <w:sz w:val="18"/>
          <w:szCs w:val="18"/>
        </w:rPr>
        <w:t>Organophosphorus pesticides, Molecularly imprinted polymer, Solid phase extraction</w:t>
      </w:r>
    </w:p>
    <w:p w:rsidR="004B00B4" w:rsidRPr="00380D65" w:rsidRDefault="004B00B4" w:rsidP="004B00B4">
      <w:pPr>
        <w:autoSpaceDE w:val="0"/>
        <w:autoSpaceDN w:val="0"/>
        <w:adjustRightInd w:val="0"/>
        <w:jc w:val="both"/>
        <w:rPr>
          <w:sz w:val="18"/>
          <w:szCs w:val="18"/>
        </w:rPr>
      </w:pPr>
    </w:p>
    <w:p w:rsidR="004B00B4" w:rsidRPr="00B33907" w:rsidRDefault="004B00B4" w:rsidP="00380D65">
      <w:pPr>
        <w:jc w:val="center"/>
        <w:rPr>
          <w:b/>
          <w:sz w:val="18"/>
          <w:szCs w:val="18"/>
        </w:rPr>
      </w:pPr>
      <w:r w:rsidRPr="00B33907">
        <w:rPr>
          <w:b/>
          <w:sz w:val="18"/>
          <w:szCs w:val="18"/>
        </w:rPr>
        <w:t>Abstrak</w:t>
      </w:r>
    </w:p>
    <w:p w:rsidR="004B00B4" w:rsidRPr="00B33907" w:rsidRDefault="0073052E" w:rsidP="00380D65">
      <w:pPr>
        <w:pStyle w:val="NoSpacing"/>
        <w:spacing w:line="276" w:lineRule="auto"/>
        <w:jc w:val="both"/>
        <w:rPr>
          <w:sz w:val="18"/>
          <w:szCs w:val="18"/>
        </w:rPr>
      </w:pPr>
      <w:r w:rsidRPr="00B33907">
        <w:rPr>
          <w:sz w:val="18"/>
          <w:szCs w:val="18"/>
        </w:rPr>
        <w:t>Pengesktrakan</w:t>
      </w:r>
      <w:r w:rsidR="00380D65" w:rsidRPr="00B33907">
        <w:rPr>
          <w:sz w:val="18"/>
          <w:szCs w:val="18"/>
        </w:rPr>
        <w:t xml:space="preserve"> </w:t>
      </w:r>
      <w:r w:rsidRPr="00B33907">
        <w:rPr>
          <w:sz w:val="18"/>
          <w:szCs w:val="18"/>
        </w:rPr>
        <w:t>fasa</w:t>
      </w:r>
      <w:r w:rsidR="00380D65" w:rsidRPr="00B33907">
        <w:rPr>
          <w:sz w:val="18"/>
          <w:szCs w:val="18"/>
        </w:rPr>
        <w:t xml:space="preserve"> </w:t>
      </w:r>
      <w:r w:rsidRPr="00B33907">
        <w:rPr>
          <w:sz w:val="18"/>
          <w:szCs w:val="18"/>
        </w:rPr>
        <w:t>pepejal</w:t>
      </w:r>
      <w:r w:rsidR="00380D65" w:rsidRPr="00B33907">
        <w:rPr>
          <w:sz w:val="18"/>
          <w:szCs w:val="18"/>
        </w:rPr>
        <w:t xml:space="preserve"> </w:t>
      </w:r>
      <w:r w:rsidRPr="00B33907">
        <w:rPr>
          <w:sz w:val="18"/>
          <w:szCs w:val="18"/>
        </w:rPr>
        <w:t>p</w:t>
      </w:r>
      <w:r w:rsidR="004B00B4" w:rsidRPr="00B33907">
        <w:rPr>
          <w:sz w:val="18"/>
          <w:szCs w:val="18"/>
        </w:rPr>
        <w:t>olimer cap molekul</w:t>
      </w:r>
      <w:r w:rsidR="00380D65" w:rsidRPr="00B33907">
        <w:rPr>
          <w:sz w:val="18"/>
          <w:szCs w:val="18"/>
        </w:rPr>
        <w:t xml:space="preserve"> </w:t>
      </w:r>
      <w:r w:rsidRPr="00B33907">
        <w:rPr>
          <w:sz w:val="18"/>
          <w:szCs w:val="18"/>
        </w:rPr>
        <w:t>(MIP-SPE) telah</w:t>
      </w:r>
      <w:r w:rsidR="00380D65" w:rsidRPr="00B33907">
        <w:rPr>
          <w:sz w:val="18"/>
          <w:szCs w:val="18"/>
        </w:rPr>
        <w:t xml:space="preserve"> </w:t>
      </w:r>
      <w:r w:rsidRPr="00B33907">
        <w:rPr>
          <w:sz w:val="18"/>
          <w:szCs w:val="18"/>
        </w:rPr>
        <w:t>dibangunkan</w:t>
      </w:r>
      <w:r w:rsidR="00380D65" w:rsidRPr="00B33907">
        <w:rPr>
          <w:sz w:val="18"/>
          <w:szCs w:val="18"/>
        </w:rPr>
        <w:t xml:space="preserve"> </w:t>
      </w:r>
      <w:r w:rsidRPr="00B33907">
        <w:rPr>
          <w:sz w:val="18"/>
          <w:szCs w:val="18"/>
        </w:rPr>
        <w:t>bagi</w:t>
      </w:r>
      <w:r w:rsidR="00380D65" w:rsidRPr="00B33907">
        <w:rPr>
          <w:sz w:val="18"/>
          <w:szCs w:val="18"/>
        </w:rPr>
        <w:t xml:space="preserve"> </w:t>
      </w:r>
      <w:r w:rsidRPr="00B33907">
        <w:rPr>
          <w:sz w:val="18"/>
          <w:szCs w:val="18"/>
        </w:rPr>
        <w:t>penentuan</w:t>
      </w:r>
      <w:r w:rsidR="00380D65" w:rsidRPr="00B33907">
        <w:rPr>
          <w:sz w:val="18"/>
          <w:szCs w:val="18"/>
        </w:rPr>
        <w:t xml:space="preserve"> </w:t>
      </w:r>
      <w:r w:rsidRPr="00B33907">
        <w:rPr>
          <w:sz w:val="18"/>
          <w:szCs w:val="18"/>
        </w:rPr>
        <w:t>racun</w:t>
      </w:r>
      <w:r w:rsidR="00380D65" w:rsidRPr="00B33907">
        <w:rPr>
          <w:sz w:val="18"/>
          <w:szCs w:val="18"/>
        </w:rPr>
        <w:t xml:space="preserve"> </w:t>
      </w:r>
      <w:r w:rsidRPr="00B33907">
        <w:rPr>
          <w:sz w:val="18"/>
          <w:szCs w:val="18"/>
        </w:rPr>
        <w:t>organofosforus (OPPs) dalam</w:t>
      </w:r>
      <w:r w:rsidR="00380D65" w:rsidRPr="00B33907">
        <w:rPr>
          <w:sz w:val="18"/>
          <w:szCs w:val="18"/>
        </w:rPr>
        <w:t xml:space="preserve"> </w:t>
      </w:r>
      <w:r w:rsidRPr="00B33907">
        <w:rPr>
          <w:sz w:val="18"/>
          <w:szCs w:val="18"/>
        </w:rPr>
        <w:t>sampel air.</w:t>
      </w:r>
      <w:r w:rsidR="00380D65" w:rsidRPr="00B33907">
        <w:rPr>
          <w:sz w:val="18"/>
          <w:szCs w:val="18"/>
        </w:rPr>
        <w:t xml:space="preserve"> </w:t>
      </w:r>
      <w:r w:rsidR="004B00B4" w:rsidRPr="00B33907">
        <w:rPr>
          <w:sz w:val="18"/>
          <w:szCs w:val="18"/>
        </w:rPr>
        <w:t>MIP telah</w:t>
      </w:r>
      <w:r w:rsidR="00380D65" w:rsidRPr="00B33907">
        <w:rPr>
          <w:sz w:val="18"/>
          <w:szCs w:val="18"/>
        </w:rPr>
        <w:t xml:space="preserve"> </w:t>
      </w:r>
      <w:r w:rsidR="004B00B4" w:rsidRPr="00B33907">
        <w:rPr>
          <w:sz w:val="18"/>
          <w:szCs w:val="18"/>
        </w:rPr>
        <w:t>disediakan</w:t>
      </w:r>
      <w:r w:rsidR="00380D65" w:rsidRPr="00B33907">
        <w:rPr>
          <w:sz w:val="18"/>
          <w:szCs w:val="18"/>
        </w:rPr>
        <w:t xml:space="preserve"> </w:t>
      </w:r>
      <w:r w:rsidR="004B00B4" w:rsidRPr="00B33907">
        <w:rPr>
          <w:sz w:val="18"/>
          <w:szCs w:val="18"/>
        </w:rPr>
        <w:t>dengan</w:t>
      </w:r>
      <w:r w:rsidR="00380D65" w:rsidRPr="00B33907">
        <w:rPr>
          <w:sz w:val="18"/>
          <w:szCs w:val="18"/>
        </w:rPr>
        <w:t xml:space="preserve"> </w:t>
      </w:r>
      <w:r w:rsidR="004B00B4" w:rsidRPr="00B33907">
        <w:rPr>
          <w:sz w:val="18"/>
          <w:szCs w:val="18"/>
        </w:rPr>
        <w:t>kaedah</w:t>
      </w:r>
      <w:r w:rsidR="00380D65" w:rsidRPr="00B33907">
        <w:rPr>
          <w:sz w:val="18"/>
          <w:szCs w:val="18"/>
        </w:rPr>
        <w:t xml:space="preserve"> </w:t>
      </w:r>
      <w:r w:rsidR="004B00B4" w:rsidRPr="00B33907">
        <w:rPr>
          <w:sz w:val="18"/>
          <w:szCs w:val="18"/>
        </w:rPr>
        <w:t>pempolimeran</w:t>
      </w:r>
      <w:r w:rsidR="00380D65" w:rsidRPr="00B33907">
        <w:rPr>
          <w:sz w:val="18"/>
          <w:szCs w:val="18"/>
        </w:rPr>
        <w:t xml:space="preserve"> </w:t>
      </w:r>
      <w:r w:rsidR="004B00B4" w:rsidRPr="00B33907">
        <w:rPr>
          <w:sz w:val="18"/>
          <w:szCs w:val="18"/>
        </w:rPr>
        <w:t>terma</w:t>
      </w:r>
      <w:r w:rsidR="00380D65" w:rsidRPr="00B33907">
        <w:rPr>
          <w:sz w:val="18"/>
          <w:szCs w:val="18"/>
        </w:rPr>
        <w:t xml:space="preserve"> </w:t>
      </w:r>
      <w:r w:rsidR="004B00B4" w:rsidRPr="00B33907">
        <w:rPr>
          <w:sz w:val="18"/>
          <w:szCs w:val="18"/>
        </w:rPr>
        <w:t>menggunakan</w:t>
      </w:r>
      <w:r w:rsidR="00380D65" w:rsidRPr="00B33907">
        <w:rPr>
          <w:sz w:val="18"/>
          <w:szCs w:val="18"/>
        </w:rPr>
        <w:t xml:space="preserve"> </w:t>
      </w:r>
      <w:r w:rsidR="004B00B4" w:rsidRPr="00B33907">
        <w:rPr>
          <w:sz w:val="18"/>
          <w:szCs w:val="18"/>
        </w:rPr>
        <w:t>asid</w:t>
      </w:r>
      <w:r w:rsidR="00380D65" w:rsidRPr="00B33907">
        <w:rPr>
          <w:sz w:val="18"/>
          <w:szCs w:val="18"/>
        </w:rPr>
        <w:t xml:space="preserve"> </w:t>
      </w:r>
      <w:r w:rsidR="004B00B4" w:rsidRPr="00B33907">
        <w:rPr>
          <w:sz w:val="18"/>
          <w:szCs w:val="18"/>
        </w:rPr>
        <w:t>metakrilik (MAA) sebagai monomer berfungsi, etilina</w:t>
      </w:r>
      <w:r w:rsidR="00380D65" w:rsidRPr="00B33907">
        <w:rPr>
          <w:sz w:val="18"/>
          <w:szCs w:val="18"/>
        </w:rPr>
        <w:t xml:space="preserve"> </w:t>
      </w:r>
      <w:r w:rsidR="004B00B4" w:rsidRPr="00B33907">
        <w:rPr>
          <w:sz w:val="18"/>
          <w:szCs w:val="18"/>
        </w:rPr>
        <w:t>glikol</w:t>
      </w:r>
      <w:r w:rsidR="00380D65" w:rsidRPr="00B33907">
        <w:rPr>
          <w:sz w:val="18"/>
          <w:szCs w:val="18"/>
        </w:rPr>
        <w:t xml:space="preserve"> </w:t>
      </w:r>
      <w:r w:rsidR="004B00B4" w:rsidRPr="00B33907">
        <w:rPr>
          <w:sz w:val="18"/>
          <w:szCs w:val="18"/>
        </w:rPr>
        <w:t>dimetakrilik (EGDMA) sebagai</w:t>
      </w:r>
      <w:r w:rsidR="00380D65" w:rsidRPr="00B33907">
        <w:rPr>
          <w:sz w:val="18"/>
          <w:szCs w:val="18"/>
        </w:rPr>
        <w:t xml:space="preserve"> </w:t>
      </w:r>
      <w:r w:rsidR="004B00B4" w:rsidRPr="00B33907">
        <w:rPr>
          <w:sz w:val="18"/>
          <w:szCs w:val="18"/>
        </w:rPr>
        <w:t>rantai</w:t>
      </w:r>
      <w:r w:rsidR="00380D65" w:rsidRPr="00B33907">
        <w:rPr>
          <w:sz w:val="18"/>
          <w:szCs w:val="18"/>
        </w:rPr>
        <w:t xml:space="preserve"> </w:t>
      </w:r>
      <w:r w:rsidR="004B00B4" w:rsidRPr="00B33907">
        <w:rPr>
          <w:sz w:val="18"/>
          <w:szCs w:val="18"/>
        </w:rPr>
        <w:t xml:space="preserve">silang, </w:t>
      </w:r>
      <w:r w:rsidR="004B00B4" w:rsidRPr="00B33907">
        <w:rPr>
          <w:color w:val="222222"/>
          <w:sz w:val="18"/>
          <w:szCs w:val="18"/>
          <w:shd w:val="clear" w:color="auto" w:fill="FFFFFF"/>
        </w:rPr>
        <w:t>asetonitril</w:t>
      </w:r>
      <w:r w:rsidR="00380D65" w:rsidRPr="00B33907">
        <w:rPr>
          <w:color w:val="222222"/>
          <w:sz w:val="18"/>
          <w:szCs w:val="18"/>
          <w:shd w:val="clear" w:color="auto" w:fill="FFFFFF"/>
        </w:rPr>
        <w:t xml:space="preserve"> </w:t>
      </w:r>
      <w:r w:rsidR="004B00B4" w:rsidRPr="00B33907">
        <w:rPr>
          <w:color w:val="222222"/>
          <w:sz w:val="18"/>
          <w:szCs w:val="18"/>
          <w:shd w:val="clear" w:color="auto" w:fill="FFFFFF"/>
        </w:rPr>
        <w:t>sebagai</w:t>
      </w:r>
      <w:r w:rsidR="00380D65" w:rsidRPr="00B33907">
        <w:rPr>
          <w:color w:val="222222"/>
          <w:sz w:val="18"/>
          <w:szCs w:val="18"/>
          <w:shd w:val="clear" w:color="auto" w:fill="FFFFFF"/>
        </w:rPr>
        <w:t xml:space="preserve"> </w:t>
      </w:r>
      <w:r w:rsidR="004B00B4" w:rsidRPr="00B33907">
        <w:rPr>
          <w:color w:val="222222"/>
          <w:sz w:val="18"/>
          <w:szCs w:val="18"/>
          <w:shd w:val="clear" w:color="auto" w:fill="FFFFFF"/>
        </w:rPr>
        <w:t>pelarut</w:t>
      </w:r>
      <w:r w:rsidR="00380D65" w:rsidRPr="00B33907">
        <w:rPr>
          <w:color w:val="222222"/>
          <w:sz w:val="18"/>
          <w:szCs w:val="18"/>
          <w:shd w:val="clear" w:color="auto" w:fill="FFFFFF"/>
        </w:rPr>
        <w:t xml:space="preserve"> </w:t>
      </w:r>
      <w:r w:rsidR="004B00B4" w:rsidRPr="00B33907">
        <w:rPr>
          <w:color w:val="222222"/>
          <w:sz w:val="18"/>
          <w:szCs w:val="18"/>
          <w:shd w:val="clear" w:color="auto" w:fill="FFFFFF"/>
        </w:rPr>
        <w:t>porogen</w:t>
      </w:r>
      <w:r w:rsidR="00380D65" w:rsidRPr="00B33907">
        <w:rPr>
          <w:color w:val="222222"/>
          <w:sz w:val="18"/>
          <w:szCs w:val="18"/>
          <w:shd w:val="clear" w:color="auto" w:fill="FFFFFF"/>
        </w:rPr>
        <w:t xml:space="preserve"> </w:t>
      </w:r>
      <w:r w:rsidR="004B00B4" w:rsidRPr="00B33907">
        <w:rPr>
          <w:color w:val="222222"/>
          <w:sz w:val="18"/>
          <w:szCs w:val="18"/>
          <w:shd w:val="clear" w:color="auto" w:fill="FFFFFF"/>
        </w:rPr>
        <w:t>dan</w:t>
      </w:r>
      <w:r w:rsidR="00380D65" w:rsidRPr="00B33907">
        <w:rPr>
          <w:color w:val="222222"/>
          <w:sz w:val="18"/>
          <w:szCs w:val="18"/>
          <w:shd w:val="clear" w:color="auto" w:fill="FFFFFF"/>
        </w:rPr>
        <w:t xml:space="preserve"> </w:t>
      </w:r>
      <w:r w:rsidR="004B00B4" w:rsidRPr="00B33907">
        <w:rPr>
          <w:color w:val="222222"/>
          <w:sz w:val="18"/>
          <w:szCs w:val="18"/>
          <w:shd w:val="clear" w:color="auto" w:fill="FFFFFF"/>
        </w:rPr>
        <w:t>kuinalfos</w:t>
      </w:r>
      <w:r w:rsidR="00380D65" w:rsidRPr="00B33907">
        <w:rPr>
          <w:color w:val="222222"/>
          <w:sz w:val="18"/>
          <w:szCs w:val="18"/>
          <w:shd w:val="clear" w:color="auto" w:fill="FFFFFF"/>
        </w:rPr>
        <w:t xml:space="preserve"> </w:t>
      </w:r>
      <w:r w:rsidR="004B00B4" w:rsidRPr="00B33907">
        <w:rPr>
          <w:color w:val="222222"/>
          <w:sz w:val="18"/>
          <w:szCs w:val="18"/>
          <w:shd w:val="clear" w:color="auto" w:fill="FFFFFF"/>
        </w:rPr>
        <w:t>sebagai</w:t>
      </w:r>
      <w:r w:rsidR="00380D65" w:rsidRPr="00B33907">
        <w:rPr>
          <w:color w:val="222222"/>
          <w:sz w:val="18"/>
          <w:szCs w:val="18"/>
          <w:shd w:val="clear" w:color="auto" w:fill="FFFFFF"/>
        </w:rPr>
        <w:t xml:space="preserve"> </w:t>
      </w:r>
      <w:r w:rsidR="004B00B4" w:rsidRPr="00B33907">
        <w:rPr>
          <w:color w:val="222222"/>
          <w:sz w:val="18"/>
          <w:szCs w:val="18"/>
          <w:shd w:val="clear" w:color="auto" w:fill="FFFFFF"/>
        </w:rPr>
        <w:t>molekul</w:t>
      </w:r>
      <w:r w:rsidR="00380D65" w:rsidRPr="00B33907">
        <w:rPr>
          <w:color w:val="222222"/>
          <w:sz w:val="18"/>
          <w:szCs w:val="18"/>
          <w:shd w:val="clear" w:color="auto" w:fill="FFFFFF"/>
        </w:rPr>
        <w:t xml:space="preserve"> </w:t>
      </w:r>
      <w:r w:rsidR="004B00B4" w:rsidRPr="00B33907">
        <w:rPr>
          <w:color w:val="222222"/>
          <w:sz w:val="18"/>
          <w:szCs w:val="18"/>
          <w:shd w:val="clear" w:color="auto" w:fill="FFFFFF"/>
        </w:rPr>
        <w:t xml:space="preserve">templat. Tiga OPPs </w:t>
      </w:r>
      <w:r w:rsidR="004B00B4" w:rsidRPr="00B33907">
        <w:rPr>
          <w:sz w:val="18"/>
          <w:szCs w:val="18"/>
        </w:rPr>
        <w:t>(diazinon, kuinalfos</w:t>
      </w:r>
      <w:r w:rsidR="00380D65" w:rsidRPr="00B33907">
        <w:rPr>
          <w:sz w:val="18"/>
          <w:szCs w:val="18"/>
        </w:rPr>
        <w:t xml:space="preserve"> </w:t>
      </w:r>
      <w:r w:rsidR="004B00B4" w:rsidRPr="00B33907">
        <w:rPr>
          <w:sz w:val="18"/>
          <w:szCs w:val="18"/>
        </w:rPr>
        <w:t>dan</w:t>
      </w:r>
      <w:r w:rsidR="00380D65" w:rsidRPr="00B33907">
        <w:rPr>
          <w:sz w:val="18"/>
          <w:szCs w:val="18"/>
        </w:rPr>
        <w:t xml:space="preserve"> </w:t>
      </w:r>
      <w:r w:rsidR="004B00B4" w:rsidRPr="00B33907">
        <w:rPr>
          <w:sz w:val="18"/>
          <w:szCs w:val="18"/>
        </w:rPr>
        <w:t>klorpirifos) dipilih</w:t>
      </w:r>
      <w:r w:rsidR="00380D65" w:rsidRPr="00B33907">
        <w:rPr>
          <w:sz w:val="18"/>
          <w:szCs w:val="18"/>
        </w:rPr>
        <w:t xml:space="preserve"> </w:t>
      </w:r>
      <w:r w:rsidR="004B00B4" w:rsidRPr="00B33907">
        <w:rPr>
          <w:sz w:val="18"/>
          <w:szCs w:val="18"/>
        </w:rPr>
        <w:t>sebagai</w:t>
      </w:r>
      <w:r w:rsidR="00380D65" w:rsidRPr="00B33907">
        <w:rPr>
          <w:sz w:val="18"/>
          <w:szCs w:val="18"/>
        </w:rPr>
        <w:t xml:space="preserve"> </w:t>
      </w:r>
      <w:r w:rsidR="004B00B4" w:rsidRPr="00B33907">
        <w:rPr>
          <w:color w:val="222222"/>
          <w:sz w:val="18"/>
          <w:szCs w:val="18"/>
          <w:shd w:val="clear" w:color="auto" w:fill="FFFFFF"/>
        </w:rPr>
        <w:t>analit</w:t>
      </w:r>
      <w:r w:rsidR="00380D65" w:rsidRPr="00B33907">
        <w:rPr>
          <w:color w:val="222222"/>
          <w:sz w:val="18"/>
          <w:szCs w:val="18"/>
          <w:shd w:val="clear" w:color="auto" w:fill="FFFFFF"/>
        </w:rPr>
        <w:t xml:space="preserve"> </w:t>
      </w:r>
      <w:r w:rsidR="004B00B4" w:rsidRPr="00B33907">
        <w:rPr>
          <w:color w:val="222222"/>
          <w:sz w:val="18"/>
          <w:szCs w:val="18"/>
          <w:shd w:val="clear" w:color="auto" w:fill="FFFFFF"/>
        </w:rPr>
        <w:t>sasaran</w:t>
      </w:r>
      <w:r w:rsidR="004B00B4" w:rsidRPr="00B33907">
        <w:rPr>
          <w:rStyle w:val="apple-converted-space"/>
          <w:bCs/>
          <w:color w:val="222222"/>
          <w:sz w:val="18"/>
          <w:szCs w:val="18"/>
          <w:shd w:val="clear" w:color="auto" w:fill="FFFFFF"/>
        </w:rPr>
        <w:t> </w:t>
      </w:r>
      <w:r w:rsidR="004B00B4" w:rsidRPr="00B33907">
        <w:rPr>
          <w:bCs/>
          <w:color w:val="222222"/>
          <w:sz w:val="18"/>
          <w:szCs w:val="18"/>
          <w:shd w:val="clear" w:color="auto" w:fill="FFFFFF"/>
        </w:rPr>
        <w:t>kerana</w:t>
      </w:r>
      <w:r w:rsidR="00380D65" w:rsidRPr="00B33907">
        <w:rPr>
          <w:bCs/>
          <w:color w:val="222222"/>
          <w:sz w:val="18"/>
          <w:szCs w:val="18"/>
          <w:shd w:val="clear" w:color="auto" w:fill="FFFFFF"/>
        </w:rPr>
        <w:t xml:space="preserve"> </w:t>
      </w:r>
      <w:r w:rsidR="004B00B4" w:rsidRPr="00B33907">
        <w:rPr>
          <w:bCs/>
          <w:color w:val="222222"/>
          <w:sz w:val="18"/>
          <w:szCs w:val="18"/>
          <w:shd w:val="clear" w:color="auto" w:fill="FFFFFF"/>
        </w:rPr>
        <w:t>ia</w:t>
      </w:r>
      <w:r w:rsidR="00380D65" w:rsidRPr="00B33907">
        <w:rPr>
          <w:bCs/>
          <w:color w:val="222222"/>
          <w:sz w:val="18"/>
          <w:szCs w:val="18"/>
          <w:shd w:val="clear" w:color="auto" w:fill="FFFFFF"/>
        </w:rPr>
        <w:t xml:space="preserve"> </w:t>
      </w:r>
      <w:r w:rsidR="004B00B4" w:rsidRPr="00B33907">
        <w:rPr>
          <w:bCs/>
          <w:color w:val="222222"/>
          <w:sz w:val="18"/>
          <w:szCs w:val="18"/>
          <w:shd w:val="clear" w:color="auto" w:fill="FFFFFF"/>
        </w:rPr>
        <w:t>digunakan</w:t>
      </w:r>
      <w:r w:rsidR="00380D65" w:rsidRPr="00B33907">
        <w:rPr>
          <w:bCs/>
          <w:color w:val="222222"/>
          <w:sz w:val="18"/>
          <w:szCs w:val="18"/>
          <w:shd w:val="clear" w:color="auto" w:fill="FFFFFF"/>
        </w:rPr>
        <w:t xml:space="preserve"> </w:t>
      </w:r>
      <w:r w:rsidR="004B00B4" w:rsidRPr="00B33907">
        <w:rPr>
          <w:bCs/>
          <w:color w:val="222222"/>
          <w:sz w:val="18"/>
          <w:szCs w:val="18"/>
          <w:shd w:val="clear" w:color="auto" w:fill="FFFFFF"/>
        </w:rPr>
        <w:t>secara</w:t>
      </w:r>
      <w:r w:rsidR="00380D65" w:rsidRPr="00B33907">
        <w:rPr>
          <w:bCs/>
          <w:color w:val="222222"/>
          <w:sz w:val="18"/>
          <w:szCs w:val="18"/>
          <w:shd w:val="clear" w:color="auto" w:fill="FFFFFF"/>
        </w:rPr>
        <w:t xml:space="preserve"> </w:t>
      </w:r>
      <w:r w:rsidR="004B00B4" w:rsidRPr="00B33907">
        <w:rPr>
          <w:bCs/>
          <w:color w:val="222222"/>
          <w:sz w:val="18"/>
          <w:szCs w:val="18"/>
          <w:shd w:val="clear" w:color="auto" w:fill="FFFFFF"/>
        </w:rPr>
        <w:t>meluas</w:t>
      </w:r>
      <w:r w:rsidR="00380D65" w:rsidRPr="00B33907">
        <w:rPr>
          <w:bCs/>
          <w:color w:val="222222"/>
          <w:sz w:val="18"/>
          <w:szCs w:val="18"/>
          <w:shd w:val="clear" w:color="auto" w:fill="FFFFFF"/>
        </w:rPr>
        <w:t xml:space="preserve"> d</w:t>
      </w:r>
      <w:r w:rsidR="004B00B4" w:rsidRPr="00B33907">
        <w:rPr>
          <w:bCs/>
          <w:color w:val="222222"/>
          <w:sz w:val="18"/>
          <w:szCs w:val="18"/>
          <w:shd w:val="clear" w:color="auto" w:fill="FFFFFF"/>
        </w:rPr>
        <w:t>alam</w:t>
      </w:r>
      <w:r w:rsidR="00380D65" w:rsidRPr="00B33907">
        <w:rPr>
          <w:bCs/>
          <w:color w:val="222222"/>
          <w:sz w:val="18"/>
          <w:szCs w:val="18"/>
          <w:shd w:val="clear" w:color="auto" w:fill="FFFFFF"/>
        </w:rPr>
        <w:t xml:space="preserve"> </w:t>
      </w:r>
      <w:r w:rsidR="004B00B4" w:rsidRPr="00B33907">
        <w:rPr>
          <w:bCs/>
          <w:color w:val="222222"/>
          <w:sz w:val="18"/>
          <w:szCs w:val="18"/>
          <w:shd w:val="clear" w:color="auto" w:fill="FFFFFF"/>
        </w:rPr>
        <w:t>sektor</w:t>
      </w:r>
      <w:r w:rsidR="00380D65" w:rsidRPr="00B33907">
        <w:rPr>
          <w:bCs/>
          <w:color w:val="222222"/>
          <w:sz w:val="18"/>
          <w:szCs w:val="18"/>
          <w:shd w:val="clear" w:color="auto" w:fill="FFFFFF"/>
        </w:rPr>
        <w:t xml:space="preserve"> </w:t>
      </w:r>
      <w:r w:rsidR="004B00B4" w:rsidRPr="00B33907">
        <w:rPr>
          <w:bCs/>
          <w:color w:val="222222"/>
          <w:sz w:val="18"/>
          <w:szCs w:val="18"/>
          <w:shd w:val="clear" w:color="auto" w:fill="FFFFFF"/>
        </w:rPr>
        <w:t>pertanian. Pelbagai parameter yang mempengaruhi</w:t>
      </w:r>
      <w:r w:rsidR="00380D65" w:rsidRPr="00B33907">
        <w:rPr>
          <w:bCs/>
          <w:color w:val="222222"/>
          <w:sz w:val="18"/>
          <w:szCs w:val="18"/>
          <w:shd w:val="clear" w:color="auto" w:fill="FFFFFF"/>
        </w:rPr>
        <w:t xml:space="preserve"> </w:t>
      </w:r>
      <w:r w:rsidR="004B00B4" w:rsidRPr="00B33907">
        <w:rPr>
          <w:rFonts w:eastAsiaTheme="minorHAnsi"/>
          <w:sz w:val="18"/>
          <w:szCs w:val="18"/>
        </w:rPr>
        <w:t>kecekapan</w:t>
      </w:r>
      <w:r w:rsidR="00380D65" w:rsidRPr="00B33907">
        <w:rPr>
          <w:rFonts w:eastAsiaTheme="minorHAnsi"/>
          <w:sz w:val="18"/>
          <w:szCs w:val="18"/>
        </w:rPr>
        <w:t xml:space="preserve"> </w:t>
      </w:r>
      <w:r w:rsidR="004B00B4" w:rsidRPr="00B33907">
        <w:rPr>
          <w:rFonts w:eastAsiaTheme="minorHAnsi"/>
          <w:sz w:val="18"/>
          <w:szCs w:val="18"/>
        </w:rPr>
        <w:t>pengekstrakan</w:t>
      </w:r>
      <w:r w:rsidR="00380D65" w:rsidRPr="00B33907">
        <w:rPr>
          <w:rFonts w:eastAsiaTheme="minorHAnsi"/>
          <w:sz w:val="18"/>
          <w:szCs w:val="18"/>
        </w:rPr>
        <w:t xml:space="preserve"> </w:t>
      </w:r>
      <w:r w:rsidR="004B00B4" w:rsidRPr="00B33907">
        <w:rPr>
          <w:rFonts w:eastAsiaTheme="minorHAnsi"/>
          <w:sz w:val="18"/>
          <w:szCs w:val="18"/>
        </w:rPr>
        <w:t>polimer cap telah</w:t>
      </w:r>
      <w:r w:rsidR="00380D65" w:rsidRPr="00B33907">
        <w:rPr>
          <w:rFonts w:eastAsiaTheme="minorHAnsi"/>
          <w:sz w:val="18"/>
          <w:szCs w:val="18"/>
        </w:rPr>
        <w:t xml:space="preserve"> </w:t>
      </w:r>
      <w:r w:rsidR="004B00B4" w:rsidRPr="00B33907">
        <w:rPr>
          <w:rFonts w:eastAsiaTheme="minorHAnsi"/>
          <w:sz w:val="18"/>
          <w:szCs w:val="18"/>
        </w:rPr>
        <w:t>dinilai</w:t>
      </w:r>
      <w:r w:rsidR="00380D65" w:rsidRPr="00B33907">
        <w:rPr>
          <w:rFonts w:eastAsiaTheme="minorHAnsi"/>
          <w:sz w:val="18"/>
          <w:szCs w:val="18"/>
        </w:rPr>
        <w:t xml:space="preserve"> </w:t>
      </w:r>
      <w:r w:rsidR="004B00B4" w:rsidRPr="00B33907">
        <w:rPr>
          <w:rFonts w:eastAsiaTheme="minorHAnsi"/>
          <w:sz w:val="18"/>
          <w:szCs w:val="18"/>
        </w:rPr>
        <w:t>bagi</w:t>
      </w:r>
      <w:r w:rsidR="00380D65" w:rsidRPr="00B33907">
        <w:rPr>
          <w:rFonts w:eastAsiaTheme="minorHAnsi"/>
          <w:sz w:val="18"/>
          <w:szCs w:val="18"/>
        </w:rPr>
        <w:t xml:space="preserve"> </w:t>
      </w:r>
      <w:r w:rsidR="004B00B4" w:rsidRPr="00B33907">
        <w:rPr>
          <w:rFonts w:eastAsiaTheme="minorHAnsi"/>
          <w:sz w:val="18"/>
          <w:szCs w:val="18"/>
        </w:rPr>
        <w:t>mengoptimumkan</w:t>
      </w:r>
      <w:r w:rsidR="00380D65" w:rsidRPr="00B33907">
        <w:rPr>
          <w:rFonts w:eastAsiaTheme="minorHAnsi"/>
          <w:sz w:val="18"/>
          <w:szCs w:val="18"/>
        </w:rPr>
        <w:t xml:space="preserve"> </w:t>
      </w:r>
      <w:r w:rsidR="004B00B4" w:rsidRPr="00B33907">
        <w:rPr>
          <w:rFonts w:eastAsiaTheme="minorHAnsi"/>
          <w:sz w:val="18"/>
          <w:szCs w:val="18"/>
        </w:rPr>
        <w:t>pra-pemekatan</w:t>
      </w:r>
      <w:r w:rsidR="00380D65" w:rsidRPr="00B33907">
        <w:rPr>
          <w:rFonts w:eastAsiaTheme="minorHAnsi"/>
          <w:sz w:val="18"/>
          <w:szCs w:val="18"/>
        </w:rPr>
        <w:t xml:space="preserve"> </w:t>
      </w:r>
      <w:r w:rsidR="004B00B4" w:rsidRPr="00B33907">
        <w:rPr>
          <w:rFonts w:eastAsiaTheme="minorHAnsi"/>
          <w:sz w:val="18"/>
          <w:szCs w:val="18"/>
        </w:rPr>
        <w:t>bagi</w:t>
      </w:r>
      <w:r w:rsidR="00380D65" w:rsidRPr="00B33907">
        <w:rPr>
          <w:rFonts w:eastAsiaTheme="minorHAnsi"/>
          <w:sz w:val="18"/>
          <w:szCs w:val="18"/>
        </w:rPr>
        <w:t xml:space="preserve"> </w:t>
      </w:r>
      <w:r w:rsidR="004B00B4" w:rsidRPr="00B33907">
        <w:rPr>
          <w:rFonts w:eastAsiaTheme="minorHAnsi"/>
          <w:sz w:val="18"/>
          <w:szCs w:val="18"/>
        </w:rPr>
        <w:t>sebatian OPPs dalam</w:t>
      </w:r>
      <w:r w:rsidR="00380D65" w:rsidRPr="00B33907">
        <w:rPr>
          <w:rFonts w:eastAsiaTheme="minorHAnsi"/>
          <w:sz w:val="18"/>
          <w:szCs w:val="18"/>
        </w:rPr>
        <w:t xml:space="preserve"> </w:t>
      </w:r>
      <w:r w:rsidR="004B00B4" w:rsidRPr="00B33907">
        <w:rPr>
          <w:rFonts w:eastAsiaTheme="minorHAnsi"/>
          <w:sz w:val="18"/>
          <w:szCs w:val="18"/>
        </w:rPr>
        <w:t>sampel</w:t>
      </w:r>
      <w:r w:rsidR="00380D65" w:rsidRPr="00B33907">
        <w:rPr>
          <w:rFonts w:eastAsiaTheme="minorHAnsi"/>
          <w:sz w:val="18"/>
          <w:szCs w:val="18"/>
        </w:rPr>
        <w:t xml:space="preserve"> </w:t>
      </w:r>
      <w:r w:rsidR="004B00B4" w:rsidRPr="00B33907">
        <w:rPr>
          <w:rFonts w:eastAsiaTheme="minorHAnsi"/>
          <w:sz w:val="18"/>
          <w:szCs w:val="18"/>
        </w:rPr>
        <w:t xml:space="preserve">akueus. </w:t>
      </w:r>
      <w:r w:rsidR="004B00B4" w:rsidRPr="00B33907">
        <w:rPr>
          <w:sz w:val="18"/>
          <w:szCs w:val="18"/>
        </w:rPr>
        <w:t>Kaedah MIP-SPE telah</w:t>
      </w:r>
      <w:r w:rsidR="00380D65" w:rsidRPr="00B33907">
        <w:rPr>
          <w:sz w:val="18"/>
          <w:szCs w:val="18"/>
        </w:rPr>
        <w:t xml:space="preserve"> </w:t>
      </w:r>
      <w:r w:rsidR="004B00B4" w:rsidRPr="00B33907">
        <w:rPr>
          <w:sz w:val="18"/>
          <w:szCs w:val="18"/>
        </w:rPr>
        <w:t>disahkan</w:t>
      </w:r>
      <w:r w:rsidR="00380D65" w:rsidRPr="00B33907">
        <w:rPr>
          <w:sz w:val="18"/>
          <w:szCs w:val="18"/>
        </w:rPr>
        <w:t xml:space="preserve"> </w:t>
      </w:r>
      <w:r w:rsidR="004B00B4" w:rsidRPr="00B33907">
        <w:rPr>
          <w:sz w:val="18"/>
          <w:szCs w:val="18"/>
        </w:rPr>
        <w:t>menggunakan</w:t>
      </w:r>
      <w:r w:rsidR="00380D65" w:rsidRPr="00B33907">
        <w:rPr>
          <w:sz w:val="18"/>
          <w:szCs w:val="18"/>
        </w:rPr>
        <w:t xml:space="preserve"> </w:t>
      </w:r>
      <w:r w:rsidR="004B00B4" w:rsidRPr="00B33907">
        <w:rPr>
          <w:sz w:val="18"/>
          <w:szCs w:val="18"/>
        </w:rPr>
        <w:t>kromatografi</w:t>
      </w:r>
      <w:r w:rsidR="00380D65" w:rsidRPr="00B33907">
        <w:rPr>
          <w:sz w:val="18"/>
          <w:szCs w:val="18"/>
        </w:rPr>
        <w:t xml:space="preserve"> </w:t>
      </w:r>
      <w:r w:rsidR="004B00B4" w:rsidRPr="00B33907">
        <w:rPr>
          <w:sz w:val="18"/>
          <w:szCs w:val="18"/>
        </w:rPr>
        <w:t>cecair</w:t>
      </w:r>
      <w:r w:rsidR="00380D65" w:rsidRPr="00B33907">
        <w:rPr>
          <w:sz w:val="18"/>
          <w:szCs w:val="18"/>
        </w:rPr>
        <w:t xml:space="preserve"> </w:t>
      </w:r>
      <w:r w:rsidR="004B00B4" w:rsidRPr="00B33907">
        <w:rPr>
          <w:sz w:val="18"/>
          <w:szCs w:val="18"/>
        </w:rPr>
        <w:t>prestasi</w:t>
      </w:r>
      <w:r w:rsidR="00380D65" w:rsidRPr="00B33907">
        <w:rPr>
          <w:sz w:val="18"/>
          <w:szCs w:val="18"/>
        </w:rPr>
        <w:t xml:space="preserve"> </w:t>
      </w:r>
      <w:r w:rsidR="004B00B4" w:rsidRPr="00B33907">
        <w:rPr>
          <w:sz w:val="18"/>
          <w:szCs w:val="18"/>
        </w:rPr>
        <w:t>tinggi (HPLC).Ketelitian</w:t>
      </w:r>
      <w:r w:rsidR="00380D65" w:rsidRPr="00B33907">
        <w:rPr>
          <w:sz w:val="18"/>
          <w:szCs w:val="18"/>
        </w:rPr>
        <w:t xml:space="preserve"> </w:t>
      </w:r>
      <w:r w:rsidR="004B00B4" w:rsidRPr="00B33907">
        <w:rPr>
          <w:sz w:val="18"/>
          <w:szCs w:val="18"/>
        </w:rPr>
        <w:t>sertak</w:t>
      </w:r>
      <w:r w:rsidR="00380D65" w:rsidRPr="00B33907">
        <w:rPr>
          <w:sz w:val="18"/>
          <w:szCs w:val="18"/>
        </w:rPr>
        <w:t xml:space="preserve"> </w:t>
      </w:r>
      <w:r w:rsidR="004B00B4" w:rsidRPr="00B33907">
        <w:rPr>
          <w:sz w:val="18"/>
          <w:szCs w:val="18"/>
        </w:rPr>
        <w:t>etepatan</w:t>
      </w:r>
      <w:r w:rsidR="00380D65" w:rsidRPr="00B33907">
        <w:rPr>
          <w:sz w:val="18"/>
          <w:szCs w:val="18"/>
        </w:rPr>
        <w:t xml:space="preserve"> </w:t>
      </w:r>
      <w:r w:rsidR="004B00B4" w:rsidRPr="00B33907">
        <w:rPr>
          <w:sz w:val="18"/>
          <w:szCs w:val="18"/>
        </w:rPr>
        <w:t>kaedah MIP-SPE telah</w:t>
      </w:r>
      <w:r w:rsidR="00380D65" w:rsidRPr="00B33907">
        <w:rPr>
          <w:sz w:val="18"/>
          <w:szCs w:val="18"/>
        </w:rPr>
        <w:t xml:space="preserve"> </w:t>
      </w:r>
      <w:r w:rsidR="004B00B4" w:rsidRPr="00B33907">
        <w:rPr>
          <w:sz w:val="18"/>
          <w:szCs w:val="18"/>
        </w:rPr>
        <w:t>diuji</w:t>
      </w:r>
      <w:r w:rsidR="00380D65" w:rsidRPr="00B33907">
        <w:rPr>
          <w:sz w:val="18"/>
          <w:szCs w:val="18"/>
        </w:rPr>
        <w:t xml:space="preserve"> </w:t>
      </w:r>
      <w:r w:rsidR="004B00B4" w:rsidRPr="00B33907">
        <w:rPr>
          <w:sz w:val="18"/>
          <w:szCs w:val="18"/>
        </w:rPr>
        <w:t>dengan</w:t>
      </w:r>
      <w:r w:rsidR="00380D65" w:rsidRPr="00B33907">
        <w:rPr>
          <w:sz w:val="18"/>
          <w:szCs w:val="18"/>
        </w:rPr>
        <w:t xml:space="preserve"> </w:t>
      </w:r>
      <w:r w:rsidR="004B00B4" w:rsidRPr="00B33907">
        <w:rPr>
          <w:sz w:val="18"/>
          <w:szCs w:val="18"/>
        </w:rPr>
        <w:t>menggunakan</w:t>
      </w:r>
      <w:r w:rsidR="00380D65" w:rsidRPr="00B33907">
        <w:rPr>
          <w:sz w:val="18"/>
          <w:szCs w:val="18"/>
        </w:rPr>
        <w:t xml:space="preserve"> </w:t>
      </w:r>
      <w:r w:rsidR="004B00B4" w:rsidRPr="00B33907">
        <w:rPr>
          <w:sz w:val="18"/>
          <w:szCs w:val="18"/>
        </w:rPr>
        <w:t>pengesktrakan</w:t>
      </w:r>
      <w:r w:rsidR="00380D65" w:rsidRPr="00B33907">
        <w:rPr>
          <w:sz w:val="18"/>
          <w:szCs w:val="18"/>
        </w:rPr>
        <w:t xml:space="preserve"> </w:t>
      </w:r>
      <w:r w:rsidR="004B00B4" w:rsidRPr="00B33907">
        <w:rPr>
          <w:sz w:val="18"/>
          <w:szCs w:val="18"/>
        </w:rPr>
        <w:t>fasa</w:t>
      </w:r>
      <w:r w:rsidR="00380D65" w:rsidRPr="00B33907">
        <w:rPr>
          <w:sz w:val="18"/>
          <w:szCs w:val="18"/>
        </w:rPr>
        <w:t xml:space="preserve"> </w:t>
      </w:r>
      <w:r w:rsidR="004B00B4" w:rsidRPr="00B33907">
        <w:rPr>
          <w:sz w:val="18"/>
          <w:szCs w:val="18"/>
        </w:rPr>
        <w:t>pepejal</w:t>
      </w:r>
      <w:r w:rsidR="00B33907" w:rsidRPr="00B33907">
        <w:rPr>
          <w:sz w:val="18"/>
          <w:szCs w:val="18"/>
        </w:rPr>
        <w:t xml:space="preserve"> </w:t>
      </w:r>
      <w:r w:rsidR="004B00B4" w:rsidRPr="00B33907">
        <w:rPr>
          <w:sz w:val="18"/>
          <w:szCs w:val="18"/>
        </w:rPr>
        <w:t>polimer</w:t>
      </w:r>
      <w:r w:rsidR="00B33907" w:rsidRPr="00B33907">
        <w:rPr>
          <w:sz w:val="18"/>
          <w:szCs w:val="18"/>
        </w:rPr>
        <w:t xml:space="preserve"> </w:t>
      </w:r>
      <w:r w:rsidR="004B00B4" w:rsidRPr="00B33907">
        <w:rPr>
          <w:sz w:val="18"/>
          <w:szCs w:val="18"/>
        </w:rPr>
        <w:t>bukan cap (NIP-SPE) dan</w:t>
      </w:r>
      <w:r w:rsidR="00B33907" w:rsidRPr="00B33907">
        <w:rPr>
          <w:sz w:val="18"/>
          <w:szCs w:val="18"/>
        </w:rPr>
        <w:t xml:space="preserve"> </w:t>
      </w:r>
      <w:r w:rsidR="004B00B4" w:rsidRPr="00B33907">
        <w:rPr>
          <w:sz w:val="18"/>
          <w:szCs w:val="18"/>
        </w:rPr>
        <w:t>komersial C</w:t>
      </w:r>
      <w:r w:rsidR="004B00B4" w:rsidRPr="00B33907">
        <w:rPr>
          <w:sz w:val="18"/>
          <w:szCs w:val="18"/>
          <w:vertAlign w:val="subscript"/>
        </w:rPr>
        <w:t>18</w:t>
      </w:r>
      <w:r w:rsidR="004B00B4" w:rsidRPr="00B33907">
        <w:rPr>
          <w:sz w:val="18"/>
          <w:szCs w:val="18"/>
        </w:rPr>
        <w:t>-SPE telah</w:t>
      </w:r>
      <w:r w:rsidR="00B33907" w:rsidRPr="00B33907">
        <w:rPr>
          <w:sz w:val="18"/>
          <w:szCs w:val="18"/>
        </w:rPr>
        <w:t xml:space="preserve"> </w:t>
      </w:r>
      <w:r w:rsidR="004B00B4" w:rsidRPr="00B33907">
        <w:rPr>
          <w:sz w:val="18"/>
          <w:szCs w:val="18"/>
        </w:rPr>
        <w:t>digunakan</w:t>
      </w:r>
      <w:r w:rsidR="00B33907" w:rsidRPr="00B33907">
        <w:rPr>
          <w:sz w:val="18"/>
          <w:szCs w:val="18"/>
        </w:rPr>
        <w:t xml:space="preserve"> </w:t>
      </w:r>
      <w:r w:rsidR="004B00B4" w:rsidRPr="00B33907">
        <w:rPr>
          <w:sz w:val="18"/>
          <w:szCs w:val="18"/>
        </w:rPr>
        <w:t>sebagai</w:t>
      </w:r>
      <w:r w:rsidR="00B33907" w:rsidRPr="00B33907">
        <w:rPr>
          <w:sz w:val="18"/>
          <w:szCs w:val="18"/>
        </w:rPr>
        <w:t xml:space="preserve"> </w:t>
      </w:r>
      <w:r w:rsidR="004B00B4" w:rsidRPr="00B33907">
        <w:rPr>
          <w:sz w:val="18"/>
          <w:szCs w:val="18"/>
        </w:rPr>
        <w:t>perbandingan. Peratus</w:t>
      </w:r>
      <w:r w:rsidR="00B33907" w:rsidRPr="00B33907">
        <w:rPr>
          <w:sz w:val="18"/>
          <w:szCs w:val="18"/>
        </w:rPr>
        <w:t xml:space="preserve"> </w:t>
      </w:r>
      <w:r w:rsidR="004B00B4" w:rsidRPr="00B33907">
        <w:rPr>
          <w:sz w:val="18"/>
          <w:szCs w:val="18"/>
        </w:rPr>
        <w:t>pengembalian yang diperolehi</w:t>
      </w:r>
      <w:r w:rsidR="00B33907" w:rsidRPr="00B33907">
        <w:rPr>
          <w:sz w:val="18"/>
          <w:szCs w:val="18"/>
        </w:rPr>
        <w:t xml:space="preserve"> </w:t>
      </w:r>
      <w:r w:rsidR="004B00B4" w:rsidRPr="00B33907">
        <w:rPr>
          <w:sz w:val="18"/>
          <w:szCs w:val="18"/>
        </w:rPr>
        <w:t>bagi</w:t>
      </w:r>
      <w:r w:rsidR="00B33907" w:rsidRPr="00B33907">
        <w:rPr>
          <w:sz w:val="18"/>
          <w:szCs w:val="18"/>
        </w:rPr>
        <w:t xml:space="preserve"> </w:t>
      </w:r>
      <w:r w:rsidR="004B00B4" w:rsidRPr="00B33907">
        <w:rPr>
          <w:sz w:val="18"/>
          <w:szCs w:val="18"/>
        </w:rPr>
        <w:t>sasaran</w:t>
      </w:r>
      <w:r w:rsidR="00B33907" w:rsidRPr="00B33907">
        <w:rPr>
          <w:sz w:val="18"/>
          <w:szCs w:val="18"/>
        </w:rPr>
        <w:t xml:space="preserve"> </w:t>
      </w:r>
      <w:r w:rsidR="004B00B4" w:rsidRPr="00B33907">
        <w:rPr>
          <w:sz w:val="18"/>
          <w:szCs w:val="18"/>
        </w:rPr>
        <w:t>analit</w:t>
      </w:r>
      <w:r w:rsidR="00B33907" w:rsidRPr="00B33907">
        <w:rPr>
          <w:sz w:val="18"/>
          <w:szCs w:val="18"/>
        </w:rPr>
        <w:t xml:space="preserve"> </w:t>
      </w:r>
      <w:r w:rsidR="004B00B4" w:rsidRPr="00B33907">
        <w:rPr>
          <w:sz w:val="18"/>
          <w:szCs w:val="18"/>
        </w:rPr>
        <w:t>menggunakan MIP sebagai</w:t>
      </w:r>
      <w:r w:rsidR="00B33907" w:rsidRPr="00B33907">
        <w:rPr>
          <w:sz w:val="18"/>
          <w:szCs w:val="18"/>
        </w:rPr>
        <w:t xml:space="preserve"> </w:t>
      </w:r>
      <w:r w:rsidR="004B00B4" w:rsidRPr="00B33907">
        <w:rPr>
          <w:sz w:val="18"/>
          <w:szCs w:val="18"/>
        </w:rPr>
        <w:t>penyerap</w:t>
      </w:r>
      <w:r w:rsidR="00B33907" w:rsidRPr="00B33907">
        <w:rPr>
          <w:sz w:val="18"/>
          <w:szCs w:val="18"/>
        </w:rPr>
        <w:t xml:space="preserve"> </w:t>
      </w:r>
      <w:r w:rsidR="004B00B4" w:rsidRPr="00B33907">
        <w:rPr>
          <w:sz w:val="18"/>
          <w:szCs w:val="18"/>
        </w:rPr>
        <w:t>fasa</w:t>
      </w:r>
      <w:r w:rsidR="00B33907" w:rsidRPr="00B33907">
        <w:rPr>
          <w:sz w:val="18"/>
          <w:szCs w:val="18"/>
        </w:rPr>
        <w:t xml:space="preserve"> </w:t>
      </w:r>
      <w:r w:rsidR="004B00B4" w:rsidRPr="00B33907">
        <w:rPr>
          <w:sz w:val="18"/>
          <w:szCs w:val="18"/>
        </w:rPr>
        <w:t>pepejal</w:t>
      </w:r>
      <w:r w:rsidR="00B33907" w:rsidRPr="00B33907">
        <w:rPr>
          <w:sz w:val="18"/>
          <w:szCs w:val="18"/>
        </w:rPr>
        <w:t xml:space="preserve"> </w:t>
      </w:r>
      <w:r w:rsidR="004B00B4" w:rsidRPr="00B33907">
        <w:rPr>
          <w:sz w:val="18"/>
          <w:szCs w:val="18"/>
        </w:rPr>
        <w:t>adalah</w:t>
      </w:r>
      <w:r w:rsidR="00B33907" w:rsidRPr="00B33907">
        <w:rPr>
          <w:sz w:val="18"/>
          <w:szCs w:val="18"/>
        </w:rPr>
        <w:t xml:space="preserve"> </w:t>
      </w:r>
      <w:r w:rsidR="004B00B4" w:rsidRPr="00B33907">
        <w:rPr>
          <w:sz w:val="18"/>
          <w:szCs w:val="18"/>
        </w:rPr>
        <w:t>dalam</w:t>
      </w:r>
      <w:r w:rsidR="00B33907" w:rsidRPr="00B33907">
        <w:rPr>
          <w:sz w:val="18"/>
          <w:szCs w:val="18"/>
        </w:rPr>
        <w:t xml:space="preserve"> </w:t>
      </w:r>
      <w:r w:rsidR="004B00B4" w:rsidRPr="00B33907">
        <w:rPr>
          <w:sz w:val="18"/>
          <w:szCs w:val="18"/>
        </w:rPr>
        <w:t>lingkungan 83% hingga 98% (sisihan</w:t>
      </w:r>
      <w:r w:rsidR="00B33907" w:rsidRPr="00B33907">
        <w:rPr>
          <w:sz w:val="18"/>
          <w:szCs w:val="18"/>
        </w:rPr>
        <w:t xml:space="preserve"> </w:t>
      </w:r>
      <w:r w:rsidR="004B00B4" w:rsidRPr="00B33907">
        <w:rPr>
          <w:sz w:val="18"/>
          <w:szCs w:val="18"/>
        </w:rPr>
        <w:t>piaw</w:t>
      </w:r>
      <w:r w:rsidR="00B33907" w:rsidRPr="00B33907">
        <w:rPr>
          <w:sz w:val="18"/>
          <w:szCs w:val="18"/>
        </w:rPr>
        <w:t>ai relatif</w:t>
      </w:r>
      <w:r w:rsidR="004B00B4" w:rsidRPr="00B33907">
        <w:rPr>
          <w:sz w:val="18"/>
          <w:szCs w:val="18"/>
        </w:rPr>
        <w:t>, RSD 1.05 hingga 1.98%) bagi</w:t>
      </w:r>
      <w:r w:rsidR="00B33907" w:rsidRPr="00B33907">
        <w:rPr>
          <w:sz w:val="18"/>
          <w:szCs w:val="18"/>
        </w:rPr>
        <w:t xml:space="preserve"> </w:t>
      </w:r>
      <w:r w:rsidR="004B00B4" w:rsidRPr="00B33907">
        <w:rPr>
          <w:sz w:val="18"/>
          <w:szCs w:val="18"/>
        </w:rPr>
        <w:t>sampel air. Kaedah MIP-SPE yang telah</w:t>
      </w:r>
      <w:r w:rsidR="00B33907" w:rsidRPr="00B33907">
        <w:rPr>
          <w:sz w:val="18"/>
          <w:szCs w:val="18"/>
        </w:rPr>
        <w:t xml:space="preserve"> </w:t>
      </w:r>
      <w:r w:rsidR="004B00B4" w:rsidRPr="00B33907">
        <w:rPr>
          <w:sz w:val="18"/>
          <w:szCs w:val="18"/>
        </w:rPr>
        <w:t>dibangunkan</w:t>
      </w:r>
      <w:r w:rsidR="00B33907" w:rsidRPr="00B33907">
        <w:rPr>
          <w:sz w:val="18"/>
          <w:szCs w:val="18"/>
        </w:rPr>
        <w:t xml:space="preserve"> </w:t>
      </w:r>
      <w:r w:rsidR="004B00B4" w:rsidRPr="00B33907">
        <w:rPr>
          <w:sz w:val="18"/>
          <w:szCs w:val="18"/>
        </w:rPr>
        <w:t>terbukti</w:t>
      </w:r>
      <w:r w:rsidR="00B33907" w:rsidRPr="00B33907">
        <w:rPr>
          <w:sz w:val="18"/>
          <w:szCs w:val="18"/>
        </w:rPr>
        <w:t xml:space="preserve"> </w:t>
      </w:r>
      <w:r w:rsidR="004B00B4" w:rsidRPr="00B33907">
        <w:rPr>
          <w:sz w:val="18"/>
          <w:szCs w:val="18"/>
        </w:rPr>
        <w:t>boleh</w:t>
      </w:r>
      <w:r w:rsidR="00B33907" w:rsidRPr="00B33907">
        <w:rPr>
          <w:sz w:val="18"/>
          <w:szCs w:val="18"/>
        </w:rPr>
        <w:t xml:space="preserve"> </w:t>
      </w:r>
      <w:r w:rsidR="004B00B4" w:rsidRPr="00B33907">
        <w:rPr>
          <w:sz w:val="18"/>
          <w:szCs w:val="18"/>
        </w:rPr>
        <w:t>digunakan</w:t>
      </w:r>
      <w:r w:rsidR="00B33907" w:rsidRPr="00B33907">
        <w:rPr>
          <w:sz w:val="18"/>
          <w:szCs w:val="18"/>
        </w:rPr>
        <w:t xml:space="preserve"> </w:t>
      </w:r>
      <w:r w:rsidR="004B00B4" w:rsidRPr="00B33907">
        <w:rPr>
          <w:sz w:val="18"/>
          <w:szCs w:val="18"/>
        </w:rPr>
        <w:t>untuk</w:t>
      </w:r>
      <w:r w:rsidR="00B33907" w:rsidRPr="00B33907">
        <w:rPr>
          <w:sz w:val="18"/>
          <w:szCs w:val="18"/>
        </w:rPr>
        <w:t xml:space="preserve"> </w:t>
      </w:r>
      <w:r w:rsidR="004B00B4" w:rsidRPr="00B33907">
        <w:rPr>
          <w:sz w:val="18"/>
          <w:szCs w:val="18"/>
        </w:rPr>
        <w:t>penentuan OPPs dalam</w:t>
      </w:r>
      <w:r w:rsidR="00B33907" w:rsidRPr="00B33907">
        <w:rPr>
          <w:sz w:val="18"/>
          <w:szCs w:val="18"/>
        </w:rPr>
        <w:t xml:space="preserve"> </w:t>
      </w:r>
      <w:r w:rsidR="004B00B4" w:rsidRPr="00B33907">
        <w:rPr>
          <w:sz w:val="18"/>
          <w:szCs w:val="18"/>
        </w:rPr>
        <w:t>sampel air.</w:t>
      </w:r>
    </w:p>
    <w:p w:rsidR="0025403B" w:rsidRPr="00B33907" w:rsidRDefault="0025403B" w:rsidP="004B00B4">
      <w:pPr>
        <w:pStyle w:val="NoSpacing"/>
        <w:spacing w:line="276" w:lineRule="auto"/>
        <w:jc w:val="both"/>
        <w:rPr>
          <w:color w:val="222222"/>
          <w:sz w:val="18"/>
          <w:szCs w:val="18"/>
          <w:shd w:val="clear" w:color="auto" w:fill="FFFFFF"/>
        </w:rPr>
      </w:pPr>
    </w:p>
    <w:p w:rsidR="0025403B" w:rsidRPr="00B33907" w:rsidRDefault="0025403B" w:rsidP="00B33907">
      <w:pPr>
        <w:pStyle w:val="BodyText"/>
        <w:tabs>
          <w:tab w:val="left" w:pos="-450"/>
          <w:tab w:val="left" w:pos="8820"/>
        </w:tabs>
        <w:spacing w:after="0"/>
        <w:ind w:right="350"/>
        <w:jc w:val="both"/>
        <w:rPr>
          <w:sz w:val="18"/>
          <w:szCs w:val="18"/>
        </w:rPr>
      </w:pPr>
      <w:r w:rsidRPr="00B33907">
        <w:rPr>
          <w:b/>
          <w:sz w:val="18"/>
          <w:szCs w:val="18"/>
          <w:lang w:val="ms-MY"/>
        </w:rPr>
        <w:t xml:space="preserve">Kata kunci: </w:t>
      </w:r>
      <w:r w:rsidRPr="00B33907">
        <w:rPr>
          <w:sz w:val="18"/>
          <w:szCs w:val="18"/>
        </w:rPr>
        <w:t>Racun</w:t>
      </w:r>
      <w:r w:rsidR="00B33907" w:rsidRPr="00B33907">
        <w:rPr>
          <w:sz w:val="18"/>
          <w:szCs w:val="18"/>
        </w:rPr>
        <w:t xml:space="preserve"> </w:t>
      </w:r>
      <w:r w:rsidRPr="00B33907">
        <w:rPr>
          <w:sz w:val="18"/>
          <w:szCs w:val="18"/>
        </w:rPr>
        <w:t>organofosforus, Polimer cap molekul, Pengekstrakan</w:t>
      </w:r>
      <w:r w:rsidR="00B33907" w:rsidRPr="00B33907">
        <w:rPr>
          <w:sz w:val="18"/>
          <w:szCs w:val="18"/>
        </w:rPr>
        <w:t xml:space="preserve"> </w:t>
      </w:r>
      <w:r w:rsidRPr="00B33907">
        <w:rPr>
          <w:sz w:val="18"/>
          <w:szCs w:val="18"/>
        </w:rPr>
        <w:t>fasa</w:t>
      </w:r>
      <w:r w:rsidR="00B33907" w:rsidRPr="00B33907">
        <w:rPr>
          <w:sz w:val="18"/>
          <w:szCs w:val="18"/>
        </w:rPr>
        <w:t xml:space="preserve"> </w:t>
      </w:r>
      <w:r w:rsidRPr="00B33907">
        <w:rPr>
          <w:sz w:val="18"/>
          <w:szCs w:val="18"/>
        </w:rPr>
        <w:t>pepejal</w:t>
      </w:r>
    </w:p>
    <w:p w:rsidR="004B00B4" w:rsidRPr="004B00B4" w:rsidRDefault="004B00B4" w:rsidP="004B00B4">
      <w:pPr>
        <w:pStyle w:val="NoSpacing"/>
        <w:rPr>
          <w:color w:val="222222"/>
          <w:sz w:val="18"/>
          <w:szCs w:val="18"/>
          <w:shd w:val="clear" w:color="auto" w:fill="FFFFFF"/>
        </w:rPr>
      </w:pPr>
    </w:p>
    <w:p w:rsidR="004B00B4" w:rsidRPr="004B00B4" w:rsidRDefault="004B00B4" w:rsidP="004B00B4">
      <w:pPr>
        <w:pStyle w:val="BodyText"/>
        <w:tabs>
          <w:tab w:val="left" w:pos="-450"/>
          <w:tab w:val="left" w:pos="8820"/>
        </w:tabs>
        <w:spacing w:after="0"/>
        <w:ind w:left="360" w:right="350"/>
        <w:jc w:val="center"/>
        <w:rPr>
          <w:i/>
          <w:iCs/>
          <w:sz w:val="18"/>
          <w:szCs w:val="18"/>
          <w:lang w:val="ms-MY"/>
        </w:rPr>
      </w:pPr>
    </w:p>
    <w:p w:rsidR="00A07E1E" w:rsidRDefault="00A07E1E" w:rsidP="00A07E1E">
      <w:pPr>
        <w:autoSpaceDE w:val="0"/>
        <w:autoSpaceDN w:val="0"/>
        <w:adjustRightInd w:val="0"/>
        <w:jc w:val="both"/>
        <w:rPr>
          <w:sz w:val="20"/>
          <w:szCs w:val="20"/>
        </w:rPr>
      </w:pPr>
    </w:p>
    <w:p w:rsidR="00B975C7" w:rsidRPr="00A67A82" w:rsidRDefault="00B975C7" w:rsidP="00A07E1E">
      <w:pPr>
        <w:autoSpaceDE w:val="0"/>
        <w:autoSpaceDN w:val="0"/>
        <w:adjustRightInd w:val="0"/>
        <w:jc w:val="both"/>
      </w:pPr>
    </w:p>
    <w:p w:rsidR="00CA5919" w:rsidRPr="003B45BF" w:rsidRDefault="00CA5919" w:rsidP="001B3805">
      <w:pPr>
        <w:jc w:val="center"/>
        <w:rPr>
          <w:caps/>
          <w:noProof/>
          <w:sz w:val="20"/>
          <w:szCs w:val="20"/>
        </w:rPr>
      </w:pPr>
      <w:r w:rsidRPr="003B45BF">
        <w:rPr>
          <w:b/>
          <w:iCs/>
          <w:caps/>
          <w:sz w:val="20"/>
          <w:szCs w:val="20"/>
        </w:rPr>
        <w:t>INTRODUCTION</w:t>
      </w:r>
    </w:p>
    <w:p w:rsidR="00CA5919" w:rsidRPr="003B45BF" w:rsidRDefault="00CA5919" w:rsidP="00652E07">
      <w:pPr>
        <w:rPr>
          <w:iCs/>
          <w:color w:val="0000FF"/>
          <w:sz w:val="20"/>
          <w:szCs w:val="20"/>
        </w:rPr>
      </w:pPr>
    </w:p>
    <w:p w:rsidR="00A67A82" w:rsidRPr="003B45BF" w:rsidRDefault="00A67A82" w:rsidP="00A67A82">
      <w:pPr>
        <w:jc w:val="both"/>
        <w:rPr>
          <w:sz w:val="20"/>
          <w:szCs w:val="20"/>
        </w:rPr>
      </w:pPr>
      <w:r w:rsidRPr="003B45BF">
        <w:rPr>
          <w:sz w:val="20"/>
          <w:szCs w:val="20"/>
        </w:rPr>
        <w:t xml:space="preserve">        Molecularly imprinted polymers (MIPs) are crosslinked polymers with specific recognition sites complementary in term of size, shape and functionality, to the template molecule, involving an interaction mechanism bas</w:t>
      </w:r>
      <w:r w:rsidR="00E31F10">
        <w:rPr>
          <w:sz w:val="20"/>
          <w:szCs w:val="20"/>
        </w:rPr>
        <w:t xml:space="preserve">ed on molecular recognition [1]. </w:t>
      </w:r>
      <w:r w:rsidRPr="003B45BF">
        <w:rPr>
          <w:sz w:val="20"/>
          <w:szCs w:val="20"/>
        </w:rPr>
        <w:t xml:space="preserve"> In recent years, the development of MIPs for solid phase extraction (SPE) has been extensively reported </w:t>
      </w:r>
      <w:r w:rsidR="00DB7F7C" w:rsidRPr="003B45BF">
        <w:rPr>
          <w:sz w:val="20"/>
          <w:szCs w:val="20"/>
        </w:rPr>
        <w:t>since it provides good selecti</w:t>
      </w:r>
      <w:r w:rsidRPr="003B45BF">
        <w:rPr>
          <w:sz w:val="20"/>
          <w:szCs w:val="20"/>
        </w:rPr>
        <w:t>vity as separation materials [2-4].  These applications deal with the selective enrichment and sample clean-up of traces of organic compounds from aqueous samples (such as tap, river and waste waters) or for the purifications of extracts resulting from the treatment of solid samp</w:t>
      </w:r>
      <w:r w:rsidR="00652E07" w:rsidRPr="003B45BF">
        <w:rPr>
          <w:sz w:val="20"/>
          <w:szCs w:val="20"/>
        </w:rPr>
        <w:t>les (such as soil or sediment).</w:t>
      </w:r>
    </w:p>
    <w:p w:rsidR="00A67A82" w:rsidRPr="003B45BF" w:rsidRDefault="00A67A82" w:rsidP="00A67A82">
      <w:pPr>
        <w:jc w:val="both"/>
        <w:rPr>
          <w:sz w:val="20"/>
          <w:szCs w:val="20"/>
        </w:rPr>
      </w:pPr>
    </w:p>
    <w:p w:rsidR="00A67A82" w:rsidRDefault="00A67A82" w:rsidP="003B45BF">
      <w:pPr>
        <w:jc w:val="both"/>
        <w:rPr>
          <w:sz w:val="20"/>
          <w:szCs w:val="20"/>
        </w:rPr>
      </w:pPr>
      <w:r w:rsidRPr="003B45BF">
        <w:rPr>
          <w:sz w:val="20"/>
          <w:szCs w:val="20"/>
        </w:rPr>
        <w:t xml:space="preserve">Organophosphorus pesticides (OPPs) are important compounds to be analyzed because over the last few </w:t>
      </w:r>
      <w:r w:rsidR="009E1D39" w:rsidRPr="003B45BF">
        <w:rPr>
          <w:sz w:val="20"/>
          <w:szCs w:val="20"/>
        </w:rPr>
        <w:t>years’</w:t>
      </w:r>
      <w:r w:rsidRPr="003B45BF">
        <w:rPr>
          <w:sz w:val="20"/>
          <w:szCs w:val="20"/>
        </w:rPr>
        <w:t xml:space="preserve"> pesticide contamination of drinking water and agricultural products has become a major concern and the number of pesticide has been steadily increasing [5]. They are widely used in agriculture and animal production for </w:t>
      </w:r>
      <w:r w:rsidR="00BA3989" w:rsidRPr="003B45BF">
        <w:rPr>
          <w:sz w:val="20"/>
          <w:szCs w:val="20"/>
        </w:rPr>
        <w:t>the control of various insects.</w:t>
      </w:r>
      <w:r w:rsidRPr="003B45BF">
        <w:rPr>
          <w:sz w:val="20"/>
          <w:szCs w:val="20"/>
        </w:rPr>
        <w:t>He</w:t>
      </w:r>
      <w:r w:rsidR="00216959" w:rsidRPr="003B45BF">
        <w:rPr>
          <w:sz w:val="20"/>
          <w:szCs w:val="20"/>
        </w:rPr>
        <w:t>nce,</w:t>
      </w:r>
      <w:r w:rsidR="008973F5">
        <w:rPr>
          <w:sz w:val="20"/>
          <w:szCs w:val="20"/>
        </w:rPr>
        <w:t xml:space="preserve"> it is of great interest to develop</w:t>
      </w:r>
      <w:r w:rsidR="00216959" w:rsidRPr="003B45BF">
        <w:rPr>
          <w:sz w:val="20"/>
          <w:szCs w:val="20"/>
        </w:rPr>
        <w:t>a new MIP</w:t>
      </w:r>
      <w:r w:rsidR="00BA215D">
        <w:rPr>
          <w:sz w:val="20"/>
          <w:szCs w:val="20"/>
        </w:rPr>
        <w:t>-</w:t>
      </w:r>
      <w:r w:rsidR="008973F5">
        <w:rPr>
          <w:sz w:val="20"/>
          <w:szCs w:val="20"/>
        </w:rPr>
        <w:t>SPE that uses</w:t>
      </w:r>
      <w:r w:rsidR="00674C2C">
        <w:rPr>
          <w:sz w:val="20"/>
          <w:szCs w:val="20"/>
        </w:rPr>
        <w:t>OPP</w:t>
      </w:r>
      <w:r w:rsidRPr="003B45BF">
        <w:rPr>
          <w:sz w:val="20"/>
          <w:szCs w:val="20"/>
        </w:rPr>
        <w:t xml:space="preserve"> as a template</w:t>
      </w:r>
      <w:r w:rsidR="00674C2C">
        <w:rPr>
          <w:sz w:val="20"/>
          <w:szCs w:val="20"/>
        </w:rPr>
        <w:t xml:space="preserve"> for the determination of OPPs. In this work MIP-SPE was developed using quinalphos as a template</w:t>
      </w:r>
      <w:r w:rsidRPr="003B45BF">
        <w:rPr>
          <w:sz w:val="20"/>
          <w:szCs w:val="20"/>
        </w:rPr>
        <w:t>, methacrylic acid as a functional group and ethylene glycol dimethacrylate as a cross l</w:t>
      </w:r>
      <w:r w:rsidR="00674C2C">
        <w:rPr>
          <w:sz w:val="20"/>
          <w:szCs w:val="20"/>
        </w:rPr>
        <w:t xml:space="preserve">inker </w:t>
      </w:r>
      <w:r w:rsidRPr="003B45BF">
        <w:rPr>
          <w:sz w:val="20"/>
          <w:szCs w:val="20"/>
        </w:rPr>
        <w:t>by non-covalent imprinting through bulk polymerization method. The target analytes with</w:t>
      </w:r>
      <w:r w:rsidR="00674C2C">
        <w:rPr>
          <w:sz w:val="20"/>
          <w:szCs w:val="20"/>
        </w:rPr>
        <w:t xml:space="preserve"> structures similar to quinalphos, namely diazinon and c</w:t>
      </w:r>
      <w:r w:rsidR="00674C2C" w:rsidRPr="003B45BF">
        <w:rPr>
          <w:sz w:val="20"/>
          <w:szCs w:val="20"/>
        </w:rPr>
        <w:t>hlorpyrifos</w:t>
      </w:r>
      <w:r w:rsidRPr="003B45BF">
        <w:rPr>
          <w:sz w:val="20"/>
          <w:szCs w:val="20"/>
        </w:rPr>
        <w:t>were considered in this study</w:t>
      </w:r>
      <w:r w:rsidR="00674C2C" w:rsidRPr="003B45BF">
        <w:rPr>
          <w:sz w:val="20"/>
          <w:szCs w:val="20"/>
        </w:rPr>
        <w:t>(Figure 1)</w:t>
      </w:r>
      <w:r w:rsidR="00674C2C">
        <w:rPr>
          <w:sz w:val="20"/>
          <w:szCs w:val="20"/>
        </w:rPr>
        <w:t xml:space="preserve">. The extraction efficiency of the </w:t>
      </w:r>
      <w:r w:rsidR="00674C2C" w:rsidRPr="003B45BF">
        <w:rPr>
          <w:sz w:val="20"/>
          <w:szCs w:val="20"/>
        </w:rPr>
        <w:t>MIP</w:t>
      </w:r>
      <w:r w:rsidR="00674C2C">
        <w:rPr>
          <w:sz w:val="20"/>
          <w:szCs w:val="20"/>
        </w:rPr>
        <w:t>-</w:t>
      </w:r>
      <w:r w:rsidR="00674C2C" w:rsidRPr="003B45BF">
        <w:rPr>
          <w:sz w:val="20"/>
          <w:szCs w:val="20"/>
        </w:rPr>
        <w:t xml:space="preserve">SPE </w:t>
      </w:r>
      <w:r w:rsidR="00674C2C">
        <w:rPr>
          <w:sz w:val="20"/>
          <w:szCs w:val="20"/>
        </w:rPr>
        <w:t xml:space="preserve">of </w:t>
      </w:r>
      <w:r w:rsidRPr="003B45BF">
        <w:rPr>
          <w:sz w:val="20"/>
          <w:szCs w:val="20"/>
        </w:rPr>
        <w:t xml:space="preserve">OPPs from environmental water samples </w:t>
      </w:r>
      <w:r w:rsidR="00674C2C">
        <w:rPr>
          <w:sz w:val="20"/>
          <w:szCs w:val="20"/>
        </w:rPr>
        <w:t>was evaluated using HPLC and a</w:t>
      </w:r>
      <w:r w:rsidRPr="003B45BF">
        <w:rPr>
          <w:sz w:val="20"/>
          <w:szCs w:val="20"/>
        </w:rPr>
        <w:t>nal</w:t>
      </w:r>
      <w:r w:rsidR="00674C2C">
        <w:rPr>
          <w:sz w:val="20"/>
          <w:szCs w:val="20"/>
        </w:rPr>
        <w:t>ytical parameters of the method,</w:t>
      </w:r>
      <w:r w:rsidRPr="003B45BF">
        <w:rPr>
          <w:sz w:val="20"/>
          <w:szCs w:val="20"/>
        </w:rPr>
        <w:t xml:space="preserve"> linearity, detection limits and repeatability were establish</w:t>
      </w:r>
      <w:r w:rsidR="00674C2C">
        <w:rPr>
          <w:sz w:val="20"/>
          <w:szCs w:val="20"/>
        </w:rPr>
        <w:t>ed.</w:t>
      </w:r>
      <w:r w:rsidRPr="003B45BF">
        <w:rPr>
          <w:sz w:val="20"/>
          <w:szCs w:val="20"/>
        </w:rPr>
        <w:t xml:space="preserve"> The method </w:t>
      </w:r>
      <w:r w:rsidR="00674C2C">
        <w:rPr>
          <w:sz w:val="20"/>
          <w:szCs w:val="20"/>
        </w:rPr>
        <w:t>was</w:t>
      </w:r>
      <w:r w:rsidRPr="003B45BF">
        <w:rPr>
          <w:sz w:val="20"/>
          <w:szCs w:val="20"/>
        </w:rPr>
        <w:t xml:space="preserve"> validated and</w:t>
      </w:r>
      <w:r w:rsidR="00674C2C">
        <w:rPr>
          <w:sz w:val="20"/>
          <w:szCs w:val="20"/>
        </w:rPr>
        <w:t xml:space="preserve"> successfully</w:t>
      </w:r>
      <w:r w:rsidRPr="003B45BF">
        <w:rPr>
          <w:sz w:val="20"/>
          <w:szCs w:val="20"/>
        </w:rPr>
        <w:t xml:space="preserve"> applied to determined OPPs compounds from environmental w</w:t>
      </w:r>
      <w:r w:rsidR="00674C2C">
        <w:rPr>
          <w:sz w:val="20"/>
          <w:szCs w:val="20"/>
        </w:rPr>
        <w:t>ater samples</w:t>
      </w:r>
      <w:r w:rsidR="003B45BF">
        <w:rPr>
          <w:sz w:val="20"/>
          <w:szCs w:val="20"/>
        </w:rPr>
        <w:t>.</w:t>
      </w:r>
    </w:p>
    <w:p w:rsidR="00AF2928" w:rsidRDefault="00AF2928" w:rsidP="003B45BF">
      <w:pPr>
        <w:jc w:val="both"/>
        <w:rPr>
          <w:sz w:val="20"/>
          <w:szCs w:val="20"/>
        </w:rPr>
      </w:pPr>
    </w:p>
    <w:p w:rsidR="003B45BF" w:rsidRPr="003B45BF" w:rsidRDefault="003B45BF" w:rsidP="003B45BF">
      <w:pPr>
        <w:jc w:val="both"/>
        <w:rPr>
          <w:sz w:val="20"/>
          <w:szCs w:val="20"/>
        </w:rPr>
      </w:pPr>
    </w:p>
    <w:p w:rsidR="00A67A82" w:rsidRPr="003B45BF" w:rsidRDefault="00C832FE" w:rsidP="00A67A82">
      <w:pPr>
        <w:tabs>
          <w:tab w:val="left" w:pos="5244"/>
        </w:tabs>
        <w:jc w:val="center"/>
        <w:rPr>
          <w:sz w:val="20"/>
          <w:szCs w:val="20"/>
        </w:rPr>
      </w:pPr>
      <w:r w:rsidRPr="003B45BF">
        <w:rPr>
          <w:sz w:val="20"/>
          <w:szCs w:val="20"/>
        </w:rPr>
        <w:object w:dxaOrig="4956" w:dyaOrig="2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45.75pt" o:ole="">
            <v:imagedata r:id="rId8" o:title=""/>
          </v:shape>
          <o:OLEObject Type="Embed" ProgID="ChemDraw.Document.6.0" ShapeID="_x0000_i1025" DrawAspect="Content" ObjectID="_1379325901" r:id="rId9"/>
        </w:object>
      </w:r>
      <w:r w:rsidRPr="003B45BF">
        <w:rPr>
          <w:sz w:val="20"/>
          <w:szCs w:val="20"/>
        </w:rPr>
        <w:object w:dxaOrig="5308" w:dyaOrig="2680">
          <v:shape id="_x0000_i1026" type="#_x0000_t75" style="width:104.25pt;height:57.75pt" o:ole="">
            <v:imagedata r:id="rId10" o:title=""/>
          </v:shape>
          <o:OLEObject Type="Embed" ProgID="ChemDraw.Document.6.0" ShapeID="_x0000_i1026" DrawAspect="Content" ObjectID="_1379325902" r:id="rId11"/>
        </w:object>
      </w:r>
      <w:r w:rsidRPr="003B45BF">
        <w:rPr>
          <w:sz w:val="20"/>
          <w:szCs w:val="20"/>
        </w:rPr>
        <w:object w:dxaOrig="5224" w:dyaOrig="2600">
          <v:shape id="_x0000_i1027" type="#_x0000_t75" style="width:107.25pt;height:56.25pt" o:ole="">
            <v:imagedata r:id="rId12" o:title=""/>
          </v:shape>
          <o:OLEObject Type="Embed" ProgID="ChemDraw.Document.6.0" ShapeID="_x0000_i1027" DrawAspect="Content" ObjectID="_1379325903" r:id="rId13"/>
        </w:object>
      </w:r>
    </w:p>
    <w:p w:rsidR="00A67A82" w:rsidRPr="003B45BF" w:rsidRDefault="00A67A82" w:rsidP="00B8699B">
      <w:pPr>
        <w:jc w:val="center"/>
        <w:rPr>
          <w:sz w:val="20"/>
          <w:szCs w:val="20"/>
        </w:rPr>
      </w:pPr>
      <w:r w:rsidRPr="003B45BF">
        <w:rPr>
          <w:sz w:val="20"/>
          <w:szCs w:val="20"/>
        </w:rPr>
        <w:t>Quinalphos</w:t>
      </w:r>
      <w:r w:rsidRPr="003B45BF">
        <w:rPr>
          <w:sz w:val="20"/>
          <w:szCs w:val="20"/>
        </w:rPr>
        <w:tab/>
      </w:r>
      <w:r w:rsidRPr="003B45BF">
        <w:rPr>
          <w:sz w:val="20"/>
          <w:szCs w:val="20"/>
        </w:rPr>
        <w:tab/>
        <w:t>Diazinon</w:t>
      </w:r>
      <w:r w:rsidRPr="003B45BF">
        <w:rPr>
          <w:sz w:val="20"/>
          <w:szCs w:val="20"/>
        </w:rPr>
        <w:tab/>
      </w:r>
      <w:r w:rsidRPr="003B45BF">
        <w:rPr>
          <w:sz w:val="20"/>
          <w:szCs w:val="20"/>
        </w:rPr>
        <w:tab/>
      </w:r>
      <w:r w:rsidRPr="003B45BF">
        <w:rPr>
          <w:sz w:val="20"/>
          <w:szCs w:val="20"/>
        </w:rPr>
        <w:tab/>
        <w:t>Chlorpyrifos</w:t>
      </w:r>
    </w:p>
    <w:p w:rsidR="00A67A82" w:rsidRPr="00170067" w:rsidRDefault="00AF2928" w:rsidP="00AF2928">
      <w:pPr>
        <w:rPr>
          <w:i/>
          <w:sz w:val="20"/>
          <w:szCs w:val="20"/>
        </w:rPr>
      </w:pPr>
      <w:r w:rsidRPr="00170067">
        <w:rPr>
          <w:i/>
          <w:sz w:val="20"/>
          <w:szCs w:val="20"/>
        </w:rPr>
        <w:tab/>
      </w:r>
      <w:r w:rsidRPr="00170067">
        <w:rPr>
          <w:i/>
          <w:sz w:val="20"/>
          <w:szCs w:val="20"/>
        </w:rPr>
        <w:tab/>
        <w:t>(Template)</w:t>
      </w:r>
    </w:p>
    <w:p w:rsidR="00AF2928" w:rsidRPr="003B45BF" w:rsidRDefault="00AF2928" w:rsidP="00AF2928">
      <w:pPr>
        <w:rPr>
          <w:sz w:val="20"/>
          <w:szCs w:val="20"/>
        </w:rPr>
      </w:pPr>
    </w:p>
    <w:p w:rsidR="00A07E1E" w:rsidRPr="003B45BF" w:rsidRDefault="00A67A82" w:rsidP="009E1D39">
      <w:pPr>
        <w:jc w:val="center"/>
        <w:rPr>
          <w:sz w:val="20"/>
          <w:szCs w:val="20"/>
        </w:rPr>
      </w:pPr>
      <w:r w:rsidRPr="003B45BF">
        <w:rPr>
          <w:b/>
          <w:sz w:val="20"/>
          <w:szCs w:val="20"/>
        </w:rPr>
        <w:t>Figure 1</w:t>
      </w:r>
      <w:r w:rsidR="00B02472">
        <w:rPr>
          <w:sz w:val="20"/>
          <w:szCs w:val="20"/>
        </w:rPr>
        <w:t>: Structures of t</w:t>
      </w:r>
      <w:r w:rsidRPr="003B45BF">
        <w:rPr>
          <w:sz w:val="20"/>
          <w:szCs w:val="20"/>
        </w:rPr>
        <w:t>arget analytes</w:t>
      </w:r>
    </w:p>
    <w:p w:rsidR="005A1FA0" w:rsidRDefault="00E66D68" w:rsidP="00C006A1">
      <w:pPr>
        <w:tabs>
          <w:tab w:val="left" w:pos="5430"/>
        </w:tabs>
        <w:rPr>
          <w:sz w:val="20"/>
          <w:szCs w:val="20"/>
        </w:rPr>
      </w:pPr>
      <w:r w:rsidRPr="003B45BF">
        <w:rPr>
          <w:sz w:val="20"/>
          <w:szCs w:val="20"/>
        </w:rPr>
        <w:tab/>
      </w:r>
    </w:p>
    <w:p w:rsidR="00C006A1" w:rsidRPr="00C006A1" w:rsidRDefault="00C006A1" w:rsidP="00C006A1">
      <w:pPr>
        <w:tabs>
          <w:tab w:val="left" w:pos="5430"/>
        </w:tabs>
        <w:rPr>
          <w:sz w:val="20"/>
          <w:szCs w:val="20"/>
        </w:rPr>
      </w:pPr>
    </w:p>
    <w:p w:rsidR="003B45BF" w:rsidRPr="003B45BF" w:rsidRDefault="003B45BF" w:rsidP="00A07E1E">
      <w:pPr>
        <w:jc w:val="both"/>
        <w:rPr>
          <w:iCs/>
          <w:sz w:val="20"/>
          <w:szCs w:val="20"/>
        </w:rPr>
      </w:pPr>
    </w:p>
    <w:p w:rsidR="00CA5919" w:rsidRPr="003B45BF" w:rsidRDefault="00CA5919" w:rsidP="006067A0">
      <w:pPr>
        <w:pStyle w:val="Heading7"/>
        <w:spacing w:before="0" w:after="0"/>
        <w:jc w:val="center"/>
        <w:rPr>
          <w:rFonts w:ascii="Times New Roman" w:hAnsi="Times New Roman"/>
          <w:b/>
          <w:iCs/>
          <w:caps/>
          <w:noProof/>
          <w:color w:val="FF0000"/>
          <w:sz w:val="20"/>
          <w:szCs w:val="20"/>
        </w:rPr>
      </w:pPr>
      <w:r w:rsidRPr="003B45BF">
        <w:rPr>
          <w:rFonts w:ascii="Times New Roman" w:hAnsi="Times New Roman"/>
          <w:b/>
          <w:iCs/>
          <w:caps/>
          <w:sz w:val="20"/>
          <w:szCs w:val="20"/>
        </w:rPr>
        <w:t>EXPERIMENTAL</w:t>
      </w:r>
    </w:p>
    <w:p w:rsidR="006067A0" w:rsidRPr="003B45BF" w:rsidRDefault="006067A0" w:rsidP="00A07E1E">
      <w:pPr>
        <w:rPr>
          <w:sz w:val="20"/>
          <w:szCs w:val="20"/>
        </w:rPr>
      </w:pPr>
    </w:p>
    <w:p w:rsidR="006067A0" w:rsidRPr="003B45BF" w:rsidRDefault="006067A0" w:rsidP="006067A0">
      <w:pPr>
        <w:jc w:val="both"/>
        <w:rPr>
          <w:b/>
          <w:i/>
          <w:sz w:val="20"/>
          <w:szCs w:val="20"/>
        </w:rPr>
      </w:pPr>
      <w:r w:rsidRPr="003B45BF">
        <w:rPr>
          <w:b/>
          <w:i/>
          <w:sz w:val="20"/>
          <w:szCs w:val="20"/>
        </w:rPr>
        <w:t>Preparation of molecularly imprinted polymers with bulk methods</w:t>
      </w:r>
    </w:p>
    <w:p w:rsidR="006067A0" w:rsidRPr="003B45BF" w:rsidRDefault="006067A0" w:rsidP="006067A0">
      <w:pPr>
        <w:tabs>
          <w:tab w:val="left" w:pos="4347"/>
        </w:tabs>
        <w:jc w:val="both"/>
        <w:rPr>
          <w:b/>
          <w:sz w:val="20"/>
          <w:szCs w:val="20"/>
        </w:rPr>
      </w:pPr>
    </w:p>
    <w:p w:rsidR="006067A0" w:rsidRPr="003B45BF" w:rsidRDefault="00AF2928" w:rsidP="006067A0">
      <w:pPr>
        <w:autoSpaceDE w:val="0"/>
        <w:autoSpaceDN w:val="0"/>
        <w:adjustRightInd w:val="0"/>
        <w:spacing w:line="276" w:lineRule="auto"/>
        <w:ind w:firstLine="450"/>
        <w:jc w:val="both"/>
        <w:rPr>
          <w:rFonts w:eastAsia="SimSun"/>
          <w:sz w:val="20"/>
          <w:szCs w:val="20"/>
          <w:lang w:eastAsia="zh-CN"/>
        </w:rPr>
      </w:pPr>
      <w:r>
        <w:rPr>
          <w:rFonts w:eastAsia="SimSun"/>
          <w:sz w:val="20"/>
          <w:szCs w:val="20"/>
          <w:lang w:eastAsia="zh-CN"/>
        </w:rPr>
        <w:t>P</w:t>
      </w:r>
      <w:r w:rsidR="006067A0" w:rsidRPr="003B45BF">
        <w:rPr>
          <w:rFonts w:eastAsia="SimSun"/>
          <w:sz w:val="20"/>
          <w:szCs w:val="20"/>
          <w:lang w:eastAsia="zh-CN"/>
        </w:rPr>
        <w:t>olymer preparation</w:t>
      </w:r>
      <w:r>
        <w:rPr>
          <w:rFonts w:eastAsia="SimSun"/>
          <w:sz w:val="20"/>
          <w:szCs w:val="20"/>
          <w:lang w:eastAsia="zh-CN"/>
        </w:rPr>
        <w:t xml:space="preserve"> has been described in detail in our previous study [6]. In the procedure,</w:t>
      </w:r>
      <w:r w:rsidR="006067A0" w:rsidRPr="003B45BF">
        <w:rPr>
          <w:rFonts w:eastAsia="SimSun"/>
          <w:sz w:val="20"/>
          <w:szCs w:val="20"/>
          <w:lang w:eastAsia="zh-CN"/>
        </w:rPr>
        <w:t xml:space="preserve"> 1mmol of template (quinalphos) and 4mmol of MAA were dissolved in 6 mL of porogenic solvents (</w:t>
      </w:r>
      <w:r w:rsidR="006067A0" w:rsidRPr="003B45BF">
        <w:rPr>
          <w:sz w:val="20"/>
          <w:szCs w:val="20"/>
        </w:rPr>
        <w:t xml:space="preserve">acetonitrile) </w:t>
      </w:r>
      <w:r w:rsidR="006067A0" w:rsidRPr="003B45BF">
        <w:rPr>
          <w:rFonts w:eastAsia="SimSun"/>
          <w:sz w:val="20"/>
          <w:szCs w:val="20"/>
          <w:lang w:eastAsia="zh-CN"/>
        </w:rPr>
        <w:t>in a glass polymerization test tube. After oscillating for 15 min, ethylene glycol dimethacrylate (EGDMA, 20 m</w:t>
      </w:r>
      <w:r w:rsidR="0006494E">
        <w:rPr>
          <w:rFonts w:eastAsia="SimSun"/>
          <w:sz w:val="20"/>
          <w:szCs w:val="20"/>
          <w:lang w:eastAsia="zh-CN"/>
        </w:rPr>
        <w:t xml:space="preserve">mol) </w:t>
      </w:r>
      <w:r w:rsidR="009B69BB">
        <w:rPr>
          <w:rFonts w:eastAsia="SimSun"/>
          <w:sz w:val="20"/>
          <w:szCs w:val="20"/>
          <w:lang w:eastAsia="zh-CN"/>
        </w:rPr>
        <w:t xml:space="preserve">as </w:t>
      </w:r>
      <w:r w:rsidR="006067A0" w:rsidRPr="003B45BF">
        <w:rPr>
          <w:rFonts w:eastAsia="SimSun"/>
          <w:sz w:val="20"/>
          <w:szCs w:val="20"/>
          <w:lang w:eastAsia="zh-CN"/>
        </w:rPr>
        <w:t>cross-linker and2,2</w:t>
      </w:r>
      <w:r w:rsidR="006067A0" w:rsidRPr="003B45BF">
        <w:rPr>
          <w:rFonts w:eastAsia="SimSun"/>
          <w:sz w:val="20"/>
          <w:szCs w:val="20"/>
          <w:lang w:eastAsia="zh-CN"/>
        </w:rPr>
        <w:sym w:font="Symbol" w:char="F0A2"/>
      </w:r>
      <w:r w:rsidR="006067A0" w:rsidRPr="003B45BF">
        <w:rPr>
          <w:rFonts w:eastAsia="SimSun"/>
          <w:sz w:val="20"/>
          <w:szCs w:val="20"/>
          <w:lang w:eastAsia="zh-CN"/>
        </w:rPr>
        <w:t>-Azobisisobutyronitrile (AIBN, 50 mg) as initiator were added into the solution. The test tube was placed on ice and purged with nitrogen for 15min. The glass tube was sealed under vacuum and placed in water bath at 60</w:t>
      </w:r>
      <w:r w:rsidR="006067A0" w:rsidRPr="003B45BF">
        <w:rPr>
          <w:rFonts w:eastAsia="SimSun"/>
          <w:sz w:val="20"/>
          <w:szCs w:val="20"/>
          <w:lang w:eastAsia="zh-CN"/>
        </w:rPr>
        <w:sym w:font="Symbol" w:char="F0B0"/>
      </w:r>
      <w:r w:rsidR="006067A0" w:rsidRPr="003B45BF">
        <w:rPr>
          <w:rFonts w:eastAsia="SimSun"/>
          <w:sz w:val="20"/>
          <w:szCs w:val="20"/>
          <w:lang w:eastAsia="zh-CN"/>
        </w:rPr>
        <w:t xml:space="preserve">C for 24 h. The bulk polymers obtained was crushed, ground and sieve through 75 µm sieve. The polymer particles obtained were washed with 10% acetic acid methanol solution until quinalphos template could not be detected by UV spectrophotometry. The extracted particles were then washed with methanol to remove residual acetic acid. Finally, </w:t>
      </w:r>
      <w:r w:rsidR="006067A0" w:rsidRPr="003B45BF">
        <w:rPr>
          <w:sz w:val="20"/>
          <w:szCs w:val="20"/>
        </w:rPr>
        <w:t>the collected particles were dried at 55</w:t>
      </w:r>
      <w:r>
        <w:rPr>
          <w:sz w:val="20"/>
          <w:szCs w:val="20"/>
        </w:rPr>
        <w:t xml:space="preserve"> °</w:t>
      </w:r>
      <w:r w:rsidR="006067A0" w:rsidRPr="003B45BF">
        <w:rPr>
          <w:sz w:val="20"/>
          <w:szCs w:val="20"/>
        </w:rPr>
        <w:t xml:space="preserve">C in </w:t>
      </w:r>
      <w:r w:rsidR="00B02472">
        <w:rPr>
          <w:sz w:val="20"/>
          <w:szCs w:val="20"/>
        </w:rPr>
        <w:t xml:space="preserve">an </w:t>
      </w:r>
      <w:r w:rsidR="006067A0" w:rsidRPr="003B45BF">
        <w:rPr>
          <w:sz w:val="20"/>
          <w:szCs w:val="20"/>
        </w:rPr>
        <w:t>oven under vacuum for 12h. Non-impri</w:t>
      </w:r>
      <w:r w:rsidR="00B80D63" w:rsidRPr="003B45BF">
        <w:rPr>
          <w:sz w:val="20"/>
          <w:szCs w:val="20"/>
        </w:rPr>
        <w:t>n</w:t>
      </w:r>
      <w:r w:rsidR="006067A0" w:rsidRPr="003B45BF">
        <w:rPr>
          <w:sz w:val="20"/>
          <w:szCs w:val="20"/>
        </w:rPr>
        <w:t>ted p</w:t>
      </w:r>
      <w:r w:rsidR="00B80D63" w:rsidRPr="003B45BF">
        <w:rPr>
          <w:sz w:val="20"/>
          <w:szCs w:val="20"/>
        </w:rPr>
        <w:t>olymers were prepared in the same</w:t>
      </w:r>
      <w:r w:rsidR="006067A0" w:rsidRPr="003B45BF">
        <w:rPr>
          <w:sz w:val="20"/>
          <w:szCs w:val="20"/>
        </w:rPr>
        <w:t xml:space="preserve"> manner, but without the addition of the template molecule. </w:t>
      </w:r>
    </w:p>
    <w:p w:rsidR="006067A0" w:rsidRPr="003B45BF" w:rsidRDefault="006067A0" w:rsidP="006067A0">
      <w:pPr>
        <w:autoSpaceDE w:val="0"/>
        <w:autoSpaceDN w:val="0"/>
        <w:adjustRightInd w:val="0"/>
        <w:spacing w:line="276" w:lineRule="auto"/>
        <w:jc w:val="both"/>
        <w:rPr>
          <w:rFonts w:eastAsia="Calibri"/>
          <w:sz w:val="20"/>
          <w:szCs w:val="20"/>
        </w:rPr>
      </w:pPr>
    </w:p>
    <w:p w:rsidR="006067A0" w:rsidRPr="003B45BF" w:rsidRDefault="006067A0" w:rsidP="006067A0">
      <w:pPr>
        <w:autoSpaceDE w:val="0"/>
        <w:autoSpaceDN w:val="0"/>
        <w:adjustRightInd w:val="0"/>
        <w:spacing w:line="276" w:lineRule="auto"/>
        <w:jc w:val="both"/>
        <w:rPr>
          <w:rFonts w:eastAsia="Calibri"/>
          <w:b/>
          <w:i/>
          <w:sz w:val="20"/>
          <w:szCs w:val="20"/>
        </w:rPr>
      </w:pPr>
      <w:r w:rsidRPr="003B45BF">
        <w:rPr>
          <w:rFonts w:eastAsia="Calibri"/>
          <w:b/>
          <w:i/>
          <w:sz w:val="20"/>
          <w:szCs w:val="20"/>
        </w:rPr>
        <w:t>Molecularly imprinted polymer solid phase extraction procedure</w:t>
      </w:r>
    </w:p>
    <w:p w:rsidR="006067A0" w:rsidRPr="003B45BF" w:rsidRDefault="006067A0" w:rsidP="006067A0">
      <w:pPr>
        <w:autoSpaceDE w:val="0"/>
        <w:autoSpaceDN w:val="0"/>
        <w:adjustRightInd w:val="0"/>
        <w:spacing w:line="276" w:lineRule="auto"/>
        <w:jc w:val="both"/>
        <w:rPr>
          <w:rFonts w:eastAsia="Calibri"/>
          <w:sz w:val="20"/>
          <w:szCs w:val="20"/>
        </w:rPr>
      </w:pPr>
    </w:p>
    <w:p w:rsidR="006067A0" w:rsidRPr="003B45BF" w:rsidRDefault="00AF2928" w:rsidP="006067A0">
      <w:pPr>
        <w:autoSpaceDE w:val="0"/>
        <w:autoSpaceDN w:val="0"/>
        <w:adjustRightInd w:val="0"/>
        <w:spacing w:line="276" w:lineRule="auto"/>
        <w:jc w:val="both"/>
        <w:rPr>
          <w:rFonts w:eastAsia="SimSun"/>
          <w:sz w:val="20"/>
          <w:szCs w:val="20"/>
          <w:lang w:eastAsia="zh-CN"/>
        </w:rPr>
      </w:pPr>
      <w:r>
        <w:rPr>
          <w:rFonts w:eastAsia="Calibri"/>
          <w:sz w:val="20"/>
          <w:szCs w:val="20"/>
        </w:rPr>
        <w:t>Dry imprinted and non-</w:t>
      </w:r>
      <w:r w:rsidR="006067A0" w:rsidRPr="003B45BF">
        <w:rPr>
          <w:rFonts w:eastAsia="Calibri"/>
          <w:sz w:val="20"/>
          <w:szCs w:val="20"/>
        </w:rPr>
        <w:t xml:space="preserve">imprinted polymer particles </w:t>
      </w:r>
      <w:r>
        <w:rPr>
          <w:rFonts w:eastAsia="Calibri"/>
          <w:sz w:val="20"/>
          <w:szCs w:val="20"/>
        </w:rPr>
        <w:t>(</w:t>
      </w:r>
      <w:r w:rsidRPr="003B45BF">
        <w:rPr>
          <w:rFonts w:eastAsia="Calibri"/>
          <w:sz w:val="20"/>
          <w:szCs w:val="20"/>
        </w:rPr>
        <w:t>100g</w:t>
      </w:r>
      <w:r>
        <w:rPr>
          <w:rFonts w:eastAsia="Calibri"/>
          <w:sz w:val="20"/>
          <w:szCs w:val="20"/>
        </w:rPr>
        <w:t xml:space="preserve"> each)</w:t>
      </w:r>
      <w:r w:rsidR="006067A0" w:rsidRPr="003B45BF">
        <w:rPr>
          <w:rFonts w:eastAsia="Calibri"/>
          <w:sz w:val="20"/>
          <w:szCs w:val="20"/>
        </w:rPr>
        <w:t xml:space="preserve">were packed </w:t>
      </w:r>
      <w:r>
        <w:rPr>
          <w:rFonts w:eastAsia="Calibri"/>
          <w:sz w:val="20"/>
          <w:szCs w:val="20"/>
        </w:rPr>
        <w:t xml:space="preserve">into </w:t>
      </w:r>
      <w:r w:rsidR="00012EC7" w:rsidRPr="003B45BF">
        <w:rPr>
          <w:rFonts w:eastAsia="Calibri"/>
          <w:sz w:val="20"/>
          <w:szCs w:val="20"/>
        </w:rPr>
        <w:t>empty cartridge</w:t>
      </w:r>
      <w:r w:rsidR="00C006A1">
        <w:rPr>
          <w:rFonts w:eastAsia="Calibri"/>
          <w:sz w:val="20"/>
          <w:szCs w:val="20"/>
        </w:rPr>
        <w:t xml:space="preserve"> (3</w:t>
      </w:r>
      <w:r>
        <w:rPr>
          <w:rFonts w:eastAsia="Calibri"/>
          <w:sz w:val="20"/>
          <w:szCs w:val="20"/>
        </w:rPr>
        <w:t xml:space="preserve"> mL) with glass-wool frit</w:t>
      </w:r>
      <w:r w:rsidR="006067A0" w:rsidRPr="003B45BF">
        <w:rPr>
          <w:rFonts w:eastAsia="Calibri"/>
          <w:sz w:val="20"/>
          <w:szCs w:val="20"/>
        </w:rPr>
        <w:t xml:space="preserve"> at each end. The cartridges were conditioned with methanol (10 mL) and 5 mL of </w:t>
      </w:r>
      <w:r w:rsidR="00B02472">
        <w:rPr>
          <w:rFonts w:eastAsia="Calibri"/>
          <w:sz w:val="20"/>
          <w:szCs w:val="20"/>
        </w:rPr>
        <w:t xml:space="preserve">deionized water from a </w:t>
      </w:r>
      <w:r w:rsidR="00B02472" w:rsidRPr="003B45BF">
        <w:rPr>
          <w:rFonts w:eastAsia="Calibri"/>
          <w:sz w:val="20"/>
          <w:szCs w:val="20"/>
        </w:rPr>
        <w:t>Mil</w:t>
      </w:r>
      <w:r w:rsidR="00B02472">
        <w:rPr>
          <w:rFonts w:eastAsia="Calibri"/>
          <w:sz w:val="20"/>
          <w:szCs w:val="20"/>
        </w:rPr>
        <w:t>l</w:t>
      </w:r>
      <w:r w:rsidR="00B02472" w:rsidRPr="003B45BF">
        <w:rPr>
          <w:rFonts w:eastAsia="Calibri"/>
          <w:sz w:val="20"/>
          <w:szCs w:val="20"/>
        </w:rPr>
        <w:t>iQwater</w:t>
      </w:r>
      <w:r w:rsidR="00B02472">
        <w:rPr>
          <w:rFonts w:eastAsia="Calibri"/>
          <w:sz w:val="20"/>
          <w:szCs w:val="20"/>
        </w:rPr>
        <w:t xml:space="preserve"> system from Thermo Scientific (Barnstead, MA, USA)</w:t>
      </w:r>
      <w:r w:rsidR="00B02472" w:rsidRPr="003B45BF">
        <w:rPr>
          <w:rFonts w:eastAsia="Calibri"/>
          <w:sz w:val="20"/>
          <w:szCs w:val="20"/>
        </w:rPr>
        <w:t>.</w:t>
      </w:r>
      <w:r w:rsidR="002A5235">
        <w:rPr>
          <w:rFonts w:eastAsia="Calibri"/>
          <w:sz w:val="20"/>
          <w:szCs w:val="20"/>
        </w:rPr>
        <w:t>For each cartridge, 10 mL</w:t>
      </w:r>
      <w:r w:rsidR="00B80D63" w:rsidRPr="003B45BF">
        <w:rPr>
          <w:rFonts w:eastAsia="Calibri"/>
          <w:sz w:val="20"/>
          <w:szCs w:val="20"/>
        </w:rPr>
        <w:t xml:space="preserve"> of </w:t>
      </w:r>
      <w:r w:rsidR="007C0A98" w:rsidRPr="003B45BF">
        <w:rPr>
          <w:rFonts w:eastAsia="Calibri"/>
          <w:sz w:val="20"/>
          <w:szCs w:val="20"/>
        </w:rPr>
        <w:t>OPPs mixture</w:t>
      </w:r>
      <w:r w:rsidR="006067A0" w:rsidRPr="003B45BF">
        <w:rPr>
          <w:rFonts w:eastAsia="Calibri"/>
          <w:sz w:val="20"/>
          <w:szCs w:val="20"/>
        </w:rPr>
        <w:t>-spiked river water sample (0.1 mgL</w:t>
      </w:r>
      <w:r w:rsidR="006067A0" w:rsidRPr="003B45BF">
        <w:rPr>
          <w:rFonts w:eastAsia="Calibri"/>
          <w:sz w:val="20"/>
          <w:szCs w:val="20"/>
          <w:vertAlign w:val="superscript"/>
        </w:rPr>
        <w:t>-</w:t>
      </w:r>
      <w:r w:rsidR="006067A0" w:rsidRPr="003B45BF">
        <w:rPr>
          <w:rFonts w:eastAsia="Calibri"/>
          <w:sz w:val="20"/>
          <w:szCs w:val="20"/>
        </w:rPr>
        <w:t>¹ for each</w:t>
      </w:r>
      <w:r w:rsidR="0009281F" w:rsidRPr="003B45BF">
        <w:rPr>
          <w:rFonts w:eastAsia="Calibri"/>
          <w:sz w:val="20"/>
          <w:szCs w:val="20"/>
        </w:rPr>
        <w:t>) was</w:t>
      </w:r>
      <w:r w:rsidR="006067A0" w:rsidRPr="003B45BF">
        <w:rPr>
          <w:rFonts w:eastAsia="Calibri"/>
          <w:sz w:val="20"/>
          <w:szCs w:val="20"/>
        </w:rPr>
        <w:t xml:space="preserve"> passed through </w:t>
      </w:r>
      <w:r w:rsidR="002A5235">
        <w:rPr>
          <w:rFonts w:eastAsia="Calibri"/>
          <w:sz w:val="20"/>
          <w:szCs w:val="20"/>
        </w:rPr>
        <w:t>each</w:t>
      </w:r>
      <w:r w:rsidR="006067A0" w:rsidRPr="003B45BF">
        <w:rPr>
          <w:rFonts w:eastAsia="Calibri"/>
          <w:sz w:val="20"/>
          <w:szCs w:val="20"/>
        </w:rPr>
        <w:t xml:space="preserve"> cartridge at 1 mLmin</w:t>
      </w:r>
      <w:r w:rsidR="006067A0" w:rsidRPr="003B45BF">
        <w:rPr>
          <w:rFonts w:eastAsia="Calibri"/>
          <w:sz w:val="20"/>
          <w:szCs w:val="20"/>
          <w:vertAlign w:val="superscript"/>
        </w:rPr>
        <w:t>-1</w:t>
      </w:r>
      <w:r w:rsidR="006067A0" w:rsidRPr="003B45BF">
        <w:rPr>
          <w:rFonts w:eastAsia="Calibri"/>
          <w:sz w:val="20"/>
          <w:szCs w:val="20"/>
        </w:rPr>
        <w:t xml:space="preserve"> using a </w:t>
      </w:r>
      <w:r>
        <w:rPr>
          <w:rFonts w:eastAsia="Calibri"/>
          <w:sz w:val="20"/>
          <w:szCs w:val="20"/>
        </w:rPr>
        <w:t>vacuum</w:t>
      </w:r>
      <w:r w:rsidR="006067A0" w:rsidRPr="003B45BF">
        <w:rPr>
          <w:rFonts w:eastAsia="Calibri"/>
          <w:sz w:val="20"/>
          <w:szCs w:val="20"/>
        </w:rPr>
        <w:t xml:space="preserve"> system. </w:t>
      </w:r>
      <w:r w:rsidR="002A5235">
        <w:rPr>
          <w:rFonts w:eastAsia="Calibri"/>
          <w:sz w:val="20"/>
          <w:szCs w:val="20"/>
        </w:rPr>
        <w:t>The extract was</w:t>
      </w:r>
      <w:r w:rsidR="006067A0" w:rsidRPr="003B45BF">
        <w:rPr>
          <w:rFonts w:eastAsia="Calibri"/>
          <w:sz w:val="20"/>
          <w:szCs w:val="20"/>
        </w:rPr>
        <w:t xml:space="preserve"> clean</w:t>
      </w:r>
      <w:r w:rsidR="002A5235">
        <w:rPr>
          <w:rFonts w:eastAsia="Calibri"/>
          <w:sz w:val="20"/>
          <w:szCs w:val="20"/>
        </w:rPr>
        <w:t>ed</w:t>
      </w:r>
      <w:r w:rsidR="006067A0" w:rsidRPr="003B45BF">
        <w:rPr>
          <w:rFonts w:eastAsia="Calibri"/>
          <w:sz w:val="20"/>
          <w:szCs w:val="20"/>
        </w:rPr>
        <w:t xml:space="preserve"> up by 5 mL o</w:t>
      </w:r>
      <w:r w:rsidR="002A5235">
        <w:rPr>
          <w:rFonts w:eastAsia="Calibri"/>
          <w:sz w:val="20"/>
          <w:szCs w:val="20"/>
        </w:rPr>
        <w:t>f acetonitrile-</w:t>
      </w:r>
      <w:r w:rsidR="00D66450">
        <w:rPr>
          <w:rFonts w:eastAsia="Calibri"/>
          <w:sz w:val="20"/>
          <w:szCs w:val="20"/>
        </w:rPr>
        <w:t>water mixture (3:</w:t>
      </w:r>
      <w:r w:rsidR="006067A0" w:rsidRPr="003B45BF">
        <w:rPr>
          <w:rFonts w:eastAsia="Calibri"/>
          <w:sz w:val="20"/>
          <w:szCs w:val="20"/>
        </w:rPr>
        <w:t>7,</w:t>
      </w:r>
      <w:r w:rsidR="00D66450">
        <w:rPr>
          <w:rFonts w:eastAsia="Calibri"/>
          <w:sz w:val="20"/>
          <w:szCs w:val="20"/>
        </w:rPr>
        <w:t xml:space="preserve"> v/</w:t>
      </w:r>
      <w:r w:rsidR="006067A0" w:rsidRPr="003B45BF">
        <w:rPr>
          <w:rFonts w:eastAsia="Calibri"/>
          <w:sz w:val="20"/>
          <w:szCs w:val="20"/>
        </w:rPr>
        <w:t>v) to eliminate molecule</w:t>
      </w:r>
      <w:r w:rsidR="002A5235">
        <w:rPr>
          <w:rFonts w:eastAsia="Calibri"/>
          <w:sz w:val="20"/>
          <w:szCs w:val="20"/>
        </w:rPr>
        <w:t>s</w:t>
      </w:r>
      <w:r w:rsidR="006067A0" w:rsidRPr="003B45BF">
        <w:rPr>
          <w:rFonts w:eastAsia="Calibri"/>
          <w:sz w:val="20"/>
          <w:szCs w:val="20"/>
        </w:rPr>
        <w:t xml:space="preserve"> retained by non-specific adsorption to the polymer, </w:t>
      </w:r>
      <w:r w:rsidR="002A5235">
        <w:rPr>
          <w:rFonts w:eastAsia="Calibri"/>
          <w:sz w:val="20"/>
          <w:szCs w:val="20"/>
        </w:rPr>
        <w:t>followed by 10 min drying</w:t>
      </w:r>
      <w:r w:rsidR="006067A0" w:rsidRPr="003B45BF">
        <w:rPr>
          <w:rFonts w:eastAsia="Calibri"/>
          <w:sz w:val="20"/>
          <w:szCs w:val="20"/>
        </w:rPr>
        <w:t xml:space="preserve"> of cartridge was operated by vacuum in order to remov</w:t>
      </w:r>
      <w:r w:rsidR="002A5235">
        <w:rPr>
          <w:rFonts w:eastAsia="Calibri"/>
          <w:sz w:val="20"/>
          <w:szCs w:val="20"/>
        </w:rPr>
        <w:t>e the residuals solvent. T</w:t>
      </w:r>
      <w:r w:rsidR="006067A0" w:rsidRPr="003B45BF">
        <w:rPr>
          <w:rFonts w:eastAsia="Calibri"/>
          <w:sz w:val="20"/>
          <w:szCs w:val="20"/>
        </w:rPr>
        <w:t>h</w:t>
      </w:r>
      <w:r w:rsidR="002A5235">
        <w:rPr>
          <w:rFonts w:eastAsia="Calibri"/>
          <w:sz w:val="20"/>
          <w:szCs w:val="20"/>
        </w:rPr>
        <w:t xml:space="preserve">e extractwasthen </w:t>
      </w:r>
      <w:r w:rsidR="004F6E04">
        <w:rPr>
          <w:rFonts w:eastAsia="Calibri"/>
          <w:sz w:val="20"/>
          <w:szCs w:val="20"/>
        </w:rPr>
        <w:t>eluted with a 5</w:t>
      </w:r>
      <w:r w:rsidR="006067A0" w:rsidRPr="003B45BF">
        <w:rPr>
          <w:rFonts w:eastAsia="Calibri"/>
          <w:sz w:val="20"/>
          <w:szCs w:val="20"/>
        </w:rPr>
        <w:t xml:space="preserve"> mL of </w:t>
      </w:r>
      <w:r w:rsidR="004152F6">
        <w:rPr>
          <w:rFonts w:eastAsia="SimSun"/>
          <w:sz w:val="20"/>
          <w:szCs w:val="20"/>
          <w:lang w:eastAsia="zh-CN"/>
        </w:rPr>
        <w:t>methanol-acetic acid (95:5</w:t>
      </w:r>
      <w:r w:rsidR="006067A0" w:rsidRPr="003B45BF">
        <w:rPr>
          <w:rFonts w:eastAsia="SimSun"/>
          <w:sz w:val="20"/>
          <w:szCs w:val="20"/>
          <w:lang w:eastAsia="zh-CN"/>
        </w:rPr>
        <w:t>, v/v) mixture solution. Finally, the obtained extract solution was blown under nitrogen and re</w:t>
      </w:r>
      <w:r w:rsidR="002A5235">
        <w:rPr>
          <w:rFonts w:eastAsia="SimSun"/>
          <w:sz w:val="20"/>
          <w:szCs w:val="20"/>
          <w:lang w:eastAsia="zh-CN"/>
        </w:rPr>
        <w:t>-</w:t>
      </w:r>
      <w:r w:rsidR="006067A0" w:rsidRPr="003B45BF">
        <w:rPr>
          <w:rFonts w:eastAsia="SimSun"/>
          <w:sz w:val="20"/>
          <w:szCs w:val="20"/>
          <w:lang w:eastAsia="zh-CN"/>
        </w:rPr>
        <w:t xml:space="preserve">dissolved with 0.2 mL </w:t>
      </w:r>
      <w:r w:rsidR="002A5235">
        <w:rPr>
          <w:rFonts w:eastAsia="SimSun"/>
          <w:sz w:val="20"/>
          <w:szCs w:val="20"/>
          <w:lang w:eastAsia="zh-CN"/>
        </w:rPr>
        <w:t xml:space="preserve">of </w:t>
      </w:r>
      <w:r w:rsidR="006067A0" w:rsidRPr="003B45BF">
        <w:rPr>
          <w:rFonts w:eastAsia="SimSun"/>
          <w:sz w:val="20"/>
          <w:szCs w:val="20"/>
          <w:lang w:eastAsia="zh-CN"/>
        </w:rPr>
        <w:t xml:space="preserve">acetonitrile for HPLC analysis.  </w:t>
      </w:r>
    </w:p>
    <w:p w:rsidR="006067A0" w:rsidRPr="003B45BF" w:rsidRDefault="006067A0" w:rsidP="006067A0">
      <w:pPr>
        <w:autoSpaceDE w:val="0"/>
        <w:autoSpaceDN w:val="0"/>
        <w:adjustRightInd w:val="0"/>
        <w:spacing w:line="276" w:lineRule="auto"/>
        <w:jc w:val="both"/>
        <w:rPr>
          <w:rFonts w:eastAsia="SimSun"/>
          <w:sz w:val="20"/>
          <w:szCs w:val="20"/>
          <w:lang w:eastAsia="zh-CN"/>
        </w:rPr>
      </w:pPr>
    </w:p>
    <w:p w:rsidR="006067A0" w:rsidRPr="003B45BF" w:rsidRDefault="00C47428" w:rsidP="006067A0">
      <w:pPr>
        <w:autoSpaceDE w:val="0"/>
        <w:autoSpaceDN w:val="0"/>
        <w:adjustRightInd w:val="0"/>
        <w:spacing w:line="276" w:lineRule="auto"/>
        <w:jc w:val="both"/>
        <w:rPr>
          <w:rFonts w:eastAsia="Calibri"/>
          <w:b/>
          <w:i/>
          <w:sz w:val="20"/>
          <w:szCs w:val="20"/>
        </w:rPr>
      </w:pPr>
      <w:r w:rsidRPr="003B45BF">
        <w:rPr>
          <w:rFonts w:eastAsia="Calibri"/>
          <w:b/>
          <w:i/>
          <w:sz w:val="20"/>
          <w:szCs w:val="20"/>
        </w:rPr>
        <w:t>C</w:t>
      </w:r>
      <w:r w:rsidRPr="003B45BF">
        <w:rPr>
          <w:rFonts w:eastAsia="Calibri"/>
          <w:b/>
          <w:i/>
          <w:sz w:val="20"/>
          <w:szCs w:val="20"/>
          <w:vertAlign w:val="subscript"/>
        </w:rPr>
        <w:t>18</w:t>
      </w:r>
      <w:r>
        <w:rPr>
          <w:rFonts w:eastAsia="Calibri"/>
          <w:b/>
          <w:i/>
          <w:sz w:val="20"/>
          <w:szCs w:val="20"/>
        </w:rPr>
        <w:t>SPE</w:t>
      </w:r>
    </w:p>
    <w:p w:rsidR="006067A0" w:rsidRPr="003B45BF" w:rsidRDefault="006067A0" w:rsidP="006067A0">
      <w:pPr>
        <w:autoSpaceDE w:val="0"/>
        <w:autoSpaceDN w:val="0"/>
        <w:adjustRightInd w:val="0"/>
        <w:spacing w:line="276" w:lineRule="auto"/>
        <w:jc w:val="both"/>
        <w:rPr>
          <w:rFonts w:eastAsia="Calibri"/>
          <w:sz w:val="20"/>
          <w:szCs w:val="20"/>
        </w:rPr>
      </w:pPr>
    </w:p>
    <w:p w:rsidR="0020343D" w:rsidRDefault="006067A0" w:rsidP="006067A0">
      <w:pPr>
        <w:autoSpaceDE w:val="0"/>
        <w:autoSpaceDN w:val="0"/>
        <w:adjustRightInd w:val="0"/>
        <w:spacing w:line="276" w:lineRule="auto"/>
        <w:jc w:val="both"/>
        <w:rPr>
          <w:rFonts w:eastAsia="SimSun"/>
          <w:sz w:val="20"/>
          <w:szCs w:val="20"/>
          <w:lang w:eastAsia="zh-CN"/>
        </w:rPr>
      </w:pPr>
      <w:r w:rsidRPr="003B45BF">
        <w:rPr>
          <w:rFonts w:eastAsia="Calibri"/>
          <w:sz w:val="20"/>
          <w:szCs w:val="20"/>
        </w:rPr>
        <w:t xml:space="preserve">         Two C</w:t>
      </w:r>
      <w:r w:rsidRPr="003B45BF">
        <w:rPr>
          <w:rFonts w:eastAsia="Calibri"/>
          <w:sz w:val="20"/>
          <w:szCs w:val="20"/>
          <w:vertAlign w:val="subscript"/>
        </w:rPr>
        <w:t>18</w:t>
      </w:r>
      <w:r w:rsidR="002A5235">
        <w:rPr>
          <w:rFonts w:eastAsia="Calibri"/>
          <w:sz w:val="20"/>
          <w:szCs w:val="20"/>
        </w:rPr>
        <w:t>cartridges</w:t>
      </w:r>
      <w:r w:rsidRPr="003B45BF">
        <w:rPr>
          <w:rFonts w:eastAsia="Calibri"/>
          <w:sz w:val="20"/>
          <w:szCs w:val="20"/>
        </w:rPr>
        <w:t xml:space="preserve"> from Sigma Aldrich were conditioned with 10 mL of methanol and 5 mL of Mi</w:t>
      </w:r>
      <w:r w:rsidR="00B02472">
        <w:rPr>
          <w:rFonts w:eastAsia="Calibri"/>
          <w:sz w:val="20"/>
          <w:szCs w:val="20"/>
        </w:rPr>
        <w:t>l</w:t>
      </w:r>
      <w:r w:rsidRPr="003B45BF">
        <w:rPr>
          <w:rFonts w:eastAsia="Calibri"/>
          <w:sz w:val="20"/>
          <w:szCs w:val="20"/>
        </w:rPr>
        <w:t>liQwater.</w:t>
      </w:r>
      <w:r w:rsidR="002A5235">
        <w:rPr>
          <w:rFonts w:eastAsia="Calibri"/>
          <w:sz w:val="20"/>
          <w:szCs w:val="20"/>
        </w:rPr>
        <w:t xml:space="preserve"> For each cartridge,</w:t>
      </w:r>
      <w:r w:rsidRPr="003B45BF">
        <w:rPr>
          <w:rFonts w:eastAsia="Calibri"/>
          <w:sz w:val="20"/>
          <w:szCs w:val="20"/>
        </w:rPr>
        <w:t xml:space="preserve"> 10 mL</w:t>
      </w:r>
      <w:r w:rsidR="00D76679" w:rsidRPr="003B45BF">
        <w:rPr>
          <w:rFonts w:eastAsia="Calibri"/>
          <w:sz w:val="20"/>
          <w:szCs w:val="20"/>
        </w:rPr>
        <w:t xml:space="preserve"> of </w:t>
      </w:r>
      <w:r w:rsidR="002A5235">
        <w:rPr>
          <w:rFonts w:eastAsia="Calibri"/>
          <w:sz w:val="20"/>
          <w:szCs w:val="20"/>
        </w:rPr>
        <w:t>OPPs</w:t>
      </w:r>
      <w:r w:rsidRPr="003B45BF">
        <w:rPr>
          <w:rFonts w:eastAsia="Calibri"/>
          <w:sz w:val="20"/>
          <w:szCs w:val="20"/>
        </w:rPr>
        <w:t>-spiked river water sample were load</w:t>
      </w:r>
      <w:r w:rsidR="00B02472">
        <w:rPr>
          <w:rFonts w:eastAsia="Calibri"/>
          <w:sz w:val="20"/>
          <w:szCs w:val="20"/>
        </w:rPr>
        <w:t>ed</w:t>
      </w:r>
      <w:r w:rsidRPr="003B45BF">
        <w:rPr>
          <w:rFonts w:eastAsia="Calibri"/>
          <w:sz w:val="20"/>
          <w:szCs w:val="20"/>
        </w:rPr>
        <w:t xml:space="preserve"> on the </w:t>
      </w:r>
      <w:r w:rsidR="002A5235">
        <w:rPr>
          <w:rFonts w:eastAsia="Calibri"/>
          <w:sz w:val="20"/>
          <w:szCs w:val="20"/>
        </w:rPr>
        <w:t>cartridge</w:t>
      </w:r>
      <w:r w:rsidRPr="003B45BF">
        <w:rPr>
          <w:rFonts w:eastAsia="Calibri"/>
          <w:sz w:val="20"/>
          <w:szCs w:val="20"/>
        </w:rPr>
        <w:t>. OPPs were washed with 5 mL o</w:t>
      </w:r>
      <w:r w:rsidR="002A5235">
        <w:rPr>
          <w:rFonts w:eastAsia="Calibri"/>
          <w:sz w:val="20"/>
          <w:szCs w:val="20"/>
        </w:rPr>
        <w:t>f acetonitrile-</w:t>
      </w:r>
      <w:r w:rsidR="00D66450">
        <w:rPr>
          <w:rFonts w:eastAsia="Calibri"/>
          <w:sz w:val="20"/>
          <w:szCs w:val="20"/>
        </w:rPr>
        <w:t>water mixture (3:7, v/</w:t>
      </w:r>
      <w:r w:rsidRPr="003B45BF">
        <w:rPr>
          <w:rFonts w:eastAsia="Calibri"/>
          <w:sz w:val="20"/>
          <w:szCs w:val="20"/>
        </w:rPr>
        <w:t>v</w:t>
      </w:r>
      <w:r w:rsidR="0006494E">
        <w:rPr>
          <w:rFonts w:eastAsia="Calibri"/>
          <w:sz w:val="20"/>
          <w:szCs w:val="20"/>
        </w:rPr>
        <w:t>) and subsequently eluted using</w:t>
      </w:r>
      <w:r w:rsidR="004F6E04">
        <w:rPr>
          <w:rFonts w:eastAsia="Calibri"/>
          <w:sz w:val="20"/>
          <w:szCs w:val="20"/>
        </w:rPr>
        <w:t>5</w:t>
      </w:r>
      <w:r w:rsidRPr="003B45BF">
        <w:rPr>
          <w:rFonts w:eastAsia="Calibri"/>
          <w:sz w:val="20"/>
          <w:szCs w:val="20"/>
        </w:rPr>
        <w:t xml:space="preserve"> mL of </w:t>
      </w:r>
      <w:r w:rsidRPr="003B45BF">
        <w:rPr>
          <w:rFonts w:eastAsia="SimSun"/>
          <w:sz w:val="20"/>
          <w:szCs w:val="20"/>
          <w:lang w:eastAsia="zh-CN"/>
        </w:rPr>
        <w:t xml:space="preserve">methanol. The extracts were </w:t>
      </w:r>
      <w:r w:rsidR="00D672BF" w:rsidRPr="003B45BF">
        <w:rPr>
          <w:rFonts w:eastAsia="SimSun"/>
          <w:sz w:val="20"/>
          <w:szCs w:val="20"/>
          <w:lang w:eastAsia="zh-CN"/>
        </w:rPr>
        <w:t>evaporated</w:t>
      </w:r>
      <w:r w:rsidRPr="003B45BF">
        <w:rPr>
          <w:rFonts w:eastAsia="SimSun"/>
          <w:sz w:val="20"/>
          <w:szCs w:val="20"/>
          <w:lang w:eastAsia="zh-CN"/>
        </w:rPr>
        <w:t xml:space="preserve"> to dryness and re</w:t>
      </w:r>
      <w:r w:rsidR="002A5235">
        <w:rPr>
          <w:rFonts w:eastAsia="SimSun"/>
          <w:sz w:val="20"/>
          <w:szCs w:val="20"/>
          <w:lang w:eastAsia="zh-CN"/>
        </w:rPr>
        <w:t>-</w:t>
      </w:r>
      <w:r w:rsidRPr="003B45BF">
        <w:rPr>
          <w:rFonts w:eastAsia="SimSun"/>
          <w:sz w:val="20"/>
          <w:szCs w:val="20"/>
          <w:lang w:eastAsia="zh-CN"/>
        </w:rPr>
        <w:t xml:space="preserve">dissolved in 0.2 mL of acetonitrile for HPLC analysis. </w:t>
      </w:r>
    </w:p>
    <w:p w:rsidR="00B6342C" w:rsidRPr="003B45BF" w:rsidRDefault="00B6342C" w:rsidP="006067A0">
      <w:pPr>
        <w:autoSpaceDE w:val="0"/>
        <w:autoSpaceDN w:val="0"/>
        <w:adjustRightInd w:val="0"/>
        <w:spacing w:line="276" w:lineRule="auto"/>
        <w:jc w:val="both"/>
        <w:rPr>
          <w:rFonts w:eastAsia="SimSun"/>
          <w:sz w:val="20"/>
          <w:szCs w:val="20"/>
          <w:lang w:eastAsia="zh-CN"/>
        </w:rPr>
      </w:pPr>
    </w:p>
    <w:p w:rsidR="006067A0" w:rsidRPr="003B45BF" w:rsidRDefault="006067A0" w:rsidP="006067A0">
      <w:pPr>
        <w:autoSpaceDE w:val="0"/>
        <w:autoSpaceDN w:val="0"/>
        <w:adjustRightInd w:val="0"/>
        <w:spacing w:line="276" w:lineRule="auto"/>
        <w:jc w:val="both"/>
        <w:rPr>
          <w:rFonts w:eastAsia="Calibri"/>
          <w:b/>
          <w:i/>
          <w:sz w:val="20"/>
          <w:szCs w:val="20"/>
        </w:rPr>
      </w:pPr>
      <w:r w:rsidRPr="003B45BF">
        <w:rPr>
          <w:rFonts w:eastAsia="Calibri"/>
          <w:b/>
          <w:i/>
          <w:sz w:val="20"/>
          <w:szCs w:val="20"/>
        </w:rPr>
        <w:t>Sample Preparation</w:t>
      </w:r>
    </w:p>
    <w:p w:rsidR="003B45BF" w:rsidRDefault="003B45BF" w:rsidP="00D61250">
      <w:pPr>
        <w:ind w:firstLine="720"/>
        <w:jc w:val="both"/>
        <w:rPr>
          <w:rFonts w:eastAsia="Calibri"/>
          <w:sz w:val="20"/>
          <w:szCs w:val="20"/>
        </w:rPr>
      </w:pPr>
    </w:p>
    <w:p w:rsidR="00C832FE" w:rsidRPr="00D61250" w:rsidRDefault="005A2EAD" w:rsidP="00D61250">
      <w:pPr>
        <w:spacing w:line="276" w:lineRule="auto"/>
        <w:ind w:firstLine="450"/>
        <w:jc w:val="both"/>
        <w:rPr>
          <w:color w:val="000000"/>
          <w:sz w:val="20"/>
          <w:szCs w:val="20"/>
        </w:rPr>
      </w:pPr>
      <w:r w:rsidRPr="003B45BF">
        <w:rPr>
          <w:color w:val="000000"/>
          <w:sz w:val="20"/>
          <w:szCs w:val="20"/>
        </w:rPr>
        <w:t xml:space="preserve">The </w:t>
      </w:r>
      <w:r w:rsidR="002A5235">
        <w:rPr>
          <w:color w:val="000000"/>
          <w:sz w:val="20"/>
          <w:szCs w:val="20"/>
        </w:rPr>
        <w:t xml:space="preserve">river water </w:t>
      </w:r>
      <w:r w:rsidRPr="003B45BF">
        <w:rPr>
          <w:color w:val="000000"/>
          <w:sz w:val="20"/>
          <w:szCs w:val="20"/>
        </w:rPr>
        <w:t>sample</w:t>
      </w:r>
      <w:r w:rsidR="00CE7E4C" w:rsidRPr="003B45BF">
        <w:rPr>
          <w:color w:val="000000"/>
          <w:sz w:val="20"/>
          <w:szCs w:val="20"/>
        </w:rPr>
        <w:t xml:space="preserve"> was</w:t>
      </w:r>
      <w:r w:rsidR="002A5235">
        <w:rPr>
          <w:color w:val="000000"/>
          <w:sz w:val="20"/>
          <w:szCs w:val="20"/>
        </w:rPr>
        <w:t xml:space="preserve"> obtained from a </w:t>
      </w:r>
      <w:r w:rsidR="00CE7E4C" w:rsidRPr="003B45BF">
        <w:rPr>
          <w:color w:val="000000"/>
          <w:sz w:val="20"/>
          <w:szCs w:val="20"/>
        </w:rPr>
        <w:t xml:space="preserve">river </w:t>
      </w:r>
      <w:r w:rsidR="002A5235">
        <w:rPr>
          <w:color w:val="000000"/>
          <w:sz w:val="20"/>
          <w:szCs w:val="20"/>
        </w:rPr>
        <w:t>running across the</w:t>
      </w:r>
      <w:r w:rsidR="00CE7E4C" w:rsidRPr="003B45BF">
        <w:rPr>
          <w:color w:val="000000"/>
          <w:sz w:val="20"/>
          <w:szCs w:val="20"/>
        </w:rPr>
        <w:t xml:space="preserve"> UTM </w:t>
      </w:r>
      <w:r w:rsidR="002A5235">
        <w:rPr>
          <w:color w:val="000000"/>
          <w:sz w:val="20"/>
          <w:szCs w:val="20"/>
        </w:rPr>
        <w:t>Johor Bahru</w:t>
      </w:r>
      <w:r w:rsidR="00CE7E4C" w:rsidRPr="003B45BF">
        <w:rPr>
          <w:color w:val="000000"/>
          <w:sz w:val="20"/>
          <w:szCs w:val="20"/>
        </w:rPr>
        <w:t xml:space="preserve">campus. The samples were kept </w:t>
      </w:r>
      <w:r w:rsidR="002A5235">
        <w:rPr>
          <w:color w:val="000000"/>
          <w:sz w:val="20"/>
          <w:szCs w:val="20"/>
        </w:rPr>
        <w:t xml:space="preserve">refrigerated </w:t>
      </w:r>
      <w:r w:rsidR="00CE7E4C" w:rsidRPr="003B45BF">
        <w:rPr>
          <w:color w:val="000000"/>
          <w:sz w:val="20"/>
          <w:szCs w:val="20"/>
        </w:rPr>
        <w:t>at</w:t>
      </w:r>
      <w:r w:rsidR="002A5235">
        <w:rPr>
          <w:color w:val="000000"/>
          <w:sz w:val="20"/>
          <w:szCs w:val="20"/>
        </w:rPr>
        <w:t xml:space="preserve"> 2-</w:t>
      </w:r>
      <w:r w:rsidR="00CE7E4C" w:rsidRPr="003B45BF">
        <w:rPr>
          <w:color w:val="000000"/>
          <w:sz w:val="20"/>
          <w:szCs w:val="20"/>
        </w:rPr>
        <w:t>5</w:t>
      </w:r>
      <w:r w:rsidR="00CE7E4C" w:rsidRPr="003B45BF">
        <w:rPr>
          <w:color w:val="000000"/>
          <w:sz w:val="20"/>
          <w:szCs w:val="20"/>
          <w:vertAlign w:val="superscript"/>
        </w:rPr>
        <w:t>o</w:t>
      </w:r>
      <w:r w:rsidR="00CE7E4C" w:rsidRPr="003B45BF">
        <w:rPr>
          <w:color w:val="000000"/>
          <w:sz w:val="20"/>
          <w:szCs w:val="20"/>
        </w:rPr>
        <w:t xml:space="preserve">C </w:t>
      </w:r>
      <w:r w:rsidR="002A5235">
        <w:rPr>
          <w:color w:val="000000"/>
          <w:sz w:val="20"/>
          <w:szCs w:val="20"/>
        </w:rPr>
        <w:t>prior to</w:t>
      </w:r>
      <w:r w:rsidR="00CE7E4C" w:rsidRPr="003B45BF">
        <w:rPr>
          <w:color w:val="000000"/>
          <w:sz w:val="20"/>
          <w:szCs w:val="20"/>
        </w:rPr>
        <w:t xml:space="preserve"> analysis to </w:t>
      </w:r>
      <w:r w:rsidR="002A5235">
        <w:rPr>
          <w:color w:val="000000"/>
          <w:sz w:val="20"/>
          <w:szCs w:val="20"/>
        </w:rPr>
        <w:t xml:space="preserve">minimize </w:t>
      </w:r>
      <w:r w:rsidR="00CE7E4C" w:rsidRPr="003B45BF">
        <w:rPr>
          <w:color w:val="000000"/>
          <w:sz w:val="20"/>
          <w:szCs w:val="20"/>
        </w:rPr>
        <w:t xml:space="preserve">degradation. The samples were filtered using 0.45 </w:t>
      </w:r>
      <w:r w:rsidR="00CE7E4C" w:rsidRPr="003B45BF">
        <w:rPr>
          <w:color w:val="000000"/>
          <w:sz w:val="20"/>
          <w:szCs w:val="20"/>
          <w:lang w:val="sv-SE"/>
        </w:rPr>
        <w:t>μ</w:t>
      </w:r>
      <w:r w:rsidR="00CE7E4C" w:rsidRPr="003B45BF">
        <w:rPr>
          <w:color w:val="000000"/>
          <w:sz w:val="20"/>
          <w:szCs w:val="20"/>
        </w:rPr>
        <w:t xml:space="preserve">m filter </w:t>
      </w:r>
      <w:r w:rsidR="00B02472" w:rsidRPr="003B45BF">
        <w:rPr>
          <w:color w:val="000000"/>
          <w:sz w:val="20"/>
          <w:szCs w:val="20"/>
        </w:rPr>
        <w:t xml:space="preserve">paper </w:t>
      </w:r>
      <w:r w:rsidR="00B02472">
        <w:rPr>
          <w:color w:val="000000"/>
          <w:sz w:val="20"/>
          <w:szCs w:val="20"/>
        </w:rPr>
        <w:t xml:space="preserve">from </w:t>
      </w:r>
      <w:r w:rsidR="00B02472" w:rsidRPr="003B45BF">
        <w:rPr>
          <w:color w:val="000000"/>
          <w:sz w:val="20"/>
          <w:szCs w:val="20"/>
        </w:rPr>
        <w:t>Whatman</w:t>
      </w:r>
      <w:r w:rsidR="00B02472">
        <w:rPr>
          <w:color w:val="000000"/>
          <w:sz w:val="20"/>
          <w:szCs w:val="20"/>
        </w:rPr>
        <w:t xml:space="preserve">(NJ, USA) </w:t>
      </w:r>
      <w:r w:rsidR="00CE7E4C" w:rsidRPr="003B45BF">
        <w:rPr>
          <w:color w:val="000000"/>
          <w:sz w:val="20"/>
          <w:szCs w:val="20"/>
        </w:rPr>
        <w:t xml:space="preserve">to </w:t>
      </w:r>
      <w:r w:rsidR="002A5235">
        <w:rPr>
          <w:color w:val="000000"/>
          <w:sz w:val="20"/>
          <w:szCs w:val="20"/>
        </w:rPr>
        <w:t>ensure</w:t>
      </w:r>
      <w:r w:rsidR="00CE7E4C" w:rsidRPr="003B45BF">
        <w:rPr>
          <w:color w:val="000000"/>
          <w:sz w:val="20"/>
          <w:szCs w:val="20"/>
        </w:rPr>
        <w:t xml:space="preserve"> the samples were free f</w:t>
      </w:r>
      <w:r w:rsidR="002A5235">
        <w:rPr>
          <w:color w:val="000000"/>
          <w:sz w:val="20"/>
          <w:szCs w:val="20"/>
        </w:rPr>
        <w:t>rom particles that might block</w:t>
      </w:r>
      <w:r w:rsidR="00CE7E4C" w:rsidRPr="003B45BF">
        <w:rPr>
          <w:color w:val="000000"/>
          <w:sz w:val="20"/>
          <w:szCs w:val="20"/>
        </w:rPr>
        <w:t xml:space="preserve"> the SPE ca</w:t>
      </w:r>
      <w:r w:rsidR="00B02472">
        <w:rPr>
          <w:color w:val="000000"/>
          <w:sz w:val="20"/>
          <w:szCs w:val="20"/>
        </w:rPr>
        <w:t>r</w:t>
      </w:r>
      <w:r w:rsidR="00CE7E4C" w:rsidRPr="003B45BF">
        <w:rPr>
          <w:color w:val="000000"/>
          <w:sz w:val="20"/>
          <w:szCs w:val="20"/>
        </w:rPr>
        <w:t>tridge and HPLC system.</w:t>
      </w:r>
    </w:p>
    <w:p w:rsidR="00C832FE" w:rsidRDefault="00C832FE" w:rsidP="001B3805">
      <w:pPr>
        <w:tabs>
          <w:tab w:val="left" w:pos="8540"/>
        </w:tabs>
        <w:jc w:val="center"/>
        <w:rPr>
          <w:b/>
          <w:bCs/>
          <w:caps/>
          <w:sz w:val="20"/>
          <w:szCs w:val="20"/>
        </w:rPr>
      </w:pPr>
    </w:p>
    <w:p w:rsidR="0020343D" w:rsidRPr="003B45BF" w:rsidRDefault="0020343D" w:rsidP="001B3805">
      <w:pPr>
        <w:tabs>
          <w:tab w:val="left" w:pos="8540"/>
        </w:tabs>
        <w:jc w:val="center"/>
        <w:rPr>
          <w:b/>
          <w:bCs/>
          <w:caps/>
          <w:sz w:val="20"/>
          <w:szCs w:val="20"/>
        </w:rPr>
      </w:pPr>
    </w:p>
    <w:p w:rsidR="00CA5919" w:rsidRPr="003B45BF" w:rsidRDefault="00CA5919" w:rsidP="001B3805">
      <w:pPr>
        <w:tabs>
          <w:tab w:val="left" w:pos="8540"/>
        </w:tabs>
        <w:jc w:val="center"/>
        <w:rPr>
          <w:iCs/>
          <w:sz w:val="20"/>
          <w:szCs w:val="20"/>
        </w:rPr>
      </w:pPr>
      <w:r w:rsidRPr="003B45BF">
        <w:rPr>
          <w:b/>
          <w:bCs/>
          <w:caps/>
          <w:sz w:val="20"/>
          <w:szCs w:val="20"/>
        </w:rPr>
        <w:t>RESULTS AND DISCUSSION</w:t>
      </w:r>
    </w:p>
    <w:p w:rsidR="00CA5919" w:rsidRPr="003B45BF" w:rsidRDefault="00CA5919" w:rsidP="00A07E1E">
      <w:pPr>
        <w:rPr>
          <w:sz w:val="20"/>
          <w:szCs w:val="20"/>
        </w:rPr>
      </w:pPr>
    </w:p>
    <w:p w:rsidR="00B40798" w:rsidRDefault="00B40798" w:rsidP="006067A0">
      <w:pPr>
        <w:tabs>
          <w:tab w:val="left" w:pos="4347"/>
        </w:tabs>
        <w:jc w:val="both"/>
        <w:rPr>
          <w:b/>
          <w:i/>
          <w:sz w:val="20"/>
          <w:szCs w:val="20"/>
        </w:rPr>
      </w:pPr>
      <w:r>
        <w:rPr>
          <w:b/>
          <w:i/>
          <w:sz w:val="20"/>
          <w:szCs w:val="20"/>
        </w:rPr>
        <w:t>Characterizatio</w:t>
      </w:r>
      <w:r w:rsidR="00405D9F">
        <w:rPr>
          <w:b/>
          <w:i/>
          <w:sz w:val="20"/>
          <w:szCs w:val="20"/>
        </w:rPr>
        <w:t>n</w:t>
      </w:r>
      <w:r>
        <w:rPr>
          <w:b/>
          <w:i/>
          <w:sz w:val="20"/>
          <w:szCs w:val="20"/>
        </w:rPr>
        <w:t xml:space="preserve"> of Imprinted polymer </w:t>
      </w:r>
    </w:p>
    <w:p w:rsidR="00C1697C" w:rsidRDefault="00C1697C" w:rsidP="00C1697C">
      <w:pPr>
        <w:spacing w:line="276" w:lineRule="auto"/>
        <w:jc w:val="both"/>
        <w:rPr>
          <w:b/>
          <w:i/>
          <w:sz w:val="20"/>
          <w:szCs w:val="20"/>
        </w:rPr>
      </w:pPr>
    </w:p>
    <w:p w:rsidR="00C1697C" w:rsidRDefault="001C61EC" w:rsidP="00C1697C">
      <w:pPr>
        <w:spacing w:line="276" w:lineRule="auto"/>
        <w:jc w:val="both"/>
        <w:rPr>
          <w:sz w:val="20"/>
          <w:szCs w:val="20"/>
        </w:rPr>
      </w:pPr>
      <w:r>
        <w:rPr>
          <w:sz w:val="20"/>
          <w:szCs w:val="20"/>
        </w:rPr>
        <w:t>C</w:t>
      </w:r>
      <w:r w:rsidR="00B40798" w:rsidRPr="001C61EC">
        <w:rPr>
          <w:sz w:val="20"/>
          <w:szCs w:val="20"/>
        </w:rPr>
        <w:t xml:space="preserve">haracterization was performed </w:t>
      </w:r>
      <w:r>
        <w:rPr>
          <w:sz w:val="20"/>
          <w:szCs w:val="20"/>
        </w:rPr>
        <w:t xml:space="preserve">by </w:t>
      </w:r>
      <w:r w:rsidRPr="001C61EC">
        <w:rPr>
          <w:sz w:val="20"/>
          <w:szCs w:val="20"/>
        </w:rPr>
        <w:t>Fourier transform infrared (FTIR)</w:t>
      </w:r>
      <w:r>
        <w:rPr>
          <w:sz w:val="20"/>
          <w:szCs w:val="20"/>
        </w:rPr>
        <w:t xml:space="preserve"> spectrosco</w:t>
      </w:r>
      <w:r w:rsidRPr="001C61EC">
        <w:rPr>
          <w:sz w:val="20"/>
          <w:szCs w:val="20"/>
        </w:rPr>
        <w:t xml:space="preserve">py </w:t>
      </w:r>
      <w:r w:rsidR="00B40798" w:rsidRPr="001C61EC">
        <w:rPr>
          <w:sz w:val="20"/>
          <w:szCs w:val="20"/>
        </w:rPr>
        <w:t>to observe the</w:t>
      </w:r>
      <w:r w:rsidR="00B40798" w:rsidRPr="00C55B3D">
        <w:rPr>
          <w:sz w:val="20"/>
          <w:szCs w:val="20"/>
        </w:rPr>
        <w:t xml:space="preserve"> functional absorption of certain groups in MIP before and after washing stage and also NIP by using the KBr</w:t>
      </w:r>
      <w:r w:rsidR="00E86E57">
        <w:rPr>
          <w:sz w:val="20"/>
          <w:szCs w:val="20"/>
        </w:rPr>
        <w:t xml:space="preserve"> pellet method (Figure 2</w:t>
      </w:r>
      <w:r>
        <w:rPr>
          <w:sz w:val="20"/>
          <w:szCs w:val="20"/>
        </w:rPr>
        <w:t>). A C=O stretching vibration</w:t>
      </w:r>
      <w:r w:rsidR="00B40798" w:rsidRPr="00C55B3D">
        <w:rPr>
          <w:sz w:val="20"/>
          <w:szCs w:val="20"/>
        </w:rPr>
        <w:t xml:space="preserve"> occur</w:t>
      </w:r>
      <w:r>
        <w:rPr>
          <w:sz w:val="20"/>
          <w:szCs w:val="20"/>
        </w:rPr>
        <w:t>s</w:t>
      </w:r>
      <w:r w:rsidR="00B40798" w:rsidRPr="00C55B3D">
        <w:rPr>
          <w:sz w:val="20"/>
          <w:szCs w:val="20"/>
        </w:rPr>
        <w:t xml:space="preserve"> in the region 1700 -1750 cm</w:t>
      </w:r>
      <w:r w:rsidR="00B40798" w:rsidRPr="00C55B3D">
        <w:rPr>
          <w:sz w:val="20"/>
          <w:szCs w:val="20"/>
          <w:vertAlign w:val="superscript"/>
        </w:rPr>
        <w:t>-1</w:t>
      </w:r>
      <w:r w:rsidR="00B40798" w:rsidRPr="00C55B3D">
        <w:rPr>
          <w:sz w:val="20"/>
          <w:szCs w:val="20"/>
        </w:rPr>
        <w:t xml:space="preserve"> because </w:t>
      </w:r>
      <w:r>
        <w:rPr>
          <w:sz w:val="20"/>
          <w:szCs w:val="20"/>
        </w:rPr>
        <w:t>of the</w:t>
      </w:r>
      <w:r w:rsidR="00B40798" w:rsidRPr="00C55B3D">
        <w:rPr>
          <w:sz w:val="20"/>
          <w:szCs w:val="20"/>
        </w:rPr>
        <w:t xml:space="preserve"> cross-linked polymerization of EDMA and MAA, and repeated EDMA as cross-linking unit was carried out. The ab</w:t>
      </w:r>
      <w:r w:rsidR="00A36615">
        <w:rPr>
          <w:sz w:val="20"/>
          <w:szCs w:val="20"/>
        </w:rPr>
        <w:t>sorbance peaks for all spectra</w:t>
      </w:r>
      <w:r>
        <w:rPr>
          <w:sz w:val="20"/>
          <w:szCs w:val="20"/>
        </w:rPr>
        <w:t xml:space="preserve">were </w:t>
      </w:r>
      <w:r w:rsidR="00B40798" w:rsidRPr="00C55B3D">
        <w:rPr>
          <w:sz w:val="20"/>
          <w:szCs w:val="20"/>
        </w:rPr>
        <w:t xml:space="preserve">almost </w:t>
      </w:r>
      <w:r>
        <w:rPr>
          <w:sz w:val="20"/>
          <w:szCs w:val="20"/>
        </w:rPr>
        <w:t>identical</w:t>
      </w:r>
      <w:r w:rsidR="00B40798" w:rsidRPr="00C55B3D">
        <w:rPr>
          <w:sz w:val="20"/>
          <w:szCs w:val="20"/>
        </w:rPr>
        <w:t xml:space="preserve"> except for the intensity of the </w:t>
      </w:r>
      <w:r w:rsidR="00A36615">
        <w:rPr>
          <w:sz w:val="20"/>
          <w:szCs w:val="20"/>
        </w:rPr>
        <w:t>peak</w:t>
      </w:r>
      <w:r w:rsidR="00B40798" w:rsidRPr="00C55B3D">
        <w:rPr>
          <w:sz w:val="20"/>
          <w:szCs w:val="20"/>
        </w:rPr>
        <w:t xml:space="preserve"> at 3600-3400 cm</w:t>
      </w:r>
      <w:r w:rsidR="00B40798" w:rsidRPr="00C55B3D">
        <w:rPr>
          <w:sz w:val="20"/>
          <w:szCs w:val="20"/>
          <w:vertAlign w:val="superscript"/>
        </w:rPr>
        <w:t xml:space="preserve">-1 </w:t>
      </w:r>
      <w:r>
        <w:rPr>
          <w:sz w:val="20"/>
          <w:szCs w:val="20"/>
        </w:rPr>
        <w:t>for</w:t>
      </w:r>
      <w:r w:rsidR="00B40798" w:rsidRPr="00C55B3D">
        <w:rPr>
          <w:sz w:val="20"/>
          <w:szCs w:val="20"/>
        </w:rPr>
        <w:t xml:space="preserve"> O-H band, where the</w:t>
      </w:r>
      <w:r w:rsidR="00A36615">
        <w:rPr>
          <w:sz w:val="20"/>
          <w:szCs w:val="20"/>
        </w:rPr>
        <w:t xml:space="preserve"> peak</w:t>
      </w:r>
      <w:r w:rsidR="00B40798" w:rsidRPr="00C55B3D">
        <w:rPr>
          <w:sz w:val="20"/>
          <w:szCs w:val="20"/>
        </w:rPr>
        <w:t xml:space="preserve"> intensity for MIP before washing was lower than </w:t>
      </w:r>
      <w:r>
        <w:rPr>
          <w:sz w:val="20"/>
          <w:szCs w:val="20"/>
        </w:rPr>
        <w:t xml:space="preserve">that for </w:t>
      </w:r>
      <w:r w:rsidR="00B40798" w:rsidRPr="00C55B3D">
        <w:rPr>
          <w:sz w:val="20"/>
          <w:szCs w:val="20"/>
        </w:rPr>
        <w:t xml:space="preserve">MIP after washing, </w:t>
      </w:r>
      <w:r w:rsidR="00A36615">
        <w:rPr>
          <w:sz w:val="20"/>
          <w:szCs w:val="20"/>
        </w:rPr>
        <w:t>but</w:t>
      </w:r>
      <w:r w:rsidR="00B40798" w:rsidRPr="00C55B3D">
        <w:rPr>
          <w:sz w:val="20"/>
          <w:szCs w:val="20"/>
        </w:rPr>
        <w:t xml:space="preserve"> it was similar </w:t>
      </w:r>
      <w:r w:rsidR="00A36615">
        <w:rPr>
          <w:sz w:val="20"/>
          <w:szCs w:val="20"/>
        </w:rPr>
        <w:t>to</w:t>
      </w:r>
      <w:r>
        <w:rPr>
          <w:sz w:val="20"/>
          <w:szCs w:val="20"/>
        </w:rPr>
        <w:t>that for</w:t>
      </w:r>
      <w:r w:rsidR="00B40798" w:rsidRPr="00C55B3D">
        <w:rPr>
          <w:sz w:val="20"/>
          <w:szCs w:val="20"/>
        </w:rPr>
        <w:t xml:space="preserve"> NIP. </w:t>
      </w:r>
      <w:r w:rsidR="00A36615">
        <w:rPr>
          <w:sz w:val="20"/>
          <w:szCs w:val="20"/>
        </w:rPr>
        <w:t>A</w:t>
      </w:r>
      <w:r w:rsidR="00B40798" w:rsidRPr="00C55B3D">
        <w:rPr>
          <w:sz w:val="20"/>
          <w:szCs w:val="20"/>
        </w:rPr>
        <w:t xml:space="preserve"> possible</w:t>
      </w:r>
      <w:r w:rsidR="00A36615">
        <w:rPr>
          <w:sz w:val="20"/>
          <w:szCs w:val="20"/>
        </w:rPr>
        <w:t xml:space="preserve"> reason for this phenomenon is that </w:t>
      </w:r>
      <w:r w:rsidR="00B40798" w:rsidRPr="00C55B3D">
        <w:rPr>
          <w:sz w:val="20"/>
          <w:szCs w:val="20"/>
        </w:rPr>
        <w:t>the template molecule (quinalphos) was assembled with monomer (MAA) via hydrogen bonding with hydroxyl group in monomer during the preparation of MIP before washing</w:t>
      </w:r>
      <w:r w:rsidR="00A36615">
        <w:rPr>
          <w:sz w:val="20"/>
          <w:szCs w:val="20"/>
        </w:rPr>
        <w:t>. The proposed interaction is illustrated in Figure 3</w:t>
      </w:r>
      <w:r w:rsidR="00B40798" w:rsidRPr="00C55B3D">
        <w:rPr>
          <w:sz w:val="20"/>
          <w:szCs w:val="20"/>
        </w:rPr>
        <w:t>. However, after the template removal, a strong and broad stretching vibration absorbance peak of hydroxyl group from monomer was observe</w:t>
      </w:r>
      <w:r>
        <w:rPr>
          <w:sz w:val="20"/>
          <w:szCs w:val="20"/>
        </w:rPr>
        <w:t>d</w:t>
      </w:r>
      <w:r w:rsidR="00B40798" w:rsidRPr="00C55B3D">
        <w:rPr>
          <w:sz w:val="20"/>
          <w:szCs w:val="20"/>
        </w:rPr>
        <w:t xml:space="preserve"> clearly due to the absence of any hydrogen bond </w:t>
      </w:r>
      <w:r w:rsidR="00D71952" w:rsidRPr="00C55B3D">
        <w:rPr>
          <w:sz w:val="20"/>
          <w:szCs w:val="20"/>
        </w:rPr>
        <w:t>disruption</w:t>
      </w:r>
      <w:r>
        <w:rPr>
          <w:sz w:val="20"/>
          <w:szCs w:val="20"/>
        </w:rPr>
        <w:t xml:space="preserve"> which is in</w:t>
      </w:r>
      <w:r w:rsidR="00B40798" w:rsidRPr="00C55B3D">
        <w:rPr>
          <w:sz w:val="20"/>
          <w:szCs w:val="20"/>
        </w:rPr>
        <w:t xml:space="preserve"> agreement with</w:t>
      </w:r>
      <w:r>
        <w:rPr>
          <w:sz w:val="20"/>
          <w:szCs w:val="20"/>
        </w:rPr>
        <w:t xml:space="preserve"> a study reported by</w:t>
      </w:r>
      <w:r w:rsidR="00B40798" w:rsidRPr="00C55B3D">
        <w:rPr>
          <w:sz w:val="20"/>
          <w:szCs w:val="20"/>
        </w:rPr>
        <w:t>Brune</w:t>
      </w:r>
      <w:r w:rsidR="00B40798" w:rsidRPr="00C55B3D">
        <w:rPr>
          <w:i/>
          <w:sz w:val="20"/>
          <w:szCs w:val="20"/>
        </w:rPr>
        <w:t>et al.,</w:t>
      </w:r>
      <w:r w:rsidR="00B40798" w:rsidRPr="00C55B3D">
        <w:rPr>
          <w:sz w:val="20"/>
          <w:szCs w:val="20"/>
        </w:rPr>
        <w:t xml:space="preserve"> (1999)</w:t>
      </w:r>
      <w:r w:rsidR="00B6342C">
        <w:rPr>
          <w:sz w:val="20"/>
          <w:szCs w:val="20"/>
        </w:rPr>
        <w:t xml:space="preserve"> [7</w:t>
      </w:r>
      <w:r w:rsidR="00921C64">
        <w:rPr>
          <w:sz w:val="20"/>
          <w:szCs w:val="20"/>
        </w:rPr>
        <w:t>]</w:t>
      </w:r>
      <w:r w:rsidR="00B40798" w:rsidRPr="00C55B3D">
        <w:rPr>
          <w:sz w:val="20"/>
          <w:szCs w:val="20"/>
        </w:rPr>
        <w:t xml:space="preserve">. The difference in intensity indicates that the template </w:t>
      </w:r>
      <w:r>
        <w:rPr>
          <w:sz w:val="20"/>
          <w:szCs w:val="20"/>
        </w:rPr>
        <w:t>has</w:t>
      </w:r>
      <w:r w:rsidR="00B40798" w:rsidRPr="00C55B3D">
        <w:rPr>
          <w:sz w:val="20"/>
          <w:szCs w:val="20"/>
        </w:rPr>
        <w:t xml:space="preserve"> been leached out.   </w:t>
      </w:r>
    </w:p>
    <w:p w:rsidR="001C61EC" w:rsidRDefault="001C61EC" w:rsidP="00C1697C">
      <w:pPr>
        <w:spacing w:line="276" w:lineRule="auto"/>
        <w:jc w:val="both"/>
        <w:rPr>
          <w:sz w:val="20"/>
          <w:szCs w:val="20"/>
        </w:rPr>
      </w:pPr>
    </w:p>
    <w:p w:rsidR="008C7951" w:rsidRDefault="008C7951" w:rsidP="00B40798">
      <w:pPr>
        <w:jc w:val="both"/>
        <w:rPr>
          <w:sz w:val="20"/>
          <w:szCs w:val="20"/>
        </w:rPr>
      </w:pPr>
    </w:p>
    <w:p w:rsidR="008C7951" w:rsidRDefault="008C7951" w:rsidP="008C7951">
      <w:pPr>
        <w:jc w:val="center"/>
        <w:rPr>
          <w:sz w:val="20"/>
          <w:szCs w:val="20"/>
        </w:rPr>
      </w:pPr>
      <w:r w:rsidRPr="008C7951">
        <w:rPr>
          <w:noProof/>
          <w:sz w:val="20"/>
          <w:szCs w:val="20"/>
        </w:rPr>
        <w:drawing>
          <wp:inline distT="0" distB="0" distL="0" distR="0">
            <wp:extent cx="4163032" cy="2282024"/>
            <wp:effectExtent l="19050" t="0" r="8918"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171950" cy="2286913"/>
                    </a:xfrm>
                    <a:prstGeom prst="rect">
                      <a:avLst/>
                    </a:prstGeom>
                    <a:noFill/>
                    <a:ln w="9525">
                      <a:noFill/>
                      <a:miter lim="800000"/>
                      <a:headEnd/>
                      <a:tailEnd/>
                    </a:ln>
                  </pic:spPr>
                </pic:pic>
              </a:graphicData>
            </a:graphic>
          </wp:inline>
        </w:drawing>
      </w:r>
    </w:p>
    <w:p w:rsidR="00D61250" w:rsidRDefault="00D61250" w:rsidP="008C7951">
      <w:pPr>
        <w:jc w:val="center"/>
        <w:rPr>
          <w:sz w:val="20"/>
          <w:szCs w:val="20"/>
        </w:rPr>
      </w:pPr>
    </w:p>
    <w:p w:rsidR="00446319" w:rsidRDefault="008C7951" w:rsidP="0020343D">
      <w:pPr>
        <w:jc w:val="center"/>
        <w:rPr>
          <w:color w:val="000000"/>
          <w:sz w:val="20"/>
          <w:szCs w:val="20"/>
        </w:rPr>
      </w:pPr>
      <w:r w:rsidRPr="00DA619E">
        <w:rPr>
          <w:b/>
          <w:color w:val="000000"/>
          <w:sz w:val="20"/>
          <w:szCs w:val="20"/>
        </w:rPr>
        <w:t xml:space="preserve">Figure </w:t>
      </w:r>
      <w:r w:rsidR="00E86E57">
        <w:rPr>
          <w:b/>
          <w:color w:val="000000"/>
          <w:sz w:val="20"/>
          <w:szCs w:val="20"/>
        </w:rPr>
        <w:t>2</w:t>
      </w:r>
      <w:r>
        <w:rPr>
          <w:color w:val="000000"/>
          <w:sz w:val="20"/>
          <w:szCs w:val="20"/>
        </w:rPr>
        <w:t xml:space="preserve">: </w:t>
      </w:r>
      <w:r w:rsidR="00296906">
        <w:rPr>
          <w:color w:val="000000"/>
          <w:sz w:val="20"/>
          <w:szCs w:val="20"/>
        </w:rPr>
        <w:t>FTIR spectra</w:t>
      </w:r>
      <w:r w:rsidRPr="00DA619E">
        <w:rPr>
          <w:color w:val="000000"/>
          <w:sz w:val="20"/>
          <w:szCs w:val="20"/>
        </w:rPr>
        <w:t xml:space="preserve"> of MIP (a) before washing, (b) after washing, (c) NIP.</w:t>
      </w:r>
    </w:p>
    <w:p w:rsidR="00297E73" w:rsidRDefault="00297E73" w:rsidP="0020343D">
      <w:pPr>
        <w:jc w:val="center"/>
        <w:rPr>
          <w:color w:val="000000"/>
          <w:sz w:val="20"/>
          <w:szCs w:val="20"/>
        </w:rPr>
      </w:pPr>
    </w:p>
    <w:p w:rsidR="00297E73" w:rsidRDefault="00297E73" w:rsidP="0020343D">
      <w:pPr>
        <w:jc w:val="center"/>
        <w:rPr>
          <w:color w:val="000000"/>
          <w:sz w:val="20"/>
          <w:szCs w:val="20"/>
        </w:rPr>
      </w:pPr>
    </w:p>
    <w:p w:rsidR="00297E73" w:rsidRDefault="00C147E3" w:rsidP="0020343D">
      <w:pPr>
        <w:jc w:val="center"/>
        <w:rPr>
          <w:color w:val="000000"/>
          <w:sz w:val="20"/>
          <w:szCs w:val="20"/>
        </w:rPr>
      </w:pPr>
      <w:r w:rsidRPr="00C147E3">
        <w:rPr>
          <w:b/>
          <w:i/>
          <w:noProof/>
          <w:sz w:val="20"/>
          <w:szCs w:val="20"/>
        </w:rPr>
        <w:pict>
          <v:shape id="_x0000_s1029" type="#_x0000_t75" style="position:absolute;left:0;text-align:left;margin-left:155.25pt;margin-top:1.45pt;width:128.25pt;height:204.6pt;z-index:251662336" fillcolor="#bbe0e3">
            <v:imagedata r:id="rId15" o:title=""/>
          </v:shape>
          <o:OLEObject Type="Embed" ProgID="ChemDraw.Document.6.0" ShapeID="_x0000_s1029" DrawAspect="Content" ObjectID="_1379325904" r:id="rId16"/>
        </w:pict>
      </w:r>
    </w:p>
    <w:p w:rsidR="00A36615" w:rsidRDefault="00A36615" w:rsidP="0020343D">
      <w:pPr>
        <w:jc w:val="center"/>
        <w:rPr>
          <w:color w:val="000000"/>
          <w:sz w:val="20"/>
          <w:szCs w:val="20"/>
        </w:rPr>
      </w:pPr>
    </w:p>
    <w:p w:rsidR="00297E73" w:rsidRDefault="00297E73" w:rsidP="0020343D">
      <w:pPr>
        <w:jc w:val="center"/>
        <w:rPr>
          <w:color w:val="000000"/>
          <w:sz w:val="20"/>
          <w:szCs w:val="20"/>
        </w:rPr>
      </w:pPr>
    </w:p>
    <w:p w:rsidR="00297E73" w:rsidRDefault="00297E73" w:rsidP="0020343D">
      <w:pPr>
        <w:jc w:val="center"/>
        <w:rPr>
          <w:color w:val="000000"/>
          <w:sz w:val="20"/>
          <w:szCs w:val="20"/>
        </w:rPr>
      </w:pPr>
    </w:p>
    <w:p w:rsidR="00297E73" w:rsidRDefault="00297E73" w:rsidP="0020343D">
      <w:pPr>
        <w:jc w:val="center"/>
        <w:rPr>
          <w:color w:val="000000"/>
          <w:sz w:val="20"/>
          <w:szCs w:val="20"/>
        </w:rPr>
      </w:pPr>
    </w:p>
    <w:p w:rsidR="0020343D" w:rsidRDefault="0020343D" w:rsidP="006067A0">
      <w:pPr>
        <w:tabs>
          <w:tab w:val="left" w:pos="4347"/>
        </w:tabs>
        <w:jc w:val="both"/>
        <w:rPr>
          <w:b/>
          <w:i/>
          <w:sz w:val="20"/>
          <w:szCs w:val="20"/>
        </w:rPr>
      </w:pPr>
    </w:p>
    <w:p w:rsidR="00C74A90" w:rsidRDefault="00C74A90" w:rsidP="00C74A90">
      <w:pPr>
        <w:rPr>
          <w:color w:val="000000"/>
        </w:rPr>
      </w:pPr>
    </w:p>
    <w:p w:rsidR="00C74A90" w:rsidRDefault="00C74A90" w:rsidP="00C74A90">
      <w:pPr>
        <w:rPr>
          <w:color w:val="000000"/>
        </w:rPr>
      </w:pPr>
    </w:p>
    <w:p w:rsidR="00C74A90" w:rsidRDefault="00C74A90" w:rsidP="00C74A90">
      <w:pPr>
        <w:rPr>
          <w:color w:val="000000"/>
        </w:rPr>
      </w:pPr>
    </w:p>
    <w:p w:rsidR="00C74A90" w:rsidRDefault="00C74A90" w:rsidP="00C74A90">
      <w:pPr>
        <w:rPr>
          <w:color w:val="000000"/>
        </w:rPr>
      </w:pPr>
    </w:p>
    <w:p w:rsidR="00C74A90" w:rsidRDefault="00C74A90" w:rsidP="00C74A90">
      <w:pPr>
        <w:rPr>
          <w:color w:val="000000"/>
        </w:rPr>
      </w:pPr>
    </w:p>
    <w:p w:rsidR="00C74A90" w:rsidRDefault="00C74A90" w:rsidP="00C74A90">
      <w:pPr>
        <w:rPr>
          <w:color w:val="000000"/>
        </w:rPr>
      </w:pPr>
    </w:p>
    <w:p w:rsidR="00C74A90" w:rsidRDefault="00C74A90" w:rsidP="00C74A90">
      <w:pPr>
        <w:rPr>
          <w:color w:val="000000"/>
        </w:rPr>
      </w:pPr>
    </w:p>
    <w:p w:rsidR="00962276" w:rsidRDefault="00962276" w:rsidP="00C74A90">
      <w:pPr>
        <w:rPr>
          <w:color w:val="000000"/>
        </w:rPr>
      </w:pPr>
    </w:p>
    <w:p w:rsidR="00446319" w:rsidRDefault="00446319" w:rsidP="00446319">
      <w:pPr>
        <w:jc w:val="center"/>
        <w:rPr>
          <w:color w:val="000000"/>
        </w:rPr>
      </w:pPr>
    </w:p>
    <w:p w:rsidR="0020343D" w:rsidRDefault="0020343D" w:rsidP="00446319">
      <w:pPr>
        <w:jc w:val="center"/>
        <w:rPr>
          <w:color w:val="000000"/>
          <w:sz w:val="20"/>
          <w:szCs w:val="20"/>
        </w:rPr>
      </w:pPr>
    </w:p>
    <w:p w:rsidR="0020343D" w:rsidRDefault="0020343D" w:rsidP="00446319">
      <w:pPr>
        <w:jc w:val="center"/>
        <w:rPr>
          <w:color w:val="000000"/>
          <w:sz w:val="20"/>
          <w:szCs w:val="20"/>
        </w:rPr>
      </w:pPr>
    </w:p>
    <w:p w:rsidR="00446319" w:rsidRDefault="00446319" w:rsidP="00446319">
      <w:pPr>
        <w:jc w:val="center"/>
        <w:rPr>
          <w:color w:val="000000"/>
          <w:sz w:val="20"/>
          <w:szCs w:val="20"/>
        </w:rPr>
      </w:pPr>
      <w:r w:rsidRPr="00446319">
        <w:rPr>
          <w:b/>
          <w:color w:val="000000"/>
          <w:sz w:val="20"/>
          <w:szCs w:val="20"/>
        </w:rPr>
        <w:t>Figure 3</w:t>
      </w:r>
      <w:r w:rsidR="00140768">
        <w:rPr>
          <w:color w:val="000000"/>
          <w:sz w:val="20"/>
          <w:szCs w:val="20"/>
        </w:rPr>
        <w:t xml:space="preserve">: Proposed </w:t>
      </w:r>
      <w:r w:rsidR="00C94701">
        <w:rPr>
          <w:color w:val="000000"/>
          <w:sz w:val="20"/>
          <w:szCs w:val="20"/>
        </w:rPr>
        <w:t>i</w:t>
      </w:r>
      <w:r>
        <w:rPr>
          <w:color w:val="000000"/>
          <w:sz w:val="20"/>
          <w:szCs w:val="20"/>
        </w:rPr>
        <w:t>nteraction between monomer</w:t>
      </w:r>
      <w:r w:rsidR="00140768">
        <w:rPr>
          <w:color w:val="000000"/>
          <w:sz w:val="20"/>
          <w:szCs w:val="20"/>
        </w:rPr>
        <w:t xml:space="preserve"> (methacrylic acid)</w:t>
      </w:r>
      <w:r>
        <w:rPr>
          <w:color w:val="000000"/>
          <w:sz w:val="20"/>
          <w:szCs w:val="20"/>
        </w:rPr>
        <w:t xml:space="preserve"> and template</w:t>
      </w:r>
      <w:r w:rsidR="00140768">
        <w:rPr>
          <w:color w:val="000000"/>
          <w:sz w:val="20"/>
          <w:szCs w:val="20"/>
        </w:rPr>
        <w:t xml:space="preserve"> (quinalphos)</w:t>
      </w:r>
      <w:r w:rsidR="00A36615">
        <w:rPr>
          <w:color w:val="000000"/>
          <w:sz w:val="20"/>
          <w:szCs w:val="20"/>
        </w:rPr>
        <w:t>.</w:t>
      </w:r>
    </w:p>
    <w:p w:rsidR="00A36615" w:rsidRDefault="00A36615" w:rsidP="00446319">
      <w:pPr>
        <w:jc w:val="center"/>
        <w:rPr>
          <w:color w:val="000000"/>
          <w:sz w:val="20"/>
          <w:szCs w:val="20"/>
        </w:rPr>
      </w:pPr>
    </w:p>
    <w:p w:rsidR="00297E73" w:rsidRDefault="00297E73" w:rsidP="00446319">
      <w:pPr>
        <w:jc w:val="center"/>
        <w:rPr>
          <w:color w:val="000000"/>
          <w:sz w:val="20"/>
          <w:szCs w:val="20"/>
        </w:rPr>
      </w:pPr>
    </w:p>
    <w:p w:rsidR="00297E73" w:rsidRDefault="00297E73" w:rsidP="00446319">
      <w:pPr>
        <w:jc w:val="center"/>
        <w:rPr>
          <w:color w:val="000000"/>
          <w:sz w:val="20"/>
          <w:szCs w:val="20"/>
        </w:rPr>
      </w:pPr>
    </w:p>
    <w:p w:rsidR="00297E73" w:rsidRDefault="00297E73" w:rsidP="00446319">
      <w:pPr>
        <w:jc w:val="center"/>
        <w:rPr>
          <w:color w:val="000000"/>
          <w:sz w:val="20"/>
          <w:szCs w:val="20"/>
        </w:rPr>
      </w:pPr>
    </w:p>
    <w:p w:rsidR="00A36615" w:rsidRPr="00446319" w:rsidRDefault="00A36615" w:rsidP="00446319">
      <w:pPr>
        <w:jc w:val="center"/>
        <w:rPr>
          <w:color w:val="000000"/>
          <w:sz w:val="20"/>
          <w:szCs w:val="20"/>
        </w:rPr>
      </w:pPr>
    </w:p>
    <w:p w:rsidR="00446319" w:rsidRDefault="00446319" w:rsidP="00A36615">
      <w:pPr>
        <w:autoSpaceDE w:val="0"/>
        <w:autoSpaceDN w:val="0"/>
        <w:adjustRightInd w:val="0"/>
        <w:jc w:val="both"/>
        <w:rPr>
          <w:rFonts w:eastAsia="Calibri"/>
          <w:sz w:val="20"/>
          <w:szCs w:val="20"/>
        </w:rPr>
      </w:pPr>
      <w:r w:rsidRPr="00981B1E">
        <w:rPr>
          <w:color w:val="000000"/>
          <w:sz w:val="20"/>
          <w:szCs w:val="20"/>
        </w:rPr>
        <w:t xml:space="preserve">  Scanning electron microscopy (SEM</w:t>
      </w:r>
      <w:r w:rsidRPr="00981B1E">
        <w:rPr>
          <w:rFonts w:eastAsia="Calibri"/>
          <w:sz w:val="20"/>
          <w:szCs w:val="20"/>
        </w:rPr>
        <w:t xml:space="preserve">) was used to </w:t>
      </w:r>
      <w:r w:rsidR="00A36615">
        <w:rPr>
          <w:rFonts w:eastAsia="Calibri"/>
          <w:sz w:val="20"/>
          <w:szCs w:val="20"/>
        </w:rPr>
        <w:t>determine</w:t>
      </w:r>
      <w:r w:rsidRPr="00981B1E">
        <w:rPr>
          <w:rFonts w:eastAsia="Calibri"/>
          <w:sz w:val="20"/>
          <w:szCs w:val="20"/>
        </w:rPr>
        <w:t xml:space="preserve"> the surface morphology </w:t>
      </w:r>
      <w:r>
        <w:rPr>
          <w:rFonts w:eastAsia="Calibri"/>
          <w:sz w:val="20"/>
          <w:szCs w:val="20"/>
        </w:rPr>
        <w:t xml:space="preserve">and image of </w:t>
      </w:r>
      <w:r w:rsidR="00B02472">
        <w:rPr>
          <w:rFonts w:eastAsia="Calibri"/>
          <w:sz w:val="20"/>
          <w:szCs w:val="20"/>
        </w:rPr>
        <w:t xml:space="preserve">the </w:t>
      </w:r>
      <w:r>
        <w:rPr>
          <w:rFonts w:eastAsia="Calibri"/>
          <w:sz w:val="20"/>
          <w:szCs w:val="20"/>
        </w:rPr>
        <w:t>MIP.</w:t>
      </w:r>
      <w:r w:rsidR="00B02472">
        <w:rPr>
          <w:rFonts w:eastAsia="Calibri"/>
          <w:sz w:val="20"/>
          <w:szCs w:val="20"/>
        </w:rPr>
        <w:t xml:space="preserve">Figure 4 shows </w:t>
      </w:r>
      <w:r w:rsidR="00A36615">
        <w:rPr>
          <w:rFonts w:eastAsia="Calibri"/>
          <w:sz w:val="20"/>
          <w:szCs w:val="20"/>
        </w:rPr>
        <w:t>SEM micrographs</w:t>
      </w:r>
      <w:r w:rsidR="00B02472">
        <w:rPr>
          <w:rFonts w:eastAsia="Calibri"/>
          <w:sz w:val="20"/>
          <w:szCs w:val="20"/>
        </w:rPr>
        <w:t xml:space="preserve"> ofMIP at various magnifications which generally shows</w:t>
      </w:r>
      <w:r w:rsidRPr="00981B1E">
        <w:rPr>
          <w:rFonts w:eastAsia="Calibri"/>
          <w:sz w:val="20"/>
          <w:szCs w:val="20"/>
        </w:rPr>
        <w:t xml:space="preserve"> rough MIP surface with irregular </w:t>
      </w:r>
      <w:r w:rsidR="00911942">
        <w:rPr>
          <w:rFonts w:eastAsia="Calibri"/>
          <w:sz w:val="20"/>
          <w:szCs w:val="20"/>
        </w:rPr>
        <w:t>pores</w:t>
      </w:r>
      <w:r w:rsidRPr="00981B1E">
        <w:rPr>
          <w:rFonts w:eastAsia="Calibri"/>
          <w:sz w:val="20"/>
          <w:szCs w:val="20"/>
        </w:rPr>
        <w:t xml:space="preserve">. </w:t>
      </w:r>
    </w:p>
    <w:p w:rsidR="00297E73" w:rsidRDefault="00297E73" w:rsidP="00A36615">
      <w:pPr>
        <w:autoSpaceDE w:val="0"/>
        <w:autoSpaceDN w:val="0"/>
        <w:adjustRightInd w:val="0"/>
        <w:jc w:val="both"/>
        <w:rPr>
          <w:rFonts w:eastAsia="Calibri"/>
          <w:sz w:val="20"/>
          <w:szCs w:val="20"/>
        </w:rPr>
      </w:pPr>
    </w:p>
    <w:p w:rsidR="00C74A90" w:rsidRDefault="00C74A90" w:rsidP="00C74A90">
      <w:pPr>
        <w:rPr>
          <w:color w:val="000000"/>
        </w:rPr>
      </w:pPr>
    </w:p>
    <w:p w:rsidR="00297E73" w:rsidRDefault="00297E73" w:rsidP="00C74A90">
      <w:pPr>
        <w:rPr>
          <w:color w:val="000000"/>
        </w:rPr>
      </w:pPr>
    </w:p>
    <w:p w:rsidR="00297E73" w:rsidRDefault="00297E73" w:rsidP="00C74A90">
      <w:pPr>
        <w:rPr>
          <w:color w:val="000000"/>
        </w:rPr>
      </w:pPr>
    </w:p>
    <w:p w:rsidR="00297E73" w:rsidRDefault="00297E73" w:rsidP="00C74A90">
      <w:pPr>
        <w:rPr>
          <w:color w:val="000000"/>
        </w:rPr>
      </w:pPr>
    </w:p>
    <w:p w:rsidR="00297E73" w:rsidRDefault="00297E73" w:rsidP="00C74A90">
      <w:pPr>
        <w:rPr>
          <w:color w:val="000000"/>
        </w:rPr>
      </w:pPr>
    </w:p>
    <w:p w:rsidR="00297E73" w:rsidRDefault="00297E73" w:rsidP="00C74A90">
      <w:pPr>
        <w:rPr>
          <w:color w:val="000000"/>
        </w:rPr>
      </w:pPr>
    </w:p>
    <w:p w:rsidR="00297E73" w:rsidRDefault="00297E73" w:rsidP="00C74A90">
      <w:pPr>
        <w:rPr>
          <w:color w:val="000000"/>
        </w:rPr>
      </w:pPr>
    </w:p>
    <w:p w:rsidR="00C74A90" w:rsidRPr="006069E3" w:rsidRDefault="00C74A90" w:rsidP="006069E3">
      <w:pPr>
        <w:rPr>
          <w:color w:val="000000"/>
          <w:sz w:val="20"/>
          <w:szCs w:val="20"/>
        </w:rPr>
      </w:pPr>
      <w:r w:rsidRPr="006069E3">
        <w:rPr>
          <w:color w:val="000000"/>
          <w:sz w:val="20"/>
          <w:szCs w:val="20"/>
        </w:rPr>
        <w:t xml:space="preserve">(a)                            </w:t>
      </w:r>
    </w:p>
    <w:p w:rsidR="00C74A90" w:rsidRPr="006069E3" w:rsidRDefault="006069E3" w:rsidP="006069E3">
      <w:pPr>
        <w:jc w:val="center"/>
        <w:rPr>
          <w:color w:val="000000"/>
          <w:sz w:val="20"/>
          <w:szCs w:val="20"/>
        </w:rPr>
      </w:pPr>
      <w:r w:rsidRPr="006069E3">
        <w:rPr>
          <w:noProof/>
          <w:color w:val="000000"/>
          <w:sz w:val="20"/>
          <w:szCs w:val="20"/>
        </w:rPr>
        <w:drawing>
          <wp:anchor distT="0" distB="0" distL="114300" distR="114300" simplePos="0" relativeHeight="251659264" behindDoc="0" locked="0" layoutInCell="1" allowOverlap="1">
            <wp:simplePos x="0" y="0"/>
            <wp:positionH relativeFrom="column">
              <wp:posOffset>1997075</wp:posOffset>
            </wp:positionH>
            <wp:positionV relativeFrom="paragraph">
              <wp:posOffset>17145</wp:posOffset>
            </wp:positionV>
            <wp:extent cx="1744980" cy="1402080"/>
            <wp:effectExtent l="19050" t="0" r="7620" b="0"/>
            <wp:wrapSquare wrapText="bothSides"/>
            <wp:docPr id="2" name="Picture 1" descr="Sample A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A 007"/>
                    <pic:cNvPicPr>
                      <a:picLocks noChangeAspect="1" noChangeArrowheads="1"/>
                    </pic:cNvPicPr>
                  </pic:nvPicPr>
                  <pic:blipFill>
                    <a:blip r:embed="rId17" cstate="print"/>
                    <a:srcRect/>
                    <a:stretch>
                      <a:fillRect/>
                    </a:stretch>
                  </pic:blipFill>
                  <pic:spPr bwMode="auto">
                    <a:xfrm>
                      <a:off x="0" y="0"/>
                      <a:ext cx="1744980" cy="1402080"/>
                    </a:xfrm>
                    <a:prstGeom prst="rect">
                      <a:avLst/>
                    </a:prstGeom>
                    <a:noFill/>
                  </pic:spPr>
                </pic:pic>
              </a:graphicData>
            </a:graphic>
          </wp:anchor>
        </w:drawing>
      </w:r>
    </w:p>
    <w:p w:rsidR="00C74A90" w:rsidRPr="006069E3" w:rsidRDefault="00C74A90" w:rsidP="006069E3">
      <w:pPr>
        <w:jc w:val="center"/>
        <w:rPr>
          <w:color w:val="000000"/>
          <w:sz w:val="20"/>
          <w:szCs w:val="20"/>
        </w:rPr>
      </w:pPr>
    </w:p>
    <w:p w:rsidR="00C74A90" w:rsidRPr="006069E3" w:rsidRDefault="00C74A90" w:rsidP="006069E3">
      <w:pPr>
        <w:jc w:val="center"/>
        <w:rPr>
          <w:color w:val="000000"/>
          <w:sz w:val="20"/>
          <w:szCs w:val="20"/>
        </w:rPr>
      </w:pPr>
    </w:p>
    <w:p w:rsidR="00C74A90" w:rsidRPr="006069E3" w:rsidRDefault="00C74A90" w:rsidP="006069E3">
      <w:pPr>
        <w:jc w:val="center"/>
        <w:rPr>
          <w:color w:val="000000"/>
          <w:sz w:val="20"/>
          <w:szCs w:val="20"/>
        </w:rPr>
      </w:pPr>
    </w:p>
    <w:p w:rsidR="00C74A90" w:rsidRPr="006069E3" w:rsidRDefault="00C74A90" w:rsidP="006069E3">
      <w:pPr>
        <w:jc w:val="center"/>
        <w:rPr>
          <w:color w:val="000000"/>
          <w:sz w:val="20"/>
          <w:szCs w:val="20"/>
        </w:rPr>
      </w:pPr>
    </w:p>
    <w:p w:rsidR="006069E3" w:rsidRPr="006069E3" w:rsidRDefault="006069E3" w:rsidP="006069E3">
      <w:pPr>
        <w:jc w:val="center"/>
        <w:rPr>
          <w:color w:val="000000"/>
          <w:sz w:val="20"/>
          <w:szCs w:val="20"/>
        </w:rPr>
      </w:pPr>
    </w:p>
    <w:p w:rsidR="006069E3" w:rsidRDefault="006069E3" w:rsidP="006069E3">
      <w:pPr>
        <w:jc w:val="center"/>
        <w:rPr>
          <w:color w:val="000000"/>
          <w:sz w:val="20"/>
          <w:szCs w:val="20"/>
        </w:rPr>
      </w:pPr>
    </w:p>
    <w:p w:rsidR="006069E3" w:rsidRDefault="006069E3" w:rsidP="006069E3">
      <w:pPr>
        <w:jc w:val="center"/>
        <w:rPr>
          <w:color w:val="000000"/>
          <w:sz w:val="20"/>
          <w:szCs w:val="20"/>
        </w:rPr>
      </w:pPr>
    </w:p>
    <w:p w:rsidR="00170067" w:rsidRDefault="00170067" w:rsidP="006069E3">
      <w:pPr>
        <w:jc w:val="center"/>
        <w:rPr>
          <w:color w:val="000000"/>
          <w:sz w:val="20"/>
          <w:szCs w:val="20"/>
        </w:rPr>
      </w:pPr>
    </w:p>
    <w:p w:rsidR="006069E3" w:rsidRDefault="006069E3" w:rsidP="006069E3">
      <w:pPr>
        <w:jc w:val="center"/>
        <w:rPr>
          <w:color w:val="000000"/>
          <w:sz w:val="20"/>
          <w:szCs w:val="20"/>
        </w:rPr>
      </w:pPr>
    </w:p>
    <w:p w:rsidR="006069E3" w:rsidRDefault="006069E3" w:rsidP="006069E3">
      <w:pPr>
        <w:rPr>
          <w:color w:val="000000"/>
          <w:sz w:val="20"/>
          <w:szCs w:val="20"/>
        </w:rPr>
      </w:pPr>
    </w:p>
    <w:p w:rsidR="00C74A90" w:rsidRPr="00170067" w:rsidRDefault="00C74A90" w:rsidP="00170067">
      <w:pPr>
        <w:rPr>
          <w:color w:val="000000"/>
          <w:sz w:val="20"/>
          <w:szCs w:val="20"/>
        </w:rPr>
      </w:pPr>
      <w:r w:rsidRPr="006069E3">
        <w:rPr>
          <w:color w:val="000000"/>
          <w:sz w:val="20"/>
          <w:szCs w:val="20"/>
        </w:rPr>
        <w:t>(b) (c)</w:t>
      </w:r>
      <w:r w:rsidR="006069E3" w:rsidRPr="006069E3">
        <w:rPr>
          <w:noProof/>
          <w:color w:val="000000"/>
        </w:rPr>
        <w:drawing>
          <wp:anchor distT="0" distB="0" distL="114300" distR="114300" simplePos="0" relativeHeight="251661312" behindDoc="0" locked="0" layoutInCell="1" allowOverlap="1">
            <wp:simplePos x="0" y="0"/>
            <wp:positionH relativeFrom="column">
              <wp:posOffset>3496310</wp:posOffset>
            </wp:positionH>
            <wp:positionV relativeFrom="paragraph">
              <wp:posOffset>254635</wp:posOffset>
            </wp:positionV>
            <wp:extent cx="1645920" cy="1319530"/>
            <wp:effectExtent l="19050" t="0" r="0" b="0"/>
            <wp:wrapSquare wrapText="bothSides"/>
            <wp:docPr id="3" name="Picture 61" descr="Sample A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ample A 004"/>
                    <pic:cNvPicPr>
                      <a:picLocks noChangeAspect="1" noChangeArrowheads="1"/>
                    </pic:cNvPicPr>
                  </pic:nvPicPr>
                  <pic:blipFill>
                    <a:blip r:embed="rId18" cstate="print"/>
                    <a:srcRect/>
                    <a:stretch>
                      <a:fillRect/>
                    </a:stretch>
                  </pic:blipFill>
                  <pic:spPr bwMode="auto">
                    <a:xfrm>
                      <a:off x="0" y="0"/>
                      <a:ext cx="1645920" cy="1319530"/>
                    </a:xfrm>
                    <a:prstGeom prst="rect">
                      <a:avLst/>
                    </a:prstGeom>
                    <a:noFill/>
                  </pic:spPr>
                </pic:pic>
              </a:graphicData>
            </a:graphic>
          </wp:anchor>
        </w:drawing>
      </w:r>
      <w:r w:rsidR="006069E3" w:rsidRPr="006069E3">
        <w:rPr>
          <w:noProof/>
          <w:color w:val="000000"/>
        </w:rPr>
        <w:drawing>
          <wp:anchor distT="0" distB="0" distL="114300" distR="114300" simplePos="0" relativeHeight="251660288" behindDoc="0" locked="0" layoutInCell="1" allowOverlap="1">
            <wp:simplePos x="0" y="0"/>
            <wp:positionH relativeFrom="column">
              <wp:posOffset>868680</wp:posOffset>
            </wp:positionH>
            <wp:positionV relativeFrom="paragraph">
              <wp:posOffset>256540</wp:posOffset>
            </wp:positionV>
            <wp:extent cx="1636395" cy="1308735"/>
            <wp:effectExtent l="19050" t="0" r="1905" b="0"/>
            <wp:wrapSquare wrapText="bothSides"/>
            <wp:docPr id="4" name="Picture 2" descr="Sample A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A 008"/>
                    <pic:cNvPicPr>
                      <a:picLocks noChangeAspect="1" noChangeArrowheads="1"/>
                    </pic:cNvPicPr>
                  </pic:nvPicPr>
                  <pic:blipFill>
                    <a:blip r:embed="rId19" cstate="print"/>
                    <a:srcRect/>
                    <a:stretch>
                      <a:fillRect/>
                    </a:stretch>
                  </pic:blipFill>
                  <pic:spPr bwMode="auto">
                    <a:xfrm>
                      <a:off x="0" y="0"/>
                      <a:ext cx="1636395" cy="1308735"/>
                    </a:xfrm>
                    <a:prstGeom prst="rect">
                      <a:avLst/>
                    </a:prstGeom>
                    <a:noFill/>
                  </pic:spPr>
                </pic:pic>
              </a:graphicData>
            </a:graphic>
          </wp:anchor>
        </w:drawing>
      </w:r>
    </w:p>
    <w:p w:rsidR="00C74A90" w:rsidRPr="006069E3" w:rsidRDefault="00C74A90" w:rsidP="006069E3">
      <w:pPr>
        <w:jc w:val="center"/>
        <w:rPr>
          <w:color w:val="000000"/>
        </w:rPr>
      </w:pPr>
    </w:p>
    <w:p w:rsidR="00C74A90" w:rsidRPr="006069E3" w:rsidRDefault="00C74A90" w:rsidP="006069E3">
      <w:pPr>
        <w:jc w:val="center"/>
        <w:rPr>
          <w:color w:val="000000"/>
        </w:rPr>
      </w:pPr>
    </w:p>
    <w:p w:rsidR="00C74A90" w:rsidRDefault="00C74A90" w:rsidP="006069E3">
      <w:pPr>
        <w:jc w:val="center"/>
        <w:rPr>
          <w:color w:val="000000"/>
        </w:rPr>
      </w:pPr>
    </w:p>
    <w:p w:rsidR="006069E3" w:rsidRDefault="006069E3" w:rsidP="006069E3">
      <w:pPr>
        <w:jc w:val="center"/>
        <w:rPr>
          <w:color w:val="000000"/>
        </w:rPr>
      </w:pPr>
    </w:p>
    <w:p w:rsidR="006069E3" w:rsidRDefault="006069E3" w:rsidP="006069E3">
      <w:pPr>
        <w:jc w:val="center"/>
        <w:rPr>
          <w:color w:val="000000"/>
        </w:rPr>
      </w:pPr>
    </w:p>
    <w:p w:rsidR="006069E3" w:rsidRDefault="006069E3" w:rsidP="006069E3">
      <w:pPr>
        <w:jc w:val="center"/>
        <w:rPr>
          <w:color w:val="000000"/>
        </w:rPr>
      </w:pPr>
    </w:p>
    <w:p w:rsidR="006069E3" w:rsidRDefault="006069E3" w:rsidP="006069E3">
      <w:pPr>
        <w:jc w:val="center"/>
        <w:rPr>
          <w:color w:val="000000"/>
        </w:rPr>
      </w:pPr>
    </w:p>
    <w:p w:rsidR="00911942" w:rsidRDefault="00911942" w:rsidP="006069E3">
      <w:pPr>
        <w:jc w:val="center"/>
        <w:rPr>
          <w:color w:val="000000"/>
        </w:rPr>
      </w:pPr>
    </w:p>
    <w:p w:rsidR="00911942" w:rsidRPr="006069E3" w:rsidRDefault="00911942" w:rsidP="006069E3">
      <w:pPr>
        <w:jc w:val="center"/>
        <w:rPr>
          <w:color w:val="000000"/>
        </w:rPr>
      </w:pPr>
    </w:p>
    <w:p w:rsidR="00C74A90" w:rsidRPr="006069E3" w:rsidRDefault="00C74A90" w:rsidP="006069E3">
      <w:pPr>
        <w:jc w:val="center"/>
        <w:rPr>
          <w:color w:val="000000"/>
        </w:rPr>
      </w:pPr>
    </w:p>
    <w:p w:rsidR="00C74A90" w:rsidRPr="007B6866" w:rsidRDefault="00C74A90" w:rsidP="007B6866">
      <w:pPr>
        <w:jc w:val="center"/>
        <w:rPr>
          <w:color w:val="000000"/>
          <w:sz w:val="20"/>
          <w:szCs w:val="20"/>
        </w:rPr>
      </w:pPr>
      <w:r w:rsidRPr="00446319">
        <w:rPr>
          <w:b/>
          <w:color w:val="000000"/>
          <w:sz w:val="20"/>
          <w:szCs w:val="20"/>
        </w:rPr>
        <w:t xml:space="preserve">Figure </w:t>
      </w:r>
      <w:r w:rsidR="00446319">
        <w:rPr>
          <w:b/>
          <w:color w:val="000000"/>
          <w:sz w:val="20"/>
          <w:szCs w:val="20"/>
        </w:rPr>
        <w:t>4</w:t>
      </w:r>
      <w:r w:rsidRPr="006069E3">
        <w:rPr>
          <w:color w:val="000000"/>
          <w:sz w:val="20"/>
          <w:szCs w:val="20"/>
        </w:rPr>
        <w:t>:</w:t>
      </w:r>
      <w:r w:rsidR="00911942">
        <w:rPr>
          <w:color w:val="000000"/>
          <w:sz w:val="20"/>
          <w:szCs w:val="20"/>
        </w:rPr>
        <w:t xml:space="preserve"> The SEM images of MIP at differentm</w:t>
      </w:r>
      <w:r w:rsidRPr="00C74A90">
        <w:rPr>
          <w:color w:val="000000"/>
          <w:sz w:val="20"/>
          <w:szCs w:val="20"/>
        </w:rPr>
        <w:t>agnifications: (a) × 10,000, (b) ×25,000 and (c) ×50,000</w:t>
      </w:r>
    </w:p>
    <w:p w:rsidR="00C74A90" w:rsidRPr="00981B1E" w:rsidRDefault="00C74A90" w:rsidP="006067A0">
      <w:pPr>
        <w:tabs>
          <w:tab w:val="left" w:pos="4347"/>
        </w:tabs>
        <w:jc w:val="both"/>
        <w:rPr>
          <w:b/>
          <w:i/>
          <w:sz w:val="20"/>
          <w:szCs w:val="20"/>
        </w:rPr>
      </w:pPr>
    </w:p>
    <w:p w:rsidR="007B6866" w:rsidRDefault="007B6866" w:rsidP="006067A0">
      <w:pPr>
        <w:tabs>
          <w:tab w:val="left" w:pos="4347"/>
        </w:tabs>
        <w:jc w:val="both"/>
        <w:rPr>
          <w:b/>
          <w:i/>
          <w:sz w:val="20"/>
          <w:szCs w:val="20"/>
        </w:rPr>
      </w:pPr>
    </w:p>
    <w:p w:rsidR="00A36615" w:rsidRDefault="00A36615" w:rsidP="006067A0">
      <w:pPr>
        <w:tabs>
          <w:tab w:val="left" w:pos="4347"/>
        </w:tabs>
        <w:jc w:val="both"/>
        <w:rPr>
          <w:b/>
          <w:i/>
          <w:sz w:val="20"/>
          <w:szCs w:val="20"/>
        </w:rPr>
      </w:pPr>
    </w:p>
    <w:p w:rsidR="006067A0" w:rsidRPr="003B45BF" w:rsidRDefault="006067A0" w:rsidP="006067A0">
      <w:pPr>
        <w:tabs>
          <w:tab w:val="left" w:pos="4347"/>
        </w:tabs>
        <w:jc w:val="both"/>
        <w:rPr>
          <w:b/>
          <w:i/>
          <w:sz w:val="20"/>
          <w:szCs w:val="20"/>
        </w:rPr>
      </w:pPr>
      <w:r w:rsidRPr="00981B1E">
        <w:rPr>
          <w:b/>
          <w:i/>
          <w:sz w:val="20"/>
          <w:szCs w:val="20"/>
        </w:rPr>
        <w:t>Optimization of MIP</w:t>
      </w:r>
      <w:r w:rsidR="00BA215D">
        <w:rPr>
          <w:b/>
          <w:i/>
          <w:sz w:val="20"/>
          <w:szCs w:val="20"/>
        </w:rPr>
        <w:t>-</w:t>
      </w:r>
      <w:r w:rsidRPr="00981B1E">
        <w:rPr>
          <w:b/>
          <w:i/>
          <w:sz w:val="20"/>
          <w:szCs w:val="20"/>
        </w:rPr>
        <w:t>SPE</w:t>
      </w:r>
      <w:r w:rsidRPr="003B45BF">
        <w:rPr>
          <w:b/>
          <w:i/>
          <w:sz w:val="20"/>
          <w:szCs w:val="20"/>
        </w:rPr>
        <w:t xml:space="preserve"> procedure</w:t>
      </w:r>
    </w:p>
    <w:p w:rsidR="006067A0" w:rsidRPr="003B45BF" w:rsidRDefault="006067A0" w:rsidP="006067A0">
      <w:pPr>
        <w:tabs>
          <w:tab w:val="left" w:pos="4347"/>
        </w:tabs>
        <w:jc w:val="both"/>
        <w:rPr>
          <w:i/>
          <w:sz w:val="20"/>
          <w:szCs w:val="20"/>
        </w:rPr>
      </w:pPr>
    </w:p>
    <w:p w:rsidR="006067A0" w:rsidRPr="003B45BF" w:rsidRDefault="006067A0" w:rsidP="006067A0">
      <w:pPr>
        <w:jc w:val="both"/>
        <w:rPr>
          <w:sz w:val="20"/>
          <w:szCs w:val="20"/>
        </w:rPr>
      </w:pPr>
      <w:r w:rsidRPr="003B45BF">
        <w:rPr>
          <w:sz w:val="20"/>
          <w:szCs w:val="20"/>
        </w:rPr>
        <w:t xml:space="preserve">          In order to evaluate the imprinting affect and applicability of the MIPs for the </w:t>
      </w:r>
      <w:r w:rsidR="00A36615">
        <w:rPr>
          <w:sz w:val="20"/>
          <w:szCs w:val="20"/>
        </w:rPr>
        <w:t>extraction</w:t>
      </w:r>
      <w:r w:rsidRPr="003B45BF">
        <w:rPr>
          <w:sz w:val="20"/>
          <w:szCs w:val="20"/>
        </w:rPr>
        <w:t xml:space="preserve"> and determina</w:t>
      </w:r>
      <w:r w:rsidR="00295015">
        <w:rPr>
          <w:sz w:val="20"/>
          <w:szCs w:val="20"/>
        </w:rPr>
        <w:t>tion of trace quinalphos, t</w:t>
      </w:r>
      <w:r w:rsidRPr="003B45BF">
        <w:rPr>
          <w:sz w:val="20"/>
          <w:szCs w:val="20"/>
        </w:rPr>
        <w:t>he MIP</w:t>
      </w:r>
      <w:r w:rsidR="00306D22">
        <w:rPr>
          <w:sz w:val="20"/>
          <w:szCs w:val="20"/>
        </w:rPr>
        <w:t>-</w:t>
      </w:r>
      <w:r w:rsidRPr="003B45BF">
        <w:rPr>
          <w:sz w:val="20"/>
          <w:szCs w:val="20"/>
        </w:rPr>
        <w:t xml:space="preserve">SPE process was optimized by evaluating the washing solvent, </w:t>
      </w:r>
      <w:r w:rsidR="006051CE" w:rsidRPr="003B45BF">
        <w:rPr>
          <w:sz w:val="20"/>
          <w:szCs w:val="20"/>
        </w:rPr>
        <w:t>volume of loading sample,</w:t>
      </w:r>
      <w:r w:rsidR="00295015">
        <w:rPr>
          <w:sz w:val="20"/>
          <w:szCs w:val="20"/>
        </w:rPr>
        <w:t xml:space="preserve"> and</w:t>
      </w:r>
      <w:r w:rsidR="00311C87" w:rsidRPr="003B45BF">
        <w:rPr>
          <w:sz w:val="20"/>
          <w:szCs w:val="20"/>
        </w:rPr>
        <w:t>t</w:t>
      </w:r>
      <w:r w:rsidRPr="003B45BF">
        <w:rPr>
          <w:sz w:val="20"/>
          <w:szCs w:val="20"/>
        </w:rPr>
        <w:t xml:space="preserve">he composition and volume of the eluting solvent to achieve good sensitivity and precision of this method. </w:t>
      </w:r>
    </w:p>
    <w:p w:rsidR="00687B74" w:rsidRPr="003B45BF" w:rsidRDefault="00687B74" w:rsidP="006067A0">
      <w:pPr>
        <w:jc w:val="both"/>
        <w:rPr>
          <w:i/>
          <w:sz w:val="20"/>
          <w:szCs w:val="20"/>
        </w:rPr>
      </w:pPr>
    </w:p>
    <w:p w:rsidR="006067A0" w:rsidRPr="003B45BF" w:rsidRDefault="000600A2" w:rsidP="006067A0">
      <w:pPr>
        <w:jc w:val="both"/>
        <w:rPr>
          <w:b/>
          <w:i/>
          <w:sz w:val="20"/>
          <w:szCs w:val="20"/>
        </w:rPr>
      </w:pPr>
      <w:r>
        <w:rPr>
          <w:b/>
          <w:i/>
          <w:sz w:val="20"/>
          <w:szCs w:val="20"/>
        </w:rPr>
        <w:t xml:space="preserve">Washing solvent </w:t>
      </w:r>
    </w:p>
    <w:p w:rsidR="006067A0" w:rsidRPr="003B45BF" w:rsidRDefault="006067A0" w:rsidP="006067A0">
      <w:pPr>
        <w:jc w:val="both"/>
        <w:rPr>
          <w:sz w:val="20"/>
          <w:szCs w:val="20"/>
        </w:rPr>
      </w:pPr>
    </w:p>
    <w:p w:rsidR="005A2EAD" w:rsidRDefault="006067A0" w:rsidP="006067A0">
      <w:pPr>
        <w:jc w:val="both"/>
        <w:rPr>
          <w:rFonts w:eastAsia="SimSun"/>
          <w:sz w:val="20"/>
          <w:szCs w:val="20"/>
          <w:lang w:eastAsia="zh-CN"/>
        </w:rPr>
      </w:pPr>
      <w:r w:rsidRPr="003B45BF">
        <w:rPr>
          <w:sz w:val="20"/>
          <w:szCs w:val="20"/>
        </w:rPr>
        <w:t xml:space="preserve">          The</w:t>
      </w:r>
      <w:r w:rsidR="00295015">
        <w:rPr>
          <w:sz w:val="20"/>
          <w:szCs w:val="20"/>
        </w:rPr>
        <w:t>type</w:t>
      </w:r>
      <w:r w:rsidR="00E86E57">
        <w:rPr>
          <w:sz w:val="20"/>
          <w:szCs w:val="20"/>
        </w:rPr>
        <w:t xml:space="preserve"> of the washing solution </w:t>
      </w:r>
      <w:r w:rsidRPr="003B45BF">
        <w:rPr>
          <w:sz w:val="20"/>
          <w:szCs w:val="20"/>
        </w:rPr>
        <w:t>plays a vital role on the selectivity of the MIPs</w:t>
      </w:r>
      <w:r w:rsidR="00295015">
        <w:rPr>
          <w:sz w:val="20"/>
          <w:szCs w:val="20"/>
        </w:rPr>
        <w:t xml:space="preserve"> in order</w:t>
      </w:r>
      <w:r w:rsidRPr="003B45BF">
        <w:rPr>
          <w:sz w:val="20"/>
          <w:szCs w:val="20"/>
        </w:rPr>
        <w:t xml:space="preserve"> to ma</w:t>
      </w:r>
      <w:r w:rsidR="00311C87" w:rsidRPr="003B45BF">
        <w:rPr>
          <w:sz w:val="20"/>
          <w:szCs w:val="20"/>
        </w:rPr>
        <w:t>ximize the specific interaction</w:t>
      </w:r>
      <w:r w:rsidRPr="003B45BF">
        <w:rPr>
          <w:sz w:val="20"/>
          <w:szCs w:val="20"/>
        </w:rPr>
        <w:t xml:space="preserve"> between analyte and binding site and to simultaneously discard matrix component in the polymer by decrease the non-specific interaction at </w:t>
      </w:r>
      <w:r w:rsidR="00B6342C">
        <w:rPr>
          <w:sz w:val="20"/>
          <w:szCs w:val="20"/>
        </w:rPr>
        <w:t>binding site [8</w:t>
      </w:r>
      <w:r w:rsidRPr="003B45BF">
        <w:rPr>
          <w:sz w:val="20"/>
          <w:szCs w:val="20"/>
        </w:rPr>
        <w:t xml:space="preserve">]. </w:t>
      </w:r>
      <w:r w:rsidR="00295015">
        <w:rPr>
          <w:sz w:val="20"/>
          <w:szCs w:val="20"/>
        </w:rPr>
        <w:t>S</w:t>
      </w:r>
      <w:r w:rsidR="00295015" w:rsidRPr="003B45BF">
        <w:rPr>
          <w:sz w:val="20"/>
          <w:szCs w:val="20"/>
        </w:rPr>
        <w:t xml:space="preserve">amples </w:t>
      </w:r>
      <w:r w:rsidR="00295015">
        <w:rPr>
          <w:sz w:val="20"/>
          <w:szCs w:val="20"/>
        </w:rPr>
        <w:t>(</w:t>
      </w:r>
      <w:r w:rsidRPr="003B45BF">
        <w:rPr>
          <w:sz w:val="20"/>
          <w:szCs w:val="20"/>
        </w:rPr>
        <w:t>10 mL</w:t>
      </w:r>
      <w:r w:rsidR="00295015">
        <w:rPr>
          <w:sz w:val="20"/>
          <w:szCs w:val="20"/>
        </w:rPr>
        <w:t>)</w:t>
      </w:r>
      <w:r w:rsidRPr="003B45BF">
        <w:rPr>
          <w:sz w:val="20"/>
          <w:szCs w:val="20"/>
        </w:rPr>
        <w:t xml:space="preserve"> containing 0.1 </w:t>
      </w:r>
      <w:r w:rsidRPr="003B45BF">
        <w:rPr>
          <w:rFonts w:eastAsia="Calibri"/>
          <w:sz w:val="20"/>
          <w:szCs w:val="20"/>
        </w:rPr>
        <w:t>mgL</w:t>
      </w:r>
      <w:r w:rsidRPr="003B45BF">
        <w:rPr>
          <w:rFonts w:eastAsia="Calibri"/>
          <w:sz w:val="20"/>
          <w:szCs w:val="20"/>
          <w:vertAlign w:val="superscript"/>
        </w:rPr>
        <w:t>-</w:t>
      </w:r>
      <w:r w:rsidRPr="003B45BF">
        <w:rPr>
          <w:rFonts w:eastAsia="Calibri"/>
          <w:sz w:val="20"/>
          <w:szCs w:val="20"/>
        </w:rPr>
        <w:t xml:space="preserve">¹ quinalphos dissolved in water </w:t>
      </w:r>
      <w:r w:rsidR="00295015">
        <w:rPr>
          <w:rFonts w:eastAsia="Calibri"/>
          <w:sz w:val="20"/>
          <w:szCs w:val="20"/>
        </w:rPr>
        <w:t>were loaded onto the cartridgesand</w:t>
      </w:r>
      <w:r w:rsidRPr="003B45BF">
        <w:rPr>
          <w:rFonts w:eastAsia="Calibri"/>
          <w:sz w:val="20"/>
          <w:szCs w:val="20"/>
        </w:rPr>
        <w:t xml:space="preserve"> washed with various solvent tested and elute</w:t>
      </w:r>
      <w:r w:rsidR="00295015">
        <w:rPr>
          <w:rFonts w:eastAsia="Calibri"/>
          <w:sz w:val="20"/>
          <w:szCs w:val="20"/>
        </w:rPr>
        <w:t>d</w:t>
      </w:r>
      <w:r w:rsidRPr="003B45BF">
        <w:rPr>
          <w:rFonts w:eastAsia="Calibri"/>
          <w:sz w:val="20"/>
          <w:szCs w:val="20"/>
        </w:rPr>
        <w:t xml:space="preserve"> with10 mL of </w:t>
      </w:r>
      <w:r w:rsidRPr="003B45BF">
        <w:rPr>
          <w:rFonts w:eastAsia="SimSun"/>
          <w:sz w:val="20"/>
          <w:szCs w:val="20"/>
          <w:lang w:eastAsia="zh-CN"/>
        </w:rPr>
        <w:t>methanol-acetic acid (9:1, v/v) mixture solution. The concentration recoveries were determined by HPL</w:t>
      </w:r>
      <w:r w:rsidR="005A2EAD" w:rsidRPr="003B45BF">
        <w:rPr>
          <w:rFonts w:eastAsia="SimSun"/>
          <w:sz w:val="20"/>
          <w:szCs w:val="20"/>
          <w:lang w:eastAsia="zh-CN"/>
        </w:rPr>
        <w:t>C.</w:t>
      </w:r>
    </w:p>
    <w:p w:rsidR="003B45BF" w:rsidRPr="003B45BF" w:rsidRDefault="003B45BF" w:rsidP="006067A0">
      <w:pPr>
        <w:jc w:val="both"/>
        <w:rPr>
          <w:rFonts w:eastAsia="SimSun"/>
          <w:sz w:val="20"/>
          <w:szCs w:val="20"/>
          <w:lang w:eastAsia="zh-CN"/>
        </w:rPr>
      </w:pPr>
    </w:p>
    <w:p w:rsidR="006067A0" w:rsidRDefault="006067A0" w:rsidP="007B6866">
      <w:pPr>
        <w:jc w:val="both"/>
        <w:rPr>
          <w:rFonts w:eastAsia="Calibri"/>
          <w:color w:val="000000"/>
          <w:sz w:val="20"/>
          <w:szCs w:val="20"/>
        </w:rPr>
      </w:pPr>
      <w:r w:rsidRPr="003B45BF">
        <w:rPr>
          <w:rFonts w:eastAsia="SimSun"/>
          <w:sz w:val="20"/>
          <w:szCs w:val="20"/>
          <w:lang w:eastAsia="zh-CN"/>
        </w:rPr>
        <w:t xml:space="preserve">          Since recognition is often best in the porogen solvent</w:t>
      </w:r>
      <w:r w:rsidR="00896E17">
        <w:rPr>
          <w:rFonts w:eastAsia="SimSun"/>
          <w:sz w:val="20"/>
          <w:szCs w:val="20"/>
          <w:lang w:eastAsia="zh-CN"/>
        </w:rPr>
        <w:t xml:space="preserve"> used</w:t>
      </w:r>
      <w:r w:rsidR="00B6342C">
        <w:rPr>
          <w:rFonts w:eastAsia="SimSun"/>
          <w:sz w:val="20"/>
          <w:szCs w:val="20"/>
          <w:lang w:eastAsia="zh-CN"/>
        </w:rPr>
        <w:t xml:space="preserve"> in polymerization of the MIP [9</w:t>
      </w:r>
      <w:r w:rsidR="00896E17">
        <w:rPr>
          <w:rFonts w:eastAsia="SimSun"/>
          <w:sz w:val="20"/>
          <w:szCs w:val="20"/>
          <w:lang w:eastAsia="zh-CN"/>
        </w:rPr>
        <w:t>], it was decided that</w:t>
      </w:r>
      <w:r w:rsidRPr="003B45BF">
        <w:rPr>
          <w:rFonts w:eastAsia="SimSun"/>
          <w:sz w:val="20"/>
          <w:szCs w:val="20"/>
          <w:lang w:eastAsia="zh-CN"/>
        </w:rPr>
        <w:t xml:space="preserve"> acetonitrile</w:t>
      </w:r>
      <w:r w:rsidR="006051CE" w:rsidRPr="003B45BF">
        <w:rPr>
          <w:rFonts w:eastAsia="SimSun"/>
          <w:sz w:val="20"/>
          <w:szCs w:val="20"/>
          <w:lang w:eastAsia="zh-CN"/>
        </w:rPr>
        <w:t xml:space="preserve"> (ACN)</w:t>
      </w:r>
      <w:r w:rsidR="00896E17">
        <w:rPr>
          <w:rFonts w:eastAsia="SimSun"/>
          <w:sz w:val="20"/>
          <w:szCs w:val="20"/>
          <w:lang w:eastAsia="zh-CN"/>
        </w:rPr>
        <w:t xml:space="preserve">should be used as washing solvent in </w:t>
      </w:r>
      <w:r w:rsidRPr="003B45BF">
        <w:rPr>
          <w:rFonts w:eastAsia="SimSun"/>
          <w:sz w:val="20"/>
          <w:szCs w:val="20"/>
          <w:lang w:eastAsia="zh-CN"/>
        </w:rPr>
        <w:t>combination with water.Figure</w:t>
      </w:r>
      <w:r w:rsidR="00446319">
        <w:rPr>
          <w:rFonts w:eastAsia="SimSun"/>
          <w:sz w:val="20"/>
          <w:szCs w:val="20"/>
          <w:lang w:eastAsia="zh-CN"/>
        </w:rPr>
        <w:t xml:space="preserve"> 5</w:t>
      </w:r>
      <w:r w:rsidR="001C5F64">
        <w:rPr>
          <w:rFonts w:eastAsia="SimSun"/>
          <w:sz w:val="20"/>
          <w:szCs w:val="20"/>
          <w:lang w:eastAsia="zh-CN"/>
        </w:rPr>
        <w:t xml:space="preserve"> shows </w:t>
      </w:r>
      <w:r w:rsidR="00BE2559">
        <w:rPr>
          <w:rFonts w:eastAsia="SimSun"/>
          <w:sz w:val="20"/>
          <w:szCs w:val="20"/>
          <w:lang w:eastAsia="zh-CN"/>
        </w:rPr>
        <w:t xml:space="preserve">the effect of washing </w:t>
      </w:r>
      <w:r w:rsidR="00295015">
        <w:rPr>
          <w:rFonts w:eastAsia="SimSun"/>
          <w:sz w:val="20"/>
          <w:szCs w:val="20"/>
          <w:lang w:eastAsia="zh-CN"/>
        </w:rPr>
        <w:t xml:space="preserve">with various </w:t>
      </w:r>
      <w:r w:rsidR="00BE2559">
        <w:rPr>
          <w:rFonts w:eastAsia="SimSun"/>
          <w:sz w:val="20"/>
          <w:szCs w:val="20"/>
          <w:lang w:eastAsia="zh-CN"/>
        </w:rPr>
        <w:t>percent</w:t>
      </w:r>
      <w:r w:rsidR="00627973">
        <w:rPr>
          <w:rFonts w:eastAsia="SimSun"/>
          <w:sz w:val="20"/>
          <w:szCs w:val="20"/>
          <w:lang w:eastAsia="zh-CN"/>
        </w:rPr>
        <w:t>age of</w:t>
      </w:r>
      <w:r w:rsidR="00BE2559">
        <w:rPr>
          <w:rFonts w:eastAsia="SimSun"/>
          <w:sz w:val="20"/>
          <w:szCs w:val="20"/>
          <w:lang w:eastAsia="zh-CN"/>
        </w:rPr>
        <w:t xml:space="preserve"> acetonitrile in </w:t>
      </w:r>
      <w:r w:rsidR="00627973">
        <w:rPr>
          <w:rFonts w:eastAsia="SimSun"/>
          <w:sz w:val="20"/>
          <w:szCs w:val="20"/>
          <w:lang w:eastAsia="zh-CN"/>
        </w:rPr>
        <w:t>the acetonitrile-</w:t>
      </w:r>
      <w:r w:rsidRPr="003B45BF">
        <w:rPr>
          <w:rFonts w:eastAsia="SimSun"/>
          <w:sz w:val="20"/>
          <w:szCs w:val="20"/>
          <w:lang w:eastAsia="zh-CN"/>
        </w:rPr>
        <w:t>water</w:t>
      </w:r>
      <w:r w:rsidR="00627973">
        <w:rPr>
          <w:rFonts w:eastAsia="SimSun"/>
          <w:sz w:val="20"/>
          <w:szCs w:val="20"/>
          <w:lang w:eastAsia="zh-CN"/>
        </w:rPr>
        <w:t xml:space="preserve"> mixtures</w:t>
      </w:r>
      <w:r w:rsidR="00EE448E">
        <w:rPr>
          <w:rFonts w:eastAsia="SimSun"/>
          <w:sz w:val="20"/>
          <w:szCs w:val="20"/>
          <w:lang w:eastAsia="zh-CN"/>
        </w:rPr>
        <w:t>(10, 20, 30, 40 and 50</w:t>
      </w:r>
      <w:r w:rsidR="00BE2559">
        <w:rPr>
          <w:rFonts w:eastAsia="SimSun"/>
          <w:sz w:val="20"/>
          <w:szCs w:val="20"/>
          <w:lang w:eastAsia="zh-CN"/>
        </w:rPr>
        <w:t xml:space="preserve"> %</w:t>
      </w:r>
      <w:r w:rsidRPr="003B45BF">
        <w:rPr>
          <w:rFonts w:eastAsia="SimSun"/>
          <w:sz w:val="20"/>
          <w:szCs w:val="20"/>
          <w:lang w:eastAsia="zh-CN"/>
        </w:rPr>
        <w:t xml:space="preserve">) on </w:t>
      </w:r>
      <w:r w:rsidR="001C5F64">
        <w:rPr>
          <w:rFonts w:eastAsia="SimSun"/>
          <w:sz w:val="20"/>
          <w:szCs w:val="20"/>
          <w:lang w:eastAsia="zh-CN"/>
        </w:rPr>
        <w:t xml:space="preserve">the </w:t>
      </w:r>
      <w:r w:rsidRPr="003B45BF">
        <w:rPr>
          <w:rFonts w:eastAsia="SimSun"/>
          <w:sz w:val="20"/>
          <w:szCs w:val="20"/>
          <w:lang w:eastAsia="zh-CN"/>
        </w:rPr>
        <w:t>recovery of quinalphos</w:t>
      </w:r>
      <w:r w:rsidR="001C5F64">
        <w:rPr>
          <w:rFonts w:eastAsia="SimSun"/>
          <w:sz w:val="20"/>
          <w:szCs w:val="20"/>
          <w:lang w:eastAsia="zh-CN"/>
        </w:rPr>
        <w:t>.</w:t>
      </w:r>
      <w:r w:rsidR="001C5F64">
        <w:rPr>
          <w:rFonts w:eastAsia="Calibri"/>
          <w:sz w:val="20"/>
          <w:szCs w:val="20"/>
        </w:rPr>
        <w:t>The r</w:t>
      </w:r>
      <w:r w:rsidRPr="003B45BF">
        <w:rPr>
          <w:rFonts w:eastAsia="Calibri"/>
          <w:sz w:val="20"/>
          <w:szCs w:val="20"/>
        </w:rPr>
        <w:t xml:space="preserve">esults showed </w:t>
      </w:r>
      <w:r w:rsidR="001C5F64">
        <w:rPr>
          <w:rFonts w:eastAsia="Calibri"/>
          <w:sz w:val="20"/>
          <w:szCs w:val="20"/>
        </w:rPr>
        <w:t>that</w:t>
      </w:r>
      <w:r w:rsidR="00627973">
        <w:rPr>
          <w:rFonts w:eastAsia="Calibri"/>
          <w:sz w:val="20"/>
          <w:szCs w:val="20"/>
        </w:rPr>
        <w:t xml:space="preserve"> washing solvent containing up to</w:t>
      </w:r>
      <w:r w:rsidR="00BE2559">
        <w:rPr>
          <w:rFonts w:eastAsia="Calibri"/>
          <w:sz w:val="20"/>
          <w:szCs w:val="20"/>
        </w:rPr>
        <w:t xml:space="preserve">20% </w:t>
      </w:r>
      <w:r w:rsidR="001C5F64">
        <w:rPr>
          <w:rFonts w:eastAsia="Calibri"/>
          <w:sz w:val="20"/>
          <w:szCs w:val="20"/>
        </w:rPr>
        <w:t>acetonitrile</w:t>
      </w:r>
      <w:r w:rsidR="00BE2559">
        <w:rPr>
          <w:rFonts w:eastAsia="Calibri"/>
          <w:sz w:val="20"/>
          <w:szCs w:val="20"/>
        </w:rPr>
        <w:t xml:space="preserve"> in </w:t>
      </w:r>
      <w:r w:rsidR="001C5F64">
        <w:rPr>
          <w:rFonts w:eastAsia="Calibri"/>
          <w:sz w:val="20"/>
          <w:szCs w:val="20"/>
        </w:rPr>
        <w:t>mixture had no s</w:t>
      </w:r>
      <w:r w:rsidR="00BE2559">
        <w:rPr>
          <w:rFonts w:eastAsia="Calibri"/>
          <w:sz w:val="20"/>
          <w:szCs w:val="20"/>
        </w:rPr>
        <w:t>i</w:t>
      </w:r>
      <w:r w:rsidR="001C5F64">
        <w:rPr>
          <w:rFonts w:eastAsia="Calibri"/>
          <w:sz w:val="20"/>
          <w:szCs w:val="20"/>
        </w:rPr>
        <w:t>gnificant</w:t>
      </w:r>
      <w:r w:rsidR="00BE2559">
        <w:rPr>
          <w:rFonts w:eastAsia="Calibri"/>
          <w:sz w:val="20"/>
          <w:szCs w:val="20"/>
        </w:rPr>
        <w:t xml:space="preserve"> effect</w:t>
      </w:r>
      <w:r w:rsidR="00627973">
        <w:rPr>
          <w:rFonts w:eastAsia="Calibri"/>
          <w:sz w:val="20"/>
          <w:szCs w:val="20"/>
        </w:rPr>
        <w:t xml:space="preserve"> on the</w:t>
      </w:r>
      <w:r w:rsidR="00EC5480" w:rsidRPr="003B45BF">
        <w:rPr>
          <w:rFonts w:eastAsia="Calibri"/>
          <w:sz w:val="20"/>
          <w:szCs w:val="20"/>
        </w:rPr>
        <w:t>r</w:t>
      </w:r>
      <w:r w:rsidRPr="003B45BF">
        <w:rPr>
          <w:rFonts w:eastAsia="Calibri"/>
          <w:sz w:val="20"/>
          <w:szCs w:val="20"/>
        </w:rPr>
        <w:t xml:space="preserve">etention of quinalphos on both MIP and NIP cartridges. </w:t>
      </w:r>
      <w:r w:rsidR="00627973">
        <w:rPr>
          <w:rFonts w:eastAsia="Calibri"/>
          <w:sz w:val="20"/>
          <w:szCs w:val="20"/>
        </w:rPr>
        <w:t>However, w</w:t>
      </w:r>
      <w:r w:rsidRPr="003B45BF">
        <w:rPr>
          <w:rFonts w:eastAsia="Calibri"/>
          <w:sz w:val="20"/>
          <w:szCs w:val="20"/>
        </w:rPr>
        <w:t>ith increase</w:t>
      </w:r>
      <w:r w:rsidR="00627973">
        <w:rPr>
          <w:rFonts w:eastAsia="Calibri"/>
          <w:sz w:val="20"/>
          <w:szCs w:val="20"/>
        </w:rPr>
        <w:t xml:space="preserve">d </w:t>
      </w:r>
      <w:r w:rsidRPr="003B45BF">
        <w:rPr>
          <w:rFonts w:eastAsia="Calibri"/>
          <w:sz w:val="20"/>
          <w:szCs w:val="20"/>
        </w:rPr>
        <w:t>acetonitrile in the washing solutions</w:t>
      </w:r>
      <w:r w:rsidR="00627973">
        <w:rPr>
          <w:rFonts w:eastAsia="Calibri"/>
          <w:color w:val="000000"/>
          <w:sz w:val="20"/>
          <w:szCs w:val="20"/>
        </w:rPr>
        <w:t xml:space="preserve">of </w:t>
      </w:r>
      <w:r w:rsidR="00BE2559">
        <w:rPr>
          <w:rFonts w:eastAsia="Calibri"/>
          <w:color w:val="000000"/>
          <w:sz w:val="20"/>
          <w:szCs w:val="20"/>
        </w:rPr>
        <w:t>30%</w:t>
      </w:r>
      <w:r w:rsidRPr="003B45BF">
        <w:rPr>
          <w:rFonts w:eastAsia="Calibri"/>
          <w:color w:val="000000"/>
          <w:sz w:val="20"/>
          <w:szCs w:val="20"/>
        </w:rPr>
        <w:t xml:space="preserve">, the recovery of quinalphos in NIP cartridge was </w:t>
      </w:r>
      <w:r w:rsidR="00627973">
        <w:rPr>
          <w:rFonts w:eastAsia="Calibri"/>
          <w:color w:val="000000"/>
          <w:sz w:val="20"/>
          <w:szCs w:val="20"/>
        </w:rPr>
        <w:t xml:space="preserve">markedly </w:t>
      </w:r>
      <w:r w:rsidRPr="003B45BF">
        <w:rPr>
          <w:rFonts w:eastAsia="Calibri"/>
          <w:color w:val="000000"/>
          <w:sz w:val="20"/>
          <w:szCs w:val="20"/>
        </w:rPr>
        <w:t>decreased to 37.6%, while the recovery of quinalphos by the MIP cartridges was</w:t>
      </w:r>
      <w:r w:rsidR="00627973">
        <w:rPr>
          <w:rFonts w:eastAsia="Calibri"/>
          <w:color w:val="000000"/>
          <w:sz w:val="20"/>
          <w:szCs w:val="20"/>
        </w:rPr>
        <w:t xml:space="preserve"> essentially</w:t>
      </w:r>
      <w:r w:rsidRPr="003B45BF">
        <w:rPr>
          <w:rFonts w:eastAsia="Calibri"/>
          <w:color w:val="000000"/>
          <w:sz w:val="20"/>
          <w:szCs w:val="20"/>
        </w:rPr>
        <w:t xml:space="preserve"> not reduced (96.7%</w:t>
      </w:r>
      <w:r w:rsidR="00627973">
        <w:rPr>
          <w:rFonts w:eastAsia="Calibri"/>
          <w:color w:val="000000"/>
          <w:sz w:val="20"/>
          <w:szCs w:val="20"/>
        </w:rPr>
        <w:t xml:space="preserve"> recovery). This</w:t>
      </w:r>
      <w:r w:rsidR="00EC5480" w:rsidRPr="003B45BF">
        <w:rPr>
          <w:rFonts w:eastAsia="Calibri"/>
          <w:color w:val="000000"/>
          <w:sz w:val="20"/>
          <w:szCs w:val="20"/>
        </w:rPr>
        <w:t>indicates</w:t>
      </w:r>
      <w:r w:rsidR="00627973">
        <w:rPr>
          <w:rFonts w:eastAsia="Calibri"/>
          <w:color w:val="000000"/>
          <w:sz w:val="20"/>
          <w:szCs w:val="20"/>
        </w:rPr>
        <w:t xml:space="preserve"> that</w:t>
      </w:r>
      <w:r w:rsidRPr="003B45BF">
        <w:rPr>
          <w:rFonts w:eastAsia="Calibri"/>
          <w:color w:val="000000"/>
          <w:sz w:val="20"/>
          <w:szCs w:val="20"/>
        </w:rPr>
        <w:t xml:space="preserve"> the presence of specific interactions taking place in the binding sites. However, higher portion</w:t>
      </w:r>
      <w:r w:rsidR="00627973">
        <w:rPr>
          <w:rFonts w:eastAsia="Calibri"/>
          <w:color w:val="000000"/>
          <w:sz w:val="20"/>
          <w:szCs w:val="20"/>
        </w:rPr>
        <w:t>s</w:t>
      </w:r>
      <w:r w:rsidRPr="003B45BF">
        <w:rPr>
          <w:rFonts w:eastAsia="Calibri"/>
          <w:color w:val="000000"/>
          <w:sz w:val="20"/>
          <w:szCs w:val="20"/>
        </w:rPr>
        <w:t xml:space="preserve"> of ace</w:t>
      </w:r>
      <w:r w:rsidR="00627973">
        <w:rPr>
          <w:rFonts w:eastAsia="Calibri"/>
          <w:color w:val="000000"/>
          <w:sz w:val="20"/>
          <w:szCs w:val="20"/>
        </w:rPr>
        <w:t>tonitrile in mixture solvent of &gt;</w:t>
      </w:r>
      <w:r w:rsidR="00BE2559">
        <w:rPr>
          <w:rFonts w:eastAsia="Calibri"/>
          <w:color w:val="000000"/>
          <w:sz w:val="20"/>
          <w:szCs w:val="20"/>
        </w:rPr>
        <w:t>40%</w:t>
      </w:r>
      <w:r w:rsidRPr="003B45BF">
        <w:rPr>
          <w:rFonts w:eastAsia="Calibri"/>
          <w:color w:val="000000"/>
          <w:sz w:val="20"/>
          <w:szCs w:val="20"/>
        </w:rPr>
        <w:t xml:space="preserve"> led to a large decrease of quinalphos retention both on the MIP and NIP cartridges due to the disruption of specific interactions between the analytes and binding sites. </w:t>
      </w:r>
      <w:r w:rsidR="00627973">
        <w:rPr>
          <w:rFonts w:eastAsia="Calibri"/>
          <w:color w:val="000000"/>
          <w:sz w:val="20"/>
          <w:szCs w:val="20"/>
        </w:rPr>
        <w:t>In this study, t</w:t>
      </w:r>
      <w:r w:rsidR="00BE2559">
        <w:rPr>
          <w:rFonts w:eastAsia="Calibri"/>
          <w:color w:val="000000"/>
          <w:sz w:val="20"/>
          <w:szCs w:val="20"/>
        </w:rPr>
        <w:t>herefore,</w:t>
      </w:r>
      <w:r w:rsidR="00627973">
        <w:rPr>
          <w:rFonts w:eastAsia="Calibri"/>
          <w:color w:val="000000"/>
          <w:sz w:val="20"/>
          <w:szCs w:val="20"/>
        </w:rPr>
        <w:t xml:space="preserve"> a</w:t>
      </w:r>
      <w:r w:rsidR="00015A08">
        <w:rPr>
          <w:rFonts w:eastAsia="Calibri"/>
          <w:color w:val="000000"/>
          <w:sz w:val="20"/>
          <w:szCs w:val="20"/>
        </w:rPr>
        <w:t xml:space="preserve"> mixture of</w:t>
      </w:r>
      <w:r w:rsidR="00627973">
        <w:rPr>
          <w:rFonts w:eastAsia="Calibri"/>
          <w:color w:val="000000"/>
          <w:sz w:val="20"/>
          <w:szCs w:val="20"/>
        </w:rPr>
        <w:t xml:space="preserve"> acetonitrile-</w:t>
      </w:r>
      <w:r w:rsidR="00BE2559">
        <w:rPr>
          <w:rFonts w:eastAsia="Calibri"/>
          <w:color w:val="000000"/>
          <w:sz w:val="20"/>
          <w:szCs w:val="20"/>
        </w:rPr>
        <w:t xml:space="preserve">water </w:t>
      </w:r>
      <w:r w:rsidR="00627973">
        <w:rPr>
          <w:rFonts w:eastAsia="Calibri"/>
          <w:color w:val="000000"/>
          <w:sz w:val="20"/>
          <w:szCs w:val="20"/>
        </w:rPr>
        <w:t xml:space="preserve">30:70% v/v </w:t>
      </w:r>
      <w:r w:rsidRPr="003B45BF">
        <w:rPr>
          <w:rFonts w:eastAsia="Calibri"/>
          <w:color w:val="000000"/>
          <w:sz w:val="20"/>
          <w:szCs w:val="20"/>
        </w:rPr>
        <w:t>was</w:t>
      </w:r>
      <w:r w:rsidR="00015A08">
        <w:rPr>
          <w:rFonts w:eastAsia="Calibri"/>
          <w:color w:val="000000"/>
          <w:sz w:val="20"/>
          <w:szCs w:val="20"/>
        </w:rPr>
        <w:t xml:space="preserve"> selected as washing solution.</w:t>
      </w:r>
    </w:p>
    <w:p w:rsidR="00C61DAC" w:rsidRDefault="00C61DAC" w:rsidP="007B6866">
      <w:pPr>
        <w:jc w:val="both"/>
        <w:rPr>
          <w:rFonts w:eastAsia="Calibri"/>
          <w:color w:val="000000"/>
          <w:sz w:val="20"/>
          <w:szCs w:val="20"/>
        </w:rPr>
      </w:pPr>
    </w:p>
    <w:p w:rsidR="00C61DAC" w:rsidRPr="001C5F64" w:rsidRDefault="00C61DAC" w:rsidP="007B6866">
      <w:pPr>
        <w:jc w:val="both"/>
        <w:rPr>
          <w:rFonts w:eastAsia="SimSun"/>
          <w:sz w:val="20"/>
          <w:szCs w:val="20"/>
          <w:lang w:eastAsia="zh-CN"/>
        </w:rPr>
      </w:pPr>
    </w:p>
    <w:p w:rsidR="006067A0" w:rsidRPr="003B45BF" w:rsidRDefault="002E6205" w:rsidP="006067A0">
      <w:pPr>
        <w:jc w:val="center"/>
        <w:rPr>
          <w:rFonts w:eastAsia="SimSun"/>
          <w:color w:val="FF0000"/>
          <w:sz w:val="20"/>
          <w:szCs w:val="20"/>
          <w:lang w:eastAsia="zh-CN"/>
        </w:rPr>
      </w:pPr>
      <w:r w:rsidRPr="002E6205">
        <w:rPr>
          <w:rFonts w:eastAsia="SimSun"/>
          <w:noProof/>
          <w:color w:val="FF0000"/>
          <w:sz w:val="20"/>
          <w:szCs w:val="20"/>
        </w:rPr>
        <w:drawing>
          <wp:inline distT="0" distB="0" distL="0" distR="0">
            <wp:extent cx="3867150" cy="1743075"/>
            <wp:effectExtent l="0" t="0" r="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067A0" w:rsidRDefault="006067A0" w:rsidP="000F7F85">
      <w:pPr>
        <w:rPr>
          <w:color w:val="FF0000"/>
          <w:sz w:val="20"/>
          <w:szCs w:val="20"/>
        </w:rPr>
      </w:pPr>
      <w:r w:rsidRPr="003B45BF">
        <w:rPr>
          <w:b/>
          <w:sz w:val="20"/>
          <w:szCs w:val="20"/>
        </w:rPr>
        <w:t xml:space="preserve">Figure </w:t>
      </w:r>
      <w:r w:rsidR="00446319">
        <w:rPr>
          <w:b/>
          <w:sz w:val="20"/>
          <w:szCs w:val="20"/>
        </w:rPr>
        <w:t>5</w:t>
      </w:r>
      <w:r w:rsidR="00896E17">
        <w:rPr>
          <w:sz w:val="20"/>
          <w:szCs w:val="20"/>
        </w:rPr>
        <w:t xml:space="preserve">: </w:t>
      </w:r>
      <w:r w:rsidR="000F7F85">
        <w:rPr>
          <w:sz w:val="20"/>
          <w:szCs w:val="20"/>
        </w:rPr>
        <w:t>Recovery of quinalphos</w:t>
      </w:r>
      <w:r w:rsidR="00AE447B">
        <w:rPr>
          <w:sz w:val="20"/>
          <w:szCs w:val="20"/>
        </w:rPr>
        <w:t>with different</w:t>
      </w:r>
      <w:r w:rsidR="000F7F85">
        <w:rPr>
          <w:sz w:val="20"/>
          <w:szCs w:val="20"/>
        </w:rPr>
        <w:t xml:space="preserve"> acetonitrile percent</w:t>
      </w:r>
      <w:r w:rsidR="00AE447B">
        <w:rPr>
          <w:sz w:val="20"/>
          <w:szCs w:val="20"/>
        </w:rPr>
        <w:t>ages</w:t>
      </w:r>
      <w:r w:rsidR="000F7F85">
        <w:rPr>
          <w:sz w:val="20"/>
          <w:szCs w:val="20"/>
        </w:rPr>
        <w:t xml:space="preserve">in </w:t>
      </w:r>
      <w:r w:rsidRPr="003B45BF">
        <w:rPr>
          <w:sz w:val="20"/>
          <w:szCs w:val="20"/>
        </w:rPr>
        <w:t>washing solvent for MIP</w:t>
      </w:r>
      <w:r w:rsidR="00E871CF">
        <w:rPr>
          <w:sz w:val="20"/>
          <w:szCs w:val="20"/>
        </w:rPr>
        <w:t>-</w:t>
      </w:r>
      <w:r w:rsidRPr="000F7F85">
        <w:rPr>
          <w:sz w:val="20"/>
          <w:szCs w:val="20"/>
        </w:rPr>
        <w:t xml:space="preserve">SPE </w:t>
      </w:r>
      <w:r w:rsidR="000F7F85" w:rsidRPr="000F7F85">
        <w:rPr>
          <w:sz w:val="20"/>
          <w:szCs w:val="20"/>
        </w:rPr>
        <w:t>and NIP-SPE</w:t>
      </w:r>
      <w:r w:rsidR="00170067">
        <w:rPr>
          <w:sz w:val="20"/>
          <w:szCs w:val="20"/>
        </w:rPr>
        <w:t>.</w:t>
      </w:r>
    </w:p>
    <w:p w:rsidR="003B45BF" w:rsidRPr="003B45BF" w:rsidRDefault="003B45BF" w:rsidP="003B45BF">
      <w:pPr>
        <w:jc w:val="center"/>
        <w:rPr>
          <w:color w:val="FF0000"/>
          <w:sz w:val="20"/>
          <w:szCs w:val="20"/>
        </w:rPr>
      </w:pPr>
    </w:p>
    <w:p w:rsidR="006067A0" w:rsidRPr="003B45BF" w:rsidRDefault="006067A0" w:rsidP="006067A0">
      <w:pPr>
        <w:jc w:val="both"/>
        <w:rPr>
          <w:rFonts w:eastAsia="SimSun"/>
          <w:sz w:val="20"/>
          <w:szCs w:val="20"/>
          <w:lang w:eastAsia="zh-CN"/>
        </w:rPr>
      </w:pPr>
    </w:p>
    <w:p w:rsidR="006067A0" w:rsidRPr="003B45BF" w:rsidRDefault="006067A0" w:rsidP="006067A0">
      <w:pPr>
        <w:jc w:val="both"/>
        <w:rPr>
          <w:b/>
          <w:i/>
          <w:sz w:val="20"/>
          <w:szCs w:val="20"/>
        </w:rPr>
      </w:pPr>
      <w:r w:rsidRPr="003B45BF">
        <w:rPr>
          <w:b/>
          <w:i/>
          <w:sz w:val="20"/>
          <w:szCs w:val="20"/>
        </w:rPr>
        <w:t>Elution</w:t>
      </w:r>
      <w:r w:rsidR="00E638DF">
        <w:rPr>
          <w:b/>
          <w:i/>
          <w:sz w:val="20"/>
          <w:szCs w:val="20"/>
        </w:rPr>
        <w:t xml:space="preserve"> solvent and volume</w:t>
      </w:r>
    </w:p>
    <w:p w:rsidR="006067A0" w:rsidRPr="003B45BF" w:rsidRDefault="006067A0" w:rsidP="006067A0">
      <w:pPr>
        <w:jc w:val="both"/>
        <w:rPr>
          <w:i/>
          <w:sz w:val="20"/>
          <w:szCs w:val="20"/>
        </w:rPr>
      </w:pPr>
    </w:p>
    <w:p w:rsidR="006067A0" w:rsidRPr="00405DF5" w:rsidRDefault="00015A08" w:rsidP="006067A0">
      <w:pPr>
        <w:jc w:val="both"/>
        <w:rPr>
          <w:sz w:val="20"/>
          <w:szCs w:val="20"/>
        </w:rPr>
      </w:pPr>
      <w:r>
        <w:rPr>
          <w:sz w:val="20"/>
          <w:szCs w:val="20"/>
        </w:rPr>
        <w:t>S</w:t>
      </w:r>
      <w:r w:rsidR="006067A0" w:rsidRPr="003B45BF">
        <w:rPr>
          <w:sz w:val="20"/>
          <w:szCs w:val="20"/>
        </w:rPr>
        <w:t xml:space="preserve">amples </w:t>
      </w:r>
      <w:r>
        <w:rPr>
          <w:sz w:val="20"/>
          <w:szCs w:val="20"/>
        </w:rPr>
        <w:t>(</w:t>
      </w:r>
      <w:r w:rsidRPr="003B45BF">
        <w:rPr>
          <w:sz w:val="20"/>
          <w:szCs w:val="20"/>
        </w:rPr>
        <w:t>10 mL</w:t>
      </w:r>
      <w:r>
        <w:rPr>
          <w:sz w:val="20"/>
          <w:szCs w:val="20"/>
        </w:rPr>
        <w:t>)</w:t>
      </w:r>
      <w:r w:rsidR="006067A0" w:rsidRPr="003B45BF">
        <w:rPr>
          <w:sz w:val="20"/>
          <w:szCs w:val="20"/>
        </w:rPr>
        <w:t xml:space="preserve">containing </w:t>
      </w:r>
      <w:r w:rsidR="00C73D06">
        <w:rPr>
          <w:sz w:val="20"/>
          <w:szCs w:val="20"/>
        </w:rPr>
        <w:t>0.</w:t>
      </w:r>
      <w:r w:rsidR="006067A0" w:rsidRPr="003B45BF">
        <w:rPr>
          <w:sz w:val="20"/>
          <w:szCs w:val="20"/>
        </w:rPr>
        <w:t xml:space="preserve">1 </w:t>
      </w:r>
      <w:r w:rsidR="006067A0" w:rsidRPr="003B45BF">
        <w:rPr>
          <w:rFonts w:eastAsia="Calibri"/>
          <w:sz w:val="20"/>
          <w:szCs w:val="20"/>
        </w:rPr>
        <w:t>mgL</w:t>
      </w:r>
      <w:r w:rsidR="006067A0" w:rsidRPr="003B45BF">
        <w:rPr>
          <w:rFonts w:eastAsia="Calibri"/>
          <w:sz w:val="20"/>
          <w:szCs w:val="20"/>
          <w:vertAlign w:val="superscript"/>
        </w:rPr>
        <w:t>-</w:t>
      </w:r>
      <w:r w:rsidR="006067A0" w:rsidRPr="003B45BF">
        <w:rPr>
          <w:rFonts w:eastAsia="Calibri"/>
          <w:sz w:val="20"/>
          <w:szCs w:val="20"/>
        </w:rPr>
        <w:t>¹ quinalphos dissolved in water were loaded onto the cart</w:t>
      </w:r>
      <w:r w:rsidR="00BC49CC">
        <w:rPr>
          <w:rFonts w:eastAsia="Calibri"/>
          <w:sz w:val="20"/>
          <w:szCs w:val="20"/>
        </w:rPr>
        <w:t xml:space="preserve">ridges, washed with 5 mL </w:t>
      </w:r>
      <w:r w:rsidR="00323286">
        <w:rPr>
          <w:rFonts w:eastAsia="SimSun"/>
          <w:sz w:val="20"/>
          <w:szCs w:val="20"/>
          <w:lang w:eastAsia="zh-CN"/>
        </w:rPr>
        <w:t>mixture of</w:t>
      </w:r>
      <w:r w:rsidR="00E638DF">
        <w:rPr>
          <w:rFonts w:eastAsia="SimSun"/>
          <w:sz w:val="20"/>
          <w:szCs w:val="20"/>
          <w:lang w:eastAsia="zh-CN"/>
        </w:rPr>
        <w:t xml:space="preserve"> 30% acetonitrile in water</w:t>
      </w:r>
      <w:r w:rsidR="0006494E">
        <w:rPr>
          <w:sz w:val="20"/>
          <w:szCs w:val="20"/>
        </w:rPr>
        <w:t xml:space="preserve">, </w:t>
      </w:r>
      <w:r>
        <w:rPr>
          <w:sz w:val="20"/>
          <w:szCs w:val="20"/>
        </w:rPr>
        <w:t xml:space="preserve">and </w:t>
      </w:r>
      <w:r w:rsidR="0006494E">
        <w:rPr>
          <w:sz w:val="20"/>
          <w:szCs w:val="20"/>
        </w:rPr>
        <w:t xml:space="preserve">eluted with </w:t>
      </w:r>
      <w:r w:rsidR="00EE2D22">
        <w:rPr>
          <w:sz w:val="20"/>
          <w:szCs w:val="20"/>
        </w:rPr>
        <w:t>different percen</w:t>
      </w:r>
      <w:r>
        <w:rPr>
          <w:sz w:val="20"/>
          <w:szCs w:val="20"/>
        </w:rPr>
        <w:t>tages</w:t>
      </w:r>
      <w:r w:rsidR="00EE2D22">
        <w:rPr>
          <w:sz w:val="20"/>
          <w:szCs w:val="20"/>
        </w:rPr>
        <w:t xml:space="preserve"> of acetic acid in methanol (</w:t>
      </w:r>
      <w:r w:rsidR="00306D22">
        <w:rPr>
          <w:sz w:val="20"/>
          <w:szCs w:val="20"/>
        </w:rPr>
        <w:t>1, 5</w:t>
      </w:r>
      <w:r w:rsidR="00EE2D22">
        <w:rPr>
          <w:sz w:val="20"/>
          <w:szCs w:val="20"/>
        </w:rPr>
        <w:t xml:space="preserve">, and </w:t>
      </w:r>
      <w:r w:rsidR="00306D22">
        <w:rPr>
          <w:sz w:val="20"/>
          <w:szCs w:val="20"/>
        </w:rPr>
        <w:t>10</w:t>
      </w:r>
      <w:r w:rsidR="00EE2D22">
        <w:rPr>
          <w:sz w:val="20"/>
          <w:szCs w:val="20"/>
        </w:rPr>
        <w:t xml:space="preserve">%). </w:t>
      </w:r>
      <w:r w:rsidR="006067A0" w:rsidRPr="003B45BF">
        <w:rPr>
          <w:sz w:val="20"/>
          <w:szCs w:val="20"/>
        </w:rPr>
        <w:t>The concentration of the quinalphos was determined with HPLC</w:t>
      </w:r>
      <w:r w:rsidR="00EE448E">
        <w:rPr>
          <w:sz w:val="20"/>
          <w:szCs w:val="20"/>
        </w:rPr>
        <w:t xml:space="preserve"> at 200 nm wavelength of detection</w:t>
      </w:r>
      <w:r w:rsidR="006067A0" w:rsidRPr="003B45BF">
        <w:rPr>
          <w:sz w:val="20"/>
          <w:szCs w:val="20"/>
        </w:rPr>
        <w:t>.</w:t>
      </w:r>
      <w:r w:rsidR="007F1641" w:rsidRPr="00405DF5">
        <w:rPr>
          <w:sz w:val="20"/>
          <w:szCs w:val="20"/>
        </w:rPr>
        <w:t>Methano</w:t>
      </w:r>
      <w:r w:rsidR="006B79AF" w:rsidRPr="00405DF5">
        <w:rPr>
          <w:sz w:val="20"/>
          <w:szCs w:val="20"/>
        </w:rPr>
        <w:t xml:space="preserve">l </w:t>
      </w:r>
      <w:r w:rsidR="00F76481">
        <w:rPr>
          <w:sz w:val="20"/>
          <w:szCs w:val="20"/>
        </w:rPr>
        <w:t xml:space="preserve">was </w:t>
      </w:r>
      <w:r w:rsidR="007F1641" w:rsidRPr="00405DF5">
        <w:rPr>
          <w:sz w:val="20"/>
          <w:szCs w:val="20"/>
        </w:rPr>
        <w:t>used as eluent</w:t>
      </w:r>
      <w:r w:rsidR="006B79AF" w:rsidRPr="00405DF5">
        <w:rPr>
          <w:sz w:val="20"/>
          <w:szCs w:val="20"/>
        </w:rPr>
        <w:t xml:space="preserve">since </w:t>
      </w:r>
      <w:r>
        <w:rPr>
          <w:sz w:val="20"/>
          <w:szCs w:val="20"/>
        </w:rPr>
        <w:t xml:space="preserve">it has </w:t>
      </w:r>
      <w:r w:rsidR="006B79AF" w:rsidRPr="00405DF5">
        <w:rPr>
          <w:sz w:val="20"/>
          <w:szCs w:val="20"/>
        </w:rPr>
        <w:t>the properties of having</w:t>
      </w:r>
      <w:r w:rsidR="007F1641" w:rsidRPr="00405DF5">
        <w:rPr>
          <w:sz w:val="20"/>
          <w:szCs w:val="20"/>
        </w:rPr>
        <w:t xml:space="preserve"> stronger hydrogen bond and </w:t>
      </w:r>
      <w:r>
        <w:rPr>
          <w:sz w:val="20"/>
          <w:szCs w:val="20"/>
        </w:rPr>
        <w:t>the easy</w:t>
      </w:r>
      <w:r w:rsidR="007F1641" w:rsidRPr="00405DF5">
        <w:rPr>
          <w:sz w:val="20"/>
          <w:szCs w:val="20"/>
        </w:rPr>
        <w:t xml:space="preserve"> permeability </w:t>
      </w:r>
      <w:r w:rsidR="006B79AF" w:rsidRPr="00405DF5">
        <w:rPr>
          <w:sz w:val="20"/>
          <w:szCs w:val="20"/>
        </w:rPr>
        <w:t xml:space="preserve">of analyte </w:t>
      </w:r>
      <w:r w:rsidR="00C25B26" w:rsidRPr="00405DF5">
        <w:rPr>
          <w:sz w:val="20"/>
          <w:szCs w:val="20"/>
        </w:rPr>
        <w:t xml:space="preserve">in methanol </w:t>
      </w:r>
      <w:r>
        <w:rPr>
          <w:sz w:val="20"/>
          <w:szCs w:val="20"/>
        </w:rPr>
        <w:t xml:space="preserve">that </w:t>
      </w:r>
      <w:r w:rsidR="00C25B26" w:rsidRPr="00405DF5">
        <w:rPr>
          <w:sz w:val="20"/>
          <w:szCs w:val="20"/>
        </w:rPr>
        <w:t xml:space="preserve">may induce </w:t>
      </w:r>
      <w:r w:rsidR="007F1641" w:rsidRPr="00405DF5">
        <w:rPr>
          <w:sz w:val="20"/>
          <w:szCs w:val="20"/>
        </w:rPr>
        <w:t>efficient elution</w:t>
      </w:r>
      <w:r w:rsidR="00F76481">
        <w:rPr>
          <w:sz w:val="20"/>
          <w:szCs w:val="20"/>
        </w:rPr>
        <w:t xml:space="preserve">. </w:t>
      </w:r>
      <w:r w:rsidR="007F1641" w:rsidRPr="00405DF5">
        <w:rPr>
          <w:sz w:val="20"/>
          <w:szCs w:val="20"/>
        </w:rPr>
        <w:t xml:space="preserve">The addition of </w:t>
      </w:r>
      <w:r w:rsidR="00C25B26" w:rsidRPr="00405DF5">
        <w:rPr>
          <w:sz w:val="20"/>
          <w:szCs w:val="20"/>
        </w:rPr>
        <w:t xml:space="preserve">a </w:t>
      </w:r>
      <w:r w:rsidR="007F1641" w:rsidRPr="00405DF5">
        <w:rPr>
          <w:sz w:val="20"/>
          <w:szCs w:val="20"/>
        </w:rPr>
        <w:t>small percentage of acetic acid</w:t>
      </w:r>
      <w:r w:rsidR="009D6072">
        <w:rPr>
          <w:sz w:val="20"/>
          <w:szCs w:val="20"/>
        </w:rPr>
        <w:t xml:space="preserve"> (</w:t>
      </w:r>
      <w:r w:rsidR="007C589F">
        <w:rPr>
          <w:sz w:val="20"/>
          <w:szCs w:val="20"/>
        </w:rPr>
        <w:t>1 to10</w:t>
      </w:r>
      <w:r w:rsidR="009D6072">
        <w:rPr>
          <w:sz w:val="20"/>
          <w:szCs w:val="20"/>
        </w:rPr>
        <w:t>%)</w:t>
      </w:r>
      <w:r>
        <w:rPr>
          <w:sz w:val="20"/>
          <w:szCs w:val="20"/>
        </w:rPr>
        <w:t>in the</w:t>
      </w:r>
      <w:r w:rsidR="00300B0F">
        <w:rPr>
          <w:sz w:val="20"/>
          <w:szCs w:val="20"/>
        </w:rPr>
        <w:t xml:space="preserve"> mixture </w:t>
      </w:r>
      <w:r w:rsidR="007F1641" w:rsidRPr="00405DF5">
        <w:rPr>
          <w:sz w:val="20"/>
          <w:szCs w:val="20"/>
        </w:rPr>
        <w:t xml:space="preserve">was applied </w:t>
      </w:r>
      <w:r>
        <w:rPr>
          <w:sz w:val="20"/>
          <w:szCs w:val="20"/>
        </w:rPr>
        <w:t>in order</w:t>
      </w:r>
      <w:r w:rsidR="007F1641" w:rsidRPr="00405DF5">
        <w:rPr>
          <w:sz w:val="20"/>
          <w:szCs w:val="20"/>
        </w:rPr>
        <w:t xml:space="preserve"> to </w:t>
      </w:r>
      <w:r w:rsidR="00C25B26" w:rsidRPr="00405DF5">
        <w:rPr>
          <w:sz w:val="20"/>
          <w:szCs w:val="20"/>
        </w:rPr>
        <w:t xml:space="preserve">overcome </w:t>
      </w:r>
      <w:r w:rsidR="007F1641" w:rsidRPr="00405DF5">
        <w:rPr>
          <w:sz w:val="20"/>
          <w:szCs w:val="20"/>
        </w:rPr>
        <w:t>strong interaction</w:t>
      </w:r>
      <w:r w:rsidR="00C25B26" w:rsidRPr="00405DF5">
        <w:rPr>
          <w:sz w:val="20"/>
          <w:szCs w:val="20"/>
        </w:rPr>
        <w:t>s between analyte and the</w:t>
      </w:r>
      <w:r w:rsidR="007F1641" w:rsidRPr="00405DF5">
        <w:rPr>
          <w:sz w:val="20"/>
          <w:szCs w:val="20"/>
        </w:rPr>
        <w:t xml:space="preserve"> MIP and </w:t>
      </w:r>
      <w:r w:rsidR="00C25B26" w:rsidRPr="00405DF5">
        <w:rPr>
          <w:sz w:val="20"/>
          <w:szCs w:val="20"/>
        </w:rPr>
        <w:t xml:space="preserve">thus enhancing the </w:t>
      </w:r>
      <w:r w:rsidR="007C589F">
        <w:rPr>
          <w:sz w:val="20"/>
          <w:szCs w:val="20"/>
        </w:rPr>
        <w:t>enrichment factor</w:t>
      </w:r>
      <w:r w:rsidR="007F1641" w:rsidRPr="00405DF5">
        <w:rPr>
          <w:sz w:val="20"/>
          <w:szCs w:val="20"/>
        </w:rPr>
        <w:t xml:space="preserve">.   </w:t>
      </w:r>
    </w:p>
    <w:p w:rsidR="006067A0" w:rsidRPr="003B45BF" w:rsidRDefault="00F76481" w:rsidP="00F76481">
      <w:pPr>
        <w:tabs>
          <w:tab w:val="left" w:pos="3043"/>
        </w:tabs>
        <w:jc w:val="both"/>
        <w:rPr>
          <w:sz w:val="20"/>
          <w:szCs w:val="20"/>
        </w:rPr>
      </w:pPr>
      <w:r>
        <w:rPr>
          <w:sz w:val="20"/>
          <w:szCs w:val="20"/>
        </w:rPr>
        <w:tab/>
      </w:r>
    </w:p>
    <w:p w:rsidR="004A37AB" w:rsidRDefault="00300B0F" w:rsidP="006067A0">
      <w:pPr>
        <w:jc w:val="both"/>
        <w:rPr>
          <w:sz w:val="20"/>
          <w:szCs w:val="20"/>
        </w:rPr>
      </w:pPr>
      <w:r>
        <w:rPr>
          <w:sz w:val="20"/>
          <w:szCs w:val="20"/>
        </w:rPr>
        <w:t xml:space="preserve">In this experiment, </w:t>
      </w:r>
      <w:r w:rsidR="00015A08" w:rsidRPr="003B45BF">
        <w:rPr>
          <w:sz w:val="20"/>
          <w:szCs w:val="20"/>
        </w:rPr>
        <w:t>pure methanol</w:t>
      </w:r>
      <w:r w:rsidR="00015A08">
        <w:rPr>
          <w:sz w:val="20"/>
          <w:szCs w:val="20"/>
        </w:rPr>
        <w:t xml:space="preserve"> (0% acetic acid)</w:t>
      </w:r>
      <w:r w:rsidR="00015A08" w:rsidRPr="003B45BF">
        <w:rPr>
          <w:sz w:val="20"/>
          <w:szCs w:val="20"/>
        </w:rPr>
        <w:t xml:space="preserve"> w</w:t>
      </w:r>
      <w:r w:rsidR="00015A08">
        <w:rPr>
          <w:sz w:val="20"/>
          <w:szCs w:val="20"/>
        </w:rPr>
        <w:t xml:space="preserve">as tested in order </w:t>
      </w:r>
      <w:r>
        <w:rPr>
          <w:sz w:val="20"/>
          <w:szCs w:val="20"/>
        </w:rPr>
        <w:t>t</w:t>
      </w:r>
      <w:r w:rsidR="009D6072">
        <w:rPr>
          <w:sz w:val="20"/>
          <w:szCs w:val="20"/>
        </w:rPr>
        <w:t xml:space="preserve">o confirm </w:t>
      </w:r>
      <w:r w:rsidR="00015A08">
        <w:rPr>
          <w:sz w:val="20"/>
          <w:szCs w:val="20"/>
        </w:rPr>
        <w:t>that</w:t>
      </w:r>
      <w:r w:rsidR="006067A0" w:rsidRPr="003B45BF">
        <w:rPr>
          <w:sz w:val="20"/>
          <w:szCs w:val="20"/>
        </w:rPr>
        <w:t xml:space="preserve"> acetic acid </w:t>
      </w:r>
      <w:r w:rsidR="00015A08">
        <w:rPr>
          <w:sz w:val="20"/>
          <w:szCs w:val="20"/>
        </w:rPr>
        <w:t>played</w:t>
      </w:r>
      <w:r w:rsidR="009D6072">
        <w:rPr>
          <w:sz w:val="20"/>
          <w:szCs w:val="20"/>
        </w:rPr>
        <w:t xml:space="preserve"> an important role </w:t>
      </w:r>
      <w:r w:rsidR="006067A0" w:rsidRPr="003B45BF">
        <w:rPr>
          <w:sz w:val="20"/>
          <w:szCs w:val="20"/>
        </w:rPr>
        <w:t xml:space="preserve">in </w:t>
      </w:r>
      <w:r w:rsidR="009D6072" w:rsidRPr="003B45BF">
        <w:rPr>
          <w:sz w:val="20"/>
          <w:szCs w:val="20"/>
        </w:rPr>
        <w:t xml:space="preserve">desorbing quinalphos from the MIP </w:t>
      </w:r>
      <w:r w:rsidR="009D6072">
        <w:rPr>
          <w:sz w:val="20"/>
          <w:szCs w:val="20"/>
        </w:rPr>
        <w:t>in elu</w:t>
      </w:r>
      <w:r w:rsidR="00015A08">
        <w:rPr>
          <w:sz w:val="20"/>
          <w:szCs w:val="20"/>
        </w:rPr>
        <w:t>tion solvent</w:t>
      </w:r>
      <w:r w:rsidR="004A37AB">
        <w:rPr>
          <w:sz w:val="20"/>
          <w:szCs w:val="20"/>
        </w:rPr>
        <w:t xml:space="preserve">. </w:t>
      </w:r>
      <w:r w:rsidR="00914BF0">
        <w:rPr>
          <w:sz w:val="20"/>
          <w:szCs w:val="20"/>
        </w:rPr>
        <w:t>The</w:t>
      </w:r>
      <w:r w:rsidR="004A37AB">
        <w:rPr>
          <w:sz w:val="20"/>
          <w:szCs w:val="20"/>
        </w:rPr>
        <w:t xml:space="preserve"> result</w:t>
      </w:r>
      <w:r w:rsidR="00015A08">
        <w:rPr>
          <w:sz w:val="20"/>
          <w:szCs w:val="20"/>
        </w:rPr>
        <w:t>s showed that</w:t>
      </w:r>
      <w:r w:rsidR="004A37AB">
        <w:rPr>
          <w:sz w:val="20"/>
          <w:szCs w:val="20"/>
        </w:rPr>
        <w:t>the addition of acetic acid increase</w:t>
      </w:r>
      <w:r w:rsidR="00015A08">
        <w:rPr>
          <w:sz w:val="20"/>
          <w:szCs w:val="20"/>
        </w:rPr>
        <w:t>d</w:t>
      </w:r>
      <w:r w:rsidR="004A37AB">
        <w:rPr>
          <w:sz w:val="20"/>
          <w:szCs w:val="20"/>
        </w:rPr>
        <w:t xml:space="preserve"> the analyte recovery</w:t>
      </w:r>
      <w:r w:rsidR="00D801DB">
        <w:rPr>
          <w:sz w:val="20"/>
          <w:szCs w:val="20"/>
        </w:rPr>
        <w:t xml:space="preserve"> and</w:t>
      </w:r>
      <w:r w:rsidR="00780658">
        <w:rPr>
          <w:sz w:val="20"/>
          <w:szCs w:val="20"/>
        </w:rPr>
        <w:t xml:space="preserve"> the</w:t>
      </w:r>
      <w:r w:rsidR="00D801DB" w:rsidRPr="003B45BF">
        <w:rPr>
          <w:sz w:val="20"/>
          <w:szCs w:val="20"/>
        </w:rPr>
        <w:t>most likely explanation was that acetic acid competed with quinalphos for the functional group in the binding sites</w:t>
      </w:r>
      <w:r w:rsidR="00015A08">
        <w:rPr>
          <w:sz w:val="20"/>
          <w:szCs w:val="20"/>
        </w:rPr>
        <w:t xml:space="preserve"> (Figure 6)</w:t>
      </w:r>
      <w:r w:rsidR="00D801DB">
        <w:rPr>
          <w:sz w:val="20"/>
          <w:szCs w:val="20"/>
        </w:rPr>
        <w:t>. H</w:t>
      </w:r>
      <w:r w:rsidR="00780658">
        <w:rPr>
          <w:sz w:val="20"/>
          <w:szCs w:val="20"/>
        </w:rPr>
        <w:t xml:space="preserve">owever, solvent with relatively </w:t>
      </w:r>
      <w:r w:rsidR="00015A08">
        <w:rPr>
          <w:sz w:val="20"/>
          <w:szCs w:val="20"/>
        </w:rPr>
        <w:t xml:space="preserve">high </w:t>
      </w:r>
      <w:r w:rsidR="004A37AB">
        <w:rPr>
          <w:sz w:val="20"/>
          <w:szCs w:val="20"/>
        </w:rPr>
        <w:t>percent</w:t>
      </w:r>
      <w:r w:rsidR="00780658">
        <w:rPr>
          <w:sz w:val="20"/>
          <w:szCs w:val="20"/>
        </w:rPr>
        <w:t>age (10%)</w:t>
      </w:r>
      <w:r w:rsidR="004A37AB">
        <w:rPr>
          <w:sz w:val="20"/>
          <w:szCs w:val="20"/>
        </w:rPr>
        <w:t xml:space="preserve"> of acetic acid</w:t>
      </w:r>
      <w:r w:rsidR="00780658">
        <w:rPr>
          <w:sz w:val="20"/>
          <w:szCs w:val="20"/>
        </w:rPr>
        <w:t xml:space="preserve"> apparently </w:t>
      </w:r>
      <w:r w:rsidR="001168C3">
        <w:rPr>
          <w:sz w:val="20"/>
          <w:szCs w:val="20"/>
        </w:rPr>
        <w:t>tend to decrease the analyte rec</w:t>
      </w:r>
      <w:r w:rsidR="00780658">
        <w:rPr>
          <w:sz w:val="20"/>
          <w:szCs w:val="20"/>
        </w:rPr>
        <w:t>overy</w:t>
      </w:r>
      <w:r w:rsidR="004A37AB" w:rsidRPr="003B45BF">
        <w:rPr>
          <w:sz w:val="20"/>
          <w:szCs w:val="20"/>
        </w:rPr>
        <w:t>.</w:t>
      </w:r>
      <w:r w:rsidR="00306D22">
        <w:rPr>
          <w:sz w:val="20"/>
          <w:szCs w:val="20"/>
        </w:rPr>
        <w:t xml:space="preserve">Thus, </w:t>
      </w:r>
      <w:r w:rsidR="00780658">
        <w:rPr>
          <w:sz w:val="20"/>
          <w:szCs w:val="20"/>
        </w:rPr>
        <w:t xml:space="preserve">5% </w:t>
      </w:r>
      <w:r w:rsidR="00914BF0">
        <w:rPr>
          <w:sz w:val="20"/>
          <w:szCs w:val="20"/>
        </w:rPr>
        <w:t xml:space="preserve">of acetic acid in methanol was selected as optimal elution solvent for the following study. </w:t>
      </w:r>
    </w:p>
    <w:p w:rsidR="006067A0" w:rsidRPr="003B45BF" w:rsidRDefault="006067A0" w:rsidP="00300B0F">
      <w:pPr>
        <w:tabs>
          <w:tab w:val="left" w:pos="3105"/>
        </w:tabs>
        <w:jc w:val="both"/>
        <w:rPr>
          <w:sz w:val="20"/>
          <w:szCs w:val="20"/>
        </w:rPr>
      </w:pPr>
    </w:p>
    <w:p w:rsidR="006067A0" w:rsidRPr="003B45BF" w:rsidRDefault="006067A0" w:rsidP="006067A0">
      <w:pPr>
        <w:ind w:firstLine="360"/>
        <w:jc w:val="both"/>
        <w:rPr>
          <w:sz w:val="20"/>
          <w:szCs w:val="20"/>
        </w:rPr>
      </w:pPr>
    </w:p>
    <w:p w:rsidR="006067A0" w:rsidRDefault="001F076F" w:rsidP="006067A0">
      <w:pPr>
        <w:ind w:left="360" w:firstLine="360"/>
        <w:jc w:val="center"/>
        <w:rPr>
          <w:sz w:val="20"/>
          <w:szCs w:val="20"/>
        </w:rPr>
      </w:pPr>
      <w:r w:rsidRPr="001F076F">
        <w:rPr>
          <w:noProof/>
          <w:sz w:val="20"/>
          <w:szCs w:val="20"/>
        </w:rPr>
        <w:drawing>
          <wp:inline distT="0" distB="0" distL="0" distR="0">
            <wp:extent cx="2981739" cy="1653871"/>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F076F" w:rsidRPr="003B45BF" w:rsidRDefault="001F076F" w:rsidP="006067A0">
      <w:pPr>
        <w:ind w:left="360" w:firstLine="360"/>
        <w:jc w:val="center"/>
        <w:rPr>
          <w:sz w:val="20"/>
          <w:szCs w:val="20"/>
        </w:rPr>
      </w:pPr>
    </w:p>
    <w:p w:rsidR="006067A0" w:rsidRPr="003B45BF" w:rsidRDefault="006067A0" w:rsidP="006067A0">
      <w:pPr>
        <w:ind w:left="360" w:firstLine="360"/>
        <w:jc w:val="center"/>
        <w:rPr>
          <w:sz w:val="20"/>
          <w:szCs w:val="20"/>
        </w:rPr>
      </w:pPr>
      <w:r w:rsidRPr="003B45BF">
        <w:rPr>
          <w:b/>
          <w:sz w:val="20"/>
          <w:szCs w:val="20"/>
        </w:rPr>
        <w:t xml:space="preserve">Figure </w:t>
      </w:r>
      <w:r w:rsidR="00446319">
        <w:rPr>
          <w:b/>
          <w:sz w:val="20"/>
          <w:szCs w:val="20"/>
        </w:rPr>
        <w:t>6</w:t>
      </w:r>
      <w:r w:rsidR="001F076F">
        <w:rPr>
          <w:sz w:val="20"/>
          <w:szCs w:val="20"/>
        </w:rPr>
        <w:t>:  R</w:t>
      </w:r>
      <w:r w:rsidRPr="003B45BF">
        <w:rPr>
          <w:sz w:val="20"/>
          <w:szCs w:val="20"/>
        </w:rPr>
        <w:t>ecovery of eluting solvent for MIP</w:t>
      </w:r>
      <w:r w:rsidR="00300B0F">
        <w:rPr>
          <w:sz w:val="20"/>
          <w:szCs w:val="20"/>
        </w:rPr>
        <w:t>-</w:t>
      </w:r>
      <w:r w:rsidRPr="003B45BF">
        <w:rPr>
          <w:sz w:val="20"/>
          <w:szCs w:val="20"/>
        </w:rPr>
        <w:t>SPE experiment.</w:t>
      </w:r>
    </w:p>
    <w:p w:rsidR="00BB322D" w:rsidRPr="003B45BF" w:rsidRDefault="00BB322D" w:rsidP="006067A0">
      <w:pPr>
        <w:ind w:left="360" w:firstLine="360"/>
        <w:jc w:val="center"/>
        <w:rPr>
          <w:b/>
          <w:sz w:val="20"/>
          <w:szCs w:val="20"/>
        </w:rPr>
      </w:pPr>
    </w:p>
    <w:p w:rsidR="00445ECD" w:rsidRPr="00945835" w:rsidRDefault="00295515" w:rsidP="00295515">
      <w:pPr>
        <w:ind w:firstLine="360"/>
        <w:jc w:val="both"/>
        <w:rPr>
          <w:rFonts w:eastAsia="Calibri"/>
          <w:sz w:val="20"/>
          <w:szCs w:val="20"/>
        </w:rPr>
      </w:pPr>
      <w:r>
        <w:rPr>
          <w:sz w:val="20"/>
          <w:szCs w:val="20"/>
        </w:rPr>
        <w:t>In order to</w:t>
      </w:r>
      <w:r w:rsidR="006067A0" w:rsidRPr="003B45BF">
        <w:rPr>
          <w:sz w:val="20"/>
          <w:szCs w:val="20"/>
        </w:rPr>
        <w:t xml:space="preserve"> determin</w:t>
      </w:r>
      <w:r w:rsidR="005A4818">
        <w:rPr>
          <w:sz w:val="20"/>
          <w:szCs w:val="20"/>
        </w:rPr>
        <w:t xml:space="preserve">e the optimum eluting volume, </w:t>
      </w:r>
      <w:r w:rsidR="006067A0" w:rsidRPr="003B45BF">
        <w:rPr>
          <w:sz w:val="20"/>
          <w:szCs w:val="20"/>
        </w:rPr>
        <w:t xml:space="preserve">5 mL </w:t>
      </w:r>
      <w:r>
        <w:rPr>
          <w:sz w:val="20"/>
          <w:szCs w:val="20"/>
        </w:rPr>
        <w:t xml:space="preserve">of </w:t>
      </w:r>
      <w:r w:rsidR="006067A0" w:rsidRPr="003B45BF">
        <w:rPr>
          <w:sz w:val="20"/>
          <w:szCs w:val="20"/>
        </w:rPr>
        <w:t>water sample spike</w:t>
      </w:r>
      <w:r>
        <w:rPr>
          <w:sz w:val="20"/>
          <w:szCs w:val="20"/>
        </w:rPr>
        <w:t>d</w:t>
      </w:r>
      <w:r w:rsidR="006067A0" w:rsidRPr="003B45BF">
        <w:rPr>
          <w:sz w:val="20"/>
          <w:szCs w:val="20"/>
        </w:rPr>
        <w:t xml:space="preserve"> with 1 </w:t>
      </w:r>
      <w:r w:rsidR="006067A0" w:rsidRPr="003B45BF">
        <w:rPr>
          <w:rFonts w:eastAsia="Calibri"/>
          <w:sz w:val="20"/>
          <w:szCs w:val="20"/>
        </w:rPr>
        <w:t>mgL</w:t>
      </w:r>
      <w:r w:rsidR="006067A0" w:rsidRPr="003B45BF">
        <w:rPr>
          <w:rFonts w:eastAsia="Calibri"/>
          <w:sz w:val="20"/>
          <w:szCs w:val="20"/>
          <w:vertAlign w:val="superscript"/>
        </w:rPr>
        <w:t>-</w:t>
      </w:r>
      <w:r w:rsidR="006067A0" w:rsidRPr="003B45BF">
        <w:rPr>
          <w:rFonts w:eastAsia="Calibri"/>
          <w:sz w:val="20"/>
          <w:szCs w:val="20"/>
        </w:rPr>
        <w:t>¹ quinalphos was percolated through MIP-SPE, and a different volumes (3, 6, 10 and 15 mL)</w:t>
      </w:r>
      <w:r w:rsidR="005A4818">
        <w:rPr>
          <w:rFonts w:eastAsia="Calibri"/>
          <w:sz w:val="20"/>
          <w:szCs w:val="20"/>
        </w:rPr>
        <w:t xml:space="preserve"> of a mixture of methanol with 5</w:t>
      </w:r>
      <w:r w:rsidR="006067A0" w:rsidRPr="003B45BF">
        <w:rPr>
          <w:rFonts w:eastAsia="Calibri"/>
          <w:sz w:val="20"/>
          <w:szCs w:val="20"/>
        </w:rPr>
        <w:t>% acetic acid were applied</w:t>
      </w:r>
      <w:r w:rsidR="001947AE" w:rsidRPr="003B45BF">
        <w:rPr>
          <w:rFonts w:eastAsia="Calibri"/>
          <w:sz w:val="20"/>
          <w:szCs w:val="20"/>
        </w:rPr>
        <w:t xml:space="preserve"> as eluting solvent and the elutes</w:t>
      </w:r>
      <w:r w:rsidR="006067A0" w:rsidRPr="003B45BF">
        <w:rPr>
          <w:rFonts w:eastAsia="Calibri"/>
          <w:sz w:val="20"/>
          <w:szCs w:val="20"/>
        </w:rPr>
        <w:t xml:space="preserve"> were anal</w:t>
      </w:r>
      <w:r>
        <w:rPr>
          <w:rFonts w:eastAsia="Calibri"/>
          <w:sz w:val="20"/>
          <w:szCs w:val="20"/>
        </w:rPr>
        <w:t>yzed by HPLC. The results showed that</w:t>
      </w:r>
      <w:r w:rsidR="00945835">
        <w:rPr>
          <w:rFonts w:eastAsiaTheme="minorHAnsi"/>
          <w:sz w:val="20"/>
          <w:szCs w:val="20"/>
        </w:rPr>
        <w:t>i</w:t>
      </w:r>
      <w:r w:rsidR="00945835" w:rsidRPr="00445ECD">
        <w:rPr>
          <w:rFonts w:eastAsiaTheme="minorHAnsi"/>
          <w:sz w:val="20"/>
          <w:szCs w:val="20"/>
        </w:rPr>
        <w:t xml:space="preserve">ncreasing solvent volume </w:t>
      </w:r>
      <w:r w:rsidR="008D0F98">
        <w:rPr>
          <w:rFonts w:eastAsiaTheme="minorHAnsi"/>
          <w:sz w:val="20"/>
          <w:szCs w:val="20"/>
        </w:rPr>
        <w:t xml:space="preserve">from 3 mL to 10 mL </w:t>
      </w:r>
      <w:r w:rsidR="00911F15">
        <w:rPr>
          <w:rFonts w:eastAsiaTheme="minorHAnsi"/>
          <w:sz w:val="20"/>
          <w:szCs w:val="20"/>
        </w:rPr>
        <w:t>increase</w:t>
      </w:r>
      <w:r w:rsidR="008D0F98">
        <w:rPr>
          <w:rFonts w:eastAsiaTheme="minorHAnsi"/>
          <w:sz w:val="20"/>
          <w:szCs w:val="20"/>
        </w:rPr>
        <w:t>d</w:t>
      </w:r>
      <w:r w:rsidR="00945835" w:rsidRPr="00445ECD">
        <w:rPr>
          <w:rFonts w:eastAsiaTheme="minorHAnsi"/>
          <w:sz w:val="20"/>
          <w:szCs w:val="20"/>
        </w:rPr>
        <w:t xml:space="preserve"> the recovery of selected a</w:t>
      </w:r>
      <w:r w:rsidR="00945835">
        <w:rPr>
          <w:rFonts w:eastAsiaTheme="minorHAnsi"/>
          <w:sz w:val="20"/>
          <w:szCs w:val="20"/>
        </w:rPr>
        <w:t>nalyte extracted (</w:t>
      </w:r>
      <w:r w:rsidR="00446319">
        <w:rPr>
          <w:rFonts w:eastAsia="Calibri"/>
          <w:sz w:val="20"/>
          <w:szCs w:val="20"/>
        </w:rPr>
        <w:t>Figure 7</w:t>
      </w:r>
      <w:r w:rsidR="00945835">
        <w:rPr>
          <w:rFonts w:eastAsia="Calibri"/>
          <w:sz w:val="20"/>
          <w:szCs w:val="20"/>
        </w:rPr>
        <w:t>)</w:t>
      </w:r>
      <w:r w:rsidR="006067A0" w:rsidRPr="003B45BF">
        <w:rPr>
          <w:rFonts w:eastAsia="Calibri"/>
          <w:sz w:val="20"/>
          <w:szCs w:val="20"/>
        </w:rPr>
        <w:t>.</w:t>
      </w:r>
      <w:r w:rsidR="00945835" w:rsidRPr="00445ECD">
        <w:rPr>
          <w:rFonts w:eastAsiaTheme="minorHAnsi"/>
          <w:sz w:val="20"/>
          <w:szCs w:val="20"/>
        </w:rPr>
        <w:t>However, th</w:t>
      </w:r>
      <w:r w:rsidR="00945835">
        <w:rPr>
          <w:rFonts w:eastAsiaTheme="minorHAnsi"/>
          <w:sz w:val="20"/>
          <w:szCs w:val="20"/>
        </w:rPr>
        <w:t xml:space="preserve">e </w:t>
      </w:r>
      <w:r w:rsidR="008D0F98">
        <w:rPr>
          <w:rFonts w:eastAsiaTheme="minorHAnsi"/>
          <w:sz w:val="20"/>
          <w:szCs w:val="20"/>
        </w:rPr>
        <w:t>analyte recovery</w:t>
      </w:r>
      <w:r w:rsidR="00945835" w:rsidRPr="00445ECD">
        <w:rPr>
          <w:rFonts w:eastAsiaTheme="minorHAnsi"/>
          <w:sz w:val="20"/>
          <w:szCs w:val="20"/>
        </w:rPr>
        <w:t>started to decrease</w:t>
      </w:r>
      <w:r w:rsidR="008D0F98">
        <w:rPr>
          <w:rFonts w:eastAsiaTheme="minorHAnsi"/>
          <w:sz w:val="20"/>
          <w:szCs w:val="20"/>
        </w:rPr>
        <w:t>d</w:t>
      </w:r>
      <w:r w:rsidR="00C831AE">
        <w:rPr>
          <w:rFonts w:eastAsiaTheme="minorHAnsi"/>
          <w:sz w:val="20"/>
          <w:szCs w:val="20"/>
        </w:rPr>
        <w:t xml:space="preserve"> when</w:t>
      </w:r>
      <w:r w:rsidR="008D0F98">
        <w:rPr>
          <w:rFonts w:eastAsia="Calibri"/>
          <w:sz w:val="20"/>
          <w:szCs w:val="20"/>
        </w:rPr>
        <w:t>15 mL</w:t>
      </w:r>
      <w:r w:rsidR="00C831AE">
        <w:rPr>
          <w:rFonts w:eastAsia="Calibri"/>
          <w:sz w:val="20"/>
          <w:szCs w:val="20"/>
        </w:rPr>
        <w:t xml:space="preserve"> of elution solvent was used</w:t>
      </w:r>
      <w:r w:rsidR="00945835" w:rsidRPr="00445ECD">
        <w:rPr>
          <w:rFonts w:eastAsiaTheme="minorHAnsi"/>
          <w:sz w:val="20"/>
          <w:szCs w:val="20"/>
        </w:rPr>
        <w:t>.</w:t>
      </w:r>
      <w:r w:rsidR="008D0F98">
        <w:rPr>
          <w:rFonts w:eastAsia="Calibri"/>
          <w:sz w:val="20"/>
          <w:szCs w:val="20"/>
        </w:rPr>
        <w:t xml:space="preserve"> The use of 10</w:t>
      </w:r>
      <w:r w:rsidR="006067A0" w:rsidRPr="003B45BF">
        <w:rPr>
          <w:rFonts w:eastAsia="Calibri"/>
          <w:sz w:val="20"/>
          <w:szCs w:val="20"/>
        </w:rPr>
        <w:t xml:space="preserve"> mL </w:t>
      </w:r>
      <w:r w:rsidR="008D0F98" w:rsidRPr="003B45BF">
        <w:rPr>
          <w:rFonts w:eastAsia="Calibri"/>
          <w:sz w:val="20"/>
          <w:szCs w:val="20"/>
        </w:rPr>
        <w:t xml:space="preserve">solvent </w:t>
      </w:r>
      <w:r w:rsidR="006067A0" w:rsidRPr="003B45BF">
        <w:rPr>
          <w:rFonts w:eastAsia="Calibri"/>
          <w:sz w:val="20"/>
          <w:szCs w:val="20"/>
        </w:rPr>
        <w:t>volume showed highest recovery of quin</w:t>
      </w:r>
      <w:r w:rsidR="008D0F98">
        <w:rPr>
          <w:rFonts w:eastAsia="Calibri"/>
          <w:sz w:val="20"/>
          <w:szCs w:val="20"/>
        </w:rPr>
        <w:t>alphos</w:t>
      </w:r>
      <w:r w:rsidR="001947AE" w:rsidRPr="003B45BF">
        <w:rPr>
          <w:rFonts w:eastAsia="Calibri"/>
          <w:sz w:val="20"/>
          <w:szCs w:val="20"/>
        </w:rPr>
        <w:t xml:space="preserve">. </w:t>
      </w:r>
      <w:r w:rsidR="001168C3">
        <w:rPr>
          <w:rFonts w:eastAsia="Calibri"/>
          <w:sz w:val="20"/>
          <w:szCs w:val="20"/>
        </w:rPr>
        <w:t xml:space="preserve">Thus, </w:t>
      </w:r>
      <w:r w:rsidR="008D0F98">
        <w:rPr>
          <w:rFonts w:eastAsia="Calibri"/>
          <w:sz w:val="20"/>
          <w:szCs w:val="20"/>
        </w:rPr>
        <w:t>10</w:t>
      </w:r>
      <w:r w:rsidR="00945835">
        <w:rPr>
          <w:rFonts w:eastAsia="Calibri"/>
          <w:sz w:val="20"/>
          <w:szCs w:val="20"/>
        </w:rPr>
        <w:t xml:space="preserve"> mL </w:t>
      </w:r>
      <w:r w:rsidR="008D0F98">
        <w:rPr>
          <w:rFonts w:eastAsia="Calibri"/>
          <w:sz w:val="20"/>
          <w:szCs w:val="20"/>
        </w:rPr>
        <w:t xml:space="preserve">of </w:t>
      </w:r>
      <w:r w:rsidR="00945835">
        <w:rPr>
          <w:rFonts w:eastAsia="Calibri"/>
          <w:sz w:val="20"/>
          <w:szCs w:val="20"/>
        </w:rPr>
        <w:t xml:space="preserve">methanol </w:t>
      </w:r>
      <w:r w:rsidR="00945835" w:rsidRPr="008D0F98">
        <w:rPr>
          <w:rFonts w:eastAsia="Calibri"/>
          <w:sz w:val="20"/>
          <w:szCs w:val="20"/>
        </w:rPr>
        <w:t>with 5</w:t>
      </w:r>
      <w:r w:rsidR="008D0F98" w:rsidRPr="008D0F98">
        <w:rPr>
          <w:rFonts w:eastAsia="Calibri"/>
          <w:sz w:val="20"/>
          <w:szCs w:val="20"/>
        </w:rPr>
        <w:t xml:space="preserve">% </w:t>
      </w:r>
      <w:r w:rsidR="006067A0" w:rsidRPr="008D0F98">
        <w:rPr>
          <w:rFonts w:eastAsia="Calibri"/>
          <w:sz w:val="20"/>
          <w:szCs w:val="20"/>
        </w:rPr>
        <w:t xml:space="preserve">acetic </w:t>
      </w:r>
      <w:r w:rsidR="006067A0" w:rsidRPr="003B45BF">
        <w:rPr>
          <w:rFonts w:eastAsia="Calibri"/>
          <w:sz w:val="20"/>
          <w:szCs w:val="20"/>
        </w:rPr>
        <w:t xml:space="preserve">acid was selected </w:t>
      </w:r>
      <w:r w:rsidR="008D0F98">
        <w:rPr>
          <w:rFonts w:eastAsia="Calibri"/>
          <w:sz w:val="20"/>
          <w:szCs w:val="20"/>
        </w:rPr>
        <w:t>as</w:t>
      </w:r>
      <w:r w:rsidR="006067A0" w:rsidRPr="003B45BF">
        <w:rPr>
          <w:rFonts w:eastAsia="Calibri"/>
          <w:sz w:val="20"/>
          <w:szCs w:val="20"/>
        </w:rPr>
        <w:t xml:space="preserve"> the eluting solvent.</w:t>
      </w:r>
      <w:r w:rsidR="00445ECD">
        <w:tab/>
      </w:r>
    </w:p>
    <w:p w:rsidR="00B64B4D" w:rsidRPr="003B45BF" w:rsidRDefault="00B64B4D" w:rsidP="006067A0">
      <w:pPr>
        <w:jc w:val="both"/>
        <w:rPr>
          <w:rFonts w:eastAsia="Calibri"/>
          <w:sz w:val="20"/>
          <w:szCs w:val="20"/>
        </w:rPr>
      </w:pPr>
    </w:p>
    <w:p w:rsidR="00B64B4D" w:rsidRDefault="0043258C" w:rsidP="00B64B4D">
      <w:pPr>
        <w:jc w:val="center"/>
        <w:rPr>
          <w:rFonts w:eastAsia="Calibri"/>
          <w:sz w:val="20"/>
          <w:szCs w:val="20"/>
        </w:rPr>
      </w:pPr>
      <w:r w:rsidRPr="0043258C">
        <w:rPr>
          <w:rFonts w:eastAsia="Calibri"/>
          <w:noProof/>
          <w:sz w:val="20"/>
          <w:szCs w:val="20"/>
        </w:rPr>
        <w:drawing>
          <wp:inline distT="0" distB="0" distL="0" distR="0">
            <wp:extent cx="2536466" cy="1526650"/>
            <wp:effectExtent l="0" t="0" r="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E79AF" w:rsidRPr="003B45BF" w:rsidRDefault="00AE79AF" w:rsidP="00AE79AF">
      <w:pPr>
        <w:jc w:val="center"/>
        <w:rPr>
          <w:rFonts w:eastAsia="Calibri"/>
          <w:sz w:val="20"/>
          <w:szCs w:val="20"/>
        </w:rPr>
      </w:pPr>
    </w:p>
    <w:p w:rsidR="006067A0" w:rsidRPr="003B45BF" w:rsidRDefault="00B64B4D" w:rsidP="00B64B4D">
      <w:pPr>
        <w:jc w:val="center"/>
        <w:rPr>
          <w:rFonts w:eastAsia="Calibri"/>
          <w:sz w:val="20"/>
          <w:szCs w:val="20"/>
        </w:rPr>
      </w:pPr>
      <w:r w:rsidRPr="003B45BF">
        <w:rPr>
          <w:b/>
          <w:sz w:val="20"/>
          <w:szCs w:val="20"/>
        </w:rPr>
        <w:t xml:space="preserve">Figure </w:t>
      </w:r>
      <w:r w:rsidR="00446319">
        <w:rPr>
          <w:b/>
          <w:sz w:val="20"/>
          <w:szCs w:val="20"/>
        </w:rPr>
        <w:t>7</w:t>
      </w:r>
      <w:r w:rsidR="00AE79AF">
        <w:rPr>
          <w:sz w:val="20"/>
          <w:szCs w:val="20"/>
        </w:rPr>
        <w:t>:  R</w:t>
      </w:r>
      <w:r w:rsidRPr="003B45BF">
        <w:rPr>
          <w:sz w:val="20"/>
          <w:szCs w:val="20"/>
        </w:rPr>
        <w:t>ecovery of different volume of elutin</w:t>
      </w:r>
      <w:r w:rsidR="00AE79AF">
        <w:rPr>
          <w:sz w:val="20"/>
          <w:szCs w:val="20"/>
        </w:rPr>
        <w:t>g solvent for MIP</w:t>
      </w:r>
      <w:r w:rsidR="00BA215D">
        <w:rPr>
          <w:sz w:val="20"/>
          <w:szCs w:val="20"/>
        </w:rPr>
        <w:t>-</w:t>
      </w:r>
      <w:r w:rsidR="00AE79AF">
        <w:rPr>
          <w:sz w:val="20"/>
          <w:szCs w:val="20"/>
        </w:rPr>
        <w:t>SPE</w:t>
      </w:r>
    </w:p>
    <w:p w:rsidR="006067A0" w:rsidRPr="003B45BF" w:rsidRDefault="006067A0" w:rsidP="006067A0">
      <w:pPr>
        <w:jc w:val="both"/>
        <w:rPr>
          <w:rFonts w:eastAsia="Calibri"/>
          <w:sz w:val="20"/>
          <w:szCs w:val="20"/>
        </w:rPr>
      </w:pPr>
    </w:p>
    <w:p w:rsidR="006067A0" w:rsidRPr="003B45BF" w:rsidRDefault="006067A0" w:rsidP="006067A0">
      <w:pPr>
        <w:tabs>
          <w:tab w:val="left" w:pos="4347"/>
        </w:tabs>
        <w:jc w:val="both"/>
        <w:rPr>
          <w:sz w:val="20"/>
          <w:szCs w:val="20"/>
        </w:rPr>
      </w:pPr>
    </w:p>
    <w:p w:rsidR="006067A0" w:rsidRPr="003B45BF" w:rsidRDefault="006067A0" w:rsidP="006067A0">
      <w:pPr>
        <w:jc w:val="both"/>
        <w:rPr>
          <w:b/>
          <w:i/>
          <w:sz w:val="20"/>
          <w:szCs w:val="20"/>
        </w:rPr>
      </w:pPr>
      <w:r w:rsidRPr="003B45BF">
        <w:rPr>
          <w:b/>
          <w:i/>
          <w:sz w:val="20"/>
          <w:szCs w:val="20"/>
        </w:rPr>
        <w:t xml:space="preserve">Experiment of the sample volume  </w:t>
      </w:r>
    </w:p>
    <w:p w:rsidR="006067A0" w:rsidRPr="003B45BF" w:rsidRDefault="006067A0" w:rsidP="006067A0">
      <w:pPr>
        <w:jc w:val="both"/>
        <w:rPr>
          <w:i/>
          <w:sz w:val="20"/>
          <w:szCs w:val="20"/>
        </w:rPr>
      </w:pPr>
    </w:p>
    <w:p w:rsidR="006067A0" w:rsidRPr="003B45BF" w:rsidRDefault="00AA2F1A" w:rsidP="00EB2B49">
      <w:pPr>
        <w:ind w:firstLine="720"/>
        <w:jc w:val="both"/>
        <w:rPr>
          <w:sz w:val="20"/>
          <w:szCs w:val="20"/>
        </w:rPr>
      </w:pPr>
      <w:r>
        <w:rPr>
          <w:sz w:val="20"/>
          <w:szCs w:val="20"/>
        </w:rPr>
        <w:t>In order to deter</w:t>
      </w:r>
      <w:r w:rsidR="00620814">
        <w:rPr>
          <w:sz w:val="20"/>
          <w:szCs w:val="20"/>
        </w:rPr>
        <w:t>mine the optimum loading volume, experiment</w:t>
      </w:r>
      <w:r w:rsidR="008D0F98">
        <w:rPr>
          <w:sz w:val="20"/>
          <w:szCs w:val="20"/>
        </w:rPr>
        <w:t>s</w:t>
      </w:r>
      <w:r w:rsidR="00620814">
        <w:rPr>
          <w:sz w:val="20"/>
          <w:szCs w:val="20"/>
        </w:rPr>
        <w:t xml:space="preserve"> were carried out on </w:t>
      </w:r>
      <w:r w:rsidR="008D0F98">
        <w:rPr>
          <w:sz w:val="20"/>
          <w:szCs w:val="20"/>
        </w:rPr>
        <w:t>using various</w:t>
      </w:r>
      <w:r w:rsidR="00620814">
        <w:rPr>
          <w:sz w:val="20"/>
          <w:szCs w:val="20"/>
        </w:rPr>
        <w:t xml:space="preserve"> sample volumes ranging</w:t>
      </w:r>
      <w:r w:rsidR="008D0F98">
        <w:rPr>
          <w:sz w:val="20"/>
          <w:szCs w:val="20"/>
        </w:rPr>
        <w:t xml:space="preserve"> from</w:t>
      </w:r>
      <w:r w:rsidR="00620814">
        <w:rPr>
          <w:sz w:val="20"/>
          <w:szCs w:val="20"/>
        </w:rPr>
        <w:t xml:space="preserve"> 5 mL to 50 mL and the extraction efficiency was </w:t>
      </w:r>
      <w:r w:rsidR="006067A0" w:rsidRPr="003B45BF">
        <w:rPr>
          <w:sz w:val="20"/>
          <w:szCs w:val="20"/>
        </w:rPr>
        <w:t xml:space="preserve">investigated. </w:t>
      </w:r>
      <w:r w:rsidR="008D0F98">
        <w:rPr>
          <w:sz w:val="20"/>
          <w:szCs w:val="20"/>
        </w:rPr>
        <w:t>It was found that the examined sa</w:t>
      </w:r>
      <w:r w:rsidR="006067A0" w:rsidRPr="003B45BF">
        <w:rPr>
          <w:sz w:val="20"/>
          <w:szCs w:val="20"/>
        </w:rPr>
        <w:t>mple volume</w:t>
      </w:r>
      <w:r w:rsidR="00620814">
        <w:rPr>
          <w:sz w:val="20"/>
          <w:szCs w:val="20"/>
        </w:rPr>
        <w:t xml:space="preserve">s, </w:t>
      </w:r>
      <w:r w:rsidR="006067A0" w:rsidRPr="003B45BF">
        <w:rPr>
          <w:sz w:val="20"/>
          <w:szCs w:val="20"/>
        </w:rPr>
        <w:t xml:space="preserve">5 mL, 10 mL, 15 mL, 25 mL and 50 mL, </w:t>
      </w:r>
      <w:r w:rsidR="008D0F98">
        <w:rPr>
          <w:sz w:val="20"/>
          <w:szCs w:val="20"/>
        </w:rPr>
        <w:t>gave</w:t>
      </w:r>
      <w:r w:rsidR="00305181">
        <w:rPr>
          <w:sz w:val="20"/>
          <w:szCs w:val="20"/>
        </w:rPr>
        <w:t xml:space="preserve"> analyte</w:t>
      </w:r>
      <w:r w:rsidR="006067A0" w:rsidRPr="003B45BF">
        <w:rPr>
          <w:sz w:val="20"/>
          <w:szCs w:val="20"/>
        </w:rPr>
        <w:t xml:space="preserve"> recoveries </w:t>
      </w:r>
      <w:r w:rsidR="00305181">
        <w:rPr>
          <w:sz w:val="20"/>
          <w:szCs w:val="20"/>
        </w:rPr>
        <w:t>of</w:t>
      </w:r>
      <w:r w:rsidR="006067A0" w:rsidRPr="003B45BF">
        <w:rPr>
          <w:sz w:val="20"/>
          <w:szCs w:val="20"/>
        </w:rPr>
        <w:t xml:space="preserve"> 61%, 92%,</w:t>
      </w:r>
      <w:r w:rsidR="00081853">
        <w:rPr>
          <w:sz w:val="20"/>
          <w:szCs w:val="20"/>
        </w:rPr>
        <w:t xml:space="preserve"> 45%, 29% and 16% respectively (</w:t>
      </w:r>
      <w:r w:rsidR="00446319">
        <w:rPr>
          <w:sz w:val="20"/>
          <w:szCs w:val="20"/>
        </w:rPr>
        <w:t>Figure 8</w:t>
      </w:r>
      <w:r w:rsidR="00081853">
        <w:rPr>
          <w:sz w:val="20"/>
          <w:szCs w:val="20"/>
        </w:rPr>
        <w:t xml:space="preserve">). </w:t>
      </w:r>
      <w:r w:rsidR="00305181">
        <w:rPr>
          <w:sz w:val="20"/>
          <w:szCs w:val="20"/>
        </w:rPr>
        <w:t>It was noted that the</w:t>
      </w:r>
      <w:r w:rsidR="00081853">
        <w:rPr>
          <w:sz w:val="20"/>
          <w:szCs w:val="20"/>
        </w:rPr>
        <w:t xml:space="preserve"> highest recovery was </w:t>
      </w:r>
      <w:r w:rsidR="006067A0" w:rsidRPr="003B45BF">
        <w:rPr>
          <w:sz w:val="20"/>
          <w:szCs w:val="20"/>
        </w:rPr>
        <w:t>observed when sample</w:t>
      </w:r>
      <w:r w:rsidR="00081853">
        <w:rPr>
          <w:sz w:val="20"/>
          <w:szCs w:val="20"/>
        </w:rPr>
        <w:t xml:space="preserve"> volume was </w:t>
      </w:r>
      <w:r w:rsidR="00305181">
        <w:rPr>
          <w:sz w:val="20"/>
          <w:szCs w:val="20"/>
        </w:rPr>
        <w:t>at</w:t>
      </w:r>
      <w:r w:rsidR="00081853">
        <w:rPr>
          <w:sz w:val="20"/>
          <w:szCs w:val="20"/>
        </w:rPr>
        <w:t xml:space="preserve"> 10 mL.</w:t>
      </w:r>
      <w:r w:rsidR="006067A0" w:rsidRPr="003B45BF">
        <w:rPr>
          <w:sz w:val="20"/>
          <w:szCs w:val="20"/>
        </w:rPr>
        <w:t xml:space="preserve">Hence, 10 mL was selected as the optimal sample volume. </w:t>
      </w:r>
    </w:p>
    <w:p w:rsidR="006067A0" w:rsidRPr="003B45BF" w:rsidRDefault="006067A0" w:rsidP="006067A0">
      <w:pPr>
        <w:jc w:val="both"/>
        <w:rPr>
          <w:sz w:val="20"/>
          <w:szCs w:val="20"/>
        </w:rPr>
      </w:pPr>
    </w:p>
    <w:p w:rsidR="006067A0" w:rsidRDefault="00D45115" w:rsidP="006067A0">
      <w:pPr>
        <w:jc w:val="center"/>
        <w:rPr>
          <w:sz w:val="20"/>
          <w:szCs w:val="20"/>
        </w:rPr>
      </w:pPr>
      <w:r w:rsidRPr="00D45115">
        <w:rPr>
          <w:noProof/>
          <w:sz w:val="20"/>
          <w:szCs w:val="20"/>
        </w:rPr>
        <w:drawing>
          <wp:inline distT="0" distB="0" distL="0" distR="0">
            <wp:extent cx="2981739" cy="1598213"/>
            <wp:effectExtent l="0" t="0" r="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45115" w:rsidRPr="003B45BF" w:rsidRDefault="00D45115" w:rsidP="006067A0">
      <w:pPr>
        <w:jc w:val="center"/>
        <w:rPr>
          <w:sz w:val="20"/>
          <w:szCs w:val="20"/>
        </w:rPr>
      </w:pPr>
    </w:p>
    <w:p w:rsidR="00C832FE" w:rsidRDefault="006067A0" w:rsidP="003F0928">
      <w:pPr>
        <w:jc w:val="center"/>
        <w:rPr>
          <w:sz w:val="20"/>
          <w:szCs w:val="20"/>
        </w:rPr>
      </w:pPr>
      <w:r w:rsidRPr="003B45BF">
        <w:rPr>
          <w:b/>
          <w:sz w:val="20"/>
          <w:szCs w:val="20"/>
        </w:rPr>
        <w:t xml:space="preserve">Figure </w:t>
      </w:r>
      <w:r w:rsidR="00446319">
        <w:rPr>
          <w:b/>
          <w:sz w:val="20"/>
          <w:szCs w:val="20"/>
        </w:rPr>
        <w:t>8</w:t>
      </w:r>
      <w:r w:rsidR="00D45115">
        <w:rPr>
          <w:sz w:val="20"/>
          <w:szCs w:val="20"/>
        </w:rPr>
        <w:t xml:space="preserve">:  </w:t>
      </w:r>
      <w:r w:rsidR="00296906">
        <w:rPr>
          <w:sz w:val="20"/>
          <w:szCs w:val="20"/>
        </w:rPr>
        <w:t xml:space="preserve">Analyte recovery for </w:t>
      </w:r>
      <w:r w:rsidRPr="003B45BF">
        <w:rPr>
          <w:sz w:val="20"/>
          <w:szCs w:val="20"/>
        </w:rPr>
        <w:t xml:space="preserve">different </w:t>
      </w:r>
      <w:r w:rsidR="00296906" w:rsidRPr="003B45BF">
        <w:rPr>
          <w:sz w:val="20"/>
          <w:szCs w:val="20"/>
        </w:rPr>
        <w:t>loadi</w:t>
      </w:r>
      <w:r w:rsidR="00296906">
        <w:rPr>
          <w:sz w:val="20"/>
          <w:szCs w:val="20"/>
        </w:rPr>
        <w:t xml:space="preserve">ng </w:t>
      </w:r>
      <w:r w:rsidRPr="003B45BF">
        <w:rPr>
          <w:sz w:val="20"/>
          <w:szCs w:val="20"/>
        </w:rPr>
        <w:t xml:space="preserve">volume of </w:t>
      </w:r>
      <w:r w:rsidR="00D45115">
        <w:rPr>
          <w:sz w:val="20"/>
          <w:szCs w:val="20"/>
        </w:rPr>
        <w:t>sample MIP</w:t>
      </w:r>
      <w:r w:rsidR="00BA215D">
        <w:rPr>
          <w:sz w:val="20"/>
          <w:szCs w:val="20"/>
        </w:rPr>
        <w:t>-</w:t>
      </w:r>
      <w:r w:rsidR="00D45115">
        <w:rPr>
          <w:sz w:val="20"/>
          <w:szCs w:val="20"/>
        </w:rPr>
        <w:t>SPE</w:t>
      </w:r>
      <w:r w:rsidR="00305181">
        <w:rPr>
          <w:sz w:val="20"/>
          <w:szCs w:val="20"/>
        </w:rPr>
        <w:t>.</w:t>
      </w:r>
    </w:p>
    <w:p w:rsidR="00E86E57" w:rsidRDefault="00E86E57" w:rsidP="003F0928">
      <w:pPr>
        <w:jc w:val="center"/>
        <w:rPr>
          <w:sz w:val="20"/>
          <w:szCs w:val="20"/>
        </w:rPr>
      </w:pPr>
    </w:p>
    <w:p w:rsidR="00E86E57" w:rsidRPr="003B45BF" w:rsidRDefault="00E86E57" w:rsidP="003F0928">
      <w:pPr>
        <w:jc w:val="center"/>
        <w:rPr>
          <w:sz w:val="20"/>
          <w:szCs w:val="20"/>
        </w:rPr>
      </w:pPr>
    </w:p>
    <w:p w:rsidR="006067A0" w:rsidRPr="003B45BF" w:rsidRDefault="006067A0" w:rsidP="006067A0">
      <w:pPr>
        <w:tabs>
          <w:tab w:val="left" w:pos="4347"/>
        </w:tabs>
        <w:jc w:val="both"/>
        <w:rPr>
          <w:b/>
          <w:i/>
          <w:sz w:val="20"/>
          <w:szCs w:val="20"/>
        </w:rPr>
      </w:pPr>
      <w:r w:rsidRPr="003B45BF">
        <w:rPr>
          <w:b/>
          <w:i/>
          <w:sz w:val="20"/>
          <w:szCs w:val="20"/>
        </w:rPr>
        <w:t xml:space="preserve">Determination of Organophosphorus Pesticides with HPLC </w:t>
      </w:r>
    </w:p>
    <w:p w:rsidR="006067A0" w:rsidRPr="003B45BF" w:rsidRDefault="006067A0" w:rsidP="006067A0">
      <w:pPr>
        <w:tabs>
          <w:tab w:val="left" w:pos="4347"/>
        </w:tabs>
        <w:jc w:val="both"/>
        <w:rPr>
          <w:i/>
          <w:sz w:val="20"/>
          <w:szCs w:val="20"/>
        </w:rPr>
      </w:pPr>
    </w:p>
    <w:p w:rsidR="006067A0" w:rsidRPr="003B45BF" w:rsidRDefault="00305181" w:rsidP="00305181">
      <w:pPr>
        <w:jc w:val="both"/>
        <w:rPr>
          <w:sz w:val="20"/>
          <w:szCs w:val="20"/>
        </w:rPr>
      </w:pPr>
      <w:r>
        <w:rPr>
          <w:sz w:val="20"/>
          <w:szCs w:val="20"/>
        </w:rPr>
        <w:tab/>
      </w:r>
      <w:r w:rsidR="006067A0" w:rsidRPr="003B45BF">
        <w:rPr>
          <w:sz w:val="20"/>
          <w:szCs w:val="20"/>
        </w:rPr>
        <w:t xml:space="preserve">Determination of organophosphoros pesticides (quinalphos, diazinon, and chlorpyrifos) </w:t>
      </w:r>
      <w:r w:rsidR="00DE6ADE" w:rsidRPr="003B45BF">
        <w:rPr>
          <w:sz w:val="20"/>
          <w:szCs w:val="20"/>
        </w:rPr>
        <w:t xml:space="preserve">was carried out </w:t>
      </w:r>
      <w:r w:rsidR="00DE6ADE">
        <w:rPr>
          <w:sz w:val="20"/>
          <w:szCs w:val="20"/>
        </w:rPr>
        <w:t>using</w:t>
      </w:r>
      <w:r w:rsidR="006067A0" w:rsidRPr="003B45BF">
        <w:rPr>
          <w:sz w:val="20"/>
          <w:szCs w:val="20"/>
        </w:rPr>
        <w:t>HPLC</w:t>
      </w:r>
      <w:r w:rsidR="00EB2B49">
        <w:rPr>
          <w:sz w:val="20"/>
          <w:szCs w:val="20"/>
        </w:rPr>
        <w:t>-UV</w:t>
      </w:r>
      <w:r w:rsidR="006067A0" w:rsidRPr="003B45BF">
        <w:rPr>
          <w:sz w:val="20"/>
          <w:szCs w:val="20"/>
        </w:rPr>
        <w:t xml:space="preserve"> as described in </w:t>
      </w:r>
      <w:r w:rsidR="00DE6ADE">
        <w:rPr>
          <w:sz w:val="20"/>
          <w:szCs w:val="20"/>
        </w:rPr>
        <w:t>the</w:t>
      </w:r>
      <w:r w:rsidR="006067A0" w:rsidRPr="003B45BF">
        <w:rPr>
          <w:sz w:val="20"/>
          <w:szCs w:val="20"/>
        </w:rPr>
        <w:t xml:space="preserve"> procedure. The mobile phase consist</w:t>
      </w:r>
      <w:r w:rsidR="00DE6ADE">
        <w:rPr>
          <w:sz w:val="20"/>
          <w:szCs w:val="20"/>
        </w:rPr>
        <w:t>ed</w:t>
      </w:r>
      <w:r w:rsidR="006067A0" w:rsidRPr="003B45BF">
        <w:rPr>
          <w:sz w:val="20"/>
          <w:szCs w:val="20"/>
        </w:rPr>
        <w:t xml:space="preserve"> of </w:t>
      </w:r>
      <w:r w:rsidR="00DE6ADE">
        <w:rPr>
          <w:sz w:val="20"/>
          <w:szCs w:val="20"/>
        </w:rPr>
        <w:t>acetonitrile-</w:t>
      </w:r>
      <w:r w:rsidR="000C01D2">
        <w:rPr>
          <w:sz w:val="20"/>
          <w:szCs w:val="20"/>
        </w:rPr>
        <w:t>w</w:t>
      </w:r>
      <w:r w:rsidR="00DE6ADE">
        <w:rPr>
          <w:sz w:val="20"/>
          <w:szCs w:val="20"/>
        </w:rPr>
        <w:t>ater (6:4, v/v) and t</w:t>
      </w:r>
      <w:r w:rsidR="006067A0" w:rsidRPr="003B45BF">
        <w:rPr>
          <w:sz w:val="20"/>
          <w:szCs w:val="20"/>
        </w:rPr>
        <w:t>he flow rate of the mobile phase was 0.4 mLmin</w:t>
      </w:r>
      <w:r w:rsidR="006067A0" w:rsidRPr="003B45BF">
        <w:rPr>
          <w:sz w:val="20"/>
          <w:szCs w:val="20"/>
          <w:vertAlign w:val="superscript"/>
        </w:rPr>
        <w:t>-1</w:t>
      </w:r>
      <w:r w:rsidR="006067A0" w:rsidRPr="003B45BF">
        <w:rPr>
          <w:sz w:val="20"/>
          <w:szCs w:val="20"/>
        </w:rPr>
        <w:t>. The oven temperature was set at 60</w:t>
      </w:r>
      <w:r w:rsidR="00EB2B49">
        <w:rPr>
          <w:sz w:val="20"/>
          <w:szCs w:val="20"/>
        </w:rPr>
        <w:t>°</w:t>
      </w:r>
      <w:r w:rsidR="006067A0" w:rsidRPr="003B45BF">
        <w:rPr>
          <w:sz w:val="20"/>
          <w:szCs w:val="20"/>
        </w:rPr>
        <w:t xml:space="preserve">С, the injection volume was 0.5 µL, and all </w:t>
      </w:r>
      <w:r w:rsidR="006452E7" w:rsidRPr="003B45BF">
        <w:rPr>
          <w:sz w:val="20"/>
          <w:szCs w:val="20"/>
        </w:rPr>
        <w:t>compounds</w:t>
      </w:r>
      <w:r w:rsidR="006067A0" w:rsidRPr="003B45BF">
        <w:rPr>
          <w:sz w:val="20"/>
          <w:szCs w:val="20"/>
        </w:rPr>
        <w:t xml:space="preserve"> were detected at 200 nm. The method performance was evaluated by determination of linearity, sensitivity, repeatability, and accuracy of the method. </w:t>
      </w:r>
    </w:p>
    <w:p w:rsidR="006067A0" w:rsidRPr="003B45BF" w:rsidRDefault="006067A0" w:rsidP="006067A0">
      <w:pPr>
        <w:tabs>
          <w:tab w:val="left" w:pos="4347"/>
        </w:tabs>
        <w:jc w:val="both"/>
        <w:rPr>
          <w:sz w:val="20"/>
          <w:szCs w:val="20"/>
        </w:rPr>
      </w:pPr>
    </w:p>
    <w:p w:rsidR="006067A0" w:rsidRPr="003B45BF" w:rsidRDefault="00305181" w:rsidP="00305181">
      <w:pPr>
        <w:jc w:val="both"/>
        <w:rPr>
          <w:sz w:val="20"/>
          <w:szCs w:val="20"/>
        </w:rPr>
      </w:pPr>
      <w:r>
        <w:rPr>
          <w:sz w:val="20"/>
          <w:szCs w:val="20"/>
        </w:rPr>
        <w:tab/>
      </w:r>
      <w:r w:rsidR="006067A0" w:rsidRPr="003B45BF">
        <w:rPr>
          <w:sz w:val="20"/>
          <w:szCs w:val="20"/>
        </w:rPr>
        <w:t>The linearity of calibration curves were obtained by the determination of the peak areas from analysis of 0.005 mgL</w:t>
      </w:r>
      <w:r w:rsidR="006067A0" w:rsidRPr="003B45BF">
        <w:rPr>
          <w:sz w:val="20"/>
          <w:szCs w:val="20"/>
          <w:vertAlign w:val="superscript"/>
        </w:rPr>
        <w:t>-1</w:t>
      </w:r>
      <w:r w:rsidR="006067A0" w:rsidRPr="003B45BF">
        <w:rPr>
          <w:sz w:val="20"/>
          <w:szCs w:val="20"/>
        </w:rPr>
        <w:t xml:space="preserve"> to 0.15 mgL</w:t>
      </w:r>
      <w:r w:rsidR="006067A0" w:rsidRPr="003B45BF">
        <w:rPr>
          <w:sz w:val="20"/>
          <w:szCs w:val="20"/>
          <w:vertAlign w:val="superscript"/>
        </w:rPr>
        <w:t>-1</w:t>
      </w:r>
      <w:r w:rsidR="006067A0" w:rsidRPr="003B45BF">
        <w:rPr>
          <w:sz w:val="20"/>
          <w:szCs w:val="20"/>
        </w:rPr>
        <w:t xml:space="preserve"> of each analyte and the all </w:t>
      </w:r>
      <w:r w:rsidR="006067A0" w:rsidRPr="003B45BF">
        <w:rPr>
          <w:i/>
          <w:sz w:val="20"/>
          <w:szCs w:val="20"/>
        </w:rPr>
        <w:t>r</w:t>
      </w:r>
      <w:r w:rsidR="006067A0" w:rsidRPr="003B45BF">
        <w:rPr>
          <w:sz w:val="20"/>
          <w:szCs w:val="20"/>
        </w:rPr>
        <w:t>-values were 0.999 (</w:t>
      </w:r>
      <w:r w:rsidR="00644F71" w:rsidRPr="003B45BF">
        <w:rPr>
          <w:sz w:val="20"/>
          <w:szCs w:val="20"/>
        </w:rPr>
        <w:t>Table 1</w:t>
      </w:r>
      <w:r w:rsidR="006067A0" w:rsidRPr="003B45BF">
        <w:rPr>
          <w:sz w:val="20"/>
          <w:szCs w:val="20"/>
        </w:rPr>
        <w:t>). The limit of detection (LOD), defined as the lowe</w:t>
      </w:r>
      <w:r w:rsidR="00EB2B49">
        <w:rPr>
          <w:sz w:val="20"/>
          <w:szCs w:val="20"/>
        </w:rPr>
        <w:t>st</w:t>
      </w:r>
      <w:r w:rsidR="006067A0" w:rsidRPr="003B45BF">
        <w:rPr>
          <w:sz w:val="20"/>
          <w:szCs w:val="20"/>
        </w:rPr>
        <w:t xml:space="preserve"> analyte concentrati</w:t>
      </w:r>
      <w:r w:rsidR="00EB2B49">
        <w:rPr>
          <w:sz w:val="20"/>
          <w:szCs w:val="20"/>
        </w:rPr>
        <w:t>on with a signal-to-noise ratio</w:t>
      </w:r>
      <w:r w:rsidR="006067A0" w:rsidRPr="003B45BF">
        <w:rPr>
          <w:sz w:val="20"/>
          <w:szCs w:val="20"/>
        </w:rPr>
        <w:t xml:space="preserve"> of 3, were also investigated th</w:t>
      </w:r>
      <w:r w:rsidR="00EB2B49">
        <w:rPr>
          <w:sz w:val="20"/>
          <w:szCs w:val="20"/>
        </w:rPr>
        <w:t>rough the detection of spiked MilliQ</w:t>
      </w:r>
      <w:r w:rsidR="006067A0" w:rsidRPr="003B45BF">
        <w:rPr>
          <w:sz w:val="20"/>
          <w:szCs w:val="20"/>
        </w:rPr>
        <w:t xml:space="preserve">water at serial concentrations. The results showed that the LODs </w:t>
      </w:r>
      <w:r w:rsidR="00EB2B49">
        <w:rPr>
          <w:sz w:val="20"/>
          <w:szCs w:val="20"/>
        </w:rPr>
        <w:t>were</w:t>
      </w:r>
      <w:r w:rsidR="006067A0" w:rsidRPr="003B45BF">
        <w:rPr>
          <w:sz w:val="20"/>
          <w:szCs w:val="20"/>
        </w:rPr>
        <w:t xml:space="preserve"> between 0.0063 mgL</w:t>
      </w:r>
      <w:r w:rsidR="006067A0" w:rsidRPr="003B45BF">
        <w:rPr>
          <w:sz w:val="20"/>
          <w:szCs w:val="20"/>
          <w:vertAlign w:val="superscript"/>
        </w:rPr>
        <w:t xml:space="preserve">-1 </w:t>
      </w:r>
      <w:r w:rsidR="006067A0" w:rsidRPr="003B45BF">
        <w:rPr>
          <w:sz w:val="20"/>
          <w:szCs w:val="20"/>
        </w:rPr>
        <w:t>to 0.0076 mgL</w:t>
      </w:r>
      <w:r w:rsidR="006067A0" w:rsidRPr="003B45BF">
        <w:rPr>
          <w:sz w:val="20"/>
          <w:szCs w:val="20"/>
          <w:vertAlign w:val="superscript"/>
        </w:rPr>
        <w:t>-1</w:t>
      </w:r>
      <w:r w:rsidR="006067A0" w:rsidRPr="003B45BF">
        <w:rPr>
          <w:sz w:val="20"/>
          <w:szCs w:val="20"/>
        </w:rPr>
        <w:t xml:space="preserve">, which indicated </w:t>
      </w:r>
      <w:r w:rsidR="00EB2B49">
        <w:rPr>
          <w:sz w:val="20"/>
          <w:szCs w:val="20"/>
        </w:rPr>
        <w:t xml:space="preserve">that </w:t>
      </w:r>
      <w:r w:rsidR="006067A0" w:rsidRPr="003B45BF">
        <w:rPr>
          <w:sz w:val="20"/>
          <w:szCs w:val="20"/>
        </w:rPr>
        <w:t>this method could be use</w:t>
      </w:r>
      <w:r w:rsidR="00EB2B49">
        <w:rPr>
          <w:sz w:val="20"/>
          <w:szCs w:val="20"/>
        </w:rPr>
        <w:t>d</w:t>
      </w:r>
      <w:r w:rsidR="006067A0" w:rsidRPr="003B45BF">
        <w:rPr>
          <w:sz w:val="20"/>
          <w:szCs w:val="20"/>
        </w:rPr>
        <w:t xml:space="preserve"> to detect </w:t>
      </w:r>
      <w:r w:rsidR="00EB2B49">
        <w:rPr>
          <w:sz w:val="20"/>
          <w:szCs w:val="20"/>
        </w:rPr>
        <w:t xml:space="preserve">the analytes in </w:t>
      </w:r>
      <w:r w:rsidR="006067A0" w:rsidRPr="003B45BF">
        <w:rPr>
          <w:sz w:val="20"/>
          <w:szCs w:val="20"/>
        </w:rPr>
        <w:t>polluted water samples.</w:t>
      </w:r>
    </w:p>
    <w:p w:rsidR="00F437B8" w:rsidRDefault="00F437B8" w:rsidP="006067A0">
      <w:pPr>
        <w:tabs>
          <w:tab w:val="left" w:pos="4347"/>
        </w:tabs>
        <w:jc w:val="both"/>
        <w:rPr>
          <w:sz w:val="20"/>
          <w:szCs w:val="20"/>
        </w:rPr>
      </w:pPr>
    </w:p>
    <w:p w:rsidR="00F437B8" w:rsidRPr="003B45BF" w:rsidRDefault="00F437B8" w:rsidP="006067A0">
      <w:pPr>
        <w:tabs>
          <w:tab w:val="left" w:pos="4347"/>
        </w:tabs>
        <w:jc w:val="both"/>
        <w:rPr>
          <w:sz w:val="20"/>
          <w:szCs w:val="20"/>
        </w:rPr>
      </w:pPr>
    </w:p>
    <w:p w:rsidR="006067A0" w:rsidRPr="003B45BF" w:rsidRDefault="006067A0" w:rsidP="006067A0">
      <w:pPr>
        <w:tabs>
          <w:tab w:val="left" w:pos="1142"/>
        </w:tabs>
        <w:jc w:val="center"/>
        <w:rPr>
          <w:sz w:val="20"/>
          <w:szCs w:val="20"/>
        </w:rPr>
      </w:pPr>
      <w:r w:rsidRPr="003B45BF">
        <w:rPr>
          <w:b/>
          <w:sz w:val="20"/>
          <w:szCs w:val="20"/>
        </w:rPr>
        <w:t xml:space="preserve">Table </w:t>
      </w:r>
      <w:r w:rsidR="00644F71" w:rsidRPr="003B45BF">
        <w:rPr>
          <w:b/>
          <w:sz w:val="20"/>
          <w:szCs w:val="20"/>
        </w:rPr>
        <w:t>1</w:t>
      </w:r>
      <w:r w:rsidRPr="003B45BF">
        <w:rPr>
          <w:sz w:val="20"/>
          <w:szCs w:val="20"/>
        </w:rPr>
        <w:t xml:space="preserve">:  </w:t>
      </w:r>
      <w:r w:rsidR="00F437B8">
        <w:rPr>
          <w:sz w:val="20"/>
          <w:szCs w:val="20"/>
        </w:rPr>
        <w:t>Validation parameters for Molecularly Imprinted Polymer Solid Phase Extraction</w:t>
      </w:r>
    </w:p>
    <w:p w:rsidR="006067A0" w:rsidRPr="003B45BF" w:rsidRDefault="006067A0" w:rsidP="006067A0">
      <w:pPr>
        <w:tabs>
          <w:tab w:val="left" w:pos="4347"/>
        </w:tabs>
        <w:jc w:val="both"/>
        <w:rPr>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68"/>
        <w:gridCol w:w="1533"/>
        <w:gridCol w:w="1497"/>
        <w:gridCol w:w="1370"/>
        <w:gridCol w:w="1151"/>
        <w:gridCol w:w="1123"/>
      </w:tblGrid>
      <w:tr w:rsidR="006067A0" w:rsidRPr="003B45BF" w:rsidTr="00B64B4D">
        <w:trPr>
          <w:trHeight w:val="493"/>
          <w:jc w:val="center"/>
        </w:trPr>
        <w:tc>
          <w:tcPr>
            <w:tcW w:w="1868" w:type="dxa"/>
            <w:tcBorders>
              <w:top w:val="single" w:sz="4" w:space="0" w:color="auto"/>
              <w:bottom w:val="single" w:sz="4" w:space="0" w:color="auto"/>
            </w:tcBorders>
          </w:tcPr>
          <w:p w:rsidR="006067A0" w:rsidRPr="003B45BF" w:rsidRDefault="00F437B8" w:rsidP="00296906">
            <w:pPr>
              <w:tabs>
                <w:tab w:val="left" w:pos="4347"/>
              </w:tabs>
              <w:spacing w:line="276" w:lineRule="auto"/>
              <w:rPr>
                <w:b/>
                <w:sz w:val="20"/>
                <w:szCs w:val="20"/>
              </w:rPr>
            </w:pPr>
            <w:r>
              <w:rPr>
                <w:b/>
                <w:sz w:val="20"/>
                <w:szCs w:val="20"/>
              </w:rPr>
              <w:t>Analytes</w:t>
            </w:r>
          </w:p>
        </w:tc>
        <w:tc>
          <w:tcPr>
            <w:tcW w:w="1533" w:type="dxa"/>
            <w:tcBorders>
              <w:top w:val="single" w:sz="4" w:space="0" w:color="auto"/>
              <w:bottom w:val="single" w:sz="4" w:space="0" w:color="auto"/>
            </w:tcBorders>
          </w:tcPr>
          <w:p w:rsidR="006067A0" w:rsidRPr="003B45BF" w:rsidRDefault="006067A0" w:rsidP="00644F71">
            <w:pPr>
              <w:tabs>
                <w:tab w:val="left" w:pos="4347"/>
              </w:tabs>
              <w:spacing w:line="276" w:lineRule="auto"/>
              <w:jc w:val="center"/>
              <w:rPr>
                <w:b/>
                <w:i/>
                <w:sz w:val="20"/>
                <w:szCs w:val="20"/>
              </w:rPr>
            </w:pPr>
            <w:r w:rsidRPr="003B45BF">
              <w:rPr>
                <w:b/>
                <w:sz w:val="20"/>
                <w:szCs w:val="20"/>
              </w:rPr>
              <w:t xml:space="preserve">Correlation, </w:t>
            </w:r>
            <w:r w:rsidRPr="003B45BF">
              <w:rPr>
                <w:b/>
                <w:i/>
                <w:sz w:val="20"/>
                <w:szCs w:val="20"/>
              </w:rPr>
              <w:t>r</w:t>
            </w:r>
          </w:p>
        </w:tc>
        <w:tc>
          <w:tcPr>
            <w:tcW w:w="1497" w:type="dxa"/>
            <w:tcBorders>
              <w:top w:val="single" w:sz="4" w:space="0" w:color="auto"/>
              <w:bottom w:val="single" w:sz="4" w:space="0" w:color="auto"/>
            </w:tcBorders>
          </w:tcPr>
          <w:p w:rsidR="006067A0" w:rsidRPr="003B45BF" w:rsidRDefault="006067A0" w:rsidP="00644F71">
            <w:pPr>
              <w:tabs>
                <w:tab w:val="left" w:pos="4347"/>
              </w:tabs>
              <w:spacing w:line="276" w:lineRule="auto"/>
              <w:jc w:val="center"/>
              <w:rPr>
                <w:b/>
                <w:sz w:val="20"/>
                <w:szCs w:val="20"/>
              </w:rPr>
            </w:pPr>
            <w:r w:rsidRPr="003B45BF">
              <w:rPr>
                <w:b/>
                <w:sz w:val="20"/>
                <w:szCs w:val="20"/>
              </w:rPr>
              <w:t>Linear range (mgL</w:t>
            </w:r>
            <w:r w:rsidRPr="003B45BF">
              <w:rPr>
                <w:b/>
                <w:sz w:val="20"/>
                <w:szCs w:val="20"/>
                <w:vertAlign w:val="superscript"/>
              </w:rPr>
              <w:t>-1</w:t>
            </w:r>
            <w:r w:rsidRPr="003B45BF">
              <w:rPr>
                <w:b/>
                <w:sz w:val="20"/>
                <w:szCs w:val="20"/>
              </w:rPr>
              <w:t>)</w:t>
            </w:r>
          </w:p>
        </w:tc>
        <w:tc>
          <w:tcPr>
            <w:tcW w:w="1370" w:type="dxa"/>
            <w:tcBorders>
              <w:top w:val="single" w:sz="4" w:space="0" w:color="auto"/>
              <w:bottom w:val="single" w:sz="4" w:space="0" w:color="auto"/>
            </w:tcBorders>
          </w:tcPr>
          <w:p w:rsidR="006067A0" w:rsidRPr="003B45BF" w:rsidRDefault="006067A0" w:rsidP="00644F71">
            <w:pPr>
              <w:tabs>
                <w:tab w:val="left" w:pos="4347"/>
              </w:tabs>
              <w:spacing w:line="276" w:lineRule="auto"/>
              <w:jc w:val="center"/>
              <w:rPr>
                <w:b/>
                <w:sz w:val="20"/>
                <w:szCs w:val="20"/>
              </w:rPr>
            </w:pPr>
            <w:r w:rsidRPr="003B45BF">
              <w:rPr>
                <w:b/>
                <w:sz w:val="20"/>
                <w:szCs w:val="20"/>
              </w:rPr>
              <w:t>LOD</w:t>
            </w:r>
          </w:p>
          <w:p w:rsidR="006067A0" w:rsidRPr="003B45BF" w:rsidRDefault="006067A0" w:rsidP="00644F71">
            <w:pPr>
              <w:tabs>
                <w:tab w:val="left" w:pos="4347"/>
              </w:tabs>
              <w:spacing w:line="276" w:lineRule="auto"/>
              <w:jc w:val="center"/>
              <w:rPr>
                <w:b/>
                <w:sz w:val="20"/>
                <w:szCs w:val="20"/>
              </w:rPr>
            </w:pPr>
            <w:r w:rsidRPr="003B45BF">
              <w:rPr>
                <w:b/>
                <w:sz w:val="20"/>
                <w:szCs w:val="20"/>
              </w:rPr>
              <w:t>(µgL</w:t>
            </w:r>
            <w:r w:rsidRPr="003B45BF">
              <w:rPr>
                <w:b/>
                <w:sz w:val="20"/>
                <w:szCs w:val="20"/>
                <w:vertAlign w:val="superscript"/>
              </w:rPr>
              <w:t>-1</w:t>
            </w:r>
            <w:r w:rsidRPr="003B45BF">
              <w:rPr>
                <w:b/>
                <w:sz w:val="20"/>
                <w:szCs w:val="20"/>
              </w:rPr>
              <w:t>)</w:t>
            </w:r>
          </w:p>
        </w:tc>
        <w:tc>
          <w:tcPr>
            <w:tcW w:w="1151" w:type="dxa"/>
            <w:tcBorders>
              <w:top w:val="single" w:sz="4" w:space="0" w:color="auto"/>
              <w:bottom w:val="single" w:sz="4" w:space="0" w:color="auto"/>
            </w:tcBorders>
          </w:tcPr>
          <w:p w:rsidR="006067A0" w:rsidRPr="003B45BF" w:rsidRDefault="006067A0" w:rsidP="00644F71">
            <w:pPr>
              <w:tabs>
                <w:tab w:val="left" w:pos="4347"/>
              </w:tabs>
              <w:spacing w:line="276" w:lineRule="auto"/>
              <w:jc w:val="center"/>
              <w:rPr>
                <w:b/>
                <w:sz w:val="20"/>
                <w:szCs w:val="20"/>
              </w:rPr>
            </w:pPr>
            <w:r w:rsidRPr="003B45BF">
              <w:rPr>
                <w:b/>
                <w:sz w:val="20"/>
                <w:szCs w:val="20"/>
              </w:rPr>
              <w:t>LOQ</w:t>
            </w:r>
          </w:p>
          <w:p w:rsidR="006067A0" w:rsidRPr="003B45BF" w:rsidRDefault="006067A0" w:rsidP="00644F71">
            <w:pPr>
              <w:tabs>
                <w:tab w:val="left" w:pos="4347"/>
              </w:tabs>
              <w:spacing w:line="276" w:lineRule="auto"/>
              <w:jc w:val="center"/>
              <w:rPr>
                <w:b/>
                <w:sz w:val="20"/>
                <w:szCs w:val="20"/>
              </w:rPr>
            </w:pPr>
            <w:r w:rsidRPr="003B45BF">
              <w:rPr>
                <w:b/>
                <w:sz w:val="20"/>
                <w:szCs w:val="20"/>
              </w:rPr>
              <w:t>(µgL</w:t>
            </w:r>
            <w:r w:rsidRPr="003B45BF">
              <w:rPr>
                <w:b/>
                <w:sz w:val="20"/>
                <w:szCs w:val="20"/>
                <w:vertAlign w:val="superscript"/>
              </w:rPr>
              <w:t>-1</w:t>
            </w:r>
            <w:r w:rsidRPr="003B45BF">
              <w:rPr>
                <w:b/>
                <w:sz w:val="20"/>
                <w:szCs w:val="20"/>
              </w:rPr>
              <w:t>)</w:t>
            </w:r>
          </w:p>
        </w:tc>
        <w:tc>
          <w:tcPr>
            <w:tcW w:w="1123" w:type="dxa"/>
            <w:tcBorders>
              <w:top w:val="single" w:sz="4" w:space="0" w:color="auto"/>
              <w:bottom w:val="single" w:sz="4" w:space="0" w:color="auto"/>
            </w:tcBorders>
          </w:tcPr>
          <w:p w:rsidR="006067A0" w:rsidRPr="003B45BF" w:rsidRDefault="006067A0" w:rsidP="00644F71">
            <w:pPr>
              <w:tabs>
                <w:tab w:val="left" w:pos="4347"/>
              </w:tabs>
              <w:spacing w:line="276" w:lineRule="auto"/>
              <w:jc w:val="center"/>
              <w:rPr>
                <w:b/>
                <w:sz w:val="20"/>
                <w:szCs w:val="20"/>
              </w:rPr>
            </w:pPr>
            <w:r w:rsidRPr="003B45BF">
              <w:rPr>
                <w:b/>
                <w:sz w:val="20"/>
                <w:szCs w:val="20"/>
              </w:rPr>
              <w:t>RSD</w:t>
            </w:r>
          </w:p>
          <w:p w:rsidR="006067A0" w:rsidRPr="003B45BF" w:rsidRDefault="006067A0" w:rsidP="00644F71">
            <w:pPr>
              <w:tabs>
                <w:tab w:val="left" w:pos="4347"/>
              </w:tabs>
              <w:spacing w:line="276" w:lineRule="auto"/>
              <w:jc w:val="center"/>
              <w:rPr>
                <w:b/>
                <w:sz w:val="20"/>
                <w:szCs w:val="20"/>
              </w:rPr>
            </w:pPr>
            <w:r w:rsidRPr="003B45BF">
              <w:rPr>
                <w:b/>
                <w:sz w:val="20"/>
                <w:szCs w:val="20"/>
              </w:rPr>
              <w:t>(n=3)</w:t>
            </w:r>
          </w:p>
        </w:tc>
      </w:tr>
      <w:tr w:rsidR="006067A0" w:rsidRPr="003B45BF" w:rsidTr="00B64B4D">
        <w:trPr>
          <w:trHeight w:val="239"/>
          <w:jc w:val="center"/>
        </w:trPr>
        <w:tc>
          <w:tcPr>
            <w:tcW w:w="1868" w:type="dxa"/>
            <w:tcBorders>
              <w:top w:val="single" w:sz="4" w:space="0" w:color="auto"/>
            </w:tcBorders>
          </w:tcPr>
          <w:p w:rsidR="006067A0" w:rsidRPr="003B45BF" w:rsidRDefault="006067A0" w:rsidP="00C832FE">
            <w:pPr>
              <w:tabs>
                <w:tab w:val="left" w:pos="4347"/>
              </w:tabs>
              <w:spacing w:line="360" w:lineRule="auto"/>
              <w:jc w:val="both"/>
              <w:rPr>
                <w:sz w:val="20"/>
                <w:szCs w:val="20"/>
              </w:rPr>
            </w:pPr>
            <w:r w:rsidRPr="003B45BF">
              <w:rPr>
                <w:sz w:val="20"/>
                <w:szCs w:val="20"/>
              </w:rPr>
              <w:t>Quinalphos</w:t>
            </w:r>
          </w:p>
        </w:tc>
        <w:tc>
          <w:tcPr>
            <w:tcW w:w="1533" w:type="dxa"/>
            <w:tcBorders>
              <w:top w:val="single" w:sz="4" w:space="0" w:color="auto"/>
            </w:tcBorders>
          </w:tcPr>
          <w:p w:rsidR="006067A0" w:rsidRPr="003B45BF" w:rsidRDefault="006067A0" w:rsidP="00C832FE">
            <w:pPr>
              <w:tabs>
                <w:tab w:val="left" w:pos="4347"/>
              </w:tabs>
              <w:spacing w:line="360" w:lineRule="auto"/>
              <w:jc w:val="center"/>
              <w:rPr>
                <w:sz w:val="20"/>
                <w:szCs w:val="20"/>
              </w:rPr>
            </w:pPr>
            <w:r w:rsidRPr="003B45BF">
              <w:rPr>
                <w:sz w:val="20"/>
                <w:szCs w:val="20"/>
              </w:rPr>
              <w:t>0.99</w:t>
            </w:r>
            <w:r w:rsidR="000C01D2">
              <w:rPr>
                <w:sz w:val="20"/>
                <w:szCs w:val="20"/>
              </w:rPr>
              <w:t>4</w:t>
            </w:r>
          </w:p>
        </w:tc>
        <w:tc>
          <w:tcPr>
            <w:tcW w:w="1497" w:type="dxa"/>
            <w:tcBorders>
              <w:top w:val="single" w:sz="4" w:space="0" w:color="auto"/>
            </w:tcBorders>
          </w:tcPr>
          <w:p w:rsidR="006067A0" w:rsidRPr="003B45BF" w:rsidRDefault="006067A0" w:rsidP="00C832FE">
            <w:pPr>
              <w:tabs>
                <w:tab w:val="left" w:pos="4347"/>
              </w:tabs>
              <w:spacing w:line="360" w:lineRule="auto"/>
              <w:jc w:val="center"/>
              <w:rPr>
                <w:sz w:val="20"/>
                <w:szCs w:val="20"/>
              </w:rPr>
            </w:pPr>
            <w:r w:rsidRPr="003B45BF">
              <w:rPr>
                <w:sz w:val="20"/>
                <w:szCs w:val="20"/>
              </w:rPr>
              <w:t>0.01-0.15</w:t>
            </w:r>
          </w:p>
        </w:tc>
        <w:tc>
          <w:tcPr>
            <w:tcW w:w="1370" w:type="dxa"/>
            <w:tcBorders>
              <w:top w:val="single" w:sz="4" w:space="0" w:color="auto"/>
            </w:tcBorders>
          </w:tcPr>
          <w:p w:rsidR="006067A0" w:rsidRPr="003B45BF" w:rsidRDefault="006067A0" w:rsidP="00C832FE">
            <w:pPr>
              <w:tabs>
                <w:tab w:val="left" w:pos="4347"/>
              </w:tabs>
              <w:spacing w:line="360" w:lineRule="auto"/>
              <w:jc w:val="center"/>
              <w:rPr>
                <w:sz w:val="20"/>
                <w:szCs w:val="20"/>
              </w:rPr>
            </w:pPr>
            <w:r w:rsidRPr="003B45BF">
              <w:rPr>
                <w:sz w:val="20"/>
                <w:szCs w:val="20"/>
              </w:rPr>
              <w:t>6.67</w:t>
            </w:r>
          </w:p>
        </w:tc>
        <w:tc>
          <w:tcPr>
            <w:tcW w:w="1151" w:type="dxa"/>
            <w:tcBorders>
              <w:top w:val="single" w:sz="4" w:space="0" w:color="auto"/>
            </w:tcBorders>
          </w:tcPr>
          <w:p w:rsidR="006067A0" w:rsidRPr="003B45BF" w:rsidRDefault="006067A0" w:rsidP="00C832FE">
            <w:pPr>
              <w:tabs>
                <w:tab w:val="left" w:pos="4347"/>
              </w:tabs>
              <w:spacing w:line="360" w:lineRule="auto"/>
              <w:jc w:val="center"/>
              <w:rPr>
                <w:sz w:val="20"/>
                <w:szCs w:val="20"/>
              </w:rPr>
            </w:pPr>
            <w:r w:rsidRPr="003B45BF">
              <w:rPr>
                <w:sz w:val="20"/>
                <w:szCs w:val="20"/>
              </w:rPr>
              <w:t>20.22</w:t>
            </w:r>
          </w:p>
        </w:tc>
        <w:tc>
          <w:tcPr>
            <w:tcW w:w="1123" w:type="dxa"/>
            <w:tcBorders>
              <w:top w:val="single" w:sz="4" w:space="0" w:color="auto"/>
            </w:tcBorders>
          </w:tcPr>
          <w:p w:rsidR="006067A0" w:rsidRPr="003B45BF" w:rsidRDefault="006067A0" w:rsidP="00C832FE">
            <w:pPr>
              <w:tabs>
                <w:tab w:val="left" w:pos="4347"/>
              </w:tabs>
              <w:spacing w:line="360" w:lineRule="auto"/>
              <w:jc w:val="center"/>
              <w:rPr>
                <w:sz w:val="20"/>
                <w:szCs w:val="20"/>
              </w:rPr>
            </w:pPr>
            <w:r w:rsidRPr="003B45BF">
              <w:rPr>
                <w:sz w:val="20"/>
                <w:szCs w:val="20"/>
              </w:rPr>
              <w:t>1.96</w:t>
            </w:r>
          </w:p>
        </w:tc>
      </w:tr>
      <w:tr w:rsidR="006067A0" w:rsidRPr="003B45BF" w:rsidTr="00B64B4D">
        <w:trPr>
          <w:trHeight w:val="239"/>
          <w:jc w:val="center"/>
        </w:trPr>
        <w:tc>
          <w:tcPr>
            <w:tcW w:w="1868" w:type="dxa"/>
          </w:tcPr>
          <w:p w:rsidR="006067A0" w:rsidRPr="003B45BF" w:rsidRDefault="006067A0" w:rsidP="00C832FE">
            <w:pPr>
              <w:tabs>
                <w:tab w:val="left" w:pos="4347"/>
              </w:tabs>
              <w:spacing w:line="360" w:lineRule="auto"/>
              <w:jc w:val="both"/>
              <w:rPr>
                <w:sz w:val="20"/>
                <w:szCs w:val="20"/>
              </w:rPr>
            </w:pPr>
            <w:r w:rsidRPr="003B45BF">
              <w:rPr>
                <w:sz w:val="20"/>
                <w:szCs w:val="20"/>
              </w:rPr>
              <w:t>Diazinon</w:t>
            </w:r>
          </w:p>
        </w:tc>
        <w:tc>
          <w:tcPr>
            <w:tcW w:w="1533" w:type="dxa"/>
          </w:tcPr>
          <w:p w:rsidR="006067A0" w:rsidRPr="003B45BF" w:rsidRDefault="006067A0" w:rsidP="00C832FE">
            <w:pPr>
              <w:tabs>
                <w:tab w:val="left" w:pos="4347"/>
              </w:tabs>
              <w:spacing w:line="360" w:lineRule="auto"/>
              <w:jc w:val="center"/>
              <w:rPr>
                <w:sz w:val="20"/>
                <w:szCs w:val="20"/>
              </w:rPr>
            </w:pPr>
            <w:r w:rsidRPr="003B45BF">
              <w:rPr>
                <w:sz w:val="20"/>
                <w:szCs w:val="20"/>
              </w:rPr>
              <w:t>0.99</w:t>
            </w:r>
            <w:r w:rsidR="000C01D2">
              <w:rPr>
                <w:sz w:val="20"/>
                <w:szCs w:val="20"/>
              </w:rPr>
              <w:t>7</w:t>
            </w:r>
          </w:p>
        </w:tc>
        <w:tc>
          <w:tcPr>
            <w:tcW w:w="1497" w:type="dxa"/>
          </w:tcPr>
          <w:p w:rsidR="006067A0" w:rsidRPr="003B45BF" w:rsidRDefault="006067A0" w:rsidP="00C832FE">
            <w:pPr>
              <w:tabs>
                <w:tab w:val="left" w:pos="4347"/>
              </w:tabs>
              <w:spacing w:line="360" w:lineRule="auto"/>
              <w:jc w:val="center"/>
              <w:rPr>
                <w:sz w:val="20"/>
                <w:szCs w:val="20"/>
              </w:rPr>
            </w:pPr>
            <w:r w:rsidRPr="003B45BF">
              <w:rPr>
                <w:sz w:val="20"/>
                <w:szCs w:val="20"/>
              </w:rPr>
              <w:t>0.01-0.15</w:t>
            </w:r>
          </w:p>
        </w:tc>
        <w:tc>
          <w:tcPr>
            <w:tcW w:w="1370" w:type="dxa"/>
          </w:tcPr>
          <w:p w:rsidR="006067A0" w:rsidRPr="003B45BF" w:rsidRDefault="006067A0" w:rsidP="00C832FE">
            <w:pPr>
              <w:tabs>
                <w:tab w:val="left" w:pos="4347"/>
              </w:tabs>
              <w:spacing w:line="360" w:lineRule="auto"/>
              <w:jc w:val="center"/>
              <w:rPr>
                <w:sz w:val="20"/>
                <w:szCs w:val="20"/>
              </w:rPr>
            </w:pPr>
            <w:r w:rsidRPr="003B45BF">
              <w:rPr>
                <w:sz w:val="20"/>
                <w:szCs w:val="20"/>
              </w:rPr>
              <w:t>7.62</w:t>
            </w:r>
          </w:p>
        </w:tc>
        <w:tc>
          <w:tcPr>
            <w:tcW w:w="1151" w:type="dxa"/>
          </w:tcPr>
          <w:p w:rsidR="006067A0" w:rsidRPr="003B45BF" w:rsidRDefault="006067A0" w:rsidP="00C832FE">
            <w:pPr>
              <w:tabs>
                <w:tab w:val="left" w:pos="4347"/>
              </w:tabs>
              <w:spacing w:line="360" w:lineRule="auto"/>
              <w:jc w:val="center"/>
              <w:rPr>
                <w:sz w:val="20"/>
                <w:szCs w:val="20"/>
              </w:rPr>
            </w:pPr>
            <w:r w:rsidRPr="003B45BF">
              <w:rPr>
                <w:sz w:val="20"/>
                <w:szCs w:val="20"/>
              </w:rPr>
              <w:t>23.08</w:t>
            </w:r>
          </w:p>
        </w:tc>
        <w:tc>
          <w:tcPr>
            <w:tcW w:w="1123" w:type="dxa"/>
          </w:tcPr>
          <w:p w:rsidR="006067A0" w:rsidRPr="003B45BF" w:rsidRDefault="006067A0" w:rsidP="00C832FE">
            <w:pPr>
              <w:tabs>
                <w:tab w:val="left" w:pos="4347"/>
              </w:tabs>
              <w:spacing w:line="360" w:lineRule="auto"/>
              <w:jc w:val="center"/>
              <w:rPr>
                <w:sz w:val="20"/>
                <w:szCs w:val="20"/>
              </w:rPr>
            </w:pPr>
            <w:r w:rsidRPr="003B45BF">
              <w:rPr>
                <w:sz w:val="20"/>
                <w:szCs w:val="20"/>
              </w:rPr>
              <w:t>2.44</w:t>
            </w:r>
          </w:p>
        </w:tc>
      </w:tr>
      <w:tr w:rsidR="006067A0" w:rsidRPr="003B45BF" w:rsidTr="00B64B4D">
        <w:trPr>
          <w:trHeight w:val="253"/>
          <w:jc w:val="center"/>
        </w:trPr>
        <w:tc>
          <w:tcPr>
            <w:tcW w:w="1868" w:type="dxa"/>
          </w:tcPr>
          <w:p w:rsidR="006067A0" w:rsidRPr="003B45BF" w:rsidRDefault="006067A0" w:rsidP="00C832FE">
            <w:pPr>
              <w:tabs>
                <w:tab w:val="left" w:pos="4347"/>
              </w:tabs>
              <w:spacing w:line="360" w:lineRule="auto"/>
              <w:jc w:val="both"/>
              <w:rPr>
                <w:sz w:val="20"/>
                <w:szCs w:val="20"/>
              </w:rPr>
            </w:pPr>
            <w:r w:rsidRPr="003B45BF">
              <w:rPr>
                <w:sz w:val="20"/>
                <w:szCs w:val="20"/>
              </w:rPr>
              <w:t>Chlorpyrifos</w:t>
            </w:r>
          </w:p>
        </w:tc>
        <w:tc>
          <w:tcPr>
            <w:tcW w:w="1533" w:type="dxa"/>
          </w:tcPr>
          <w:p w:rsidR="006067A0" w:rsidRPr="003B45BF" w:rsidRDefault="006067A0" w:rsidP="00C832FE">
            <w:pPr>
              <w:tabs>
                <w:tab w:val="left" w:pos="4347"/>
              </w:tabs>
              <w:spacing w:line="360" w:lineRule="auto"/>
              <w:jc w:val="center"/>
              <w:rPr>
                <w:sz w:val="20"/>
                <w:szCs w:val="20"/>
              </w:rPr>
            </w:pPr>
            <w:r w:rsidRPr="003B45BF">
              <w:rPr>
                <w:sz w:val="20"/>
                <w:szCs w:val="20"/>
              </w:rPr>
              <w:t>0.99</w:t>
            </w:r>
            <w:r w:rsidR="000C01D2">
              <w:rPr>
                <w:sz w:val="20"/>
                <w:szCs w:val="20"/>
              </w:rPr>
              <w:t>5</w:t>
            </w:r>
          </w:p>
        </w:tc>
        <w:tc>
          <w:tcPr>
            <w:tcW w:w="1497" w:type="dxa"/>
          </w:tcPr>
          <w:p w:rsidR="006067A0" w:rsidRPr="003B45BF" w:rsidRDefault="006067A0" w:rsidP="00C832FE">
            <w:pPr>
              <w:tabs>
                <w:tab w:val="left" w:pos="4347"/>
              </w:tabs>
              <w:spacing w:line="360" w:lineRule="auto"/>
              <w:jc w:val="center"/>
              <w:rPr>
                <w:sz w:val="20"/>
                <w:szCs w:val="20"/>
              </w:rPr>
            </w:pPr>
            <w:r w:rsidRPr="003B45BF">
              <w:rPr>
                <w:sz w:val="20"/>
                <w:szCs w:val="20"/>
              </w:rPr>
              <w:t>0.01-0.15</w:t>
            </w:r>
          </w:p>
        </w:tc>
        <w:tc>
          <w:tcPr>
            <w:tcW w:w="1370" w:type="dxa"/>
          </w:tcPr>
          <w:p w:rsidR="006067A0" w:rsidRPr="003B45BF" w:rsidRDefault="006067A0" w:rsidP="00C832FE">
            <w:pPr>
              <w:tabs>
                <w:tab w:val="left" w:pos="4347"/>
              </w:tabs>
              <w:spacing w:line="360" w:lineRule="auto"/>
              <w:jc w:val="center"/>
              <w:rPr>
                <w:sz w:val="20"/>
                <w:szCs w:val="20"/>
              </w:rPr>
            </w:pPr>
            <w:r w:rsidRPr="003B45BF">
              <w:rPr>
                <w:sz w:val="20"/>
                <w:szCs w:val="20"/>
              </w:rPr>
              <w:t>6.33</w:t>
            </w:r>
          </w:p>
        </w:tc>
        <w:tc>
          <w:tcPr>
            <w:tcW w:w="1151" w:type="dxa"/>
          </w:tcPr>
          <w:p w:rsidR="006067A0" w:rsidRPr="003B45BF" w:rsidRDefault="006067A0" w:rsidP="00C832FE">
            <w:pPr>
              <w:tabs>
                <w:tab w:val="left" w:pos="4347"/>
              </w:tabs>
              <w:spacing w:line="360" w:lineRule="auto"/>
              <w:jc w:val="center"/>
              <w:rPr>
                <w:sz w:val="20"/>
                <w:szCs w:val="20"/>
              </w:rPr>
            </w:pPr>
            <w:r w:rsidRPr="003B45BF">
              <w:rPr>
                <w:sz w:val="20"/>
                <w:szCs w:val="20"/>
              </w:rPr>
              <w:t>19.27</w:t>
            </w:r>
          </w:p>
        </w:tc>
        <w:tc>
          <w:tcPr>
            <w:tcW w:w="1123" w:type="dxa"/>
          </w:tcPr>
          <w:p w:rsidR="006067A0" w:rsidRPr="003B45BF" w:rsidRDefault="006067A0" w:rsidP="00C832FE">
            <w:pPr>
              <w:tabs>
                <w:tab w:val="left" w:pos="4347"/>
              </w:tabs>
              <w:spacing w:line="360" w:lineRule="auto"/>
              <w:jc w:val="center"/>
              <w:rPr>
                <w:sz w:val="20"/>
                <w:szCs w:val="20"/>
              </w:rPr>
            </w:pPr>
            <w:r w:rsidRPr="003B45BF">
              <w:rPr>
                <w:sz w:val="20"/>
                <w:szCs w:val="20"/>
              </w:rPr>
              <w:t>1.89</w:t>
            </w:r>
          </w:p>
        </w:tc>
      </w:tr>
    </w:tbl>
    <w:p w:rsidR="006067A0" w:rsidRPr="003B45BF" w:rsidRDefault="006067A0" w:rsidP="006067A0">
      <w:pPr>
        <w:tabs>
          <w:tab w:val="left" w:pos="4347"/>
        </w:tabs>
        <w:jc w:val="both"/>
        <w:rPr>
          <w:sz w:val="20"/>
          <w:szCs w:val="20"/>
        </w:rPr>
      </w:pPr>
    </w:p>
    <w:p w:rsidR="006067A0" w:rsidRPr="003B45BF" w:rsidRDefault="006067A0" w:rsidP="006067A0">
      <w:pPr>
        <w:tabs>
          <w:tab w:val="left" w:pos="4347"/>
        </w:tabs>
        <w:jc w:val="both"/>
        <w:rPr>
          <w:sz w:val="20"/>
          <w:szCs w:val="20"/>
        </w:rPr>
      </w:pPr>
    </w:p>
    <w:p w:rsidR="006067A0" w:rsidRPr="003B45BF" w:rsidRDefault="006067A0" w:rsidP="006067A0">
      <w:pPr>
        <w:tabs>
          <w:tab w:val="left" w:pos="4347"/>
        </w:tabs>
        <w:jc w:val="both"/>
        <w:rPr>
          <w:b/>
          <w:sz w:val="20"/>
          <w:szCs w:val="20"/>
        </w:rPr>
      </w:pPr>
      <w:r w:rsidRPr="003B45BF">
        <w:rPr>
          <w:b/>
          <w:i/>
          <w:sz w:val="20"/>
          <w:szCs w:val="20"/>
        </w:rPr>
        <w:t>Determination of OPPs in spiked water sample</w:t>
      </w:r>
    </w:p>
    <w:p w:rsidR="006067A0" w:rsidRPr="003B45BF" w:rsidRDefault="006067A0" w:rsidP="006067A0">
      <w:pPr>
        <w:ind w:left="360" w:firstLine="360"/>
        <w:rPr>
          <w:sz w:val="20"/>
          <w:szCs w:val="20"/>
        </w:rPr>
      </w:pPr>
    </w:p>
    <w:p w:rsidR="006067A0" w:rsidRPr="003B45BF" w:rsidRDefault="006067A0" w:rsidP="00281566">
      <w:pPr>
        <w:ind w:firstLine="720"/>
        <w:jc w:val="both"/>
        <w:rPr>
          <w:sz w:val="20"/>
          <w:szCs w:val="20"/>
        </w:rPr>
      </w:pPr>
      <w:r w:rsidRPr="003B45BF">
        <w:rPr>
          <w:sz w:val="20"/>
          <w:szCs w:val="20"/>
        </w:rPr>
        <w:t>The developed MIP</w:t>
      </w:r>
      <w:r w:rsidR="00BA215D">
        <w:rPr>
          <w:sz w:val="20"/>
          <w:szCs w:val="20"/>
        </w:rPr>
        <w:t>-</w:t>
      </w:r>
      <w:r w:rsidRPr="003B45BF">
        <w:rPr>
          <w:sz w:val="20"/>
          <w:szCs w:val="20"/>
        </w:rPr>
        <w:t xml:space="preserve">SPE method </w:t>
      </w:r>
      <w:r w:rsidR="00EB2B49">
        <w:rPr>
          <w:sz w:val="20"/>
          <w:szCs w:val="20"/>
        </w:rPr>
        <w:t>was</w:t>
      </w:r>
      <w:r w:rsidRPr="003B45BF">
        <w:rPr>
          <w:sz w:val="20"/>
          <w:szCs w:val="20"/>
        </w:rPr>
        <w:t xml:space="preserve"> applied for the enrichment of OPPs </w:t>
      </w:r>
      <w:r w:rsidR="00EB2B49">
        <w:rPr>
          <w:sz w:val="20"/>
          <w:szCs w:val="20"/>
        </w:rPr>
        <w:t xml:space="preserve">in </w:t>
      </w:r>
      <w:r w:rsidRPr="003B45BF">
        <w:rPr>
          <w:sz w:val="20"/>
          <w:szCs w:val="20"/>
        </w:rPr>
        <w:t>river water</w:t>
      </w:r>
      <w:r w:rsidR="00281566">
        <w:rPr>
          <w:sz w:val="20"/>
          <w:szCs w:val="20"/>
        </w:rPr>
        <w:t xml:space="preserve"> samples</w:t>
      </w:r>
      <w:r w:rsidR="00EB2B49">
        <w:rPr>
          <w:sz w:val="20"/>
          <w:szCs w:val="20"/>
        </w:rPr>
        <w:t>to</w:t>
      </w:r>
      <w:r w:rsidRPr="003B45BF">
        <w:rPr>
          <w:sz w:val="20"/>
          <w:szCs w:val="20"/>
        </w:rPr>
        <w:t xml:space="preserve"> demonstrate the applicability </w:t>
      </w:r>
      <w:r w:rsidR="00EB2B49">
        <w:rPr>
          <w:sz w:val="20"/>
          <w:szCs w:val="20"/>
        </w:rPr>
        <w:t>and</w:t>
      </w:r>
      <w:r w:rsidRPr="003B45BF">
        <w:rPr>
          <w:sz w:val="20"/>
          <w:szCs w:val="20"/>
        </w:rPr>
        <w:t xml:space="preserve"> reliability of this method. However, no target analyte </w:t>
      </w:r>
      <w:r w:rsidR="00281566">
        <w:rPr>
          <w:sz w:val="20"/>
          <w:szCs w:val="20"/>
        </w:rPr>
        <w:t>was</w:t>
      </w:r>
      <w:r w:rsidRPr="003B45BF">
        <w:rPr>
          <w:sz w:val="20"/>
          <w:szCs w:val="20"/>
        </w:rPr>
        <w:t xml:space="preserve"> detected</w:t>
      </w:r>
      <w:r w:rsidR="00281566">
        <w:rPr>
          <w:sz w:val="20"/>
          <w:szCs w:val="20"/>
        </w:rPr>
        <w:t xml:space="preserve"> which suggested that</w:t>
      </w:r>
      <w:r w:rsidRPr="003B45BF">
        <w:rPr>
          <w:sz w:val="20"/>
          <w:szCs w:val="20"/>
        </w:rPr>
        <w:t xml:space="preserve"> there was </w:t>
      </w:r>
      <w:r w:rsidR="00281566">
        <w:rPr>
          <w:sz w:val="20"/>
          <w:szCs w:val="20"/>
        </w:rPr>
        <w:t>no detectable</w:t>
      </w:r>
      <w:r w:rsidRPr="003B45BF">
        <w:rPr>
          <w:sz w:val="20"/>
          <w:szCs w:val="20"/>
        </w:rPr>
        <w:t xml:space="preserve"> OPPs </w:t>
      </w:r>
      <w:r w:rsidR="00C7760B">
        <w:rPr>
          <w:sz w:val="20"/>
          <w:szCs w:val="20"/>
        </w:rPr>
        <w:t xml:space="preserve">in </w:t>
      </w:r>
      <w:r w:rsidR="00281566">
        <w:rPr>
          <w:sz w:val="20"/>
          <w:szCs w:val="20"/>
        </w:rPr>
        <w:t>the river water sample</w:t>
      </w:r>
      <w:r w:rsidR="00C7760B">
        <w:rPr>
          <w:sz w:val="20"/>
          <w:szCs w:val="20"/>
        </w:rPr>
        <w:t>. Thus,</w:t>
      </w:r>
      <w:r w:rsidRPr="003B45BF">
        <w:rPr>
          <w:sz w:val="20"/>
          <w:szCs w:val="20"/>
        </w:rPr>
        <w:t xml:space="preserve"> to assess matrix effects, </w:t>
      </w:r>
      <w:r w:rsidR="00281566">
        <w:rPr>
          <w:sz w:val="20"/>
          <w:szCs w:val="20"/>
        </w:rPr>
        <w:t xml:space="preserve">river </w:t>
      </w:r>
      <w:r w:rsidRPr="003B45BF">
        <w:rPr>
          <w:sz w:val="20"/>
          <w:szCs w:val="20"/>
        </w:rPr>
        <w:t xml:space="preserve">water samples were spiked and the extracted performance was evaluated. </w:t>
      </w:r>
      <w:r w:rsidR="00446319">
        <w:rPr>
          <w:sz w:val="20"/>
          <w:szCs w:val="20"/>
        </w:rPr>
        <w:t>Figure 9</w:t>
      </w:r>
      <w:r w:rsidR="00281566">
        <w:rPr>
          <w:sz w:val="20"/>
          <w:szCs w:val="20"/>
        </w:rPr>
        <w:t xml:space="preserve">showsHPLC tracings </w:t>
      </w:r>
      <w:r w:rsidRPr="003B45BF">
        <w:rPr>
          <w:sz w:val="20"/>
          <w:szCs w:val="20"/>
        </w:rPr>
        <w:t>of the OPPs in river water before and after spiking at 0.1 mgL</w:t>
      </w:r>
      <w:r w:rsidRPr="003B45BF">
        <w:rPr>
          <w:sz w:val="20"/>
          <w:szCs w:val="20"/>
          <w:vertAlign w:val="superscript"/>
        </w:rPr>
        <w:t>-1</w:t>
      </w:r>
      <w:r w:rsidRPr="003B45BF">
        <w:rPr>
          <w:sz w:val="20"/>
          <w:szCs w:val="20"/>
        </w:rPr>
        <w:t xml:space="preserve">. </w:t>
      </w:r>
      <w:r w:rsidR="00281566">
        <w:rPr>
          <w:sz w:val="20"/>
          <w:szCs w:val="20"/>
        </w:rPr>
        <w:t>The results suggested</w:t>
      </w:r>
      <w:r w:rsidR="00281566" w:rsidRPr="003B45BF">
        <w:rPr>
          <w:sz w:val="20"/>
          <w:szCs w:val="20"/>
        </w:rPr>
        <w:t xml:space="preserve"> that </w:t>
      </w:r>
      <w:r w:rsidR="00281566">
        <w:rPr>
          <w:sz w:val="20"/>
          <w:szCs w:val="20"/>
        </w:rPr>
        <w:t xml:space="preserve">the </w:t>
      </w:r>
      <w:r w:rsidR="00281566" w:rsidRPr="003B45BF">
        <w:rPr>
          <w:sz w:val="20"/>
          <w:szCs w:val="20"/>
        </w:rPr>
        <w:t>matrix effect on MIP</w:t>
      </w:r>
      <w:r w:rsidR="00281566">
        <w:rPr>
          <w:sz w:val="20"/>
          <w:szCs w:val="20"/>
        </w:rPr>
        <w:t>-</w:t>
      </w:r>
      <w:r w:rsidR="00281566" w:rsidRPr="003B45BF">
        <w:rPr>
          <w:sz w:val="20"/>
          <w:szCs w:val="20"/>
        </w:rPr>
        <w:t xml:space="preserve">SPE </w:t>
      </w:r>
      <w:r w:rsidR="00281566">
        <w:rPr>
          <w:sz w:val="20"/>
          <w:szCs w:val="20"/>
        </w:rPr>
        <w:t>for river water samples</w:t>
      </w:r>
      <w:r w:rsidR="0085615C">
        <w:rPr>
          <w:sz w:val="20"/>
          <w:szCs w:val="20"/>
        </w:rPr>
        <w:t>was negligible</w:t>
      </w:r>
      <w:r w:rsidR="00281566" w:rsidRPr="003B45BF">
        <w:rPr>
          <w:sz w:val="20"/>
          <w:szCs w:val="20"/>
        </w:rPr>
        <w:t>.</w:t>
      </w:r>
    </w:p>
    <w:p w:rsidR="00B64B4D" w:rsidRPr="003B45BF" w:rsidRDefault="006067A0" w:rsidP="00644F71">
      <w:pPr>
        <w:jc w:val="center"/>
        <w:rPr>
          <w:sz w:val="20"/>
          <w:szCs w:val="20"/>
        </w:rPr>
      </w:pPr>
      <w:r w:rsidRPr="003B45BF">
        <w:rPr>
          <w:noProof/>
          <w:sz w:val="20"/>
          <w:szCs w:val="20"/>
        </w:rPr>
        <w:drawing>
          <wp:inline distT="0" distB="0" distL="0" distR="0">
            <wp:extent cx="5753100" cy="2371725"/>
            <wp:effectExtent l="19050" t="19050" r="19050" b="28575"/>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5753100" cy="2371725"/>
                    </a:xfrm>
                    <a:prstGeom prst="rect">
                      <a:avLst/>
                    </a:prstGeom>
                    <a:noFill/>
                    <a:ln w="3175">
                      <a:solidFill>
                        <a:schemeClr val="tx1"/>
                      </a:solidFill>
                      <a:miter lim="800000"/>
                      <a:headEnd/>
                      <a:tailEnd/>
                    </a:ln>
                  </pic:spPr>
                </pic:pic>
              </a:graphicData>
            </a:graphic>
          </wp:inline>
        </w:drawing>
      </w:r>
    </w:p>
    <w:p w:rsidR="00B64B4D" w:rsidRPr="003B45BF" w:rsidRDefault="00B64B4D" w:rsidP="00B64B4D">
      <w:pPr>
        <w:ind w:firstLine="450"/>
        <w:jc w:val="center"/>
        <w:rPr>
          <w:sz w:val="20"/>
          <w:szCs w:val="20"/>
        </w:rPr>
      </w:pPr>
    </w:p>
    <w:p w:rsidR="006067A0" w:rsidRPr="003B45BF" w:rsidRDefault="006067A0" w:rsidP="00B64B4D">
      <w:pPr>
        <w:rPr>
          <w:sz w:val="20"/>
          <w:szCs w:val="20"/>
        </w:rPr>
      </w:pPr>
      <w:r w:rsidRPr="003B45BF">
        <w:rPr>
          <w:b/>
          <w:sz w:val="20"/>
          <w:szCs w:val="20"/>
        </w:rPr>
        <w:t xml:space="preserve">Figure </w:t>
      </w:r>
      <w:r w:rsidR="00446319">
        <w:rPr>
          <w:b/>
          <w:sz w:val="20"/>
          <w:szCs w:val="20"/>
        </w:rPr>
        <w:t>9</w:t>
      </w:r>
      <w:r w:rsidRPr="003B45BF">
        <w:rPr>
          <w:sz w:val="20"/>
          <w:szCs w:val="20"/>
        </w:rPr>
        <w:t xml:space="preserve">: Chromatograms of river water sample before (grey line) and after </w:t>
      </w:r>
      <w:r w:rsidR="00296906">
        <w:rPr>
          <w:sz w:val="20"/>
          <w:szCs w:val="20"/>
        </w:rPr>
        <w:t>spiked with</w:t>
      </w:r>
      <w:r w:rsidRPr="003B45BF">
        <w:rPr>
          <w:sz w:val="20"/>
          <w:szCs w:val="20"/>
        </w:rPr>
        <w:t xml:space="preserve"> 0.1 mgL</w:t>
      </w:r>
      <w:r w:rsidRPr="003B45BF">
        <w:rPr>
          <w:sz w:val="20"/>
          <w:szCs w:val="20"/>
          <w:vertAlign w:val="superscript"/>
        </w:rPr>
        <w:t>-1</w:t>
      </w:r>
      <w:r w:rsidRPr="003B45BF">
        <w:rPr>
          <w:sz w:val="20"/>
          <w:szCs w:val="20"/>
        </w:rPr>
        <w:t xml:space="preserve"> of each analyte</w:t>
      </w:r>
      <w:r w:rsidR="00296906" w:rsidRPr="003B45BF">
        <w:rPr>
          <w:sz w:val="20"/>
          <w:szCs w:val="20"/>
        </w:rPr>
        <w:t>(black line)</w:t>
      </w:r>
      <w:r w:rsidRPr="003B45BF">
        <w:rPr>
          <w:sz w:val="20"/>
          <w:szCs w:val="20"/>
        </w:rPr>
        <w:t>. (1) diazinon, (2) hexaconazole (internal standard), (c) quinalphos, (d) chlorpyrifos.</w:t>
      </w:r>
    </w:p>
    <w:p w:rsidR="006E64D6" w:rsidRDefault="006E64D6" w:rsidP="006067A0">
      <w:pPr>
        <w:ind w:left="360" w:firstLine="180"/>
        <w:rPr>
          <w:sz w:val="20"/>
          <w:szCs w:val="20"/>
        </w:rPr>
      </w:pPr>
    </w:p>
    <w:p w:rsidR="00C61DAC" w:rsidRPr="003B45BF" w:rsidRDefault="00C61DAC" w:rsidP="006067A0">
      <w:pPr>
        <w:ind w:left="360" w:firstLine="180"/>
        <w:rPr>
          <w:sz w:val="20"/>
          <w:szCs w:val="20"/>
        </w:rPr>
      </w:pPr>
    </w:p>
    <w:p w:rsidR="006067A0" w:rsidRPr="003B45BF" w:rsidRDefault="006067A0" w:rsidP="006067A0">
      <w:pPr>
        <w:tabs>
          <w:tab w:val="left" w:pos="1142"/>
        </w:tabs>
        <w:jc w:val="center"/>
        <w:rPr>
          <w:sz w:val="20"/>
          <w:szCs w:val="20"/>
        </w:rPr>
      </w:pPr>
      <w:r w:rsidRPr="003B45BF">
        <w:rPr>
          <w:b/>
          <w:sz w:val="20"/>
          <w:szCs w:val="20"/>
        </w:rPr>
        <w:t xml:space="preserve">Table </w:t>
      </w:r>
      <w:r w:rsidR="00644F71" w:rsidRPr="003B45BF">
        <w:rPr>
          <w:b/>
          <w:sz w:val="20"/>
          <w:szCs w:val="20"/>
        </w:rPr>
        <w:t>2</w:t>
      </w:r>
      <w:r w:rsidRPr="003B45BF">
        <w:rPr>
          <w:sz w:val="20"/>
          <w:szCs w:val="20"/>
        </w:rPr>
        <w:t>: Recoveries (%) and precision (RSD) of OPPs in water samples spiked with 0.1 mgL</w:t>
      </w:r>
      <w:r w:rsidRPr="003B45BF">
        <w:rPr>
          <w:sz w:val="20"/>
          <w:szCs w:val="20"/>
          <w:vertAlign w:val="superscript"/>
        </w:rPr>
        <w:t>-1</w:t>
      </w:r>
      <w:r w:rsidRPr="003B45BF">
        <w:rPr>
          <w:sz w:val="20"/>
          <w:szCs w:val="20"/>
        </w:rPr>
        <w:t xml:space="preserve">. </w:t>
      </w:r>
    </w:p>
    <w:p w:rsidR="006067A0" w:rsidRPr="003B45BF" w:rsidRDefault="00EB3DE8" w:rsidP="00EB3DE8">
      <w:pPr>
        <w:tabs>
          <w:tab w:val="left" w:pos="1695"/>
        </w:tabs>
        <w:ind w:left="360" w:firstLine="180"/>
        <w:rPr>
          <w:sz w:val="20"/>
          <w:szCs w:val="20"/>
        </w:rPr>
      </w:pPr>
      <w:r w:rsidRPr="003B45BF">
        <w:rPr>
          <w:sz w:val="20"/>
          <w:szCs w:val="20"/>
        </w:rPr>
        <w:tab/>
      </w:r>
    </w:p>
    <w:tbl>
      <w:tblPr>
        <w:tblStyle w:val="TableGrid"/>
        <w:tblW w:w="0" w:type="auto"/>
        <w:tblInd w:w="3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71"/>
        <w:gridCol w:w="1083"/>
        <w:gridCol w:w="1174"/>
        <w:gridCol w:w="270"/>
        <w:gridCol w:w="1214"/>
        <w:gridCol w:w="1216"/>
        <w:gridCol w:w="270"/>
        <w:gridCol w:w="1555"/>
        <w:gridCol w:w="785"/>
      </w:tblGrid>
      <w:tr w:rsidR="00790FE8" w:rsidRPr="0006494E" w:rsidTr="005A14D7">
        <w:tc>
          <w:tcPr>
            <w:tcW w:w="1271" w:type="dxa"/>
            <w:vMerge w:val="restart"/>
            <w:tcBorders>
              <w:top w:val="single" w:sz="4" w:space="0" w:color="auto"/>
              <w:bottom w:val="nil"/>
            </w:tcBorders>
            <w:shd w:val="clear" w:color="auto" w:fill="auto"/>
          </w:tcPr>
          <w:p w:rsidR="00790FE8" w:rsidRPr="0006494E" w:rsidRDefault="00790FE8" w:rsidP="00536ADE">
            <w:pPr>
              <w:tabs>
                <w:tab w:val="left" w:pos="6236"/>
              </w:tabs>
              <w:spacing w:line="276" w:lineRule="auto"/>
              <w:rPr>
                <w:b/>
                <w:sz w:val="20"/>
                <w:szCs w:val="20"/>
              </w:rPr>
            </w:pPr>
            <w:r w:rsidRPr="0006494E">
              <w:rPr>
                <w:b/>
                <w:sz w:val="20"/>
                <w:szCs w:val="20"/>
              </w:rPr>
              <w:t>OPPs</w:t>
            </w:r>
          </w:p>
        </w:tc>
        <w:tc>
          <w:tcPr>
            <w:tcW w:w="2257" w:type="dxa"/>
            <w:gridSpan w:val="2"/>
            <w:tcBorders>
              <w:top w:val="single" w:sz="4" w:space="0" w:color="auto"/>
              <w:bottom w:val="single" w:sz="4" w:space="0" w:color="auto"/>
              <w:right w:val="nil"/>
            </w:tcBorders>
            <w:shd w:val="clear" w:color="auto" w:fill="auto"/>
          </w:tcPr>
          <w:p w:rsidR="00790FE8" w:rsidRPr="0006494E" w:rsidRDefault="00790FE8" w:rsidP="00B64B4D">
            <w:pPr>
              <w:tabs>
                <w:tab w:val="left" w:pos="1142"/>
              </w:tabs>
              <w:spacing w:line="276" w:lineRule="auto"/>
              <w:jc w:val="center"/>
              <w:rPr>
                <w:b/>
                <w:sz w:val="20"/>
                <w:szCs w:val="20"/>
              </w:rPr>
            </w:pPr>
            <w:r w:rsidRPr="0006494E">
              <w:rPr>
                <w:b/>
                <w:sz w:val="20"/>
                <w:szCs w:val="20"/>
              </w:rPr>
              <w:t xml:space="preserve">  MIP</w:t>
            </w:r>
            <w:r w:rsidR="00BA215D">
              <w:rPr>
                <w:b/>
                <w:sz w:val="20"/>
                <w:szCs w:val="20"/>
              </w:rPr>
              <w:t>-</w:t>
            </w:r>
            <w:r w:rsidRPr="0006494E">
              <w:rPr>
                <w:b/>
                <w:sz w:val="20"/>
                <w:szCs w:val="20"/>
              </w:rPr>
              <w:t>SPE</w:t>
            </w:r>
          </w:p>
        </w:tc>
        <w:tc>
          <w:tcPr>
            <w:tcW w:w="2700" w:type="dxa"/>
            <w:gridSpan w:val="3"/>
            <w:tcBorders>
              <w:top w:val="single" w:sz="4" w:space="0" w:color="auto"/>
              <w:left w:val="nil"/>
              <w:bottom w:val="nil"/>
              <w:right w:val="nil"/>
            </w:tcBorders>
          </w:tcPr>
          <w:p w:rsidR="00790FE8" w:rsidRPr="0006494E" w:rsidRDefault="00790FE8" w:rsidP="00B64B4D">
            <w:pPr>
              <w:tabs>
                <w:tab w:val="left" w:pos="6236"/>
              </w:tabs>
              <w:spacing w:line="276" w:lineRule="auto"/>
              <w:jc w:val="center"/>
              <w:rPr>
                <w:b/>
                <w:sz w:val="20"/>
                <w:szCs w:val="20"/>
              </w:rPr>
            </w:pPr>
            <w:r w:rsidRPr="0006494E">
              <w:rPr>
                <w:b/>
                <w:sz w:val="20"/>
                <w:szCs w:val="20"/>
              </w:rPr>
              <w:t xml:space="preserve">      NIP</w:t>
            </w:r>
            <w:r w:rsidR="00BA215D">
              <w:rPr>
                <w:b/>
                <w:sz w:val="20"/>
                <w:szCs w:val="20"/>
              </w:rPr>
              <w:t>-</w:t>
            </w:r>
            <w:r w:rsidRPr="0006494E">
              <w:rPr>
                <w:b/>
                <w:sz w:val="20"/>
                <w:szCs w:val="20"/>
              </w:rPr>
              <w:t>SPE</w:t>
            </w:r>
          </w:p>
        </w:tc>
        <w:tc>
          <w:tcPr>
            <w:tcW w:w="270" w:type="dxa"/>
            <w:vMerge w:val="restart"/>
            <w:tcBorders>
              <w:top w:val="single" w:sz="4" w:space="0" w:color="auto"/>
              <w:left w:val="nil"/>
              <w:right w:val="nil"/>
            </w:tcBorders>
          </w:tcPr>
          <w:p w:rsidR="00790FE8" w:rsidRPr="0006494E" w:rsidRDefault="00790FE8" w:rsidP="00B64B4D">
            <w:pPr>
              <w:tabs>
                <w:tab w:val="left" w:pos="6236"/>
              </w:tabs>
              <w:spacing w:line="276" w:lineRule="auto"/>
              <w:jc w:val="center"/>
              <w:rPr>
                <w:b/>
                <w:sz w:val="20"/>
                <w:szCs w:val="20"/>
              </w:rPr>
            </w:pPr>
          </w:p>
        </w:tc>
        <w:tc>
          <w:tcPr>
            <w:tcW w:w="2340" w:type="dxa"/>
            <w:gridSpan w:val="2"/>
            <w:tcBorders>
              <w:top w:val="single" w:sz="4" w:space="0" w:color="auto"/>
              <w:left w:val="nil"/>
              <w:bottom w:val="single" w:sz="4" w:space="0" w:color="auto"/>
            </w:tcBorders>
            <w:shd w:val="clear" w:color="auto" w:fill="auto"/>
          </w:tcPr>
          <w:p w:rsidR="00790FE8" w:rsidRPr="0006494E" w:rsidRDefault="00BA215D" w:rsidP="00B64B4D">
            <w:pPr>
              <w:tabs>
                <w:tab w:val="left" w:pos="6236"/>
              </w:tabs>
              <w:spacing w:line="276" w:lineRule="auto"/>
              <w:jc w:val="center"/>
              <w:rPr>
                <w:b/>
                <w:sz w:val="20"/>
                <w:szCs w:val="20"/>
              </w:rPr>
            </w:pPr>
            <w:r w:rsidRPr="0006494E">
              <w:rPr>
                <w:b/>
                <w:sz w:val="20"/>
                <w:szCs w:val="20"/>
              </w:rPr>
              <w:t>C</w:t>
            </w:r>
            <w:r w:rsidRPr="0006494E">
              <w:rPr>
                <w:b/>
                <w:sz w:val="20"/>
                <w:szCs w:val="20"/>
                <w:vertAlign w:val="subscript"/>
              </w:rPr>
              <w:t>18</w:t>
            </w:r>
            <w:r w:rsidR="00790FE8" w:rsidRPr="0006494E">
              <w:rPr>
                <w:b/>
                <w:sz w:val="20"/>
                <w:szCs w:val="20"/>
              </w:rPr>
              <w:t>SPE</w:t>
            </w:r>
          </w:p>
        </w:tc>
      </w:tr>
      <w:tr w:rsidR="00790FE8" w:rsidRPr="0006494E" w:rsidTr="005A14D7">
        <w:tc>
          <w:tcPr>
            <w:tcW w:w="1271" w:type="dxa"/>
            <w:vMerge/>
            <w:tcBorders>
              <w:top w:val="nil"/>
              <w:bottom w:val="single" w:sz="4" w:space="0" w:color="auto"/>
            </w:tcBorders>
            <w:shd w:val="clear" w:color="auto" w:fill="auto"/>
          </w:tcPr>
          <w:p w:rsidR="00790FE8" w:rsidRPr="0006494E" w:rsidRDefault="00790FE8" w:rsidP="00B64B4D">
            <w:pPr>
              <w:tabs>
                <w:tab w:val="left" w:pos="6236"/>
              </w:tabs>
              <w:spacing w:line="276" w:lineRule="auto"/>
              <w:jc w:val="center"/>
              <w:rPr>
                <w:b/>
                <w:sz w:val="20"/>
                <w:szCs w:val="20"/>
              </w:rPr>
            </w:pPr>
          </w:p>
        </w:tc>
        <w:tc>
          <w:tcPr>
            <w:tcW w:w="1083" w:type="dxa"/>
            <w:tcBorders>
              <w:top w:val="single" w:sz="4" w:space="0" w:color="auto"/>
              <w:bottom w:val="single" w:sz="4" w:space="0" w:color="auto"/>
            </w:tcBorders>
            <w:shd w:val="clear" w:color="auto" w:fill="auto"/>
          </w:tcPr>
          <w:p w:rsidR="00790FE8" w:rsidRPr="0006494E" w:rsidRDefault="00790FE8" w:rsidP="00B64B4D">
            <w:pPr>
              <w:tabs>
                <w:tab w:val="left" w:pos="1142"/>
              </w:tabs>
              <w:spacing w:line="276" w:lineRule="auto"/>
              <w:jc w:val="center"/>
              <w:rPr>
                <w:b/>
                <w:sz w:val="20"/>
                <w:szCs w:val="20"/>
              </w:rPr>
            </w:pPr>
            <w:r w:rsidRPr="0006494E">
              <w:rPr>
                <w:b/>
                <w:sz w:val="20"/>
                <w:szCs w:val="20"/>
              </w:rPr>
              <w:t>Recovery</w:t>
            </w:r>
          </w:p>
          <w:p w:rsidR="00790FE8" w:rsidRPr="0006494E" w:rsidRDefault="00790FE8" w:rsidP="00B64B4D">
            <w:pPr>
              <w:tabs>
                <w:tab w:val="left" w:pos="1142"/>
              </w:tabs>
              <w:spacing w:line="276" w:lineRule="auto"/>
              <w:jc w:val="center"/>
              <w:rPr>
                <w:b/>
                <w:sz w:val="20"/>
                <w:szCs w:val="20"/>
              </w:rPr>
            </w:pPr>
            <w:r w:rsidRPr="0006494E">
              <w:rPr>
                <w:b/>
                <w:sz w:val="20"/>
                <w:szCs w:val="20"/>
              </w:rPr>
              <w:t>(%)</w:t>
            </w:r>
          </w:p>
        </w:tc>
        <w:tc>
          <w:tcPr>
            <w:tcW w:w="1444" w:type="dxa"/>
            <w:gridSpan w:val="2"/>
            <w:tcBorders>
              <w:top w:val="nil"/>
              <w:bottom w:val="single" w:sz="4" w:space="0" w:color="auto"/>
              <w:right w:val="nil"/>
            </w:tcBorders>
            <w:shd w:val="clear" w:color="auto" w:fill="auto"/>
          </w:tcPr>
          <w:p w:rsidR="00790FE8" w:rsidRPr="0006494E" w:rsidRDefault="00790FE8" w:rsidP="00B64B4D">
            <w:pPr>
              <w:tabs>
                <w:tab w:val="left" w:pos="1142"/>
              </w:tabs>
              <w:spacing w:line="276" w:lineRule="auto"/>
              <w:jc w:val="center"/>
              <w:rPr>
                <w:b/>
                <w:sz w:val="20"/>
                <w:szCs w:val="20"/>
              </w:rPr>
            </w:pPr>
            <w:r w:rsidRPr="0006494E">
              <w:rPr>
                <w:b/>
                <w:sz w:val="20"/>
                <w:szCs w:val="20"/>
              </w:rPr>
              <w:t>RSD</w:t>
            </w:r>
          </w:p>
          <w:p w:rsidR="00790FE8" w:rsidRPr="0006494E" w:rsidRDefault="00790FE8" w:rsidP="00B64B4D">
            <w:pPr>
              <w:tabs>
                <w:tab w:val="left" w:pos="1142"/>
              </w:tabs>
              <w:spacing w:line="276" w:lineRule="auto"/>
              <w:jc w:val="center"/>
              <w:rPr>
                <w:b/>
                <w:sz w:val="20"/>
                <w:szCs w:val="20"/>
              </w:rPr>
            </w:pPr>
            <w:r w:rsidRPr="0006494E">
              <w:rPr>
                <w:b/>
                <w:sz w:val="20"/>
                <w:szCs w:val="20"/>
              </w:rPr>
              <w:t>(n=3)</w:t>
            </w:r>
          </w:p>
        </w:tc>
        <w:tc>
          <w:tcPr>
            <w:tcW w:w="1214" w:type="dxa"/>
            <w:tcBorders>
              <w:top w:val="single" w:sz="4" w:space="0" w:color="auto"/>
              <w:left w:val="nil"/>
              <w:bottom w:val="single" w:sz="4" w:space="0" w:color="auto"/>
            </w:tcBorders>
            <w:shd w:val="clear" w:color="auto" w:fill="auto"/>
          </w:tcPr>
          <w:p w:rsidR="00790FE8" w:rsidRPr="0006494E" w:rsidRDefault="00790FE8" w:rsidP="00B64B4D">
            <w:pPr>
              <w:tabs>
                <w:tab w:val="left" w:pos="1142"/>
              </w:tabs>
              <w:spacing w:line="276" w:lineRule="auto"/>
              <w:jc w:val="center"/>
              <w:rPr>
                <w:b/>
                <w:sz w:val="20"/>
                <w:szCs w:val="20"/>
              </w:rPr>
            </w:pPr>
            <w:r w:rsidRPr="0006494E">
              <w:rPr>
                <w:b/>
                <w:sz w:val="20"/>
                <w:szCs w:val="20"/>
              </w:rPr>
              <w:t>Recovery</w:t>
            </w:r>
          </w:p>
          <w:p w:rsidR="00790FE8" w:rsidRPr="0006494E" w:rsidRDefault="00790FE8" w:rsidP="00B64B4D">
            <w:pPr>
              <w:tabs>
                <w:tab w:val="left" w:pos="1142"/>
              </w:tabs>
              <w:spacing w:line="276" w:lineRule="auto"/>
              <w:jc w:val="center"/>
              <w:rPr>
                <w:b/>
                <w:sz w:val="20"/>
                <w:szCs w:val="20"/>
              </w:rPr>
            </w:pPr>
            <w:r w:rsidRPr="0006494E">
              <w:rPr>
                <w:b/>
                <w:sz w:val="20"/>
                <w:szCs w:val="20"/>
              </w:rPr>
              <w:t>(%)</w:t>
            </w:r>
          </w:p>
        </w:tc>
        <w:tc>
          <w:tcPr>
            <w:tcW w:w="1216" w:type="dxa"/>
            <w:tcBorders>
              <w:top w:val="single" w:sz="4" w:space="0" w:color="auto"/>
              <w:bottom w:val="single" w:sz="4" w:space="0" w:color="auto"/>
              <w:right w:val="nil"/>
            </w:tcBorders>
            <w:shd w:val="clear" w:color="auto" w:fill="auto"/>
          </w:tcPr>
          <w:p w:rsidR="00790FE8" w:rsidRPr="0006494E" w:rsidRDefault="00790FE8" w:rsidP="00B64B4D">
            <w:pPr>
              <w:tabs>
                <w:tab w:val="left" w:pos="1142"/>
              </w:tabs>
              <w:spacing w:line="276" w:lineRule="auto"/>
              <w:jc w:val="center"/>
              <w:rPr>
                <w:b/>
                <w:sz w:val="20"/>
                <w:szCs w:val="20"/>
              </w:rPr>
            </w:pPr>
            <w:r w:rsidRPr="0006494E">
              <w:rPr>
                <w:b/>
                <w:sz w:val="20"/>
                <w:szCs w:val="20"/>
              </w:rPr>
              <w:t>RSD</w:t>
            </w:r>
          </w:p>
          <w:p w:rsidR="00790FE8" w:rsidRPr="0006494E" w:rsidRDefault="00790FE8" w:rsidP="00B64B4D">
            <w:pPr>
              <w:tabs>
                <w:tab w:val="left" w:pos="1142"/>
              </w:tabs>
              <w:spacing w:line="276" w:lineRule="auto"/>
              <w:jc w:val="center"/>
              <w:rPr>
                <w:b/>
                <w:sz w:val="20"/>
                <w:szCs w:val="20"/>
              </w:rPr>
            </w:pPr>
            <w:r w:rsidRPr="0006494E">
              <w:rPr>
                <w:b/>
                <w:sz w:val="20"/>
                <w:szCs w:val="20"/>
              </w:rPr>
              <w:t>(n=3)</w:t>
            </w:r>
          </w:p>
        </w:tc>
        <w:tc>
          <w:tcPr>
            <w:tcW w:w="270" w:type="dxa"/>
            <w:vMerge/>
            <w:tcBorders>
              <w:left w:val="nil"/>
              <w:bottom w:val="single" w:sz="4" w:space="0" w:color="auto"/>
              <w:right w:val="nil"/>
            </w:tcBorders>
          </w:tcPr>
          <w:p w:rsidR="00790FE8" w:rsidRPr="0006494E" w:rsidRDefault="00790FE8" w:rsidP="00B64B4D">
            <w:pPr>
              <w:tabs>
                <w:tab w:val="left" w:pos="1142"/>
              </w:tabs>
              <w:spacing w:line="276" w:lineRule="auto"/>
              <w:jc w:val="center"/>
              <w:rPr>
                <w:b/>
                <w:sz w:val="20"/>
                <w:szCs w:val="20"/>
              </w:rPr>
            </w:pPr>
          </w:p>
        </w:tc>
        <w:tc>
          <w:tcPr>
            <w:tcW w:w="1555" w:type="dxa"/>
            <w:tcBorders>
              <w:top w:val="single" w:sz="4" w:space="0" w:color="auto"/>
              <w:left w:val="nil"/>
              <w:bottom w:val="single" w:sz="4" w:space="0" w:color="auto"/>
            </w:tcBorders>
            <w:shd w:val="clear" w:color="auto" w:fill="auto"/>
          </w:tcPr>
          <w:p w:rsidR="00790FE8" w:rsidRPr="0006494E" w:rsidRDefault="00790FE8" w:rsidP="00B64B4D">
            <w:pPr>
              <w:tabs>
                <w:tab w:val="left" w:pos="1142"/>
              </w:tabs>
              <w:spacing w:line="276" w:lineRule="auto"/>
              <w:jc w:val="center"/>
              <w:rPr>
                <w:b/>
                <w:sz w:val="20"/>
                <w:szCs w:val="20"/>
              </w:rPr>
            </w:pPr>
            <w:r w:rsidRPr="0006494E">
              <w:rPr>
                <w:b/>
                <w:sz w:val="20"/>
                <w:szCs w:val="20"/>
              </w:rPr>
              <w:t>Recovery</w:t>
            </w:r>
          </w:p>
          <w:p w:rsidR="00790FE8" w:rsidRPr="0006494E" w:rsidRDefault="00790FE8" w:rsidP="00B64B4D">
            <w:pPr>
              <w:tabs>
                <w:tab w:val="left" w:pos="1142"/>
              </w:tabs>
              <w:spacing w:line="276" w:lineRule="auto"/>
              <w:jc w:val="center"/>
              <w:rPr>
                <w:b/>
                <w:sz w:val="20"/>
                <w:szCs w:val="20"/>
              </w:rPr>
            </w:pPr>
            <w:r w:rsidRPr="0006494E">
              <w:rPr>
                <w:b/>
                <w:sz w:val="20"/>
                <w:szCs w:val="20"/>
              </w:rPr>
              <w:t>(%)</w:t>
            </w:r>
          </w:p>
        </w:tc>
        <w:tc>
          <w:tcPr>
            <w:tcW w:w="785" w:type="dxa"/>
            <w:tcBorders>
              <w:top w:val="single" w:sz="4" w:space="0" w:color="auto"/>
              <w:bottom w:val="single" w:sz="4" w:space="0" w:color="auto"/>
            </w:tcBorders>
            <w:shd w:val="clear" w:color="auto" w:fill="auto"/>
          </w:tcPr>
          <w:p w:rsidR="00790FE8" w:rsidRPr="0006494E" w:rsidRDefault="00790FE8" w:rsidP="00B64B4D">
            <w:pPr>
              <w:tabs>
                <w:tab w:val="left" w:pos="1142"/>
              </w:tabs>
              <w:spacing w:line="276" w:lineRule="auto"/>
              <w:jc w:val="center"/>
              <w:rPr>
                <w:b/>
                <w:sz w:val="20"/>
                <w:szCs w:val="20"/>
              </w:rPr>
            </w:pPr>
            <w:r w:rsidRPr="0006494E">
              <w:rPr>
                <w:b/>
                <w:sz w:val="20"/>
                <w:szCs w:val="20"/>
              </w:rPr>
              <w:t>RSD</w:t>
            </w:r>
          </w:p>
          <w:p w:rsidR="00790FE8" w:rsidRPr="0006494E" w:rsidRDefault="00790FE8" w:rsidP="00B64B4D">
            <w:pPr>
              <w:tabs>
                <w:tab w:val="left" w:pos="1142"/>
              </w:tabs>
              <w:spacing w:line="276" w:lineRule="auto"/>
              <w:jc w:val="center"/>
              <w:rPr>
                <w:b/>
                <w:sz w:val="20"/>
                <w:szCs w:val="20"/>
              </w:rPr>
            </w:pPr>
            <w:r w:rsidRPr="0006494E">
              <w:rPr>
                <w:b/>
                <w:sz w:val="20"/>
                <w:szCs w:val="20"/>
              </w:rPr>
              <w:t>(n=3)</w:t>
            </w:r>
          </w:p>
        </w:tc>
      </w:tr>
      <w:tr w:rsidR="00790FE8" w:rsidRPr="0006494E" w:rsidTr="005A14D7">
        <w:tc>
          <w:tcPr>
            <w:tcW w:w="1271" w:type="dxa"/>
            <w:tcBorders>
              <w:top w:val="single" w:sz="4" w:space="0" w:color="auto"/>
            </w:tcBorders>
            <w:shd w:val="clear" w:color="auto" w:fill="auto"/>
          </w:tcPr>
          <w:p w:rsidR="00790FE8" w:rsidRPr="0006494E" w:rsidRDefault="00790FE8" w:rsidP="00B64B4D">
            <w:pPr>
              <w:tabs>
                <w:tab w:val="left" w:pos="4347"/>
              </w:tabs>
              <w:spacing w:line="276" w:lineRule="auto"/>
              <w:jc w:val="both"/>
              <w:rPr>
                <w:sz w:val="20"/>
                <w:szCs w:val="20"/>
              </w:rPr>
            </w:pPr>
            <w:r w:rsidRPr="0006494E">
              <w:rPr>
                <w:sz w:val="20"/>
                <w:szCs w:val="20"/>
              </w:rPr>
              <w:t>Quinalphos</w:t>
            </w:r>
          </w:p>
        </w:tc>
        <w:tc>
          <w:tcPr>
            <w:tcW w:w="1083" w:type="dxa"/>
            <w:tcBorders>
              <w:top w:val="single" w:sz="4" w:space="0" w:color="auto"/>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98.71</w:t>
            </w:r>
          </w:p>
        </w:tc>
        <w:tc>
          <w:tcPr>
            <w:tcW w:w="1174" w:type="dxa"/>
            <w:tcBorders>
              <w:top w:val="single" w:sz="4" w:space="0" w:color="auto"/>
              <w:right w:val="nil"/>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1.05</w:t>
            </w:r>
          </w:p>
        </w:tc>
        <w:tc>
          <w:tcPr>
            <w:tcW w:w="270" w:type="dxa"/>
            <w:vMerge w:val="restart"/>
            <w:tcBorders>
              <w:top w:val="nil"/>
              <w:left w:val="nil"/>
              <w:bottom w:val="single" w:sz="4" w:space="0" w:color="auto"/>
              <w:right w:val="nil"/>
            </w:tcBorders>
          </w:tcPr>
          <w:p w:rsidR="00790FE8" w:rsidRPr="0006494E" w:rsidRDefault="00790FE8" w:rsidP="00B64B4D">
            <w:pPr>
              <w:tabs>
                <w:tab w:val="left" w:pos="1142"/>
              </w:tabs>
              <w:spacing w:line="276" w:lineRule="auto"/>
              <w:jc w:val="center"/>
              <w:rPr>
                <w:sz w:val="20"/>
                <w:szCs w:val="20"/>
              </w:rPr>
            </w:pPr>
          </w:p>
        </w:tc>
        <w:tc>
          <w:tcPr>
            <w:tcW w:w="1214" w:type="dxa"/>
            <w:tcBorders>
              <w:top w:val="single" w:sz="4" w:space="0" w:color="auto"/>
              <w:left w:val="nil"/>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68.87</w:t>
            </w:r>
          </w:p>
        </w:tc>
        <w:tc>
          <w:tcPr>
            <w:tcW w:w="1216" w:type="dxa"/>
            <w:tcBorders>
              <w:top w:val="single" w:sz="4" w:space="0" w:color="auto"/>
              <w:right w:val="nil"/>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2.05</w:t>
            </w:r>
          </w:p>
        </w:tc>
        <w:tc>
          <w:tcPr>
            <w:tcW w:w="270" w:type="dxa"/>
            <w:vMerge w:val="restart"/>
            <w:tcBorders>
              <w:top w:val="single" w:sz="4" w:space="0" w:color="auto"/>
              <w:left w:val="nil"/>
              <w:right w:val="nil"/>
            </w:tcBorders>
          </w:tcPr>
          <w:p w:rsidR="00790FE8" w:rsidRPr="0006494E" w:rsidRDefault="00790FE8" w:rsidP="00B64B4D">
            <w:pPr>
              <w:tabs>
                <w:tab w:val="left" w:pos="1142"/>
              </w:tabs>
              <w:spacing w:line="276" w:lineRule="auto"/>
              <w:jc w:val="center"/>
              <w:rPr>
                <w:sz w:val="20"/>
                <w:szCs w:val="20"/>
              </w:rPr>
            </w:pPr>
          </w:p>
        </w:tc>
        <w:tc>
          <w:tcPr>
            <w:tcW w:w="1555" w:type="dxa"/>
            <w:tcBorders>
              <w:top w:val="single" w:sz="4" w:space="0" w:color="auto"/>
              <w:left w:val="nil"/>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59.34</w:t>
            </w:r>
          </w:p>
        </w:tc>
        <w:tc>
          <w:tcPr>
            <w:tcW w:w="785" w:type="dxa"/>
            <w:tcBorders>
              <w:top w:val="single" w:sz="4" w:space="0" w:color="auto"/>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3.47</w:t>
            </w:r>
          </w:p>
        </w:tc>
      </w:tr>
      <w:tr w:rsidR="00790FE8" w:rsidRPr="0006494E" w:rsidTr="005A14D7">
        <w:tc>
          <w:tcPr>
            <w:tcW w:w="1271" w:type="dxa"/>
            <w:shd w:val="clear" w:color="auto" w:fill="auto"/>
          </w:tcPr>
          <w:p w:rsidR="00790FE8" w:rsidRPr="0006494E" w:rsidRDefault="00790FE8" w:rsidP="00B64B4D">
            <w:pPr>
              <w:tabs>
                <w:tab w:val="left" w:pos="4347"/>
              </w:tabs>
              <w:spacing w:line="276" w:lineRule="auto"/>
              <w:jc w:val="both"/>
              <w:rPr>
                <w:sz w:val="20"/>
                <w:szCs w:val="20"/>
              </w:rPr>
            </w:pPr>
            <w:r w:rsidRPr="0006494E">
              <w:rPr>
                <w:sz w:val="20"/>
                <w:szCs w:val="20"/>
              </w:rPr>
              <w:t>Diazinon</w:t>
            </w:r>
          </w:p>
        </w:tc>
        <w:tc>
          <w:tcPr>
            <w:tcW w:w="1083" w:type="dxa"/>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90.25</w:t>
            </w:r>
          </w:p>
        </w:tc>
        <w:tc>
          <w:tcPr>
            <w:tcW w:w="1174" w:type="dxa"/>
            <w:tcBorders>
              <w:right w:val="nil"/>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1.39</w:t>
            </w:r>
          </w:p>
        </w:tc>
        <w:tc>
          <w:tcPr>
            <w:tcW w:w="270" w:type="dxa"/>
            <w:vMerge/>
            <w:tcBorders>
              <w:top w:val="nil"/>
              <w:left w:val="nil"/>
              <w:bottom w:val="single" w:sz="4" w:space="0" w:color="auto"/>
              <w:right w:val="nil"/>
            </w:tcBorders>
          </w:tcPr>
          <w:p w:rsidR="00790FE8" w:rsidRPr="0006494E" w:rsidRDefault="00790FE8" w:rsidP="00B64B4D">
            <w:pPr>
              <w:tabs>
                <w:tab w:val="left" w:pos="1142"/>
              </w:tabs>
              <w:spacing w:line="276" w:lineRule="auto"/>
              <w:jc w:val="center"/>
              <w:rPr>
                <w:sz w:val="20"/>
                <w:szCs w:val="20"/>
              </w:rPr>
            </w:pPr>
          </w:p>
        </w:tc>
        <w:tc>
          <w:tcPr>
            <w:tcW w:w="1214" w:type="dxa"/>
            <w:tcBorders>
              <w:left w:val="nil"/>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65.75</w:t>
            </w:r>
          </w:p>
        </w:tc>
        <w:tc>
          <w:tcPr>
            <w:tcW w:w="1216" w:type="dxa"/>
            <w:tcBorders>
              <w:right w:val="nil"/>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2.67</w:t>
            </w:r>
          </w:p>
        </w:tc>
        <w:tc>
          <w:tcPr>
            <w:tcW w:w="270" w:type="dxa"/>
            <w:vMerge/>
            <w:tcBorders>
              <w:left w:val="nil"/>
              <w:right w:val="nil"/>
            </w:tcBorders>
          </w:tcPr>
          <w:p w:rsidR="00790FE8" w:rsidRPr="0006494E" w:rsidRDefault="00790FE8" w:rsidP="00B64B4D">
            <w:pPr>
              <w:tabs>
                <w:tab w:val="left" w:pos="1142"/>
              </w:tabs>
              <w:spacing w:line="276" w:lineRule="auto"/>
              <w:jc w:val="center"/>
              <w:rPr>
                <w:sz w:val="20"/>
                <w:szCs w:val="20"/>
              </w:rPr>
            </w:pPr>
          </w:p>
        </w:tc>
        <w:tc>
          <w:tcPr>
            <w:tcW w:w="1555" w:type="dxa"/>
            <w:tcBorders>
              <w:left w:val="nil"/>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57.59</w:t>
            </w:r>
          </w:p>
        </w:tc>
        <w:tc>
          <w:tcPr>
            <w:tcW w:w="785" w:type="dxa"/>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1.50</w:t>
            </w:r>
          </w:p>
        </w:tc>
      </w:tr>
      <w:tr w:rsidR="00790FE8" w:rsidRPr="0006494E" w:rsidTr="005A14D7">
        <w:tc>
          <w:tcPr>
            <w:tcW w:w="1271" w:type="dxa"/>
            <w:shd w:val="clear" w:color="auto" w:fill="auto"/>
          </w:tcPr>
          <w:p w:rsidR="00790FE8" w:rsidRPr="0006494E" w:rsidRDefault="00790FE8" w:rsidP="00B64B4D">
            <w:pPr>
              <w:tabs>
                <w:tab w:val="left" w:pos="4347"/>
              </w:tabs>
              <w:spacing w:line="276" w:lineRule="auto"/>
              <w:jc w:val="both"/>
              <w:rPr>
                <w:sz w:val="20"/>
                <w:szCs w:val="20"/>
              </w:rPr>
            </w:pPr>
            <w:r w:rsidRPr="0006494E">
              <w:rPr>
                <w:sz w:val="20"/>
                <w:szCs w:val="20"/>
              </w:rPr>
              <w:t>Chlorpyrifos</w:t>
            </w:r>
          </w:p>
        </w:tc>
        <w:tc>
          <w:tcPr>
            <w:tcW w:w="1083" w:type="dxa"/>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83.14</w:t>
            </w:r>
          </w:p>
        </w:tc>
        <w:tc>
          <w:tcPr>
            <w:tcW w:w="1174" w:type="dxa"/>
            <w:tcBorders>
              <w:right w:val="nil"/>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1.98</w:t>
            </w:r>
          </w:p>
        </w:tc>
        <w:tc>
          <w:tcPr>
            <w:tcW w:w="270" w:type="dxa"/>
            <w:vMerge/>
            <w:tcBorders>
              <w:top w:val="nil"/>
              <w:left w:val="nil"/>
              <w:bottom w:val="single" w:sz="4" w:space="0" w:color="auto"/>
              <w:right w:val="nil"/>
            </w:tcBorders>
          </w:tcPr>
          <w:p w:rsidR="00790FE8" w:rsidRPr="0006494E" w:rsidRDefault="00790FE8" w:rsidP="00B64B4D">
            <w:pPr>
              <w:tabs>
                <w:tab w:val="left" w:pos="1142"/>
              </w:tabs>
              <w:spacing w:line="276" w:lineRule="auto"/>
              <w:jc w:val="center"/>
              <w:rPr>
                <w:sz w:val="20"/>
                <w:szCs w:val="20"/>
              </w:rPr>
            </w:pPr>
          </w:p>
        </w:tc>
        <w:tc>
          <w:tcPr>
            <w:tcW w:w="1214" w:type="dxa"/>
            <w:tcBorders>
              <w:left w:val="nil"/>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53.79</w:t>
            </w:r>
          </w:p>
        </w:tc>
        <w:tc>
          <w:tcPr>
            <w:tcW w:w="1216" w:type="dxa"/>
            <w:tcBorders>
              <w:right w:val="nil"/>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2.51</w:t>
            </w:r>
          </w:p>
        </w:tc>
        <w:tc>
          <w:tcPr>
            <w:tcW w:w="270" w:type="dxa"/>
            <w:vMerge/>
            <w:tcBorders>
              <w:left w:val="nil"/>
              <w:bottom w:val="single" w:sz="4" w:space="0" w:color="auto"/>
              <w:right w:val="nil"/>
            </w:tcBorders>
          </w:tcPr>
          <w:p w:rsidR="00790FE8" w:rsidRPr="0006494E" w:rsidRDefault="00790FE8" w:rsidP="00B64B4D">
            <w:pPr>
              <w:tabs>
                <w:tab w:val="left" w:pos="1142"/>
              </w:tabs>
              <w:spacing w:line="276" w:lineRule="auto"/>
              <w:jc w:val="center"/>
              <w:rPr>
                <w:sz w:val="20"/>
                <w:szCs w:val="20"/>
              </w:rPr>
            </w:pPr>
          </w:p>
        </w:tc>
        <w:tc>
          <w:tcPr>
            <w:tcW w:w="1555" w:type="dxa"/>
            <w:tcBorders>
              <w:left w:val="nil"/>
            </w:tcBorders>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56.62</w:t>
            </w:r>
          </w:p>
        </w:tc>
        <w:tc>
          <w:tcPr>
            <w:tcW w:w="785" w:type="dxa"/>
            <w:shd w:val="clear" w:color="auto" w:fill="auto"/>
          </w:tcPr>
          <w:p w:rsidR="00790FE8" w:rsidRPr="0006494E" w:rsidRDefault="00790FE8" w:rsidP="00B64B4D">
            <w:pPr>
              <w:tabs>
                <w:tab w:val="left" w:pos="1142"/>
              </w:tabs>
              <w:spacing w:line="276" w:lineRule="auto"/>
              <w:jc w:val="center"/>
              <w:rPr>
                <w:sz w:val="20"/>
                <w:szCs w:val="20"/>
              </w:rPr>
            </w:pPr>
            <w:r w:rsidRPr="0006494E">
              <w:rPr>
                <w:sz w:val="20"/>
                <w:szCs w:val="20"/>
              </w:rPr>
              <w:t>2.70</w:t>
            </w:r>
          </w:p>
        </w:tc>
      </w:tr>
    </w:tbl>
    <w:p w:rsidR="006E64D6" w:rsidRPr="0006494E" w:rsidRDefault="006E64D6" w:rsidP="006067A0">
      <w:pPr>
        <w:tabs>
          <w:tab w:val="left" w:pos="6236"/>
        </w:tabs>
        <w:ind w:left="360" w:firstLine="180"/>
        <w:rPr>
          <w:sz w:val="20"/>
          <w:szCs w:val="20"/>
        </w:rPr>
      </w:pPr>
    </w:p>
    <w:p w:rsidR="006E64D6" w:rsidRDefault="006E64D6" w:rsidP="006067A0">
      <w:pPr>
        <w:tabs>
          <w:tab w:val="left" w:pos="6236"/>
        </w:tabs>
        <w:ind w:left="360" w:firstLine="180"/>
        <w:rPr>
          <w:sz w:val="20"/>
          <w:szCs w:val="20"/>
        </w:rPr>
      </w:pPr>
    </w:p>
    <w:p w:rsidR="006E64D6" w:rsidRPr="003B45BF" w:rsidRDefault="006E64D6" w:rsidP="00281566">
      <w:pPr>
        <w:ind w:firstLine="450"/>
        <w:jc w:val="both"/>
        <w:rPr>
          <w:sz w:val="20"/>
          <w:szCs w:val="20"/>
        </w:rPr>
      </w:pPr>
      <w:r w:rsidRPr="003B45BF">
        <w:rPr>
          <w:sz w:val="20"/>
          <w:szCs w:val="20"/>
        </w:rPr>
        <w:t>The</w:t>
      </w:r>
      <w:r w:rsidR="0085615C">
        <w:rPr>
          <w:sz w:val="20"/>
          <w:szCs w:val="20"/>
        </w:rPr>
        <w:t xml:space="preserve"> analyte</w:t>
      </w:r>
      <w:r w:rsidRPr="003B45BF">
        <w:rPr>
          <w:sz w:val="20"/>
          <w:szCs w:val="20"/>
        </w:rPr>
        <w:t xml:space="preserve"> recoveries obtained </w:t>
      </w:r>
      <w:r w:rsidR="0085615C">
        <w:rPr>
          <w:sz w:val="20"/>
          <w:szCs w:val="20"/>
        </w:rPr>
        <w:t>using</w:t>
      </w:r>
      <w:r w:rsidRPr="003B45BF">
        <w:rPr>
          <w:sz w:val="20"/>
          <w:szCs w:val="20"/>
        </w:rPr>
        <w:t xml:space="preserve"> MIPs as the solid phase sorbent for quinalphos,diazinon and chlorpyrifos</w:t>
      </w:r>
      <w:r w:rsidR="0085615C">
        <w:rPr>
          <w:sz w:val="20"/>
          <w:szCs w:val="20"/>
        </w:rPr>
        <w:t>were in the range</w:t>
      </w:r>
      <w:r w:rsidRPr="003B45BF">
        <w:rPr>
          <w:sz w:val="20"/>
          <w:szCs w:val="20"/>
        </w:rPr>
        <w:t xml:space="preserve"> between 83% and 98% for water sample</w:t>
      </w:r>
      <w:r w:rsidR="0085615C">
        <w:rPr>
          <w:sz w:val="20"/>
          <w:szCs w:val="20"/>
        </w:rPr>
        <w:t xml:space="preserve"> (Table 2)</w:t>
      </w:r>
      <w:r w:rsidRPr="003B45BF">
        <w:rPr>
          <w:sz w:val="20"/>
          <w:szCs w:val="20"/>
        </w:rPr>
        <w:t>. The RSD values of the target analytes were</w:t>
      </w:r>
      <w:r w:rsidR="0085615C">
        <w:rPr>
          <w:sz w:val="20"/>
          <w:szCs w:val="20"/>
        </w:rPr>
        <w:t xml:space="preserve"> excellent with values of &lt;2%</w:t>
      </w:r>
      <w:r w:rsidRPr="003B45BF">
        <w:rPr>
          <w:sz w:val="20"/>
          <w:szCs w:val="20"/>
        </w:rPr>
        <w:t xml:space="preserve">. However, the </w:t>
      </w:r>
      <w:r w:rsidR="0085615C">
        <w:rPr>
          <w:sz w:val="20"/>
          <w:szCs w:val="20"/>
        </w:rPr>
        <w:t xml:space="preserve">analyte </w:t>
      </w:r>
      <w:r w:rsidRPr="003B45BF">
        <w:rPr>
          <w:sz w:val="20"/>
          <w:szCs w:val="20"/>
        </w:rPr>
        <w:t xml:space="preserve">recoveries obtained </w:t>
      </w:r>
      <w:r w:rsidR="0085615C">
        <w:rPr>
          <w:sz w:val="20"/>
          <w:szCs w:val="20"/>
        </w:rPr>
        <w:t>using</w:t>
      </w:r>
      <w:r w:rsidRPr="003B45BF">
        <w:rPr>
          <w:sz w:val="20"/>
          <w:szCs w:val="20"/>
        </w:rPr>
        <w:t xml:space="preserve"> NIP as the solid phase sorbent for target analytes in water sample </w:t>
      </w:r>
      <w:r w:rsidR="0030218C">
        <w:rPr>
          <w:sz w:val="20"/>
          <w:szCs w:val="20"/>
        </w:rPr>
        <w:t xml:space="preserve">were </w:t>
      </w:r>
      <w:r w:rsidR="0085615C">
        <w:rPr>
          <w:sz w:val="20"/>
          <w:szCs w:val="20"/>
        </w:rPr>
        <w:t xml:space="preserve">significantly lower with values </w:t>
      </w:r>
      <w:r w:rsidR="0030218C">
        <w:rPr>
          <w:sz w:val="20"/>
          <w:szCs w:val="20"/>
        </w:rPr>
        <w:t xml:space="preserve">only between 68% and 53%. </w:t>
      </w:r>
      <w:r w:rsidRPr="003B45BF">
        <w:rPr>
          <w:sz w:val="20"/>
          <w:szCs w:val="20"/>
        </w:rPr>
        <w:t>Meanwhile, the extraction recoveries by using</w:t>
      </w:r>
      <w:r w:rsidR="00664542" w:rsidRPr="003B45BF">
        <w:rPr>
          <w:sz w:val="20"/>
          <w:szCs w:val="20"/>
        </w:rPr>
        <w:t>C</w:t>
      </w:r>
      <w:r w:rsidR="00664542" w:rsidRPr="003B45BF">
        <w:rPr>
          <w:sz w:val="20"/>
          <w:szCs w:val="20"/>
          <w:vertAlign w:val="subscript"/>
        </w:rPr>
        <w:t>18</w:t>
      </w:r>
      <w:r w:rsidR="00664542">
        <w:rPr>
          <w:sz w:val="20"/>
          <w:szCs w:val="20"/>
        </w:rPr>
        <w:t>SPE</w:t>
      </w:r>
      <w:r w:rsidRPr="003B45BF">
        <w:rPr>
          <w:sz w:val="20"/>
          <w:szCs w:val="20"/>
        </w:rPr>
        <w:t xml:space="preserve"> as sorbent were below than 59% for all spiked OPPs compounds. </w:t>
      </w:r>
    </w:p>
    <w:p w:rsidR="006E64D6" w:rsidRPr="003B45BF" w:rsidRDefault="006E64D6" w:rsidP="006E64D6">
      <w:pPr>
        <w:ind w:firstLine="450"/>
        <w:jc w:val="both"/>
        <w:rPr>
          <w:sz w:val="20"/>
          <w:szCs w:val="20"/>
        </w:rPr>
      </w:pPr>
    </w:p>
    <w:p w:rsidR="006E64D6" w:rsidRPr="003B45BF" w:rsidRDefault="0085615C" w:rsidP="006E64D6">
      <w:pPr>
        <w:ind w:firstLine="450"/>
        <w:jc w:val="both"/>
        <w:rPr>
          <w:sz w:val="20"/>
          <w:szCs w:val="20"/>
        </w:rPr>
      </w:pPr>
      <w:r>
        <w:rPr>
          <w:sz w:val="20"/>
          <w:szCs w:val="20"/>
        </w:rPr>
        <w:t>C</w:t>
      </w:r>
      <w:r w:rsidR="006E64D6" w:rsidRPr="003B45BF">
        <w:rPr>
          <w:sz w:val="20"/>
          <w:szCs w:val="20"/>
        </w:rPr>
        <w:t xml:space="preserve">omparison of the results from </w:t>
      </w:r>
      <w:r w:rsidR="004B4713">
        <w:rPr>
          <w:sz w:val="20"/>
          <w:szCs w:val="20"/>
        </w:rPr>
        <w:t>the</w:t>
      </w:r>
      <w:r w:rsidR="006E64D6" w:rsidRPr="003B45BF">
        <w:rPr>
          <w:sz w:val="20"/>
          <w:szCs w:val="20"/>
        </w:rPr>
        <w:t xml:space="preserve"> enrichment methods </w:t>
      </w:r>
      <w:r>
        <w:rPr>
          <w:sz w:val="20"/>
          <w:szCs w:val="20"/>
        </w:rPr>
        <w:t>studied (</w:t>
      </w:r>
      <w:r w:rsidR="006E64D6" w:rsidRPr="003B45BF">
        <w:rPr>
          <w:sz w:val="20"/>
          <w:szCs w:val="20"/>
        </w:rPr>
        <w:t>MIP</w:t>
      </w:r>
      <w:r w:rsidR="00BA215D">
        <w:rPr>
          <w:sz w:val="20"/>
          <w:szCs w:val="20"/>
        </w:rPr>
        <w:t>-</w:t>
      </w:r>
      <w:r w:rsidR="006E64D6" w:rsidRPr="003B45BF">
        <w:rPr>
          <w:sz w:val="20"/>
          <w:szCs w:val="20"/>
        </w:rPr>
        <w:t>SPE, NIP</w:t>
      </w:r>
      <w:r w:rsidR="00BA215D">
        <w:rPr>
          <w:sz w:val="20"/>
          <w:szCs w:val="20"/>
        </w:rPr>
        <w:t>-</w:t>
      </w:r>
      <w:r w:rsidR="006E64D6" w:rsidRPr="003B45BF">
        <w:rPr>
          <w:sz w:val="20"/>
          <w:szCs w:val="20"/>
        </w:rPr>
        <w:t>SPE, or</w:t>
      </w:r>
      <w:r w:rsidR="00BA215D" w:rsidRPr="003B45BF">
        <w:rPr>
          <w:sz w:val="20"/>
          <w:szCs w:val="20"/>
        </w:rPr>
        <w:t>C</w:t>
      </w:r>
      <w:r w:rsidR="00BA215D" w:rsidRPr="003B45BF">
        <w:rPr>
          <w:sz w:val="20"/>
          <w:szCs w:val="20"/>
          <w:vertAlign w:val="subscript"/>
        </w:rPr>
        <w:t>18</w:t>
      </w:r>
      <w:r w:rsidR="006E64D6" w:rsidRPr="003B45BF">
        <w:rPr>
          <w:sz w:val="20"/>
          <w:szCs w:val="20"/>
        </w:rPr>
        <w:t xml:space="preserve"> SPE) clearly demonstrat</w:t>
      </w:r>
      <w:r w:rsidR="006E64D6">
        <w:rPr>
          <w:sz w:val="20"/>
          <w:szCs w:val="20"/>
        </w:rPr>
        <w:t>e</w:t>
      </w:r>
      <w:r>
        <w:rPr>
          <w:sz w:val="20"/>
          <w:szCs w:val="20"/>
        </w:rPr>
        <w:t xml:space="preserve">d </w:t>
      </w:r>
      <w:r w:rsidR="006E64D6">
        <w:rPr>
          <w:sz w:val="20"/>
          <w:szCs w:val="20"/>
        </w:rPr>
        <w:t>the advantage of using molecul</w:t>
      </w:r>
      <w:r w:rsidR="006E64D6" w:rsidRPr="003B45BF">
        <w:rPr>
          <w:sz w:val="20"/>
          <w:szCs w:val="20"/>
        </w:rPr>
        <w:t>arly imprinted polymers as selective sorbents for the determination of OPPs in water sample</w:t>
      </w:r>
      <w:r w:rsidR="004B4713">
        <w:rPr>
          <w:sz w:val="20"/>
          <w:szCs w:val="20"/>
        </w:rPr>
        <w:t>s</w:t>
      </w:r>
      <w:r w:rsidR="006E64D6" w:rsidRPr="003B45BF">
        <w:rPr>
          <w:sz w:val="20"/>
          <w:szCs w:val="20"/>
        </w:rPr>
        <w:t>.</w:t>
      </w:r>
    </w:p>
    <w:p w:rsidR="006E64D6" w:rsidRDefault="006E64D6" w:rsidP="006E64D6">
      <w:pPr>
        <w:ind w:firstLine="450"/>
        <w:rPr>
          <w:sz w:val="20"/>
          <w:szCs w:val="20"/>
        </w:rPr>
      </w:pPr>
    </w:p>
    <w:p w:rsidR="007B6866" w:rsidRPr="003B45BF" w:rsidRDefault="007B6866" w:rsidP="006E64D6">
      <w:pPr>
        <w:ind w:firstLine="450"/>
        <w:rPr>
          <w:sz w:val="20"/>
          <w:szCs w:val="20"/>
        </w:rPr>
      </w:pPr>
    </w:p>
    <w:p w:rsidR="00A07E1E" w:rsidRPr="003B45BF" w:rsidRDefault="006067A0" w:rsidP="006E64D6">
      <w:pPr>
        <w:tabs>
          <w:tab w:val="left" w:pos="6236"/>
        </w:tabs>
        <w:ind w:left="360" w:firstLine="180"/>
        <w:rPr>
          <w:sz w:val="20"/>
          <w:szCs w:val="20"/>
        </w:rPr>
      </w:pPr>
      <w:r w:rsidRPr="003B45BF">
        <w:rPr>
          <w:sz w:val="20"/>
          <w:szCs w:val="20"/>
        </w:rPr>
        <w:tab/>
      </w:r>
    </w:p>
    <w:p w:rsidR="00CA5919" w:rsidRPr="003B45BF" w:rsidRDefault="00CA5919" w:rsidP="001B3805">
      <w:pPr>
        <w:pStyle w:val="Heading8"/>
        <w:spacing w:before="0" w:after="0"/>
        <w:jc w:val="center"/>
        <w:rPr>
          <w:rFonts w:ascii="Times New Roman" w:hAnsi="Times New Roman"/>
          <w:b/>
          <w:bCs/>
          <w:i w:val="0"/>
          <w:caps/>
          <w:color w:val="FF0000"/>
          <w:sz w:val="20"/>
          <w:szCs w:val="20"/>
        </w:rPr>
      </w:pPr>
      <w:r w:rsidRPr="003B45BF">
        <w:rPr>
          <w:rFonts w:ascii="Times New Roman" w:hAnsi="Times New Roman"/>
          <w:b/>
          <w:bCs/>
          <w:i w:val="0"/>
          <w:caps/>
          <w:sz w:val="20"/>
          <w:szCs w:val="20"/>
        </w:rPr>
        <w:t>CONCLUSION</w:t>
      </w:r>
    </w:p>
    <w:p w:rsidR="00CA5919" w:rsidRPr="003B45BF" w:rsidRDefault="00CA5919" w:rsidP="00A07E1E">
      <w:pPr>
        <w:jc w:val="both"/>
        <w:rPr>
          <w:i/>
          <w:iCs/>
          <w:color w:val="0000FF"/>
          <w:sz w:val="20"/>
          <w:szCs w:val="20"/>
        </w:rPr>
      </w:pPr>
    </w:p>
    <w:p w:rsidR="005A14D7" w:rsidRPr="003B45BF" w:rsidRDefault="005A14D7" w:rsidP="005A14D7">
      <w:pPr>
        <w:jc w:val="both"/>
        <w:rPr>
          <w:sz w:val="20"/>
          <w:szCs w:val="20"/>
        </w:rPr>
      </w:pPr>
      <w:r w:rsidRPr="003B45BF">
        <w:rPr>
          <w:sz w:val="20"/>
          <w:szCs w:val="20"/>
        </w:rPr>
        <w:t xml:space="preserve">In this work, </w:t>
      </w:r>
      <w:r w:rsidR="0085615C">
        <w:rPr>
          <w:sz w:val="20"/>
          <w:szCs w:val="20"/>
        </w:rPr>
        <w:t>a</w:t>
      </w:r>
      <w:r w:rsidR="00AC5D24" w:rsidRPr="003B45BF">
        <w:rPr>
          <w:sz w:val="20"/>
          <w:szCs w:val="20"/>
        </w:rPr>
        <w:t>quinalphos imprinted polymer</w:t>
      </w:r>
      <w:r w:rsidRPr="003B45BF">
        <w:rPr>
          <w:sz w:val="20"/>
          <w:szCs w:val="20"/>
        </w:rPr>
        <w:t xml:space="preserve"> was prepared by bulk polymerization using MAA, EDMA, and acetonitrile as functional monomer, cross linker, and porogen solvent, respectively. The imprinted polymers </w:t>
      </w:r>
      <w:r w:rsidR="00A561C4" w:rsidRPr="003B45BF">
        <w:rPr>
          <w:sz w:val="20"/>
          <w:szCs w:val="20"/>
        </w:rPr>
        <w:t>showed good selecti</w:t>
      </w:r>
      <w:r w:rsidRPr="003B45BF">
        <w:rPr>
          <w:sz w:val="20"/>
          <w:szCs w:val="20"/>
        </w:rPr>
        <w:t>vity and enrichment efficiency over non-imprinted polymer and commercial SPE-C</w:t>
      </w:r>
      <w:r w:rsidRPr="003B45BF">
        <w:rPr>
          <w:sz w:val="20"/>
          <w:szCs w:val="20"/>
          <w:vertAlign w:val="subscript"/>
        </w:rPr>
        <w:t>18</w:t>
      </w:r>
      <w:r w:rsidRPr="003B45BF">
        <w:rPr>
          <w:sz w:val="20"/>
          <w:szCs w:val="20"/>
        </w:rPr>
        <w:t>.</w:t>
      </w:r>
      <w:r w:rsidR="0085615C">
        <w:rPr>
          <w:sz w:val="20"/>
          <w:szCs w:val="20"/>
        </w:rPr>
        <w:t xml:space="preserve"> T</w:t>
      </w:r>
      <w:r w:rsidRPr="003B45BF">
        <w:rPr>
          <w:sz w:val="20"/>
          <w:szCs w:val="20"/>
        </w:rPr>
        <w:t>he MIP polymer</w:t>
      </w:r>
      <w:r w:rsidR="004B4713">
        <w:rPr>
          <w:sz w:val="20"/>
          <w:szCs w:val="20"/>
        </w:rPr>
        <w:t xml:space="preserve"> used</w:t>
      </w:r>
      <w:r w:rsidRPr="003B45BF">
        <w:rPr>
          <w:sz w:val="20"/>
          <w:szCs w:val="20"/>
        </w:rPr>
        <w:t xml:space="preserve"> as adsorbents in SPE coupled with HPLC was successfully applied for </w:t>
      </w:r>
      <w:r w:rsidR="0085615C">
        <w:rPr>
          <w:sz w:val="20"/>
          <w:szCs w:val="20"/>
        </w:rPr>
        <w:t xml:space="preserve">the </w:t>
      </w:r>
      <w:r w:rsidRPr="003B45BF">
        <w:rPr>
          <w:sz w:val="20"/>
          <w:szCs w:val="20"/>
        </w:rPr>
        <w:t xml:space="preserve">enrichment and analysis of OPPs in </w:t>
      </w:r>
      <w:r w:rsidR="0085615C">
        <w:rPr>
          <w:sz w:val="20"/>
          <w:szCs w:val="20"/>
        </w:rPr>
        <w:t xml:space="preserve">river </w:t>
      </w:r>
      <w:r w:rsidRPr="003B45BF">
        <w:rPr>
          <w:sz w:val="20"/>
          <w:szCs w:val="20"/>
        </w:rPr>
        <w:t>water sample</w:t>
      </w:r>
      <w:r w:rsidR="0085615C">
        <w:rPr>
          <w:sz w:val="20"/>
          <w:szCs w:val="20"/>
        </w:rPr>
        <w:t>s</w:t>
      </w:r>
      <w:r w:rsidRPr="003B45BF">
        <w:rPr>
          <w:sz w:val="20"/>
          <w:szCs w:val="20"/>
        </w:rPr>
        <w:t xml:space="preserve">. </w:t>
      </w:r>
      <w:r w:rsidR="0085615C">
        <w:rPr>
          <w:sz w:val="20"/>
          <w:szCs w:val="20"/>
        </w:rPr>
        <w:t>H</w:t>
      </w:r>
      <w:r w:rsidRPr="003B45BF">
        <w:rPr>
          <w:sz w:val="20"/>
          <w:szCs w:val="20"/>
        </w:rPr>
        <w:t xml:space="preserve">igh </w:t>
      </w:r>
      <w:r w:rsidR="0085615C">
        <w:rPr>
          <w:sz w:val="20"/>
          <w:szCs w:val="20"/>
        </w:rPr>
        <w:t xml:space="preserve">analyte </w:t>
      </w:r>
      <w:r w:rsidRPr="003B45BF">
        <w:rPr>
          <w:sz w:val="20"/>
          <w:szCs w:val="20"/>
        </w:rPr>
        <w:t xml:space="preserve">recoveries (83-98%) and precision (1.05-1.98%) for the </w:t>
      </w:r>
      <w:r w:rsidR="004B4713">
        <w:rPr>
          <w:sz w:val="20"/>
          <w:szCs w:val="20"/>
        </w:rPr>
        <w:t>OPPs</w:t>
      </w:r>
      <w:r w:rsidRPr="003B45BF">
        <w:rPr>
          <w:sz w:val="20"/>
          <w:szCs w:val="20"/>
        </w:rPr>
        <w:t xml:space="preserve"> proved that the method was valid for the analysis of target analyte in water sample.</w:t>
      </w:r>
    </w:p>
    <w:p w:rsidR="004D4309" w:rsidRPr="003B45BF" w:rsidRDefault="004D4309" w:rsidP="00A07E1E">
      <w:pPr>
        <w:jc w:val="both"/>
        <w:rPr>
          <w:i/>
          <w:iCs/>
          <w:color w:val="0000FF"/>
          <w:sz w:val="20"/>
          <w:szCs w:val="20"/>
        </w:rPr>
      </w:pPr>
    </w:p>
    <w:p w:rsidR="00CA5919" w:rsidRDefault="00CA5919" w:rsidP="00A07E1E">
      <w:pPr>
        <w:jc w:val="both"/>
        <w:rPr>
          <w:i/>
          <w:iCs/>
          <w:color w:val="0000FF"/>
          <w:sz w:val="20"/>
          <w:szCs w:val="20"/>
        </w:rPr>
      </w:pPr>
    </w:p>
    <w:p w:rsidR="006E64D6" w:rsidRPr="003B45BF" w:rsidRDefault="006E64D6" w:rsidP="00A07E1E">
      <w:pPr>
        <w:jc w:val="both"/>
        <w:rPr>
          <w:i/>
          <w:iCs/>
          <w:color w:val="0000FF"/>
          <w:sz w:val="20"/>
          <w:szCs w:val="20"/>
        </w:rPr>
      </w:pPr>
    </w:p>
    <w:p w:rsidR="004D4309" w:rsidRDefault="004D4309" w:rsidP="004D4309">
      <w:pPr>
        <w:pStyle w:val="Heading1"/>
        <w:spacing w:before="0"/>
        <w:jc w:val="center"/>
        <w:rPr>
          <w:rFonts w:ascii="Times New Roman" w:hAnsi="Times New Roman"/>
          <w:sz w:val="20"/>
          <w:szCs w:val="20"/>
        </w:rPr>
      </w:pPr>
      <w:r w:rsidRPr="003B45BF">
        <w:rPr>
          <w:rFonts w:ascii="Times New Roman" w:hAnsi="Times New Roman"/>
          <w:sz w:val="20"/>
          <w:szCs w:val="20"/>
        </w:rPr>
        <w:t>ACKNOWLEDGMENTS</w:t>
      </w:r>
    </w:p>
    <w:p w:rsidR="00B42450" w:rsidRPr="00B42450" w:rsidRDefault="00B42450" w:rsidP="00B42450"/>
    <w:p w:rsidR="003B45BF" w:rsidRDefault="004D4309" w:rsidP="006E64D6">
      <w:pPr>
        <w:ind w:firstLine="720"/>
        <w:jc w:val="both"/>
        <w:rPr>
          <w:sz w:val="20"/>
          <w:szCs w:val="20"/>
        </w:rPr>
      </w:pPr>
      <w:r w:rsidRPr="003B45BF">
        <w:rPr>
          <w:sz w:val="20"/>
          <w:szCs w:val="20"/>
        </w:rPr>
        <w:t>The author</w:t>
      </w:r>
      <w:r w:rsidR="00B42450">
        <w:rPr>
          <w:sz w:val="20"/>
          <w:szCs w:val="20"/>
        </w:rPr>
        <w:t xml:space="preserve">s would like to thank </w:t>
      </w:r>
      <w:bookmarkStart w:id="0" w:name="_GoBack"/>
      <w:bookmarkEnd w:id="0"/>
      <w:r w:rsidR="00B42450" w:rsidRPr="003B45BF">
        <w:rPr>
          <w:sz w:val="20"/>
          <w:szCs w:val="20"/>
        </w:rPr>
        <w:t xml:space="preserve">UniversitiTeknologi Malaysia </w:t>
      </w:r>
      <w:r w:rsidR="00B42450">
        <w:rPr>
          <w:sz w:val="20"/>
          <w:szCs w:val="20"/>
        </w:rPr>
        <w:t xml:space="preserve">for facilitations and the Ministry of Higher Education Malaysia (MOHE) for </w:t>
      </w:r>
      <w:r w:rsidRPr="003B45BF">
        <w:rPr>
          <w:sz w:val="20"/>
          <w:szCs w:val="20"/>
        </w:rPr>
        <w:t xml:space="preserve">financial support </w:t>
      </w:r>
      <w:r w:rsidR="00B42450">
        <w:rPr>
          <w:sz w:val="20"/>
          <w:szCs w:val="20"/>
        </w:rPr>
        <w:t>through</w:t>
      </w:r>
      <w:r w:rsidRPr="003B45BF">
        <w:rPr>
          <w:sz w:val="20"/>
          <w:szCs w:val="20"/>
        </w:rPr>
        <w:t xml:space="preserve"> Fundament</w:t>
      </w:r>
      <w:r w:rsidR="004B4713">
        <w:rPr>
          <w:sz w:val="20"/>
          <w:szCs w:val="20"/>
        </w:rPr>
        <w:t xml:space="preserve">al Research Grant Scheme </w:t>
      </w:r>
      <w:r w:rsidR="00B42450">
        <w:rPr>
          <w:sz w:val="20"/>
          <w:szCs w:val="20"/>
        </w:rPr>
        <w:t>Vote number 78477</w:t>
      </w:r>
      <w:r w:rsidR="004B4713">
        <w:rPr>
          <w:sz w:val="20"/>
          <w:szCs w:val="20"/>
        </w:rPr>
        <w:t xml:space="preserve"> and studentship for SyairahSalleh</w:t>
      </w:r>
      <w:r w:rsidRPr="003B45BF">
        <w:rPr>
          <w:sz w:val="20"/>
          <w:szCs w:val="20"/>
        </w:rPr>
        <w:t>.</w:t>
      </w:r>
    </w:p>
    <w:p w:rsidR="006E64D6" w:rsidRDefault="006E64D6" w:rsidP="006E64D6">
      <w:pPr>
        <w:ind w:firstLine="720"/>
        <w:jc w:val="both"/>
        <w:rPr>
          <w:sz w:val="20"/>
          <w:szCs w:val="20"/>
        </w:rPr>
      </w:pPr>
    </w:p>
    <w:p w:rsidR="006E64D6" w:rsidRPr="006E64D6" w:rsidRDefault="006E64D6" w:rsidP="006E64D6">
      <w:pPr>
        <w:ind w:firstLine="720"/>
        <w:jc w:val="both"/>
        <w:rPr>
          <w:sz w:val="20"/>
          <w:szCs w:val="20"/>
        </w:rPr>
      </w:pPr>
    </w:p>
    <w:p w:rsidR="003B45BF" w:rsidRDefault="003B45BF" w:rsidP="00A96329">
      <w:pPr>
        <w:jc w:val="center"/>
        <w:rPr>
          <w:sz w:val="18"/>
          <w:szCs w:val="18"/>
        </w:rPr>
      </w:pPr>
    </w:p>
    <w:p w:rsidR="00EC5480" w:rsidRPr="00C832FE" w:rsidRDefault="00CA5919" w:rsidP="00A96329">
      <w:pPr>
        <w:jc w:val="center"/>
        <w:rPr>
          <w:bCs/>
          <w:caps/>
          <w:sz w:val="18"/>
          <w:szCs w:val="18"/>
        </w:rPr>
      </w:pPr>
      <w:r w:rsidRPr="00C832FE">
        <w:rPr>
          <w:b/>
          <w:bCs/>
          <w:caps/>
          <w:sz w:val="18"/>
          <w:szCs w:val="18"/>
        </w:rPr>
        <w:t>REFERENCES</w:t>
      </w:r>
    </w:p>
    <w:p w:rsidR="000C37D5" w:rsidRDefault="000C37D5" w:rsidP="00A07E1E">
      <w:pPr>
        <w:rPr>
          <w:rFonts w:cs="EBAFKF+TimesNewRoman"/>
          <w:color w:val="000000"/>
          <w:sz w:val="20"/>
          <w:szCs w:val="20"/>
        </w:rPr>
      </w:pPr>
    </w:p>
    <w:p w:rsidR="00DC4DF0" w:rsidRDefault="00DC4DF0" w:rsidP="009753DC">
      <w:pPr>
        <w:jc w:val="both"/>
        <w:rPr>
          <w:rFonts w:cs="EBAFKF+TimesNewRoman"/>
          <w:color w:val="000000"/>
          <w:sz w:val="20"/>
          <w:szCs w:val="20"/>
        </w:rPr>
      </w:pPr>
    </w:p>
    <w:p w:rsidR="008513DA" w:rsidRPr="000C37D5" w:rsidRDefault="008513DA" w:rsidP="00B42450">
      <w:pPr>
        <w:pStyle w:val="ListParagraph"/>
        <w:autoSpaceDE w:val="0"/>
        <w:autoSpaceDN w:val="0"/>
        <w:adjustRightInd w:val="0"/>
        <w:spacing w:line="276" w:lineRule="auto"/>
        <w:ind w:left="709" w:hanging="709"/>
        <w:jc w:val="both"/>
        <w:rPr>
          <w:sz w:val="18"/>
          <w:szCs w:val="18"/>
        </w:rPr>
      </w:pPr>
      <w:r w:rsidRPr="000C37D5">
        <w:rPr>
          <w:rStyle w:val="HTMLCite"/>
          <w:i w:val="0"/>
          <w:sz w:val="18"/>
          <w:szCs w:val="18"/>
        </w:rPr>
        <w:t>[1]</w:t>
      </w:r>
      <w:r w:rsidRPr="000C37D5">
        <w:rPr>
          <w:rStyle w:val="HTMLCite"/>
          <w:i w:val="0"/>
          <w:sz w:val="18"/>
          <w:szCs w:val="18"/>
        </w:rPr>
        <w:tab/>
      </w:r>
      <w:r w:rsidRPr="000C37D5">
        <w:rPr>
          <w:sz w:val="18"/>
          <w:szCs w:val="18"/>
        </w:rPr>
        <w:t>Pichon, V. and Hugon, F.C. (2008). Role of Molecularly Imprinted Polymer for Selective De</w:t>
      </w:r>
      <w:r w:rsidR="00B42450">
        <w:rPr>
          <w:sz w:val="18"/>
          <w:szCs w:val="18"/>
        </w:rPr>
        <w:t xml:space="preserve">termination of  </w:t>
      </w:r>
      <w:r w:rsidR="00DE1F95" w:rsidRPr="000C37D5">
        <w:rPr>
          <w:sz w:val="18"/>
          <w:szCs w:val="18"/>
        </w:rPr>
        <w:t>Environmental</w:t>
      </w:r>
      <w:r w:rsidR="00DC4DF0">
        <w:rPr>
          <w:sz w:val="18"/>
          <w:szCs w:val="18"/>
        </w:rPr>
        <w:t>Pollutants–A R</w:t>
      </w:r>
      <w:r w:rsidRPr="000C37D5">
        <w:rPr>
          <w:sz w:val="18"/>
          <w:szCs w:val="18"/>
        </w:rPr>
        <w:t>eview.</w:t>
      </w:r>
      <w:r w:rsidRPr="000C37D5">
        <w:rPr>
          <w:i/>
          <w:sz w:val="18"/>
          <w:szCs w:val="18"/>
        </w:rPr>
        <w:t>Anal.Chim. Act.</w:t>
      </w:r>
      <w:r w:rsidRPr="000C37D5">
        <w:rPr>
          <w:b/>
          <w:sz w:val="18"/>
          <w:szCs w:val="18"/>
        </w:rPr>
        <w:t>622</w:t>
      </w:r>
      <w:r w:rsidRPr="000C37D5">
        <w:rPr>
          <w:sz w:val="18"/>
          <w:szCs w:val="18"/>
        </w:rPr>
        <w:t>, 49.</w:t>
      </w:r>
    </w:p>
    <w:p w:rsidR="008513DA" w:rsidRPr="000C37D5" w:rsidRDefault="008513DA" w:rsidP="00B42450">
      <w:pPr>
        <w:pStyle w:val="ListParagraph"/>
        <w:autoSpaceDE w:val="0"/>
        <w:autoSpaceDN w:val="0"/>
        <w:adjustRightInd w:val="0"/>
        <w:spacing w:line="276" w:lineRule="auto"/>
        <w:ind w:left="0"/>
        <w:jc w:val="both"/>
        <w:rPr>
          <w:sz w:val="18"/>
          <w:szCs w:val="18"/>
        </w:rPr>
      </w:pPr>
      <w:r w:rsidRPr="000C37D5">
        <w:rPr>
          <w:sz w:val="18"/>
          <w:szCs w:val="18"/>
        </w:rPr>
        <w:t>[2]</w:t>
      </w:r>
      <w:r w:rsidRPr="000C37D5">
        <w:rPr>
          <w:sz w:val="18"/>
          <w:szCs w:val="18"/>
        </w:rPr>
        <w:tab/>
      </w:r>
      <w:r w:rsidR="004139AD">
        <w:rPr>
          <w:rFonts w:eastAsia="Calibri"/>
          <w:sz w:val="18"/>
          <w:szCs w:val="18"/>
          <w:lang w:val="en-US"/>
        </w:rPr>
        <w:t xml:space="preserve">Gomes, R. </w:t>
      </w:r>
      <w:r w:rsidR="00CF2A6E">
        <w:rPr>
          <w:rFonts w:eastAsia="Calibri"/>
          <w:sz w:val="18"/>
          <w:szCs w:val="18"/>
          <w:lang w:val="en-US"/>
        </w:rPr>
        <w:t>and</w:t>
      </w:r>
      <w:r w:rsidRPr="000C37D5">
        <w:rPr>
          <w:rFonts w:eastAsia="Calibri"/>
          <w:sz w:val="18"/>
          <w:szCs w:val="18"/>
          <w:lang w:val="en-US"/>
        </w:rPr>
        <w:t>Augusto F.</w:t>
      </w:r>
      <w:r w:rsidR="005E614D" w:rsidRPr="000C37D5">
        <w:rPr>
          <w:rFonts w:eastAsia="Calibri"/>
          <w:sz w:val="18"/>
          <w:szCs w:val="18"/>
          <w:lang w:val="en-US"/>
        </w:rPr>
        <w:t xml:space="preserve"> (2006).</w:t>
      </w:r>
      <w:r w:rsidR="00F90696" w:rsidRPr="000C37D5">
        <w:rPr>
          <w:rFonts w:eastAsia="Calibri"/>
          <w:sz w:val="18"/>
          <w:szCs w:val="18"/>
          <w:lang w:val="en-US"/>
        </w:rPr>
        <w:t xml:space="preserve">Sol–Gel Molecular Imprinted Ormosil for Solid-Phase </w:t>
      </w:r>
      <w:r w:rsidR="00CF2A6E">
        <w:rPr>
          <w:rFonts w:eastAsia="Calibri"/>
          <w:sz w:val="18"/>
          <w:szCs w:val="18"/>
          <w:lang w:val="en-US"/>
        </w:rPr>
        <w:t xml:space="preserve">Extraction of  </w:t>
      </w:r>
      <w:r w:rsidR="004139AD">
        <w:rPr>
          <w:rFonts w:eastAsia="Calibri"/>
          <w:sz w:val="18"/>
          <w:szCs w:val="18"/>
          <w:lang w:val="en-US"/>
        </w:rPr>
        <w:tab/>
      </w:r>
      <w:r w:rsidR="00F90696" w:rsidRPr="000C37D5">
        <w:rPr>
          <w:rFonts w:eastAsia="Calibri"/>
          <w:sz w:val="18"/>
          <w:szCs w:val="18"/>
          <w:lang w:val="en-US"/>
        </w:rPr>
        <w:t>M</w:t>
      </w:r>
      <w:r w:rsidRPr="000C37D5">
        <w:rPr>
          <w:rFonts w:eastAsia="Calibri"/>
          <w:sz w:val="18"/>
          <w:szCs w:val="18"/>
          <w:lang w:val="en-US"/>
        </w:rPr>
        <w:t>ethylxanthines.</w:t>
      </w:r>
      <w:r w:rsidRPr="000C37D5">
        <w:rPr>
          <w:rFonts w:eastAsia="Calibri"/>
          <w:i/>
          <w:sz w:val="18"/>
          <w:szCs w:val="18"/>
          <w:lang w:val="en-US"/>
        </w:rPr>
        <w:t>J</w:t>
      </w:r>
      <w:r w:rsidR="000035E1">
        <w:rPr>
          <w:rFonts w:eastAsia="Calibri"/>
          <w:i/>
          <w:sz w:val="18"/>
          <w:szCs w:val="18"/>
          <w:lang w:val="en-US"/>
        </w:rPr>
        <w:t>.</w:t>
      </w:r>
      <w:r w:rsidRPr="000C37D5">
        <w:rPr>
          <w:rFonts w:eastAsia="Calibri"/>
          <w:i/>
          <w:sz w:val="18"/>
          <w:szCs w:val="18"/>
          <w:lang w:val="en-US"/>
        </w:rPr>
        <w:t>Chromatogr A</w:t>
      </w:r>
      <w:r w:rsidR="005E614D" w:rsidRPr="000C37D5">
        <w:rPr>
          <w:rFonts w:eastAsia="Calibri"/>
          <w:i/>
          <w:sz w:val="18"/>
          <w:szCs w:val="18"/>
          <w:lang w:val="en-US"/>
        </w:rPr>
        <w:t>.</w:t>
      </w:r>
      <w:r w:rsidR="005E614D" w:rsidRPr="000C37D5">
        <w:rPr>
          <w:rFonts w:eastAsia="Calibri"/>
          <w:b/>
          <w:sz w:val="18"/>
          <w:szCs w:val="18"/>
          <w:lang w:val="en-US"/>
        </w:rPr>
        <w:t>1114</w:t>
      </w:r>
      <w:r w:rsidR="005E614D" w:rsidRPr="000C37D5">
        <w:rPr>
          <w:rFonts w:eastAsia="Calibri"/>
          <w:sz w:val="18"/>
          <w:szCs w:val="18"/>
          <w:lang w:val="en-US"/>
        </w:rPr>
        <w:t>.</w:t>
      </w:r>
      <w:r w:rsidRPr="000C37D5">
        <w:rPr>
          <w:rFonts w:eastAsia="Calibri"/>
          <w:sz w:val="18"/>
          <w:szCs w:val="18"/>
          <w:lang w:val="en-US"/>
        </w:rPr>
        <w:t>216–23.</w:t>
      </w:r>
    </w:p>
    <w:p w:rsidR="00B6342C" w:rsidRDefault="008513DA" w:rsidP="00B42450">
      <w:pPr>
        <w:autoSpaceDE w:val="0"/>
        <w:autoSpaceDN w:val="0"/>
        <w:adjustRightInd w:val="0"/>
        <w:spacing w:line="276" w:lineRule="auto"/>
        <w:jc w:val="both"/>
        <w:rPr>
          <w:rFonts w:eastAsia="Calibri"/>
          <w:sz w:val="18"/>
          <w:szCs w:val="18"/>
        </w:rPr>
      </w:pPr>
      <w:r w:rsidRPr="000C37D5">
        <w:rPr>
          <w:sz w:val="18"/>
          <w:szCs w:val="18"/>
        </w:rPr>
        <w:t xml:space="preserve">[3]  </w:t>
      </w:r>
      <w:r w:rsidRPr="000C37D5">
        <w:rPr>
          <w:sz w:val="18"/>
          <w:szCs w:val="18"/>
        </w:rPr>
        <w:tab/>
      </w:r>
      <w:r w:rsidRPr="000C37D5">
        <w:rPr>
          <w:rFonts w:eastAsia="Calibri"/>
          <w:sz w:val="18"/>
          <w:szCs w:val="18"/>
        </w:rPr>
        <w:t>Liu</w:t>
      </w:r>
      <w:r w:rsidR="00402EBC" w:rsidRPr="000C37D5">
        <w:rPr>
          <w:rFonts w:eastAsia="Calibri"/>
          <w:sz w:val="18"/>
          <w:szCs w:val="18"/>
        </w:rPr>
        <w:t>,</w:t>
      </w:r>
      <w:r w:rsidRPr="000C37D5">
        <w:rPr>
          <w:rFonts w:eastAsia="Calibri"/>
          <w:sz w:val="18"/>
          <w:szCs w:val="18"/>
        </w:rPr>
        <w:t xml:space="preserve"> H</w:t>
      </w:r>
      <w:r w:rsidR="00402EBC" w:rsidRPr="000C37D5">
        <w:rPr>
          <w:rFonts w:eastAsia="Calibri"/>
          <w:sz w:val="18"/>
          <w:szCs w:val="18"/>
        </w:rPr>
        <w:t>.</w:t>
      </w:r>
      <w:r w:rsidRPr="000C37D5">
        <w:rPr>
          <w:rFonts w:eastAsia="Calibri"/>
          <w:sz w:val="18"/>
          <w:szCs w:val="18"/>
        </w:rPr>
        <w:t>Y</w:t>
      </w:r>
      <w:r w:rsidR="00402EBC" w:rsidRPr="000C37D5">
        <w:rPr>
          <w:rFonts w:eastAsia="Calibri"/>
          <w:sz w:val="18"/>
          <w:szCs w:val="18"/>
        </w:rPr>
        <w:t>.</w:t>
      </w:r>
      <w:r w:rsidRPr="000C37D5">
        <w:rPr>
          <w:rFonts w:eastAsia="Calibri"/>
          <w:sz w:val="18"/>
          <w:szCs w:val="18"/>
        </w:rPr>
        <w:t>, Wang</w:t>
      </w:r>
      <w:r w:rsidR="00402EBC" w:rsidRPr="000C37D5">
        <w:rPr>
          <w:rFonts w:eastAsia="Calibri"/>
          <w:sz w:val="18"/>
          <w:szCs w:val="18"/>
        </w:rPr>
        <w:t>,</w:t>
      </w:r>
      <w:r w:rsidRPr="000C37D5">
        <w:rPr>
          <w:rFonts w:eastAsia="Calibri"/>
          <w:sz w:val="18"/>
          <w:szCs w:val="18"/>
        </w:rPr>
        <w:t xml:space="preserve"> M</w:t>
      </w:r>
      <w:r w:rsidR="00402EBC" w:rsidRPr="000C37D5">
        <w:rPr>
          <w:rFonts w:eastAsia="Calibri"/>
          <w:sz w:val="18"/>
          <w:szCs w:val="18"/>
        </w:rPr>
        <w:t>.</w:t>
      </w:r>
      <w:r w:rsidRPr="000C37D5">
        <w:rPr>
          <w:rFonts w:eastAsia="Calibri"/>
          <w:sz w:val="18"/>
          <w:szCs w:val="18"/>
        </w:rPr>
        <w:t>M</w:t>
      </w:r>
      <w:r w:rsidR="00402EBC" w:rsidRPr="000C37D5">
        <w:rPr>
          <w:rFonts w:eastAsia="Calibri"/>
          <w:sz w:val="18"/>
          <w:szCs w:val="18"/>
        </w:rPr>
        <w:t>.</w:t>
      </w:r>
      <w:r w:rsidRPr="000C37D5">
        <w:rPr>
          <w:rFonts w:eastAsia="Calibri"/>
          <w:sz w:val="18"/>
          <w:szCs w:val="18"/>
        </w:rPr>
        <w:t>, Liu</w:t>
      </w:r>
      <w:r w:rsidR="00402EBC" w:rsidRPr="000C37D5">
        <w:rPr>
          <w:rFonts w:eastAsia="Calibri"/>
          <w:sz w:val="18"/>
          <w:szCs w:val="18"/>
        </w:rPr>
        <w:t>,</w:t>
      </w:r>
      <w:r w:rsidRPr="000C37D5">
        <w:rPr>
          <w:rFonts w:eastAsia="Calibri"/>
          <w:sz w:val="18"/>
          <w:szCs w:val="18"/>
        </w:rPr>
        <w:t xml:space="preserve"> S</w:t>
      </w:r>
      <w:r w:rsidR="00402EBC" w:rsidRPr="000C37D5">
        <w:rPr>
          <w:rFonts w:eastAsia="Calibri"/>
          <w:sz w:val="18"/>
          <w:szCs w:val="18"/>
        </w:rPr>
        <w:t>.</w:t>
      </w:r>
      <w:r w:rsidRPr="000C37D5">
        <w:rPr>
          <w:rFonts w:eastAsia="Calibri"/>
          <w:sz w:val="18"/>
          <w:szCs w:val="18"/>
        </w:rPr>
        <w:t>B</w:t>
      </w:r>
      <w:r w:rsidR="00402EBC" w:rsidRPr="000C37D5">
        <w:rPr>
          <w:rFonts w:eastAsia="Calibri"/>
          <w:sz w:val="18"/>
          <w:szCs w:val="18"/>
        </w:rPr>
        <w:t>.</w:t>
      </w:r>
      <w:r w:rsidRPr="000C37D5">
        <w:rPr>
          <w:rFonts w:eastAsia="Calibri"/>
          <w:sz w:val="18"/>
          <w:szCs w:val="18"/>
        </w:rPr>
        <w:t xml:space="preserve">, </w:t>
      </w:r>
      <w:r w:rsidR="00402EBC" w:rsidRPr="000C37D5">
        <w:rPr>
          <w:rFonts w:eastAsia="Calibri"/>
          <w:sz w:val="18"/>
          <w:szCs w:val="18"/>
        </w:rPr>
        <w:t xml:space="preserve">and </w:t>
      </w:r>
      <w:r w:rsidRPr="000C37D5">
        <w:rPr>
          <w:rFonts w:eastAsia="Calibri"/>
          <w:sz w:val="18"/>
          <w:szCs w:val="18"/>
        </w:rPr>
        <w:t>Chen</w:t>
      </w:r>
      <w:r w:rsidR="00402EBC" w:rsidRPr="000C37D5">
        <w:rPr>
          <w:rFonts w:eastAsia="Calibri"/>
          <w:sz w:val="18"/>
          <w:szCs w:val="18"/>
        </w:rPr>
        <w:t>,</w:t>
      </w:r>
      <w:r w:rsidRPr="000C37D5">
        <w:rPr>
          <w:rFonts w:eastAsia="Calibri"/>
          <w:sz w:val="18"/>
          <w:szCs w:val="18"/>
        </w:rPr>
        <w:t xml:space="preserve"> Y.</w:t>
      </w:r>
      <w:r w:rsidR="005E614D" w:rsidRPr="000C37D5">
        <w:rPr>
          <w:rFonts w:eastAsia="Calibri"/>
          <w:sz w:val="18"/>
          <w:szCs w:val="18"/>
        </w:rPr>
        <w:t xml:space="preserve"> (2006).</w:t>
      </w:r>
      <w:r w:rsidR="00E24769" w:rsidRPr="000C37D5">
        <w:rPr>
          <w:rFonts w:eastAsia="Calibri"/>
          <w:sz w:val="18"/>
          <w:szCs w:val="18"/>
        </w:rPr>
        <w:t>Chromatographic C</w:t>
      </w:r>
      <w:r w:rsidRPr="000C37D5">
        <w:rPr>
          <w:rFonts w:eastAsia="Calibri"/>
          <w:sz w:val="18"/>
          <w:szCs w:val="18"/>
        </w:rPr>
        <w:t xml:space="preserve">haracterization </w:t>
      </w:r>
      <w:r w:rsidR="00E24769" w:rsidRPr="000C37D5">
        <w:rPr>
          <w:rFonts w:eastAsia="Calibri"/>
          <w:sz w:val="18"/>
          <w:szCs w:val="18"/>
        </w:rPr>
        <w:t xml:space="preserve">and Solid-Phase </w:t>
      </w:r>
      <w:r w:rsidR="00402EBC" w:rsidRPr="000C37D5">
        <w:rPr>
          <w:rFonts w:eastAsia="Calibri"/>
          <w:sz w:val="18"/>
          <w:szCs w:val="18"/>
        </w:rPr>
        <w:tab/>
      </w:r>
      <w:r w:rsidR="00E24769" w:rsidRPr="000C37D5">
        <w:rPr>
          <w:rFonts w:eastAsia="Calibri"/>
          <w:sz w:val="18"/>
          <w:szCs w:val="18"/>
        </w:rPr>
        <w:t>E</w:t>
      </w:r>
      <w:r w:rsidR="00402EBC" w:rsidRPr="000C37D5">
        <w:rPr>
          <w:rFonts w:eastAsia="Calibri"/>
          <w:sz w:val="18"/>
          <w:szCs w:val="18"/>
        </w:rPr>
        <w:t xml:space="preserve">xtraction </w:t>
      </w:r>
      <w:r w:rsidR="00713767" w:rsidRPr="000C37D5">
        <w:rPr>
          <w:rFonts w:eastAsia="Calibri"/>
          <w:sz w:val="18"/>
          <w:szCs w:val="18"/>
        </w:rPr>
        <w:t xml:space="preserve">on </w:t>
      </w:r>
      <w:r w:rsidR="00E24769" w:rsidRPr="000C37D5">
        <w:rPr>
          <w:rFonts w:eastAsia="Calibri"/>
          <w:sz w:val="18"/>
          <w:szCs w:val="18"/>
        </w:rPr>
        <w:t>D</w:t>
      </w:r>
      <w:r w:rsidRPr="000C37D5">
        <w:rPr>
          <w:rFonts w:eastAsia="Calibri"/>
          <w:sz w:val="18"/>
          <w:szCs w:val="18"/>
        </w:rPr>
        <w:t>iniconazole-</w:t>
      </w:r>
      <w:r w:rsidR="00E24769" w:rsidRPr="000C37D5">
        <w:rPr>
          <w:rFonts w:eastAsia="Calibri"/>
          <w:sz w:val="18"/>
          <w:szCs w:val="18"/>
        </w:rPr>
        <w:t>I</w:t>
      </w:r>
      <w:r w:rsidRPr="000C37D5">
        <w:rPr>
          <w:rFonts w:eastAsia="Calibri"/>
          <w:sz w:val="18"/>
          <w:szCs w:val="18"/>
        </w:rPr>
        <w:t xml:space="preserve">mprinted </w:t>
      </w:r>
      <w:r w:rsidR="00E24769" w:rsidRPr="000C37D5">
        <w:rPr>
          <w:rFonts w:eastAsia="Calibri"/>
          <w:sz w:val="18"/>
          <w:szCs w:val="18"/>
        </w:rPr>
        <w:t>Polymers S</w:t>
      </w:r>
      <w:r w:rsidRPr="000C37D5">
        <w:rPr>
          <w:rFonts w:eastAsia="Calibri"/>
          <w:sz w:val="18"/>
          <w:szCs w:val="18"/>
        </w:rPr>
        <w:t>tationar</w:t>
      </w:r>
      <w:r w:rsidR="00E24769" w:rsidRPr="000C37D5">
        <w:rPr>
          <w:rFonts w:eastAsia="Calibri"/>
          <w:sz w:val="18"/>
          <w:szCs w:val="18"/>
        </w:rPr>
        <w:t>y P</w:t>
      </w:r>
      <w:r w:rsidR="005E614D" w:rsidRPr="000C37D5">
        <w:rPr>
          <w:rFonts w:eastAsia="Calibri"/>
          <w:sz w:val="18"/>
          <w:szCs w:val="18"/>
        </w:rPr>
        <w:t>hase.</w:t>
      </w:r>
      <w:r w:rsidR="005E614D" w:rsidRPr="000C37D5">
        <w:rPr>
          <w:rFonts w:eastAsia="Calibri"/>
          <w:i/>
          <w:sz w:val="18"/>
          <w:szCs w:val="18"/>
        </w:rPr>
        <w:t>React</w:t>
      </w:r>
      <w:r w:rsidR="000035E1">
        <w:rPr>
          <w:rFonts w:eastAsia="Calibri"/>
          <w:i/>
          <w:sz w:val="18"/>
          <w:szCs w:val="18"/>
        </w:rPr>
        <w:t xml:space="preserve">. </w:t>
      </w:r>
      <w:r w:rsidR="005E614D" w:rsidRPr="000C37D5">
        <w:rPr>
          <w:rFonts w:eastAsia="Calibri"/>
          <w:i/>
          <w:sz w:val="18"/>
          <w:szCs w:val="18"/>
        </w:rPr>
        <w:t>Funct</w:t>
      </w:r>
      <w:r w:rsidR="000035E1">
        <w:rPr>
          <w:rFonts w:eastAsia="Calibri"/>
          <w:i/>
          <w:sz w:val="18"/>
          <w:szCs w:val="18"/>
        </w:rPr>
        <w:t>.</w:t>
      </w:r>
      <w:r w:rsidR="005E614D" w:rsidRPr="000C37D5">
        <w:rPr>
          <w:rFonts w:eastAsia="Calibri"/>
          <w:i/>
          <w:sz w:val="18"/>
          <w:szCs w:val="18"/>
        </w:rPr>
        <w:t>Polym</w:t>
      </w:r>
      <w:r w:rsidR="005E614D" w:rsidRPr="000C37D5">
        <w:rPr>
          <w:rFonts w:eastAsia="Calibri"/>
          <w:sz w:val="18"/>
          <w:szCs w:val="18"/>
        </w:rPr>
        <w:t>.</w:t>
      </w:r>
      <w:r w:rsidR="005E614D" w:rsidRPr="000C37D5">
        <w:rPr>
          <w:rFonts w:eastAsia="Calibri"/>
          <w:b/>
          <w:sz w:val="18"/>
          <w:szCs w:val="18"/>
        </w:rPr>
        <w:t>66</w:t>
      </w:r>
      <w:r w:rsidR="005E614D" w:rsidRPr="000C37D5">
        <w:rPr>
          <w:rFonts w:eastAsia="Calibri"/>
          <w:sz w:val="18"/>
          <w:szCs w:val="18"/>
        </w:rPr>
        <w:t xml:space="preserve">. </w:t>
      </w:r>
      <w:r w:rsidRPr="000C37D5">
        <w:rPr>
          <w:rFonts w:eastAsia="Calibri"/>
          <w:sz w:val="18"/>
          <w:szCs w:val="18"/>
        </w:rPr>
        <w:t>579–83.</w:t>
      </w:r>
    </w:p>
    <w:p w:rsidR="008513DA" w:rsidRPr="00B6342C" w:rsidRDefault="008513DA" w:rsidP="00D15CB8">
      <w:pPr>
        <w:autoSpaceDE w:val="0"/>
        <w:autoSpaceDN w:val="0"/>
        <w:adjustRightInd w:val="0"/>
        <w:spacing w:line="276" w:lineRule="auto"/>
        <w:ind w:left="709" w:hanging="709"/>
        <w:jc w:val="both"/>
        <w:rPr>
          <w:rFonts w:eastAsia="Calibri"/>
          <w:sz w:val="18"/>
          <w:szCs w:val="18"/>
        </w:rPr>
      </w:pPr>
      <w:r w:rsidRPr="000C37D5">
        <w:rPr>
          <w:sz w:val="18"/>
          <w:szCs w:val="18"/>
        </w:rPr>
        <w:t>[4]</w:t>
      </w:r>
      <w:r w:rsidRPr="000C37D5">
        <w:rPr>
          <w:sz w:val="18"/>
          <w:szCs w:val="18"/>
        </w:rPr>
        <w:tab/>
      </w:r>
      <w:r w:rsidRPr="000C37D5">
        <w:rPr>
          <w:rFonts w:eastAsia="Calibri"/>
          <w:sz w:val="18"/>
          <w:szCs w:val="18"/>
        </w:rPr>
        <w:t xml:space="preserve">Baggiani C, Baravalle P, Giraudi G, </w:t>
      </w:r>
      <w:r w:rsidR="00F644C8">
        <w:rPr>
          <w:rFonts w:eastAsia="Calibri"/>
          <w:sz w:val="18"/>
          <w:szCs w:val="18"/>
        </w:rPr>
        <w:t xml:space="preserve">and </w:t>
      </w:r>
      <w:r w:rsidRPr="000C37D5">
        <w:rPr>
          <w:rFonts w:eastAsia="Calibri"/>
          <w:sz w:val="18"/>
          <w:szCs w:val="18"/>
        </w:rPr>
        <w:t xml:space="preserve">Tozzi C. </w:t>
      </w:r>
      <w:r w:rsidR="005E614D" w:rsidRPr="000C37D5">
        <w:rPr>
          <w:rFonts w:eastAsia="Calibri"/>
          <w:sz w:val="18"/>
          <w:szCs w:val="18"/>
        </w:rPr>
        <w:t xml:space="preserve">(2007). </w:t>
      </w:r>
      <w:r w:rsidR="00E24769" w:rsidRPr="000C37D5">
        <w:rPr>
          <w:rFonts w:eastAsia="Calibri"/>
          <w:sz w:val="18"/>
          <w:szCs w:val="18"/>
        </w:rPr>
        <w:t>Molecularly Imprinted Solid-Phase Extraction M</w:t>
      </w:r>
      <w:r w:rsidRPr="000C37D5">
        <w:rPr>
          <w:rFonts w:eastAsia="Calibri"/>
          <w:sz w:val="18"/>
          <w:szCs w:val="18"/>
        </w:rPr>
        <w:t xml:space="preserve">ethod </w:t>
      </w:r>
      <w:r w:rsidR="00FF0409">
        <w:rPr>
          <w:rFonts w:eastAsia="Calibri"/>
          <w:sz w:val="18"/>
          <w:szCs w:val="18"/>
        </w:rPr>
        <w:tab/>
      </w:r>
      <w:r w:rsidRPr="000C37D5">
        <w:rPr>
          <w:rFonts w:eastAsia="Calibri"/>
          <w:sz w:val="18"/>
          <w:szCs w:val="18"/>
        </w:rPr>
        <w:t xml:space="preserve">for </w:t>
      </w:r>
      <w:r w:rsidR="00E24769" w:rsidRPr="000C37D5">
        <w:rPr>
          <w:rFonts w:eastAsia="Calibri"/>
          <w:sz w:val="18"/>
          <w:szCs w:val="18"/>
        </w:rPr>
        <w:t>the H</w:t>
      </w:r>
      <w:r w:rsidRPr="000C37D5">
        <w:rPr>
          <w:rFonts w:eastAsia="Calibri"/>
          <w:sz w:val="18"/>
          <w:szCs w:val="18"/>
        </w:rPr>
        <w:t xml:space="preserve">igh </w:t>
      </w:r>
      <w:r w:rsidR="00E24769" w:rsidRPr="000C37D5">
        <w:rPr>
          <w:rFonts w:eastAsia="Calibri"/>
          <w:sz w:val="18"/>
          <w:szCs w:val="18"/>
        </w:rPr>
        <w:t>Performance Liquid Chromatographic Analysis of Fungicide Pyrimethanil in W</w:t>
      </w:r>
      <w:r w:rsidRPr="000C37D5">
        <w:rPr>
          <w:rFonts w:eastAsia="Calibri"/>
          <w:sz w:val="18"/>
          <w:szCs w:val="18"/>
        </w:rPr>
        <w:t>ine.</w:t>
      </w:r>
      <w:r w:rsidRPr="000C37D5">
        <w:rPr>
          <w:rFonts w:eastAsia="Calibri"/>
          <w:i/>
          <w:sz w:val="18"/>
          <w:szCs w:val="18"/>
        </w:rPr>
        <w:t>J Chromatogr.</w:t>
      </w:r>
      <w:r w:rsidR="00D15CB8">
        <w:rPr>
          <w:rFonts w:eastAsia="Calibri"/>
          <w:i/>
          <w:sz w:val="18"/>
          <w:szCs w:val="18"/>
        </w:rPr>
        <w:t>A</w:t>
      </w:r>
      <w:r w:rsidR="005E614D" w:rsidRPr="000C37D5">
        <w:rPr>
          <w:rFonts w:eastAsia="Calibri"/>
          <w:b/>
          <w:sz w:val="18"/>
          <w:szCs w:val="18"/>
        </w:rPr>
        <w:t>1141</w:t>
      </w:r>
      <w:r w:rsidR="005E614D" w:rsidRPr="000C37D5">
        <w:rPr>
          <w:rFonts w:eastAsia="Calibri"/>
          <w:sz w:val="18"/>
          <w:szCs w:val="18"/>
        </w:rPr>
        <w:t>.</w:t>
      </w:r>
      <w:r w:rsidR="00713767" w:rsidRPr="00B6342C">
        <w:rPr>
          <w:rFonts w:eastAsia="Calibri"/>
          <w:sz w:val="18"/>
          <w:szCs w:val="18"/>
        </w:rPr>
        <w:t>158-</w:t>
      </w:r>
      <w:r w:rsidRPr="00B6342C">
        <w:rPr>
          <w:rFonts w:eastAsia="Calibri"/>
          <w:sz w:val="18"/>
          <w:szCs w:val="18"/>
        </w:rPr>
        <w:t>64.</w:t>
      </w:r>
    </w:p>
    <w:p w:rsidR="00921C64" w:rsidRPr="00B6342C" w:rsidRDefault="008513DA" w:rsidP="00B42450">
      <w:pPr>
        <w:pStyle w:val="BodyTextIndent"/>
        <w:tabs>
          <w:tab w:val="left" w:pos="360"/>
        </w:tabs>
        <w:spacing w:after="0" w:line="276" w:lineRule="auto"/>
        <w:ind w:left="709" w:hanging="709"/>
        <w:jc w:val="both"/>
        <w:rPr>
          <w:rFonts w:eastAsia="Courier New"/>
          <w:bCs/>
          <w:sz w:val="18"/>
          <w:szCs w:val="18"/>
          <w:lang w:val="sv-SE"/>
        </w:rPr>
      </w:pPr>
      <w:r w:rsidRPr="00B6342C">
        <w:rPr>
          <w:sz w:val="18"/>
          <w:szCs w:val="18"/>
        </w:rPr>
        <w:t>[5]</w:t>
      </w:r>
      <w:r w:rsidRPr="00B6342C">
        <w:rPr>
          <w:sz w:val="18"/>
          <w:szCs w:val="18"/>
        </w:rPr>
        <w:tab/>
      </w:r>
      <w:r w:rsidRPr="00B6342C">
        <w:rPr>
          <w:sz w:val="18"/>
          <w:szCs w:val="18"/>
        </w:rPr>
        <w:tab/>
      </w:r>
      <w:r w:rsidRPr="00B6342C">
        <w:rPr>
          <w:rFonts w:eastAsia="Courier New"/>
          <w:bCs/>
          <w:sz w:val="18"/>
          <w:szCs w:val="18"/>
          <w:lang w:val="sv-SE"/>
        </w:rPr>
        <w:t>Raharjo,</w:t>
      </w:r>
      <w:r w:rsidR="00E5350D" w:rsidRPr="00B6342C">
        <w:rPr>
          <w:sz w:val="18"/>
          <w:szCs w:val="18"/>
          <w:lang w:val="sv-SE"/>
        </w:rPr>
        <w:t xml:space="preserve">Y., </w:t>
      </w:r>
      <w:r w:rsidRPr="00B6342C">
        <w:rPr>
          <w:sz w:val="18"/>
          <w:szCs w:val="18"/>
          <w:lang w:val="sv-SE"/>
        </w:rPr>
        <w:t>Sanagi,</w:t>
      </w:r>
      <w:r w:rsidR="00E5350D" w:rsidRPr="00B6342C">
        <w:rPr>
          <w:sz w:val="18"/>
          <w:szCs w:val="18"/>
          <w:lang w:val="sv-SE"/>
        </w:rPr>
        <w:t xml:space="preserve">M.M., </w:t>
      </w:r>
      <w:r w:rsidRPr="00B6342C">
        <w:rPr>
          <w:rFonts w:eastAsia="Courier New"/>
          <w:bCs/>
          <w:sz w:val="18"/>
          <w:szCs w:val="18"/>
          <w:lang w:val="sv-SE"/>
        </w:rPr>
        <w:t>Wan Ibrahim,</w:t>
      </w:r>
      <w:r w:rsidR="00E5350D" w:rsidRPr="00B6342C">
        <w:rPr>
          <w:rFonts w:eastAsia="Courier New"/>
          <w:bCs/>
          <w:sz w:val="18"/>
          <w:szCs w:val="18"/>
          <w:lang w:val="sv-SE"/>
        </w:rPr>
        <w:t xml:space="preserve"> W.A., </w:t>
      </w:r>
      <w:r w:rsidRPr="00B6342C">
        <w:rPr>
          <w:rFonts w:eastAsia="Courier New"/>
          <w:bCs/>
          <w:sz w:val="18"/>
          <w:szCs w:val="18"/>
          <w:lang w:val="sv-SE"/>
        </w:rPr>
        <w:t>Abu Naim,</w:t>
      </w:r>
      <w:r w:rsidR="00E5350D" w:rsidRPr="00B6342C">
        <w:rPr>
          <w:rFonts w:eastAsia="Courier New"/>
          <w:bCs/>
          <w:sz w:val="18"/>
          <w:szCs w:val="18"/>
          <w:lang w:val="sv-SE"/>
        </w:rPr>
        <w:t xml:space="preserve"> A., andAboul-Enein, H.Y. (2009).</w:t>
      </w:r>
      <w:r w:rsidRPr="00B6342C">
        <w:rPr>
          <w:rFonts w:eastAsia="Courier New"/>
          <w:bCs/>
          <w:sz w:val="18"/>
          <w:szCs w:val="18"/>
          <w:lang w:val="sv-SE"/>
        </w:rPr>
        <w:t xml:space="preserve"> Applicati</w:t>
      </w:r>
      <w:r w:rsidR="00B42450">
        <w:rPr>
          <w:rFonts w:eastAsia="Courier New"/>
          <w:bCs/>
          <w:sz w:val="18"/>
          <w:szCs w:val="18"/>
          <w:lang w:val="sv-SE"/>
        </w:rPr>
        <w:t xml:space="preserve">on of </w:t>
      </w:r>
      <w:r w:rsidR="00DA45FC" w:rsidRPr="00B6342C">
        <w:rPr>
          <w:rFonts w:eastAsia="Courier New"/>
          <w:bCs/>
          <w:sz w:val="18"/>
          <w:szCs w:val="18"/>
          <w:lang w:val="sv-SE"/>
        </w:rPr>
        <w:t>Continual I</w:t>
      </w:r>
      <w:r w:rsidRPr="00B6342C">
        <w:rPr>
          <w:rFonts w:eastAsia="Courier New"/>
          <w:bCs/>
          <w:sz w:val="18"/>
          <w:szCs w:val="18"/>
          <w:lang w:val="sv-SE"/>
        </w:rPr>
        <w:t xml:space="preserve">njection </w:t>
      </w:r>
      <w:r w:rsidR="00DA45FC" w:rsidRPr="00B6342C">
        <w:rPr>
          <w:rFonts w:eastAsia="Courier New"/>
          <w:bCs/>
          <w:sz w:val="18"/>
          <w:szCs w:val="18"/>
          <w:lang w:val="sv-SE"/>
        </w:rPr>
        <w:t>LPME Method Coupled with Liquid C</w:t>
      </w:r>
      <w:r w:rsidRPr="00B6342C">
        <w:rPr>
          <w:rFonts w:eastAsia="Courier New"/>
          <w:bCs/>
          <w:sz w:val="18"/>
          <w:szCs w:val="18"/>
          <w:lang w:val="sv-SE"/>
        </w:rPr>
        <w:t xml:space="preserve">hromatography </w:t>
      </w:r>
      <w:r w:rsidR="00DA45FC" w:rsidRPr="00B6342C">
        <w:rPr>
          <w:rFonts w:eastAsia="Courier New"/>
          <w:bCs/>
          <w:sz w:val="18"/>
          <w:szCs w:val="18"/>
          <w:lang w:val="sv-SE"/>
        </w:rPr>
        <w:t>to the A</w:t>
      </w:r>
      <w:r w:rsidRPr="00B6342C">
        <w:rPr>
          <w:rFonts w:eastAsia="Courier New"/>
          <w:bCs/>
          <w:sz w:val="18"/>
          <w:szCs w:val="18"/>
          <w:lang w:val="sv-SE"/>
        </w:rPr>
        <w:t>nalysis</w:t>
      </w:r>
      <w:r w:rsidR="00B42450">
        <w:rPr>
          <w:rFonts w:eastAsia="Courier New"/>
          <w:bCs/>
          <w:sz w:val="18"/>
          <w:szCs w:val="18"/>
          <w:lang w:val="sv-SE"/>
        </w:rPr>
        <w:t xml:space="preserve"> of Organophosphorus </w:t>
      </w:r>
      <w:r w:rsidR="00B42450">
        <w:rPr>
          <w:rFonts w:eastAsia="Courier New"/>
          <w:bCs/>
          <w:sz w:val="18"/>
          <w:szCs w:val="18"/>
          <w:lang w:val="sv-SE"/>
        </w:rPr>
        <w:tab/>
      </w:r>
      <w:r w:rsidRPr="00B6342C">
        <w:rPr>
          <w:rFonts w:eastAsia="Courier New"/>
          <w:bCs/>
          <w:sz w:val="18"/>
          <w:szCs w:val="18"/>
          <w:lang w:val="sv-SE"/>
        </w:rPr>
        <w:t xml:space="preserve">Pesticides. </w:t>
      </w:r>
      <w:r w:rsidRPr="00B6342C">
        <w:rPr>
          <w:rFonts w:eastAsia="Courier New"/>
          <w:bCs/>
          <w:i/>
          <w:sz w:val="18"/>
          <w:szCs w:val="18"/>
          <w:lang w:val="sv-SE"/>
        </w:rPr>
        <w:t xml:space="preserve">J. Sep. </w:t>
      </w:r>
      <w:r w:rsidR="00424535" w:rsidRPr="00B6342C">
        <w:rPr>
          <w:rFonts w:eastAsia="Courier New"/>
          <w:bCs/>
          <w:i/>
          <w:sz w:val="18"/>
          <w:szCs w:val="18"/>
          <w:lang w:val="sv-SE"/>
        </w:rPr>
        <w:t>Sci.</w:t>
      </w:r>
      <w:r w:rsidR="00424535" w:rsidRPr="00B6342C">
        <w:rPr>
          <w:rFonts w:eastAsia="Courier New"/>
          <w:bCs/>
          <w:sz w:val="18"/>
          <w:szCs w:val="18"/>
          <w:lang w:val="sv-SE"/>
        </w:rPr>
        <w:t>32.</w:t>
      </w:r>
      <w:r w:rsidRPr="00B6342C">
        <w:rPr>
          <w:rFonts w:eastAsia="Courier New"/>
          <w:bCs/>
          <w:sz w:val="18"/>
          <w:szCs w:val="18"/>
          <w:lang w:val="sv-SE"/>
        </w:rPr>
        <w:t xml:space="preserve"> 623. </w:t>
      </w:r>
    </w:p>
    <w:p w:rsidR="00B6342C" w:rsidRPr="00B6342C" w:rsidRDefault="00B6342C" w:rsidP="00B42450">
      <w:pPr>
        <w:autoSpaceDE w:val="0"/>
        <w:autoSpaceDN w:val="0"/>
        <w:adjustRightInd w:val="0"/>
        <w:spacing w:line="276" w:lineRule="auto"/>
        <w:ind w:left="709" w:hanging="709"/>
        <w:jc w:val="both"/>
        <w:rPr>
          <w:rFonts w:eastAsia="Calibri"/>
          <w:bCs/>
          <w:sz w:val="18"/>
          <w:szCs w:val="18"/>
        </w:rPr>
      </w:pPr>
      <w:r w:rsidRPr="00B6342C">
        <w:rPr>
          <w:rFonts w:eastAsia="Courier New"/>
          <w:bCs/>
          <w:sz w:val="18"/>
          <w:szCs w:val="18"/>
          <w:lang w:val="sv-SE"/>
        </w:rPr>
        <w:t xml:space="preserve">[6]         Sanagi, M. M.,  Salleh, S., Wan Ibrahim, W.A., and Naim, A. A. (2010). </w:t>
      </w:r>
      <w:r w:rsidRPr="00B6342C">
        <w:rPr>
          <w:rFonts w:eastAsia="Calibri"/>
          <w:bCs/>
          <w:sz w:val="18"/>
          <w:szCs w:val="18"/>
        </w:rPr>
        <w:t xml:space="preserve">Molecularly imprinted polymers for </w:t>
      </w:r>
      <w:r>
        <w:rPr>
          <w:rFonts w:eastAsia="Calibri"/>
          <w:bCs/>
          <w:sz w:val="18"/>
          <w:szCs w:val="18"/>
        </w:rPr>
        <w:tab/>
      </w:r>
      <w:r w:rsidRPr="00B6342C">
        <w:rPr>
          <w:rFonts w:eastAsia="Calibri"/>
          <w:bCs/>
          <w:sz w:val="18"/>
          <w:szCs w:val="18"/>
        </w:rPr>
        <w:t>solid phase extraction of orghanophosphorus pesticides.</w:t>
      </w:r>
      <w:r w:rsidR="00D15CB8">
        <w:rPr>
          <w:rFonts w:eastAsia="Calibri"/>
          <w:i/>
          <w:sz w:val="18"/>
          <w:szCs w:val="18"/>
        </w:rPr>
        <w:t xml:space="preserve">J. </w:t>
      </w:r>
      <w:r w:rsidR="000035E1">
        <w:rPr>
          <w:rFonts w:eastAsia="Calibri"/>
          <w:i/>
          <w:sz w:val="18"/>
          <w:szCs w:val="18"/>
        </w:rPr>
        <w:t>Fundamental Sci</w:t>
      </w:r>
      <w:r w:rsidRPr="00B6342C">
        <w:rPr>
          <w:rFonts w:eastAsia="Calibri"/>
          <w:i/>
          <w:sz w:val="18"/>
          <w:szCs w:val="18"/>
        </w:rPr>
        <w:t>.</w:t>
      </w:r>
      <w:r w:rsidR="000035E1">
        <w:rPr>
          <w:rFonts w:eastAsia="Calibri"/>
          <w:i/>
          <w:sz w:val="18"/>
          <w:szCs w:val="18"/>
        </w:rPr>
        <w:t>,</w:t>
      </w:r>
      <w:r w:rsidRPr="00B6342C">
        <w:rPr>
          <w:rFonts w:eastAsia="Calibri"/>
          <w:sz w:val="18"/>
          <w:szCs w:val="18"/>
        </w:rPr>
        <w:t xml:space="preserve">6.  27-30. </w:t>
      </w:r>
    </w:p>
    <w:p w:rsidR="00921C64" w:rsidRPr="00B6342C" w:rsidRDefault="00B6342C" w:rsidP="000035E1">
      <w:pPr>
        <w:spacing w:line="276" w:lineRule="auto"/>
        <w:ind w:left="709" w:hanging="709"/>
        <w:jc w:val="both"/>
        <w:rPr>
          <w:sz w:val="18"/>
          <w:szCs w:val="18"/>
        </w:rPr>
      </w:pPr>
      <w:r>
        <w:rPr>
          <w:rFonts w:eastAsia="Courier New"/>
          <w:bCs/>
          <w:sz w:val="18"/>
          <w:szCs w:val="18"/>
          <w:lang w:val="sv-SE"/>
        </w:rPr>
        <w:t>[7</w:t>
      </w:r>
      <w:r w:rsidR="008513DA" w:rsidRPr="00B6342C">
        <w:rPr>
          <w:rFonts w:eastAsia="Courier New"/>
          <w:bCs/>
          <w:sz w:val="18"/>
          <w:szCs w:val="18"/>
          <w:lang w:val="sv-SE"/>
        </w:rPr>
        <w:t>]</w:t>
      </w:r>
      <w:r w:rsidR="008513DA" w:rsidRPr="00B6342C">
        <w:rPr>
          <w:rFonts w:eastAsia="Courier New"/>
          <w:bCs/>
          <w:sz w:val="18"/>
          <w:szCs w:val="18"/>
          <w:lang w:val="sv-SE"/>
        </w:rPr>
        <w:tab/>
      </w:r>
      <w:r w:rsidR="00921C64" w:rsidRPr="00B6342C">
        <w:rPr>
          <w:sz w:val="18"/>
          <w:szCs w:val="18"/>
        </w:rPr>
        <w:t>Brune, B. J., Koehler, J. A., Smith, P. J. and Payne, G. F. (1999).Correlation between adsorption and small molecule hydrogen bonding.</w:t>
      </w:r>
      <w:r w:rsidR="00921C64" w:rsidRPr="00B6342C">
        <w:rPr>
          <w:i/>
          <w:sz w:val="18"/>
          <w:szCs w:val="18"/>
        </w:rPr>
        <w:t>Langmuir</w:t>
      </w:r>
      <w:r w:rsidR="00921C64" w:rsidRPr="00B6342C">
        <w:rPr>
          <w:sz w:val="18"/>
          <w:szCs w:val="18"/>
        </w:rPr>
        <w:t>. 15. 3989</w:t>
      </w:r>
    </w:p>
    <w:p w:rsidR="008513DA" w:rsidRPr="00921C64" w:rsidRDefault="00B6342C" w:rsidP="000035E1">
      <w:pPr>
        <w:autoSpaceDE w:val="0"/>
        <w:autoSpaceDN w:val="0"/>
        <w:adjustRightInd w:val="0"/>
        <w:spacing w:line="276" w:lineRule="auto"/>
        <w:ind w:left="709" w:hanging="709"/>
        <w:jc w:val="both"/>
        <w:rPr>
          <w:rFonts w:eastAsia="Courier New"/>
          <w:bCs/>
          <w:sz w:val="18"/>
          <w:szCs w:val="18"/>
          <w:lang w:val="sv-SE"/>
        </w:rPr>
      </w:pPr>
      <w:r>
        <w:rPr>
          <w:rFonts w:eastAsia="Courier New"/>
          <w:bCs/>
          <w:sz w:val="18"/>
          <w:szCs w:val="18"/>
          <w:lang w:val="sv-SE"/>
        </w:rPr>
        <w:t>[8</w:t>
      </w:r>
      <w:r w:rsidR="00921C64" w:rsidRPr="00B6342C">
        <w:rPr>
          <w:rFonts w:eastAsia="Courier New"/>
          <w:bCs/>
          <w:sz w:val="18"/>
          <w:szCs w:val="18"/>
          <w:lang w:val="sv-SE"/>
        </w:rPr>
        <w:t>]</w:t>
      </w:r>
      <w:r w:rsidR="00921C64" w:rsidRPr="00B6342C">
        <w:rPr>
          <w:rFonts w:eastAsia="Courier New"/>
          <w:bCs/>
          <w:sz w:val="18"/>
          <w:szCs w:val="18"/>
          <w:lang w:val="sv-SE"/>
        </w:rPr>
        <w:tab/>
      </w:r>
      <w:r w:rsidR="008513DA" w:rsidRPr="00B6342C">
        <w:rPr>
          <w:rFonts w:eastAsia="Calibri"/>
          <w:sz w:val="18"/>
          <w:szCs w:val="18"/>
        </w:rPr>
        <w:t>He,</w:t>
      </w:r>
      <w:r w:rsidR="00A9534C" w:rsidRPr="00B6342C">
        <w:rPr>
          <w:rFonts w:eastAsia="Calibri"/>
          <w:sz w:val="18"/>
          <w:szCs w:val="18"/>
        </w:rPr>
        <w:t xml:space="preserve"> C.Y., </w:t>
      </w:r>
      <w:r w:rsidR="008513DA" w:rsidRPr="00B6342C">
        <w:rPr>
          <w:rFonts w:eastAsia="Calibri"/>
          <w:sz w:val="18"/>
          <w:szCs w:val="18"/>
        </w:rPr>
        <w:t>Long,</w:t>
      </w:r>
      <w:r w:rsidR="00C279CF" w:rsidRPr="00B6342C">
        <w:rPr>
          <w:rFonts w:eastAsia="Calibri"/>
          <w:sz w:val="18"/>
          <w:szCs w:val="18"/>
        </w:rPr>
        <w:t xml:space="preserve"> Y.Y., </w:t>
      </w:r>
      <w:r w:rsidR="008513DA" w:rsidRPr="00B6342C">
        <w:rPr>
          <w:rFonts w:eastAsia="Calibri"/>
          <w:sz w:val="18"/>
          <w:szCs w:val="18"/>
        </w:rPr>
        <w:t>Pan,</w:t>
      </w:r>
      <w:r w:rsidR="00C279CF" w:rsidRPr="00B6342C">
        <w:rPr>
          <w:rFonts w:eastAsia="Calibri"/>
          <w:sz w:val="18"/>
          <w:szCs w:val="18"/>
        </w:rPr>
        <w:t xml:space="preserve"> J.L., </w:t>
      </w:r>
      <w:r w:rsidR="008513DA" w:rsidRPr="00B6342C">
        <w:rPr>
          <w:rFonts w:eastAsia="Calibri"/>
          <w:sz w:val="18"/>
          <w:szCs w:val="18"/>
        </w:rPr>
        <w:t xml:space="preserve"> Li, </w:t>
      </w:r>
      <w:r w:rsidR="00C279CF" w:rsidRPr="00B6342C">
        <w:rPr>
          <w:rFonts w:eastAsia="Calibri"/>
          <w:sz w:val="18"/>
          <w:szCs w:val="18"/>
        </w:rPr>
        <w:t xml:space="preserve">K.A., and </w:t>
      </w:r>
      <w:r w:rsidR="008513DA" w:rsidRPr="00B6342C">
        <w:rPr>
          <w:rFonts w:eastAsia="Calibri"/>
          <w:sz w:val="18"/>
          <w:szCs w:val="18"/>
        </w:rPr>
        <w:t>Liu,</w:t>
      </w:r>
      <w:r w:rsidR="00C279CF" w:rsidRPr="00B6342C">
        <w:rPr>
          <w:rFonts w:eastAsia="Calibri"/>
          <w:sz w:val="18"/>
          <w:szCs w:val="18"/>
        </w:rPr>
        <w:t xml:space="preserve"> F. (2007).Application of Molecularly Imprinted P</w:t>
      </w:r>
      <w:r w:rsidR="008513DA" w:rsidRPr="00B6342C">
        <w:rPr>
          <w:rFonts w:eastAsia="Calibri"/>
          <w:sz w:val="18"/>
          <w:szCs w:val="18"/>
        </w:rPr>
        <w:t xml:space="preserve">olymers to </w:t>
      </w:r>
      <w:r w:rsidR="00C279CF" w:rsidRPr="00B6342C">
        <w:rPr>
          <w:rFonts w:eastAsia="Calibri"/>
          <w:sz w:val="18"/>
          <w:szCs w:val="18"/>
        </w:rPr>
        <w:t>Solid-Phase Extraction of</w:t>
      </w:r>
      <w:r w:rsidR="00C279CF" w:rsidRPr="000C37D5">
        <w:rPr>
          <w:rFonts w:eastAsia="Calibri"/>
          <w:sz w:val="18"/>
          <w:szCs w:val="18"/>
        </w:rPr>
        <w:t xml:space="preserve"> Analytes from Real S</w:t>
      </w:r>
      <w:r w:rsidR="008513DA" w:rsidRPr="000C37D5">
        <w:rPr>
          <w:rFonts w:eastAsia="Calibri"/>
          <w:sz w:val="18"/>
          <w:szCs w:val="18"/>
        </w:rPr>
        <w:t>amples.</w:t>
      </w:r>
      <w:r w:rsidR="008513DA" w:rsidRPr="000C37D5">
        <w:rPr>
          <w:rFonts w:eastAsia="Calibri"/>
          <w:i/>
          <w:sz w:val="18"/>
          <w:szCs w:val="18"/>
        </w:rPr>
        <w:t>J.Bi</w:t>
      </w:r>
      <w:r w:rsidR="00C279CF" w:rsidRPr="000C37D5">
        <w:rPr>
          <w:rFonts w:eastAsia="Calibri"/>
          <w:i/>
          <w:sz w:val="18"/>
          <w:szCs w:val="18"/>
        </w:rPr>
        <w:t>ochem.Biophys.Methods</w:t>
      </w:r>
      <w:r w:rsidR="00C279CF" w:rsidRPr="000C37D5">
        <w:rPr>
          <w:rFonts w:eastAsia="Calibri"/>
          <w:sz w:val="18"/>
          <w:szCs w:val="18"/>
        </w:rPr>
        <w:t xml:space="preserve">. </w:t>
      </w:r>
      <w:r w:rsidR="00C279CF" w:rsidRPr="000C37D5">
        <w:rPr>
          <w:rFonts w:eastAsia="Calibri"/>
          <w:b/>
          <w:sz w:val="18"/>
          <w:szCs w:val="18"/>
        </w:rPr>
        <w:t>70.</w:t>
      </w:r>
      <w:r w:rsidR="008513DA" w:rsidRPr="000C37D5">
        <w:rPr>
          <w:rFonts w:eastAsia="Calibri"/>
          <w:sz w:val="18"/>
          <w:szCs w:val="18"/>
        </w:rPr>
        <w:t xml:space="preserve"> 133.</w:t>
      </w:r>
    </w:p>
    <w:p w:rsidR="00CA5919" w:rsidRDefault="00B6342C" w:rsidP="00B42450">
      <w:pPr>
        <w:autoSpaceDE w:val="0"/>
        <w:autoSpaceDN w:val="0"/>
        <w:adjustRightInd w:val="0"/>
        <w:spacing w:line="276" w:lineRule="auto"/>
        <w:jc w:val="both"/>
        <w:rPr>
          <w:rStyle w:val="apple-style-span"/>
          <w:color w:val="000000"/>
        </w:rPr>
      </w:pPr>
      <w:r>
        <w:rPr>
          <w:rFonts w:eastAsia="Calibri"/>
          <w:sz w:val="18"/>
          <w:szCs w:val="18"/>
        </w:rPr>
        <w:t>[9</w:t>
      </w:r>
      <w:r w:rsidR="008513DA" w:rsidRPr="000C37D5">
        <w:rPr>
          <w:rFonts w:eastAsia="Calibri"/>
          <w:sz w:val="18"/>
          <w:szCs w:val="18"/>
        </w:rPr>
        <w:t>]</w:t>
      </w:r>
      <w:r w:rsidR="008513DA" w:rsidRPr="000C37D5">
        <w:rPr>
          <w:rFonts w:eastAsia="Calibri"/>
          <w:sz w:val="18"/>
          <w:szCs w:val="18"/>
        </w:rPr>
        <w:tab/>
      </w:r>
      <w:r w:rsidR="008513DA" w:rsidRPr="000C37D5">
        <w:rPr>
          <w:rStyle w:val="apple-style-span"/>
          <w:color w:val="000000"/>
          <w:sz w:val="18"/>
          <w:szCs w:val="18"/>
        </w:rPr>
        <w:t>Sellergren</w:t>
      </w:r>
      <w:r w:rsidR="00C279CF" w:rsidRPr="000C37D5">
        <w:rPr>
          <w:rStyle w:val="apple-style-span"/>
          <w:color w:val="000000"/>
          <w:sz w:val="18"/>
          <w:szCs w:val="18"/>
        </w:rPr>
        <w:t>, B. (1999).</w:t>
      </w:r>
      <w:r w:rsidR="008513DA" w:rsidRPr="000C37D5">
        <w:rPr>
          <w:rStyle w:val="apple-converted-space"/>
          <w:color w:val="000000"/>
          <w:sz w:val="18"/>
          <w:szCs w:val="18"/>
        </w:rPr>
        <w:t> </w:t>
      </w:r>
      <w:r w:rsidR="00C279CF" w:rsidRPr="00FB54A2">
        <w:rPr>
          <w:rStyle w:val="apple-style-span"/>
          <w:bCs/>
          <w:color w:val="000000"/>
          <w:sz w:val="18"/>
          <w:szCs w:val="18"/>
        </w:rPr>
        <w:t>Polymer</w:t>
      </w:r>
      <w:r w:rsidR="00AB0C8A">
        <w:rPr>
          <w:rStyle w:val="apple-style-span"/>
          <w:bCs/>
          <w:color w:val="000000"/>
          <w:sz w:val="18"/>
          <w:szCs w:val="18"/>
        </w:rPr>
        <w:t xml:space="preserve"> and Template-Related Factors Influencing the E</w:t>
      </w:r>
      <w:r w:rsidR="00C279CF" w:rsidRPr="000C37D5">
        <w:rPr>
          <w:rStyle w:val="apple-style-span"/>
          <w:bCs/>
          <w:color w:val="000000"/>
          <w:sz w:val="18"/>
          <w:szCs w:val="18"/>
        </w:rPr>
        <w:t xml:space="preserve">fficiency in </w:t>
      </w:r>
      <w:r w:rsidR="00AB0C8A">
        <w:rPr>
          <w:rStyle w:val="apple-style-span"/>
          <w:bCs/>
          <w:color w:val="000000"/>
          <w:sz w:val="18"/>
          <w:szCs w:val="18"/>
        </w:rPr>
        <w:t>M</w:t>
      </w:r>
      <w:r w:rsidR="00C279CF" w:rsidRPr="000C37D5">
        <w:rPr>
          <w:rStyle w:val="apple-style-span"/>
          <w:bCs/>
          <w:color w:val="000000"/>
          <w:sz w:val="18"/>
          <w:szCs w:val="18"/>
        </w:rPr>
        <w:t xml:space="preserve">olecularly </w:t>
      </w:r>
      <w:r w:rsidR="00AB0C8A">
        <w:rPr>
          <w:rStyle w:val="apple-style-span"/>
          <w:bCs/>
          <w:color w:val="000000"/>
          <w:sz w:val="18"/>
          <w:szCs w:val="18"/>
        </w:rPr>
        <w:t>I</w:t>
      </w:r>
      <w:r w:rsidR="00C279CF" w:rsidRPr="000C37D5">
        <w:rPr>
          <w:rStyle w:val="apple-style-span"/>
          <w:bCs/>
          <w:color w:val="000000"/>
          <w:sz w:val="18"/>
          <w:szCs w:val="18"/>
        </w:rPr>
        <w:t xml:space="preserve">mprinted </w:t>
      </w:r>
      <w:r w:rsidR="00C279CF" w:rsidRPr="000C37D5">
        <w:rPr>
          <w:rStyle w:val="apple-style-span"/>
          <w:bCs/>
          <w:color w:val="000000"/>
          <w:sz w:val="18"/>
          <w:szCs w:val="18"/>
        </w:rPr>
        <w:tab/>
      </w:r>
      <w:r w:rsidR="00AB0C8A">
        <w:rPr>
          <w:rStyle w:val="apple-style-span"/>
          <w:bCs/>
          <w:color w:val="000000"/>
          <w:sz w:val="18"/>
          <w:szCs w:val="18"/>
        </w:rPr>
        <w:t>Solid-Phase E</w:t>
      </w:r>
      <w:r w:rsidR="00C279CF" w:rsidRPr="000C37D5">
        <w:rPr>
          <w:rStyle w:val="apple-style-span"/>
          <w:bCs/>
          <w:color w:val="000000"/>
          <w:sz w:val="18"/>
          <w:szCs w:val="18"/>
        </w:rPr>
        <w:t>xtractions</w:t>
      </w:r>
      <w:r w:rsidR="00C279CF" w:rsidRPr="000C37D5">
        <w:rPr>
          <w:rFonts w:eastAsia="Calibri"/>
          <w:sz w:val="18"/>
          <w:szCs w:val="18"/>
        </w:rPr>
        <w:t>.</w:t>
      </w:r>
      <w:r w:rsidR="00C279CF" w:rsidRPr="000C37D5">
        <w:rPr>
          <w:rStyle w:val="apple-converted-space"/>
          <w:color w:val="000000"/>
          <w:sz w:val="18"/>
          <w:szCs w:val="18"/>
        </w:rPr>
        <w:t> </w:t>
      </w:r>
      <w:r w:rsidR="008513DA" w:rsidRPr="000C37D5">
        <w:rPr>
          <w:rStyle w:val="apple-style-span"/>
          <w:i/>
          <w:color w:val="000000"/>
          <w:sz w:val="18"/>
          <w:szCs w:val="18"/>
        </w:rPr>
        <w:t>Trends Anal. Chem.</w:t>
      </w:r>
      <w:r w:rsidR="008513DA" w:rsidRPr="000C37D5">
        <w:rPr>
          <w:rStyle w:val="Strong"/>
          <w:color w:val="000000"/>
          <w:sz w:val="18"/>
          <w:szCs w:val="18"/>
        </w:rPr>
        <w:t>18</w:t>
      </w:r>
      <w:r w:rsidR="00BA673C" w:rsidRPr="000C37D5">
        <w:rPr>
          <w:rStyle w:val="Strong"/>
          <w:color w:val="000000"/>
          <w:sz w:val="18"/>
          <w:szCs w:val="18"/>
        </w:rPr>
        <w:t>.</w:t>
      </w:r>
      <w:r w:rsidR="008513DA" w:rsidRPr="000C37D5">
        <w:rPr>
          <w:rStyle w:val="apple-style-span"/>
          <w:color w:val="000000"/>
          <w:sz w:val="18"/>
          <w:szCs w:val="18"/>
        </w:rPr>
        <w:t>164.</w:t>
      </w:r>
    </w:p>
    <w:p w:rsidR="004869C6" w:rsidRPr="00C832FE" w:rsidRDefault="004869C6" w:rsidP="00C832FE">
      <w:pPr>
        <w:autoSpaceDE w:val="0"/>
        <w:autoSpaceDN w:val="0"/>
        <w:adjustRightInd w:val="0"/>
        <w:spacing w:line="276" w:lineRule="auto"/>
        <w:jc w:val="both"/>
        <w:rPr>
          <w:color w:val="000000"/>
        </w:rPr>
      </w:pPr>
    </w:p>
    <w:sectPr w:rsidR="004869C6" w:rsidRPr="00C832FE" w:rsidSect="00A67A82">
      <w:footerReference w:type="default" r:id="rId25"/>
      <w:pgSz w:w="12240" w:h="15840"/>
      <w:pgMar w:top="1440" w:right="1440" w:bottom="1440" w:left="1800" w:header="67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28E" w:rsidRDefault="00B0028E" w:rsidP="00CD0087">
      <w:r>
        <w:separator/>
      </w:r>
    </w:p>
  </w:endnote>
  <w:endnote w:type="continuationSeparator" w:id="0">
    <w:p w:rsidR="00B0028E" w:rsidRDefault="00B0028E" w:rsidP="00CD0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EBAFKF+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9850375"/>
      <w:docPartObj>
        <w:docPartGallery w:val="Page Numbers (Bottom of Page)"/>
        <w:docPartUnique/>
      </w:docPartObj>
    </w:sdtPr>
    <w:sdtEndPr>
      <w:rPr>
        <w:noProof/>
      </w:rPr>
    </w:sdtEndPr>
    <w:sdtContent>
      <w:p w:rsidR="008D0F98" w:rsidRDefault="00C147E3">
        <w:pPr>
          <w:pStyle w:val="Footer"/>
          <w:jc w:val="center"/>
        </w:pPr>
        <w:r>
          <w:fldChar w:fldCharType="begin"/>
        </w:r>
        <w:r w:rsidR="008D0F98">
          <w:instrText xml:space="preserve"> PAGE   \* MERGEFORMAT </w:instrText>
        </w:r>
        <w:r>
          <w:fldChar w:fldCharType="separate"/>
        </w:r>
        <w:r w:rsidR="00B33907">
          <w:rPr>
            <w:noProof/>
          </w:rPr>
          <w:t>1</w:t>
        </w:r>
        <w:r>
          <w:rPr>
            <w:noProof/>
          </w:rPr>
          <w:fldChar w:fldCharType="end"/>
        </w:r>
      </w:p>
    </w:sdtContent>
  </w:sdt>
  <w:p w:rsidR="008D0F98" w:rsidRDefault="008D0F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28E" w:rsidRDefault="00B0028E" w:rsidP="00CD0087">
      <w:r>
        <w:separator/>
      </w:r>
    </w:p>
  </w:footnote>
  <w:footnote w:type="continuationSeparator" w:id="0">
    <w:p w:rsidR="00B0028E" w:rsidRDefault="00B0028E" w:rsidP="00CD00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B6FAF"/>
    <w:multiLevelType w:val="hybridMultilevel"/>
    <w:tmpl w:val="9996B5AE"/>
    <w:lvl w:ilvl="0" w:tplc="879CDF50">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7C567D"/>
    <w:multiLevelType w:val="hybridMultilevel"/>
    <w:tmpl w:val="852C8F6C"/>
    <w:lvl w:ilvl="0" w:tplc="04090001">
      <w:start w:val="1"/>
      <w:numFmt w:val="bullet"/>
      <w:lvlText w:val=""/>
      <w:lvlJc w:val="left"/>
      <w:pPr>
        <w:tabs>
          <w:tab w:val="num" w:pos="930"/>
        </w:tabs>
        <w:ind w:left="930" w:hanging="57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42D20"/>
    <w:rsid w:val="000035E1"/>
    <w:rsid w:val="00012EC7"/>
    <w:rsid w:val="00012F47"/>
    <w:rsid w:val="000149A2"/>
    <w:rsid w:val="00015A08"/>
    <w:rsid w:val="00016359"/>
    <w:rsid w:val="000410A2"/>
    <w:rsid w:val="00041D85"/>
    <w:rsid w:val="00042D20"/>
    <w:rsid w:val="00043D58"/>
    <w:rsid w:val="000471A5"/>
    <w:rsid w:val="000600A2"/>
    <w:rsid w:val="0006494E"/>
    <w:rsid w:val="000675CB"/>
    <w:rsid w:val="000701EC"/>
    <w:rsid w:val="0008094D"/>
    <w:rsid w:val="00081853"/>
    <w:rsid w:val="00087317"/>
    <w:rsid w:val="0009281F"/>
    <w:rsid w:val="000A0430"/>
    <w:rsid w:val="000A12BE"/>
    <w:rsid w:val="000A56B1"/>
    <w:rsid w:val="000C01D2"/>
    <w:rsid w:val="000C2E7E"/>
    <w:rsid w:val="000C37D5"/>
    <w:rsid w:val="000F25F6"/>
    <w:rsid w:val="000F7F85"/>
    <w:rsid w:val="00104487"/>
    <w:rsid w:val="00105E94"/>
    <w:rsid w:val="0011196B"/>
    <w:rsid w:val="001168C3"/>
    <w:rsid w:val="001173D0"/>
    <w:rsid w:val="0012043F"/>
    <w:rsid w:val="00125234"/>
    <w:rsid w:val="00140768"/>
    <w:rsid w:val="00141657"/>
    <w:rsid w:val="00147D08"/>
    <w:rsid w:val="00152F1E"/>
    <w:rsid w:val="00161277"/>
    <w:rsid w:val="001653ED"/>
    <w:rsid w:val="00170067"/>
    <w:rsid w:val="001947AE"/>
    <w:rsid w:val="001B3805"/>
    <w:rsid w:val="001C4B50"/>
    <w:rsid w:val="001C5F64"/>
    <w:rsid w:val="001C61EC"/>
    <w:rsid w:val="001D31F5"/>
    <w:rsid w:val="001D5E34"/>
    <w:rsid w:val="001D760C"/>
    <w:rsid w:val="001E0EEB"/>
    <w:rsid w:val="001E11A8"/>
    <w:rsid w:val="001F076F"/>
    <w:rsid w:val="001F34D0"/>
    <w:rsid w:val="001F36A5"/>
    <w:rsid w:val="001F56E1"/>
    <w:rsid w:val="0020343D"/>
    <w:rsid w:val="00206991"/>
    <w:rsid w:val="002079B4"/>
    <w:rsid w:val="00211F4D"/>
    <w:rsid w:val="0021333D"/>
    <w:rsid w:val="00216775"/>
    <w:rsid w:val="00216959"/>
    <w:rsid w:val="00222148"/>
    <w:rsid w:val="00225673"/>
    <w:rsid w:val="00236296"/>
    <w:rsid w:val="002429A5"/>
    <w:rsid w:val="00250512"/>
    <w:rsid w:val="0025403B"/>
    <w:rsid w:val="00255096"/>
    <w:rsid w:val="00277698"/>
    <w:rsid w:val="00280F76"/>
    <w:rsid w:val="00281566"/>
    <w:rsid w:val="0029151C"/>
    <w:rsid w:val="0029354F"/>
    <w:rsid w:val="00295015"/>
    <w:rsid w:val="00295515"/>
    <w:rsid w:val="00296906"/>
    <w:rsid w:val="00297E73"/>
    <w:rsid w:val="002A4D3C"/>
    <w:rsid w:val="002A5235"/>
    <w:rsid w:val="002C176F"/>
    <w:rsid w:val="002C2C64"/>
    <w:rsid w:val="002C51B7"/>
    <w:rsid w:val="002D5D6D"/>
    <w:rsid w:val="002E6205"/>
    <w:rsid w:val="002F0FB4"/>
    <w:rsid w:val="00300712"/>
    <w:rsid w:val="00300B0F"/>
    <w:rsid w:val="0030218C"/>
    <w:rsid w:val="00305181"/>
    <w:rsid w:val="00305FB0"/>
    <w:rsid w:val="00306D22"/>
    <w:rsid w:val="00311C87"/>
    <w:rsid w:val="00317672"/>
    <w:rsid w:val="00323286"/>
    <w:rsid w:val="003248AC"/>
    <w:rsid w:val="00332240"/>
    <w:rsid w:val="00335D09"/>
    <w:rsid w:val="00341AB1"/>
    <w:rsid w:val="003431D9"/>
    <w:rsid w:val="003679C9"/>
    <w:rsid w:val="003759D2"/>
    <w:rsid w:val="00380D65"/>
    <w:rsid w:val="00382AEE"/>
    <w:rsid w:val="00383668"/>
    <w:rsid w:val="00387E3F"/>
    <w:rsid w:val="003A4A97"/>
    <w:rsid w:val="003A6F09"/>
    <w:rsid w:val="003B45BF"/>
    <w:rsid w:val="003B65BB"/>
    <w:rsid w:val="003B71DE"/>
    <w:rsid w:val="003C4D5F"/>
    <w:rsid w:val="003E5B42"/>
    <w:rsid w:val="003F0928"/>
    <w:rsid w:val="003F61B6"/>
    <w:rsid w:val="00402EBC"/>
    <w:rsid w:val="00404601"/>
    <w:rsid w:val="00405D9F"/>
    <w:rsid w:val="00405DF5"/>
    <w:rsid w:val="00407888"/>
    <w:rsid w:val="004139AD"/>
    <w:rsid w:val="004152F6"/>
    <w:rsid w:val="004166D0"/>
    <w:rsid w:val="00424535"/>
    <w:rsid w:val="0043258C"/>
    <w:rsid w:val="004336A6"/>
    <w:rsid w:val="0044366E"/>
    <w:rsid w:val="00445ECD"/>
    <w:rsid w:val="00446319"/>
    <w:rsid w:val="00457918"/>
    <w:rsid w:val="00465EBF"/>
    <w:rsid w:val="00470476"/>
    <w:rsid w:val="00474413"/>
    <w:rsid w:val="004750F6"/>
    <w:rsid w:val="00486781"/>
    <w:rsid w:val="004869C6"/>
    <w:rsid w:val="004A2CBD"/>
    <w:rsid w:val="004A37AB"/>
    <w:rsid w:val="004A3D34"/>
    <w:rsid w:val="004B00B4"/>
    <w:rsid w:val="004B1BFC"/>
    <w:rsid w:val="004B3569"/>
    <w:rsid w:val="004B4713"/>
    <w:rsid w:val="004C55F2"/>
    <w:rsid w:val="004D4309"/>
    <w:rsid w:val="004E76F9"/>
    <w:rsid w:val="004F6E04"/>
    <w:rsid w:val="00520F21"/>
    <w:rsid w:val="005229D6"/>
    <w:rsid w:val="00524AE4"/>
    <w:rsid w:val="00535412"/>
    <w:rsid w:val="00536ADE"/>
    <w:rsid w:val="00542493"/>
    <w:rsid w:val="00542A28"/>
    <w:rsid w:val="0055213A"/>
    <w:rsid w:val="00575409"/>
    <w:rsid w:val="00580489"/>
    <w:rsid w:val="005818EB"/>
    <w:rsid w:val="005865D5"/>
    <w:rsid w:val="00591721"/>
    <w:rsid w:val="005A0C36"/>
    <w:rsid w:val="005A14D7"/>
    <w:rsid w:val="005A1FA0"/>
    <w:rsid w:val="005A2EAD"/>
    <w:rsid w:val="005A4818"/>
    <w:rsid w:val="005B565A"/>
    <w:rsid w:val="005C54C8"/>
    <w:rsid w:val="005E0A6F"/>
    <w:rsid w:val="005E614D"/>
    <w:rsid w:val="005F487D"/>
    <w:rsid w:val="005F5E38"/>
    <w:rsid w:val="005F5F9E"/>
    <w:rsid w:val="00600797"/>
    <w:rsid w:val="00600890"/>
    <w:rsid w:val="006029E2"/>
    <w:rsid w:val="006051CE"/>
    <w:rsid w:val="006067A0"/>
    <w:rsid w:val="006069E3"/>
    <w:rsid w:val="00620814"/>
    <w:rsid w:val="00623E0B"/>
    <w:rsid w:val="00624BD7"/>
    <w:rsid w:val="00627973"/>
    <w:rsid w:val="00640C9D"/>
    <w:rsid w:val="00643553"/>
    <w:rsid w:val="00644F71"/>
    <w:rsid w:val="006452E7"/>
    <w:rsid w:val="00652E07"/>
    <w:rsid w:val="00653EB2"/>
    <w:rsid w:val="00664542"/>
    <w:rsid w:val="00671D2F"/>
    <w:rsid w:val="00674C2C"/>
    <w:rsid w:val="0067566A"/>
    <w:rsid w:val="006838C7"/>
    <w:rsid w:val="00687B74"/>
    <w:rsid w:val="00697474"/>
    <w:rsid w:val="006A3534"/>
    <w:rsid w:val="006A63C1"/>
    <w:rsid w:val="006B79AF"/>
    <w:rsid w:val="006C4EB3"/>
    <w:rsid w:val="006C7904"/>
    <w:rsid w:val="006E64D6"/>
    <w:rsid w:val="006E6CF9"/>
    <w:rsid w:val="00703C0F"/>
    <w:rsid w:val="00713767"/>
    <w:rsid w:val="0071418B"/>
    <w:rsid w:val="00726BAB"/>
    <w:rsid w:val="0073052E"/>
    <w:rsid w:val="0073189A"/>
    <w:rsid w:val="00736F97"/>
    <w:rsid w:val="00766D99"/>
    <w:rsid w:val="007805C1"/>
    <w:rsid w:val="00780658"/>
    <w:rsid w:val="00782168"/>
    <w:rsid w:val="00790FE8"/>
    <w:rsid w:val="007A3FD9"/>
    <w:rsid w:val="007B6866"/>
    <w:rsid w:val="007C0A98"/>
    <w:rsid w:val="007C589F"/>
    <w:rsid w:val="007D249A"/>
    <w:rsid w:val="007D3253"/>
    <w:rsid w:val="007D5483"/>
    <w:rsid w:val="007F1641"/>
    <w:rsid w:val="007F4EE1"/>
    <w:rsid w:val="007F557F"/>
    <w:rsid w:val="00800EAB"/>
    <w:rsid w:val="0080225B"/>
    <w:rsid w:val="00816D9B"/>
    <w:rsid w:val="00817BF4"/>
    <w:rsid w:val="00822B0E"/>
    <w:rsid w:val="0082308B"/>
    <w:rsid w:val="00834433"/>
    <w:rsid w:val="008446E0"/>
    <w:rsid w:val="008513DA"/>
    <w:rsid w:val="0085615C"/>
    <w:rsid w:val="0088629E"/>
    <w:rsid w:val="00892658"/>
    <w:rsid w:val="0089422E"/>
    <w:rsid w:val="00896E17"/>
    <w:rsid w:val="008973F5"/>
    <w:rsid w:val="008B137E"/>
    <w:rsid w:val="008C6561"/>
    <w:rsid w:val="008C7166"/>
    <w:rsid w:val="008C7951"/>
    <w:rsid w:val="008D0F98"/>
    <w:rsid w:val="008D3864"/>
    <w:rsid w:val="008E6854"/>
    <w:rsid w:val="00911942"/>
    <w:rsid w:val="00911F15"/>
    <w:rsid w:val="00914BF0"/>
    <w:rsid w:val="00921C64"/>
    <w:rsid w:val="00923863"/>
    <w:rsid w:val="00925702"/>
    <w:rsid w:val="00936A04"/>
    <w:rsid w:val="00944272"/>
    <w:rsid w:val="00945835"/>
    <w:rsid w:val="00951EC1"/>
    <w:rsid w:val="009534DB"/>
    <w:rsid w:val="00962276"/>
    <w:rsid w:val="0096257E"/>
    <w:rsid w:val="00967ECE"/>
    <w:rsid w:val="00972F27"/>
    <w:rsid w:val="009731A7"/>
    <w:rsid w:val="009753DC"/>
    <w:rsid w:val="00981B1E"/>
    <w:rsid w:val="009A3EB4"/>
    <w:rsid w:val="009A594F"/>
    <w:rsid w:val="009B69BB"/>
    <w:rsid w:val="009C29B8"/>
    <w:rsid w:val="009D39D8"/>
    <w:rsid w:val="009D6072"/>
    <w:rsid w:val="009D7268"/>
    <w:rsid w:val="009E1D39"/>
    <w:rsid w:val="009F0DE2"/>
    <w:rsid w:val="00A035BB"/>
    <w:rsid w:val="00A06658"/>
    <w:rsid w:val="00A07DFC"/>
    <w:rsid w:val="00A07E1E"/>
    <w:rsid w:val="00A1190B"/>
    <w:rsid w:val="00A26EB2"/>
    <w:rsid w:val="00A36615"/>
    <w:rsid w:val="00A37D92"/>
    <w:rsid w:val="00A54EE8"/>
    <w:rsid w:val="00A561C4"/>
    <w:rsid w:val="00A62810"/>
    <w:rsid w:val="00A67A82"/>
    <w:rsid w:val="00A7295B"/>
    <w:rsid w:val="00A74AE1"/>
    <w:rsid w:val="00A82BB3"/>
    <w:rsid w:val="00A9534C"/>
    <w:rsid w:val="00A96329"/>
    <w:rsid w:val="00AA2F1A"/>
    <w:rsid w:val="00AA5FC6"/>
    <w:rsid w:val="00AB0C8A"/>
    <w:rsid w:val="00AB132A"/>
    <w:rsid w:val="00AB5EE4"/>
    <w:rsid w:val="00AC24C6"/>
    <w:rsid w:val="00AC5D24"/>
    <w:rsid w:val="00AD1D62"/>
    <w:rsid w:val="00AE15B8"/>
    <w:rsid w:val="00AE314E"/>
    <w:rsid w:val="00AE447B"/>
    <w:rsid w:val="00AE79AF"/>
    <w:rsid w:val="00AF1C94"/>
    <w:rsid w:val="00AF2928"/>
    <w:rsid w:val="00AF7D3D"/>
    <w:rsid w:val="00B0028E"/>
    <w:rsid w:val="00B02472"/>
    <w:rsid w:val="00B02AB9"/>
    <w:rsid w:val="00B042D8"/>
    <w:rsid w:val="00B22F49"/>
    <w:rsid w:val="00B23D65"/>
    <w:rsid w:val="00B305CF"/>
    <w:rsid w:val="00B33907"/>
    <w:rsid w:val="00B40798"/>
    <w:rsid w:val="00B42450"/>
    <w:rsid w:val="00B4729A"/>
    <w:rsid w:val="00B5321F"/>
    <w:rsid w:val="00B55985"/>
    <w:rsid w:val="00B55F4E"/>
    <w:rsid w:val="00B60C47"/>
    <w:rsid w:val="00B6342C"/>
    <w:rsid w:val="00B64B4D"/>
    <w:rsid w:val="00B76BED"/>
    <w:rsid w:val="00B776DA"/>
    <w:rsid w:val="00B80D63"/>
    <w:rsid w:val="00B8699B"/>
    <w:rsid w:val="00B951A4"/>
    <w:rsid w:val="00B9754B"/>
    <w:rsid w:val="00B975C7"/>
    <w:rsid w:val="00BA215D"/>
    <w:rsid w:val="00BA3989"/>
    <w:rsid w:val="00BA673C"/>
    <w:rsid w:val="00BB322D"/>
    <w:rsid w:val="00BB5A20"/>
    <w:rsid w:val="00BC49CC"/>
    <w:rsid w:val="00BD10A1"/>
    <w:rsid w:val="00BD13EC"/>
    <w:rsid w:val="00BE07E5"/>
    <w:rsid w:val="00BE2559"/>
    <w:rsid w:val="00BE408D"/>
    <w:rsid w:val="00BF1BAE"/>
    <w:rsid w:val="00BF5477"/>
    <w:rsid w:val="00BF5F22"/>
    <w:rsid w:val="00C006A1"/>
    <w:rsid w:val="00C147E3"/>
    <w:rsid w:val="00C1697C"/>
    <w:rsid w:val="00C17BD6"/>
    <w:rsid w:val="00C227A2"/>
    <w:rsid w:val="00C25B26"/>
    <w:rsid w:val="00C279CF"/>
    <w:rsid w:val="00C4239A"/>
    <w:rsid w:val="00C44FD4"/>
    <w:rsid w:val="00C47428"/>
    <w:rsid w:val="00C47BFA"/>
    <w:rsid w:val="00C50E2F"/>
    <w:rsid w:val="00C61DAC"/>
    <w:rsid w:val="00C73D06"/>
    <w:rsid w:val="00C74A90"/>
    <w:rsid w:val="00C7760B"/>
    <w:rsid w:val="00C777F8"/>
    <w:rsid w:val="00C831AE"/>
    <w:rsid w:val="00C832FE"/>
    <w:rsid w:val="00C834AB"/>
    <w:rsid w:val="00C94701"/>
    <w:rsid w:val="00CA4CC1"/>
    <w:rsid w:val="00CA5919"/>
    <w:rsid w:val="00CD0087"/>
    <w:rsid w:val="00CE7E4C"/>
    <w:rsid w:val="00CF2A6E"/>
    <w:rsid w:val="00CF2AC0"/>
    <w:rsid w:val="00D15CB8"/>
    <w:rsid w:val="00D2056E"/>
    <w:rsid w:val="00D42CAC"/>
    <w:rsid w:val="00D44646"/>
    <w:rsid w:val="00D45115"/>
    <w:rsid w:val="00D53EE2"/>
    <w:rsid w:val="00D550A1"/>
    <w:rsid w:val="00D61250"/>
    <w:rsid w:val="00D62BB6"/>
    <w:rsid w:val="00D66450"/>
    <w:rsid w:val="00D672BF"/>
    <w:rsid w:val="00D71952"/>
    <w:rsid w:val="00D73701"/>
    <w:rsid w:val="00D76679"/>
    <w:rsid w:val="00D801DB"/>
    <w:rsid w:val="00D836DF"/>
    <w:rsid w:val="00DA00A7"/>
    <w:rsid w:val="00DA45FC"/>
    <w:rsid w:val="00DB5506"/>
    <w:rsid w:val="00DB7F7C"/>
    <w:rsid w:val="00DC4DF0"/>
    <w:rsid w:val="00DE1F95"/>
    <w:rsid w:val="00DE409A"/>
    <w:rsid w:val="00DE6ADE"/>
    <w:rsid w:val="00DF0B37"/>
    <w:rsid w:val="00E07690"/>
    <w:rsid w:val="00E13C14"/>
    <w:rsid w:val="00E21730"/>
    <w:rsid w:val="00E24769"/>
    <w:rsid w:val="00E30096"/>
    <w:rsid w:val="00E31F10"/>
    <w:rsid w:val="00E33B89"/>
    <w:rsid w:val="00E41EEF"/>
    <w:rsid w:val="00E509E3"/>
    <w:rsid w:val="00E524E8"/>
    <w:rsid w:val="00E5350D"/>
    <w:rsid w:val="00E638DF"/>
    <w:rsid w:val="00E66D68"/>
    <w:rsid w:val="00E72888"/>
    <w:rsid w:val="00E740CD"/>
    <w:rsid w:val="00E800E0"/>
    <w:rsid w:val="00E83C15"/>
    <w:rsid w:val="00E83E27"/>
    <w:rsid w:val="00E86E57"/>
    <w:rsid w:val="00E871CF"/>
    <w:rsid w:val="00E91A0D"/>
    <w:rsid w:val="00EA4BB9"/>
    <w:rsid w:val="00EB2B49"/>
    <w:rsid w:val="00EB3373"/>
    <w:rsid w:val="00EB3DE8"/>
    <w:rsid w:val="00EC5480"/>
    <w:rsid w:val="00ED7365"/>
    <w:rsid w:val="00ED7CDA"/>
    <w:rsid w:val="00EE2D22"/>
    <w:rsid w:val="00EE448E"/>
    <w:rsid w:val="00EF18BF"/>
    <w:rsid w:val="00EF408C"/>
    <w:rsid w:val="00F016F4"/>
    <w:rsid w:val="00F11326"/>
    <w:rsid w:val="00F171DD"/>
    <w:rsid w:val="00F213B1"/>
    <w:rsid w:val="00F21512"/>
    <w:rsid w:val="00F326A1"/>
    <w:rsid w:val="00F437B8"/>
    <w:rsid w:val="00F471D1"/>
    <w:rsid w:val="00F508B6"/>
    <w:rsid w:val="00F52ACF"/>
    <w:rsid w:val="00F64133"/>
    <w:rsid w:val="00F644C8"/>
    <w:rsid w:val="00F76481"/>
    <w:rsid w:val="00F90696"/>
    <w:rsid w:val="00F96B22"/>
    <w:rsid w:val="00FB54A2"/>
    <w:rsid w:val="00FE3300"/>
    <w:rsid w:val="00FE6E66"/>
    <w:rsid w:val="00FF0409"/>
    <w:rsid w:val="00FF24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Columns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D20"/>
    <w:rPr>
      <w:rFonts w:ascii="Times New Roman" w:eastAsia="Times New Roman" w:hAnsi="Times New Roman"/>
      <w:sz w:val="24"/>
      <w:szCs w:val="24"/>
    </w:rPr>
  </w:style>
  <w:style w:type="paragraph" w:styleId="Heading1">
    <w:name w:val="heading 1"/>
    <w:basedOn w:val="Normal"/>
    <w:next w:val="Normal"/>
    <w:link w:val="Heading1Char"/>
    <w:uiPriority w:val="9"/>
    <w:qFormat/>
    <w:rsid w:val="004D4309"/>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semiHidden/>
    <w:unhideWhenUsed/>
    <w:qFormat/>
    <w:rsid w:val="00042D20"/>
    <w:pPr>
      <w:spacing w:before="240" w:after="60"/>
      <w:outlineLvl w:val="4"/>
    </w:pPr>
    <w:rPr>
      <w:rFonts w:ascii="Calibri" w:hAnsi="Calibri"/>
      <w:b/>
      <w:bCs/>
      <w:i/>
      <w:iCs/>
      <w:sz w:val="26"/>
      <w:szCs w:val="26"/>
    </w:rPr>
  </w:style>
  <w:style w:type="paragraph" w:styleId="Heading7">
    <w:name w:val="heading 7"/>
    <w:basedOn w:val="Normal"/>
    <w:next w:val="Normal"/>
    <w:link w:val="Heading7Char"/>
    <w:unhideWhenUsed/>
    <w:qFormat/>
    <w:rsid w:val="00042D20"/>
    <w:pPr>
      <w:spacing w:before="240" w:after="60"/>
      <w:outlineLvl w:val="6"/>
    </w:pPr>
    <w:rPr>
      <w:rFonts w:ascii="Calibri" w:hAnsi="Calibri"/>
    </w:rPr>
  </w:style>
  <w:style w:type="paragraph" w:styleId="Heading8">
    <w:name w:val="heading 8"/>
    <w:basedOn w:val="Normal"/>
    <w:next w:val="Normal"/>
    <w:link w:val="Heading8Char"/>
    <w:semiHidden/>
    <w:unhideWhenUsed/>
    <w:qFormat/>
    <w:rsid w:val="00042D2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042D20"/>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042D20"/>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042D20"/>
    <w:rPr>
      <w:rFonts w:ascii="Calibri" w:eastAsia="Times New Roman" w:hAnsi="Calibri" w:cs="Times New Roman"/>
      <w:i/>
      <w:iCs/>
      <w:sz w:val="24"/>
      <w:szCs w:val="24"/>
    </w:rPr>
  </w:style>
  <w:style w:type="paragraph" w:styleId="BodyText">
    <w:name w:val="Body Text"/>
    <w:basedOn w:val="Normal"/>
    <w:link w:val="BodyTextChar"/>
    <w:rsid w:val="00042D20"/>
    <w:pPr>
      <w:spacing w:after="120"/>
    </w:pPr>
  </w:style>
  <w:style w:type="character" w:customStyle="1" w:styleId="BodyTextChar">
    <w:name w:val="Body Text Char"/>
    <w:basedOn w:val="DefaultParagraphFont"/>
    <w:link w:val="BodyText"/>
    <w:rsid w:val="00042D20"/>
    <w:rPr>
      <w:rFonts w:ascii="Times New Roman" w:eastAsia="Times New Roman" w:hAnsi="Times New Roman" w:cs="Times New Roman"/>
      <w:sz w:val="24"/>
      <w:szCs w:val="24"/>
    </w:rPr>
  </w:style>
  <w:style w:type="paragraph" w:styleId="BodyText2">
    <w:name w:val="Body Text 2"/>
    <w:basedOn w:val="Normal"/>
    <w:link w:val="BodyText2Char"/>
    <w:rsid w:val="00042D20"/>
    <w:pPr>
      <w:spacing w:after="120" w:line="480" w:lineRule="auto"/>
    </w:pPr>
  </w:style>
  <w:style w:type="character" w:customStyle="1" w:styleId="BodyText2Char">
    <w:name w:val="Body Text 2 Char"/>
    <w:basedOn w:val="DefaultParagraphFont"/>
    <w:link w:val="BodyText2"/>
    <w:rsid w:val="00042D2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0087"/>
    <w:pPr>
      <w:tabs>
        <w:tab w:val="center" w:pos="4680"/>
        <w:tab w:val="right" w:pos="9360"/>
      </w:tabs>
    </w:pPr>
  </w:style>
  <w:style w:type="character" w:customStyle="1" w:styleId="HeaderChar">
    <w:name w:val="Header Char"/>
    <w:basedOn w:val="DefaultParagraphFont"/>
    <w:link w:val="Header"/>
    <w:uiPriority w:val="99"/>
    <w:rsid w:val="00CD0087"/>
    <w:rPr>
      <w:rFonts w:ascii="Times New Roman" w:eastAsia="Times New Roman" w:hAnsi="Times New Roman"/>
      <w:sz w:val="24"/>
      <w:szCs w:val="24"/>
    </w:rPr>
  </w:style>
  <w:style w:type="paragraph" w:styleId="Footer">
    <w:name w:val="footer"/>
    <w:basedOn w:val="Normal"/>
    <w:link w:val="FooterChar"/>
    <w:uiPriority w:val="99"/>
    <w:unhideWhenUsed/>
    <w:rsid w:val="00CD0087"/>
    <w:pPr>
      <w:tabs>
        <w:tab w:val="center" w:pos="4680"/>
        <w:tab w:val="right" w:pos="9360"/>
      </w:tabs>
    </w:pPr>
  </w:style>
  <w:style w:type="character" w:customStyle="1" w:styleId="FooterChar">
    <w:name w:val="Footer Char"/>
    <w:basedOn w:val="DefaultParagraphFont"/>
    <w:link w:val="Footer"/>
    <w:uiPriority w:val="99"/>
    <w:rsid w:val="00CD008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D0087"/>
    <w:rPr>
      <w:rFonts w:ascii="Tahoma" w:hAnsi="Tahoma" w:cs="Tahoma"/>
      <w:sz w:val="16"/>
      <w:szCs w:val="16"/>
    </w:rPr>
  </w:style>
  <w:style w:type="character" w:customStyle="1" w:styleId="BalloonTextChar">
    <w:name w:val="Balloon Text Char"/>
    <w:basedOn w:val="DefaultParagraphFont"/>
    <w:link w:val="BalloonText"/>
    <w:uiPriority w:val="99"/>
    <w:semiHidden/>
    <w:rsid w:val="00CD0087"/>
    <w:rPr>
      <w:rFonts w:ascii="Tahoma" w:eastAsia="Times New Roman" w:hAnsi="Tahoma" w:cs="Tahoma"/>
      <w:sz w:val="16"/>
      <w:szCs w:val="16"/>
    </w:rPr>
  </w:style>
  <w:style w:type="table" w:styleId="TableColumns4">
    <w:name w:val="Table Columns 4"/>
    <w:basedOn w:val="TableNormal"/>
    <w:rsid w:val="0021333D"/>
    <w:rPr>
      <w:rFonts w:ascii="Times New Roman" w:eastAsia="SimSu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A07E1E"/>
    <w:rPr>
      <w:color w:val="0000FF"/>
      <w:u w:val="single"/>
    </w:rPr>
  </w:style>
  <w:style w:type="character" w:customStyle="1" w:styleId="Heading1Char">
    <w:name w:val="Heading 1 Char"/>
    <w:basedOn w:val="DefaultParagraphFont"/>
    <w:link w:val="Heading1"/>
    <w:uiPriority w:val="9"/>
    <w:rsid w:val="004D4309"/>
    <w:rPr>
      <w:rFonts w:ascii="Cambria" w:eastAsia="Times New Roman" w:hAnsi="Cambria" w:cs="Times New Roman"/>
      <w:b/>
      <w:bCs/>
      <w:kern w:val="32"/>
      <w:sz w:val="32"/>
      <w:szCs w:val="32"/>
    </w:rPr>
  </w:style>
  <w:style w:type="table" w:styleId="TableGrid">
    <w:name w:val="Table Grid"/>
    <w:basedOn w:val="TableNormal"/>
    <w:uiPriority w:val="59"/>
    <w:rsid w:val="006067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8513DA"/>
    <w:pPr>
      <w:spacing w:after="120"/>
      <w:ind w:left="360"/>
    </w:pPr>
  </w:style>
  <w:style w:type="character" w:customStyle="1" w:styleId="BodyTextIndentChar">
    <w:name w:val="Body Text Indent Char"/>
    <w:basedOn w:val="DefaultParagraphFont"/>
    <w:link w:val="BodyTextIndent"/>
    <w:uiPriority w:val="99"/>
    <w:semiHidden/>
    <w:rsid w:val="008513DA"/>
    <w:rPr>
      <w:rFonts w:ascii="Times New Roman" w:eastAsia="Times New Roman" w:hAnsi="Times New Roman"/>
      <w:sz w:val="24"/>
      <w:szCs w:val="24"/>
    </w:rPr>
  </w:style>
  <w:style w:type="paragraph" w:styleId="ListParagraph">
    <w:name w:val="List Paragraph"/>
    <w:basedOn w:val="Normal"/>
    <w:uiPriority w:val="34"/>
    <w:qFormat/>
    <w:rsid w:val="008513DA"/>
    <w:pPr>
      <w:ind w:left="720"/>
      <w:contextualSpacing/>
    </w:pPr>
    <w:rPr>
      <w:rFonts w:eastAsia="MS Mincho"/>
      <w:sz w:val="20"/>
      <w:szCs w:val="20"/>
      <w:lang w:val="en-GB"/>
    </w:rPr>
  </w:style>
  <w:style w:type="character" w:styleId="Strong">
    <w:name w:val="Strong"/>
    <w:basedOn w:val="DefaultParagraphFont"/>
    <w:uiPriority w:val="22"/>
    <w:qFormat/>
    <w:rsid w:val="008513DA"/>
    <w:rPr>
      <w:b/>
      <w:bCs/>
    </w:rPr>
  </w:style>
  <w:style w:type="character" w:styleId="HTMLCite">
    <w:name w:val="HTML Cite"/>
    <w:basedOn w:val="DefaultParagraphFont"/>
    <w:uiPriority w:val="99"/>
    <w:semiHidden/>
    <w:unhideWhenUsed/>
    <w:rsid w:val="008513DA"/>
    <w:rPr>
      <w:i/>
      <w:iCs/>
    </w:rPr>
  </w:style>
  <w:style w:type="character" w:customStyle="1" w:styleId="apple-style-span">
    <w:name w:val="apple-style-span"/>
    <w:basedOn w:val="DefaultParagraphFont"/>
    <w:rsid w:val="008513DA"/>
  </w:style>
  <w:style w:type="character" w:customStyle="1" w:styleId="apple-converted-space">
    <w:name w:val="apple-converted-space"/>
    <w:basedOn w:val="DefaultParagraphFont"/>
    <w:rsid w:val="008513DA"/>
  </w:style>
  <w:style w:type="paragraph" w:styleId="NoSpacing">
    <w:name w:val="No Spacing"/>
    <w:uiPriority w:val="1"/>
    <w:qFormat/>
    <w:rsid w:val="004B00B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Columns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D20"/>
    <w:rPr>
      <w:rFonts w:ascii="Times New Roman" w:eastAsia="Times New Roman" w:hAnsi="Times New Roman"/>
      <w:sz w:val="24"/>
      <w:szCs w:val="24"/>
    </w:rPr>
  </w:style>
  <w:style w:type="paragraph" w:styleId="Heading1">
    <w:name w:val="heading 1"/>
    <w:basedOn w:val="Normal"/>
    <w:next w:val="Normal"/>
    <w:link w:val="Heading1Char"/>
    <w:uiPriority w:val="9"/>
    <w:qFormat/>
    <w:rsid w:val="004D4309"/>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semiHidden/>
    <w:unhideWhenUsed/>
    <w:qFormat/>
    <w:rsid w:val="00042D20"/>
    <w:pPr>
      <w:spacing w:before="240" w:after="60"/>
      <w:outlineLvl w:val="4"/>
    </w:pPr>
    <w:rPr>
      <w:rFonts w:ascii="Calibri" w:hAnsi="Calibri"/>
      <w:b/>
      <w:bCs/>
      <w:i/>
      <w:iCs/>
      <w:sz w:val="26"/>
      <w:szCs w:val="26"/>
    </w:rPr>
  </w:style>
  <w:style w:type="paragraph" w:styleId="Heading7">
    <w:name w:val="heading 7"/>
    <w:basedOn w:val="Normal"/>
    <w:next w:val="Normal"/>
    <w:link w:val="Heading7Char"/>
    <w:unhideWhenUsed/>
    <w:qFormat/>
    <w:rsid w:val="00042D20"/>
    <w:pPr>
      <w:spacing w:before="240" w:after="60"/>
      <w:outlineLvl w:val="6"/>
    </w:pPr>
    <w:rPr>
      <w:rFonts w:ascii="Calibri" w:hAnsi="Calibri"/>
    </w:rPr>
  </w:style>
  <w:style w:type="paragraph" w:styleId="Heading8">
    <w:name w:val="heading 8"/>
    <w:basedOn w:val="Normal"/>
    <w:next w:val="Normal"/>
    <w:link w:val="Heading8Char"/>
    <w:semiHidden/>
    <w:unhideWhenUsed/>
    <w:qFormat/>
    <w:rsid w:val="00042D2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042D20"/>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042D20"/>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042D20"/>
    <w:rPr>
      <w:rFonts w:ascii="Calibri" w:eastAsia="Times New Roman" w:hAnsi="Calibri" w:cs="Times New Roman"/>
      <w:i/>
      <w:iCs/>
      <w:sz w:val="24"/>
      <w:szCs w:val="24"/>
    </w:rPr>
  </w:style>
  <w:style w:type="paragraph" w:styleId="BodyText">
    <w:name w:val="Body Text"/>
    <w:basedOn w:val="Normal"/>
    <w:link w:val="BodyTextChar"/>
    <w:rsid w:val="00042D20"/>
    <w:pPr>
      <w:spacing w:after="120"/>
    </w:pPr>
  </w:style>
  <w:style w:type="character" w:customStyle="1" w:styleId="BodyTextChar">
    <w:name w:val="Body Text Char"/>
    <w:basedOn w:val="DefaultParagraphFont"/>
    <w:link w:val="BodyText"/>
    <w:rsid w:val="00042D20"/>
    <w:rPr>
      <w:rFonts w:ascii="Times New Roman" w:eastAsia="Times New Roman" w:hAnsi="Times New Roman" w:cs="Times New Roman"/>
      <w:sz w:val="24"/>
      <w:szCs w:val="24"/>
    </w:rPr>
  </w:style>
  <w:style w:type="paragraph" w:styleId="BodyText2">
    <w:name w:val="Body Text 2"/>
    <w:basedOn w:val="Normal"/>
    <w:link w:val="BodyText2Char"/>
    <w:rsid w:val="00042D20"/>
    <w:pPr>
      <w:spacing w:after="120" w:line="480" w:lineRule="auto"/>
    </w:pPr>
  </w:style>
  <w:style w:type="character" w:customStyle="1" w:styleId="BodyText2Char">
    <w:name w:val="Body Text 2 Char"/>
    <w:basedOn w:val="DefaultParagraphFont"/>
    <w:link w:val="BodyText2"/>
    <w:rsid w:val="00042D2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0087"/>
    <w:pPr>
      <w:tabs>
        <w:tab w:val="center" w:pos="4680"/>
        <w:tab w:val="right" w:pos="9360"/>
      </w:tabs>
    </w:pPr>
  </w:style>
  <w:style w:type="character" w:customStyle="1" w:styleId="HeaderChar">
    <w:name w:val="Header Char"/>
    <w:basedOn w:val="DefaultParagraphFont"/>
    <w:link w:val="Header"/>
    <w:uiPriority w:val="99"/>
    <w:rsid w:val="00CD0087"/>
    <w:rPr>
      <w:rFonts w:ascii="Times New Roman" w:eastAsia="Times New Roman" w:hAnsi="Times New Roman"/>
      <w:sz w:val="24"/>
      <w:szCs w:val="24"/>
    </w:rPr>
  </w:style>
  <w:style w:type="paragraph" w:styleId="Footer">
    <w:name w:val="footer"/>
    <w:basedOn w:val="Normal"/>
    <w:link w:val="FooterChar"/>
    <w:uiPriority w:val="99"/>
    <w:unhideWhenUsed/>
    <w:rsid w:val="00CD0087"/>
    <w:pPr>
      <w:tabs>
        <w:tab w:val="center" w:pos="4680"/>
        <w:tab w:val="right" w:pos="9360"/>
      </w:tabs>
    </w:pPr>
  </w:style>
  <w:style w:type="character" w:customStyle="1" w:styleId="FooterChar">
    <w:name w:val="Footer Char"/>
    <w:basedOn w:val="DefaultParagraphFont"/>
    <w:link w:val="Footer"/>
    <w:uiPriority w:val="99"/>
    <w:rsid w:val="00CD008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D0087"/>
    <w:rPr>
      <w:rFonts w:ascii="Tahoma" w:hAnsi="Tahoma" w:cs="Tahoma"/>
      <w:sz w:val="16"/>
      <w:szCs w:val="16"/>
    </w:rPr>
  </w:style>
  <w:style w:type="character" w:customStyle="1" w:styleId="BalloonTextChar">
    <w:name w:val="Balloon Text Char"/>
    <w:basedOn w:val="DefaultParagraphFont"/>
    <w:link w:val="BalloonText"/>
    <w:uiPriority w:val="99"/>
    <w:semiHidden/>
    <w:rsid w:val="00CD0087"/>
    <w:rPr>
      <w:rFonts w:ascii="Tahoma" w:eastAsia="Times New Roman" w:hAnsi="Tahoma" w:cs="Tahoma"/>
      <w:sz w:val="16"/>
      <w:szCs w:val="16"/>
    </w:rPr>
  </w:style>
  <w:style w:type="table" w:styleId="TableColumns4">
    <w:name w:val="Table Columns 4"/>
    <w:basedOn w:val="TableNormal"/>
    <w:rsid w:val="0021333D"/>
    <w:rPr>
      <w:rFonts w:ascii="Times New Roman" w:eastAsia="SimSu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A07E1E"/>
    <w:rPr>
      <w:color w:val="0000FF"/>
      <w:u w:val="single"/>
    </w:rPr>
  </w:style>
  <w:style w:type="character" w:customStyle="1" w:styleId="Heading1Char">
    <w:name w:val="Heading 1 Char"/>
    <w:basedOn w:val="DefaultParagraphFont"/>
    <w:link w:val="Heading1"/>
    <w:uiPriority w:val="9"/>
    <w:rsid w:val="004D4309"/>
    <w:rPr>
      <w:rFonts w:ascii="Cambria" w:eastAsia="Times New Roman" w:hAnsi="Cambria" w:cs="Times New Roman"/>
      <w:b/>
      <w:bCs/>
      <w:kern w:val="32"/>
      <w:sz w:val="32"/>
      <w:szCs w:val="32"/>
    </w:rPr>
  </w:style>
  <w:style w:type="table" w:styleId="TableGrid">
    <w:name w:val="Table Grid"/>
    <w:basedOn w:val="TableNormal"/>
    <w:uiPriority w:val="59"/>
    <w:rsid w:val="006067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8513DA"/>
    <w:pPr>
      <w:spacing w:after="120"/>
      <w:ind w:left="360"/>
    </w:pPr>
  </w:style>
  <w:style w:type="character" w:customStyle="1" w:styleId="BodyTextIndentChar">
    <w:name w:val="Body Text Indent Char"/>
    <w:basedOn w:val="DefaultParagraphFont"/>
    <w:link w:val="BodyTextIndent"/>
    <w:uiPriority w:val="99"/>
    <w:semiHidden/>
    <w:rsid w:val="008513DA"/>
    <w:rPr>
      <w:rFonts w:ascii="Times New Roman" w:eastAsia="Times New Roman" w:hAnsi="Times New Roman"/>
      <w:sz w:val="24"/>
      <w:szCs w:val="24"/>
    </w:rPr>
  </w:style>
  <w:style w:type="paragraph" w:styleId="ListParagraph">
    <w:name w:val="List Paragraph"/>
    <w:basedOn w:val="Normal"/>
    <w:uiPriority w:val="34"/>
    <w:qFormat/>
    <w:rsid w:val="008513DA"/>
    <w:pPr>
      <w:ind w:left="720"/>
      <w:contextualSpacing/>
    </w:pPr>
    <w:rPr>
      <w:rFonts w:eastAsia="MS Mincho"/>
      <w:sz w:val="20"/>
      <w:szCs w:val="20"/>
      <w:lang w:val="en-GB"/>
    </w:rPr>
  </w:style>
  <w:style w:type="character" w:styleId="Strong">
    <w:name w:val="Strong"/>
    <w:basedOn w:val="DefaultParagraphFont"/>
    <w:uiPriority w:val="22"/>
    <w:qFormat/>
    <w:rsid w:val="008513DA"/>
    <w:rPr>
      <w:b/>
      <w:bCs/>
    </w:rPr>
  </w:style>
  <w:style w:type="character" w:styleId="HTMLCite">
    <w:name w:val="HTML Cite"/>
    <w:basedOn w:val="DefaultParagraphFont"/>
    <w:uiPriority w:val="99"/>
    <w:semiHidden/>
    <w:unhideWhenUsed/>
    <w:rsid w:val="008513DA"/>
    <w:rPr>
      <w:i/>
      <w:iCs/>
    </w:rPr>
  </w:style>
  <w:style w:type="character" w:customStyle="1" w:styleId="apple-style-span">
    <w:name w:val="apple-style-span"/>
    <w:basedOn w:val="DefaultParagraphFont"/>
    <w:rsid w:val="008513DA"/>
  </w:style>
  <w:style w:type="character" w:customStyle="1" w:styleId="apple-converted-space">
    <w:name w:val="apple-converted-space"/>
    <w:basedOn w:val="DefaultParagraphFont"/>
    <w:rsid w:val="008513DA"/>
  </w:style>
  <w:style w:type="paragraph" w:styleId="NoSpacing">
    <w:name w:val="No Spacing"/>
    <w:uiPriority w:val="1"/>
    <w:qFormat/>
    <w:rsid w:val="004B00B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chart" Target="charts/chart4.xml"/><Relationship Id="rId28" Type="http://schemas.microsoft.com/office/2007/relationships/stylesWithEffects" Target="stylesWithEffects.xml"/><Relationship Id="rId10" Type="http://schemas.openxmlformats.org/officeDocument/2006/relationships/image" Target="media/image2.wmf"/><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chart" Target="charts/chart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G:\data-msk\MIPSPE%20OPTMZT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data-msk\MIPSPE%20OPTMZT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data-msk\MIPSPE%20OPTMZT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data-msk\MIPSPE%20OPTMZT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8617690030125542"/>
          <c:y val="8.0892675300833494E-2"/>
          <c:w val="0.67840425119273884"/>
          <c:h val="0.55709708417595338"/>
        </c:manualLayout>
      </c:layout>
      <c:lineChart>
        <c:grouping val="standard"/>
        <c:ser>
          <c:idx val="0"/>
          <c:order val="0"/>
          <c:tx>
            <c:strRef>
              <c:f>'wshg= acn-water'!$S$45</c:f>
              <c:strCache>
                <c:ptCount val="1"/>
                <c:pt idx="0">
                  <c:v>MIP</c:v>
                </c:pt>
              </c:strCache>
            </c:strRef>
          </c:tx>
          <c:cat>
            <c:numRef>
              <c:f>'wshg= acn-water'!$R$46:$R$50</c:f>
              <c:numCache>
                <c:formatCode>0%</c:formatCode>
                <c:ptCount val="5"/>
                <c:pt idx="0">
                  <c:v>10</c:v>
                </c:pt>
                <c:pt idx="1">
                  <c:v>20</c:v>
                </c:pt>
                <c:pt idx="2">
                  <c:v>30</c:v>
                </c:pt>
                <c:pt idx="3">
                  <c:v>40</c:v>
                </c:pt>
                <c:pt idx="4">
                  <c:v>50</c:v>
                </c:pt>
              </c:numCache>
            </c:numRef>
          </c:cat>
          <c:val>
            <c:numRef>
              <c:f>'wshg= acn-water'!$S$46:$S$50</c:f>
              <c:numCache>
                <c:formatCode>General</c:formatCode>
                <c:ptCount val="5"/>
                <c:pt idx="0">
                  <c:v>98.616887084376287</c:v>
                </c:pt>
                <c:pt idx="1">
                  <c:v>97.616887084376302</c:v>
                </c:pt>
                <c:pt idx="2">
                  <c:v>93.1</c:v>
                </c:pt>
                <c:pt idx="3">
                  <c:v>35</c:v>
                </c:pt>
                <c:pt idx="4">
                  <c:v>20</c:v>
                </c:pt>
              </c:numCache>
            </c:numRef>
          </c:val>
        </c:ser>
        <c:ser>
          <c:idx val="1"/>
          <c:order val="1"/>
          <c:tx>
            <c:strRef>
              <c:f>'wshg= acn-water'!$T$45</c:f>
              <c:strCache>
                <c:ptCount val="1"/>
                <c:pt idx="0">
                  <c:v>NIP</c:v>
                </c:pt>
              </c:strCache>
            </c:strRef>
          </c:tx>
          <c:cat>
            <c:numRef>
              <c:f>'wshg= acn-water'!$R$46:$R$50</c:f>
              <c:numCache>
                <c:formatCode>0%</c:formatCode>
                <c:ptCount val="5"/>
                <c:pt idx="0">
                  <c:v>10</c:v>
                </c:pt>
                <c:pt idx="1">
                  <c:v>20</c:v>
                </c:pt>
                <c:pt idx="2">
                  <c:v>30</c:v>
                </c:pt>
                <c:pt idx="3">
                  <c:v>40</c:v>
                </c:pt>
                <c:pt idx="4">
                  <c:v>50</c:v>
                </c:pt>
              </c:numCache>
            </c:numRef>
          </c:cat>
          <c:val>
            <c:numRef>
              <c:f>'wshg= acn-water'!$T$46:$T$50</c:f>
              <c:numCache>
                <c:formatCode>General</c:formatCode>
                <c:ptCount val="5"/>
                <c:pt idx="0">
                  <c:v>66.384512288862197</c:v>
                </c:pt>
                <c:pt idx="1">
                  <c:v>63.668328833001674</c:v>
                </c:pt>
                <c:pt idx="2">
                  <c:v>40</c:v>
                </c:pt>
                <c:pt idx="3">
                  <c:v>16.019374421033987</c:v>
                </c:pt>
                <c:pt idx="4">
                  <c:v>2</c:v>
                </c:pt>
              </c:numCache>
            </c:numRef>
          </c:val>
        </c:ser>
        <c:marker val="1"/>
        <c:axId val="73210496"/>
        <c:axId val="73233536"/>
      </c:lineChart>
      <c:catAx>
        <c:axId val="73210496"/>
        <c:scaling>
          <c:orientation val="minMax"/>
        </c:scaling>
        <c:axPos val="b"/>
        <c:title>
          <c:tx>
            <c:rich>
              <a:bodyPr/>
              <a:lstStyle/>
              <a:p>
                <a:pPr>
                  <a:defRPr lang="en-MY"/>
                </a:pPr>
                <a:r>
                  <a:rPr lang="en-US"/>
                  <a:t>Acetonitrile (%, v/v)</a:t>
                </a:r>
              </a:p>
            </c:rich>
          </c:tx>
        </c:title>
        <c:numFmt formatCode="General" sourceLinked="0"/>
        <c:tickLblPos val="nextTo"/>
        <c:txPr>
          <a:bodyPr/>
          <a:lstStyle/>
          <a:p>
            <a:pPr>
              <a:defRPr lang="en-MY"/>
            </a:pPr>
            <a:endParaRPr lang="en-US"/>
          </a:p>
        </c:txPr>
        <c:crossAx val="73233536"/>
        <c:crosses val="autoZero"/>
        <c:auto val="1"/>
        <c:lblAlgn val="ctr"/>
        <c:lblOffset val="100"/>
      </c:catAx>
      <c:valAx>
        <c:axId val="73233536"/>
        <c:scaling>
          <c:orientation val="minMax"/>
          <c:max val="100"/>
        </c:scaling>
        <c:axPos val="l"/>
        <c:title>
          <c:tx>
            <c:rich>
              <a:bodyPr rot="-5400000" vert="horz"/>
              <a:lstStyle/>
              <a:p>
                <a:pPr>
                  <a:defRPr lang="en-MY"/>
                </a:pPr>
                <a:r>
                  <a:rPr lang="en-US"/>
                  <a:t>Analyte Recovery, %</a:t>
                </a:r>
              </a:p>
            </c:rich>
          </c:tx>
          <c:layout>
            <c:manualLayout>
              <c:xMode val="edge"/>
              <c:yMode val="edge"/>
              <c:x val="3.6124794745484398E-2"/>
              <c:y val="3.7176828306297802E-2"/>
            </c:manualLayout>
          </c:layout>
        </c:title>
        <c:numFmt formatCode="General" sourceLinked="1"/>
        <c:tickLblPos val="nextTo"/>
        <c:txPr>
          <a:bodyPr/>
          <a:lstStyle/>
          <a:p>
            <a:pPr>
              <a:defRPr lang="en-MY"/>
            </a:pPr>
            <a:endParaRPr lang="en-US"/>
          </a:p>
        </c:txPr>
        <c:crossAx val="73210496"/>
        <c:crosses val="autoZero"/>
        <c:crossBetween val="between"/>
      </c:valAx>
    </c:plotArea>
    <c:legend>
      <c:legendPos val="r"/>
      <c:layout>
        <c:manualLayout>
          <c:xMode val="edge"/>
          <c:yMode val="edge"/>
          <c:x val="0.63676898543710392"/>
          <c:y val="8.5491916250194713E-2"/>
          <c:w val="0.14573692472838071"/>
          <c:h val="0.2201876820191998"/>
        </c:manualLayout>
      </c:layout>
      <c:txPr>
        <a:bodyPr/>
        <a:lstStyle/>
        <a:p>
          <a:pPr>
            <a:defRPr lang="en-MY"/>
          </a:pPr>
          <a:endParaRPr lang="en-US"/>
        </a:p>
      </c:txPr>
    </c:legend>
    <c:plotVisOnly val="1"/>
    <c:dispBlanksAs val="gap"/>
  </c:chart>
  <c:spPr>
    <a:ln>
      <a:noFill/>
    </a:ln>
  </c:spPr>
  <c:txPr>
    <a:bodyPr/>
    <a:lstStyle/>
    <a:p>
      <a:pPr>
        <a:defRPr sz="9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21812681418592059"/>
          <c:y val="7.1860968835206443E-2"/>
          <c:w val="0.74032443184787144"/>
          <c:h val="0.65662618184852384"/>
        </c:manualLayout>
      </c:layout>
      <c:lineChart>
        <c:grouping val="standard"/>
        <c:ser>
          <c:idx val="0"/>
          <c:order val="0"/>
          <c:cat>
            <c:numRef>
              <c:f>'elutn solvnt'!$I$37:$I$40</c:f>
              <c:numCache>
                <c:formatCode>General</c:formatCode>
                <c:ptCount val="4"/>
                <c:pt idx="0">
                  <c:v>0</c:v>
                </c:pt>
                <c:pt idx="1">
                  <c:v>1</c:v>
                </c:pt>
                <c:pt idx="2">
                  <c:v>5</c:v>
                </c:pt>
                <c:pt idx="3">
                  <c:v>10</c:v>
                </c:pt>
              </c:numCache>
            </c:numRef>
          </c:cat>
          <c:val>
            <c:numRef>
              <c:f>'elutn solvnt'!$J$37:$J$40</c:f>
              <c:numCache>
                <c:formatCode>General</c:formatCode>
                <c:ptCount val="4"/>
                <c:pt idx="0">
                  <c:v>43</c:v>
                </c:pt>
                <c:pt idx="1">
                  <c:v>75.734778909436599</c:v>
                </c:pt>
                <c:pt idx="2">
                  <c:v>99</c:v>
                </c:pt>
                <c:pt idx="3">
                  <c:v>54.195027651960608</c:v>
                </c:pt>
              </c:numCache>
            </c:numRef>
          </c:val>
        </c:ser>
        <c:marker val="1"/>
        <c:axId val="73536256"/>
        <c:axId val="73538176"/>
      </c:lineChart>
      <c:catAx>
        <c:axId val="73536256"/>
        <c:scaling>
          <c:orientation val="minMax"/>
        </c:scaling>
        <c:axPos val="b"/>
        <c:title>
          <c:tx>
            <c:rich>
              <a:bodyPr/>
              <a:lstStyle/>
              <a:p>
                <a:pPr>
                  <a:defRPr lang="en-MY" sz="900">
                    <a:latin typeface="Times New Roman" pitchFamily="18" charset="0"/>
                    <a:cs typeface="Times New Roman" pitchFamily="18" charset="0"/>
                  </a:defRPr>
                </a:pPr>
                <a:r>
                  <a:rPr lang="en-US" sz="900">
                    <a:latin typeface="Times New Roman" pitchFamily="18" charset="0"/>
                    <a:cs typeface="Times New Roman" pitchFamily="18" charset="0"/>
                  </a:rPr>
                  <a:t>Eluent  (% acetic acid in methanol)</a:t>
                </a:r>
              </a:p>
            </c:rich>
          </c:tx>
        </c:title>
        <c:numFmt formatCode="General" sourceLinked="1"/>
        <c:tickLblPos val="nextTo"/>
        <c:txPr>
          <a:bodyPr/>
          <a:lstStyle/>
          <a:p>
            <a:pPr>
              <a:defRPr lang="en-MY" sz="900">
                <a:latin typeface="Times New Roman" pitchFamily="18" charset="0"/>
                <a:cs typeface="Times New Roman" pitchFamily="18" charset="0"/>
              </a:defRPr>
            </a:pPr>
            <a:endParaRPr lang="en-US"/>
          </a:p>
        </c:txPr>
        <c:crossAx val="73538176"/>
        <c:crosses val="autoZero"/>
        <c:auto val="1"/>
        <c:lblAlgn val="ctr"/>
        <c:lblOffset val="100"/>
      </c:catAx>
      <c:valAx>
        <c:axId val="73538176"/>
        <c:scaling>
          <c:orientation val="minMax"/>
          <c:max val="100"/>
        </c:scaling>
        <c:axPos val="l"/>
        <c:title>
          <c:tx>
            <c:rich>
              <a:bodyPr rot="-5400000" vert="horz"/>
              <a:lstStyle/>
              <a:p>
                <a:pPr>
                  <a:defRPr lang="en-MY" sz="900">
                    <a:latin typeface="Times New Roman" pitchFamily="18" charset="0"/>
                    <a:cs typeface="Times New Roman" pitchFamily="18" charset="0"/>
                  </a:defRPr>
                </a:pPr>
                <a:r>
                  <a:rPr lang="en-US" sz="900">
                    <a:latin typeface="Times New Roman" pitchFamily="18" charset="0"/>
                    <a:cs typeface="Times New Roman" pitchFamily="18" charset="0"/>
                  </a:rPr>
                  <a:t>Analyte Recovery, %</a:t>
                </a:r>
              </a:p>
            </c:rich>
          </c:tx>
          <c:layout>
            <c:manualLayout>
              <c:xMode val="edge"/>
              <c:yMode val="edge"/>
              <c:x val="2.7180447383221711E-2"/>
              <c:y val="3.0695217603544326E-2"/>
            </c:manualLayout>
          </c:layout>
        </c:title>
        <c:numFmt formatCode="General" sourceLinked="1"/>
        <c:tickLblPos val="nextTo"/>
        <c:txPr>
          <a:bodyPr/>
          <a:lstStyle/>
          <a:p>
            <a:pPr>
              <a:defRPr lang="en-MY" sz="900">
                <a:latin typeface="Times New Roman" pitchFamily="18" charset="0"/>
                <a:cs typeface="Times New Roman" pitchFamily="18" charset="0"/>
              </a:defRPr>
            </a:pPr>
            <a:endParaRPr lang="en-US"/>
          </a:p>
        </c:txPr>
        <c:crossAx val="73536256"/>
        <c:crosses val="autoZero"/>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9874778530443557"/>
          <c:y val="7.4548702245552642E-2"/>
          <c:w val="0.75680770016235188"/>
          <c:h val="0.61194445354207061"/>
        </c:manualLayout>
      </c:layout>
      <c:lineChart>
        <c:grouping val="standard"/>
        <c:ser>
          <c:idx val="0"/>
          <c:order val="0"/>
          <c:cat>
            <c:numRef>
              <c:f>'Elutn Volume '!$J$6:$J$9</c:f>
              <c:numCache>
                <c:formatCode>General</c:formatCode>
                <c:ptCount val="4"/>
                <c:pt idx="0">
                  <c:v>3</c:v>
                </c:pt>
                <c:pt idx="1">
                  <c:v>6</c:v>
                </c:pt>
                <c:pt idx="2">
                  <c:v>10</c:v>
                </c:pt>
                <c:pt idx="3">
                  <c:v>15</c:v>
                </c:pt>
              </c:numCache>
            </c:numRef>
          </c:cat>
          <c:val>
            <c:numRef>
              <c:f>'Elutn Volume '!$K$6:$K$9</c:f>
              <c:numCache>
                <c:formatCode>General</c:formatCode>
                <c:ptCount val="4"/>
                <c:pt idx="0">
                  <c:v>45.30980205700552</c:v>
                </c:pt>
                <c:pt idx="1">
                  <c:v>58.79795300417917</c:v>
                </c:pt>
                <c:pt idx="2">
                  <c:v>99.611965416280853</c:v>
                </c:pt>
                <c:pt idx="3">
                  <c:v>50.309207727534293</c:v>
                </c:pt>
              </c:numCache>
            </c:numRef>
          </c:val>
        </c:ser>
        <c:marker val="1"/>
        <c:axId val="73566080"/>
        <c:axId val="73580544"/>
      </c:lineChart>
      <c:catAx>
        <c:axId val="73566080"/>
        <c:scaling>
          <c:orientation val="minMax"/>
        </c:scaling>
        <c:axPos val="b"/>
        <c:title>
          <c:tx>
            <c:rich>
              <a:bodyPr/>
              <a:lstStyle/>
              <a:p>
                <a:pPr>
                  <a:defRPr lang="en-MY"/>
                </a:pPr>
                <a:r>
                  <a:rPr lang="en-US"/>
                  <a:t>Elution Volume (mL)</a:t>
                </a:r>
              </a:p>
            </c:rich>
          </c:tx>
          <c:layout>
            <c:manualLayout>
              <c:xMode val="edge"/>
              <c:yMode val="edge"/>
              <c:x val="0.37115222518259688"/>
              <c:y val="0.85870369763862187"/>
            </c:manualLayout>
          </c:layout>
        </c:title>
        <c:numFmt formatCode="General" sourceLinked="1"/>
        <c:tickLblPos val="nextTo"/>
        <c:txPr>
          <a:bodyPr/>
          <a:lstStyle/>
          <a:p>
            <a:pPr>
              <a:defRPr lang="en-MY"/>
            </a:pPr>
            <a:endParaRPr lang="en-US"/>
          </a:p>
        </c:txPr>
        <c:crossAx val="73580544"/>
        <c:crosses val="autoZero"/>
        <c:auto val="1"/>
        <c:lblAlgn val="ctr"/>
        <c:lblOffset val="100"/>
      </c:catAx>
      <c:valAx>
        <c:axId val="73580544"/>
        <c:scaling>
          <c:orientation val="minMax"/>
          <c:max val="100"/>
        </c:scaling>
        <c:axPos val="l"/>
        <c:title>
          <c:tx>
            <c:rich>
              <a:bodyPr rot="-5400000" vert="horz"/>
              <a:lstStyle/>
              <a:p>
                <a:pPr>
                  <a:defRPr lang="en-MY"/>
                </a:pPr>
                <a:r>
                  <a:rPr lang="en-US"/>
                  <a:t>Analyte Recovery, %</a:t>
                </a:r>
              </a:p>
            </c:rich>
          </c:tx>
          <c:layout>
            <c:manualLayout>
              <c:xMode val="edge"/>
              <c:yMode val="edge"/>
              <c:x val="5.0069663855143521E-3"/>
              <c:y val="2.1308170915328401E-2"/>
            </c:manualLayout>
          </c:layout>
        </c:title>
        <c:numFmt formatCode="General" sourceLinked="1"/>
        <c:tickLblPos val="nextTo"/>
        <c:txPr>
          <a:bodyPr/>
          <a:lstStyle/>
          <a:p>
            <a:pPr>
              <a:defRPr lang="en-MY"/>
            </a:pPr>
            <a:endParaRPr lang="en-US"/>
          </a:p>
        </c:txPr>
        <c:crossAx val="73566080"/>
        <c:crosses val="autoZero"/>
        <c:crossBetween val="between"/>
      </c:valAx>
    </c:plotArea>
    <c:plotVisOnly val="1"/>
    <c:dispBlanksAs val="gap"/>
  </c:chart>
  <c:spPr>
    <a:ln>
      <a:noFill/>
    </a:ln>
  </c:spPr>
  <c:txPr>
    <a:bodyPr/>
    <a:lstStyle/>
    <a:p>
      <a:pPr>
        <a:defRPr sz="900">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manualLayout>
          <c:layoutTarget val="inner"/>
          <c:xMode val="edge"/>
          <c:yMode val="edge"/>
          <c:x val="0.1722176219984379"/>
          <c:y val="6.8534038818878804E-2"/>
          <c:w val="0.7869280309242358"/>
          <c:h val="0.63703961862405212"/>
        </c:manualLayout>
      </c:layout>
      <c:lineChart>
        <c:grouping val="stacked"/>
        <c:ser>
          <c:idx val="0"/>
          <c:order val="0"/>
          <c:tx>
            <c:strRef>
              <c:f>'loading volume'!$J$5</c:f>
              <c:strCache>
                <c:ptCount val="1"/>
                <c:pt idx="0">
                  <c:v>Recoveries %</c:v>
                </c:pt>
              </c:strCache>
            </c:strRef>
          </c:tx>
          <c:cat>
            <c:numRef>
              <c:f>'loading volume'!$I$6:$I$10</c:f>
              <c:numCache>
                <c:formatCode>General</c:formatCode>
                <c:ptCount val="5"/>
                <c:pt idx="0">
                  <c:v>5</c:v>
                </c:pt>
                <c:pt idx="1">
                  <c:v>10</c:v>
                </c:pt>
                <c:pt idx="2">
                  <c:v>15</c:v>
                </c:pt>
                <c:pt idx="3">
                  <c:v>25</c:v>
                </c:pt>
                <c:pt idx="4">
                  <c:v>50</c:v>
                </c:pt>
              </c:numCache>
            </c:numRef>
          </c:cat>
          <c:val>
            <c:numRef>
              <c:f>'loading volume'!$J$6:$J$10</c:f>
              <c:numCache>
                <c:formatCode>General</c:formatCode>
                <c:ptCount val="5"/>
                <c:pt idx="0">
                  <c:v>61.895120469730728</c:v>
                </c:pt>
                <c:pt idx="1">
                  <c:v>92.834244448943906</c:v>
                </c:pt>
                <c:pt idx="2">
                  <c:v>45.910103259769194</c:v>
                </c:pt>
                <c:pt idx="3">
                  <c:v>29.806978470675595</c:v>
                </c:pt>
                <c:pt idx="4">
                  <c:v>16.02213673483158</c:v>
                </c:pt>
              </c:numCache>
            </c:numRef>
          </c:val>
        </c:ser>
        <c:marker val="1"/>
        <c:axId val="73591808"/>
        <c:axId val="74392704"/>
      </c:lineChart>
      <c:catAx>
        <c:axId val="73591808"/>
        <c:scaling>
          <c:orientation val="minMax"/>
        </c:scaling>
        <c:axPos val="b"/>
        <c:title>
          <c:tx>
            <c:rich>
              <a:bodyPr/>
              <a:lstStyle/>
              <a:p>
                <a:pPr>
                  <a:defRPr lang="en-MY"/>
                </a:pPr>
                <a:r>
                  <a:rPr lang="en-US"/>
                  <a:t>Loading Volume, mL</a:t>
                </a:r>
              </a:p>
            </c:rich>
          </c:tx>
        </c:title>
        <c:numFmt formatCode="General" sourceLinked="1"/>
        <c:tickLblPos val="nextTo"/>
        <c:txPr>
          <a:bodyPr/>
          <a:lstStyle/>
          <a:p>
            <a:pPr>
              <a:defRPr lang="en-MY"/>
            </a:pPr>
            <a:endParaRPr lang="en-US"/>
          </a:p>
        </c:txPr>
        <c:crossAx val="74392704"/>
        <c:crosses val="autoZero"/>
        <c:auto val="1"/>
        <c:lblAlgn val="ctr"/>
        <c:lblOffset val="100"/>
      </c:catAx>
      <c:valAx>
        <c:axId val="74392704"/>
        <c:scaling>
          <c:orientation val="minMax"/>
        </c:scaling>
        <c:axPos val="l"/>
        <c:title>
          <c:tx>
            <c:rich>
              <a:bodyPr rot="-5400000" vert="horz"/>
              <a:lstStyle/>
              <a:p>
                <a:pPr>
                  <a:defRPr lang="en-MY"/>
                </a:pPr>
                <a:r>
                  <a:rPr lang="en-US"/>
                  <a:t>Analyte Recovery, %</a:t>
                </a:r>
              </a:p>
            </c:rich>
          </c:tx>
          <c:layout>
            <c:manualLayout>
              <c:xMode val="edge"/>
              <c:yMode val="edge"/>
              <c:x val="4.2592594455785823E-3"/>
              <c:y val="6.8534043960348234E-2"/>
            </c:manualLayout>
          </c:layout>
        </c:title>
        <c:numFmt formatCode="General" sourceLinked="1"/>
        <c:tickLblPos val="nextTo"/>
        <c:txPr>
          <a:bodyPr/>
          <a:lstStyle/>
          <a:p>
            <a:pPr>
              <a:defRPr lang="en-MY"/>
            </a:pPr>
            <a:endParaRPr lang="en-US"/>
          </a:p>
        </c:txPr>
        <c:crossAx val="73591808"/>
        <c:crosses val="autoZero"/>
        <c:crossBetween val="between"/>
      </c:valAx>
    </c:plotArea>
    <c:plotVisOnly val="1"/>
    <c:dispBlanksAs val="zero"/>
  </c:chart>
  <c:spPr>
    <a:ln>
      <a:noFill/>
    </a:ln>
  </c:spPr>
  <c:txPr>
    <a:bodyPr/>
    <a:lstStyle/>
    <a:p>
      <a:pPr>
        <a:defRPr sz="9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37FA47C-6003-4416-B38E-637A5EEF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3198</Words>
  <Characters>18234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UTM</Company>
  <LinksUpToDate>false</LinksUpToDate>
  <CharactersWithSpaces>21390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Lecturer</dc:creator>
  <cp:lastModifiedBy>Harun Hj Hamzah</cp:lastModifiedBy>
  <cp:revision>3</cp:revision>
  <cp:lastPrinted>2009-06-10T08:55:00Z</cp:lastPrinted>
  <dcterms:created xsi:type="dcterms:W3CDTF">2011-09-30T08:02:00Z</dcterms:created>
  <dcterms:modified xsi:type="dcterms:W3CDTF">2011-10-05T05:19:00Z</dcterms:modified>
</cp:coreProperties>
</file>